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Quality Assurance (investigator)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 &amp; Technology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Head of Quality</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one-sided 95 % prediction bound of a single batch of a downstream step, at the least favourable combination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Protein A report PCR-005 narrows the NOR of protein load, because over the NOR as it was characterized the scale-down model is not qualified for pool host cell protein (§2). The low-pH viral inactivation report PCR-006 moves the NOR and the set-point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27 studies, executed between 2025-08-11 and 2026-05-15. Each of them closed before the Version 1.0 reports were approved. The count covers every study that started before this investigation closed, except the two augmentation studies of INV-002 (§2), which belong to that investigation, and five others. The comparability study S-CEX-FRC and the retests of retained samples by nrCE-SDS (S-PA-RET and S-VI-RET) produced only fragment results, which Version 1.0 did not report (§4.7). The further Protein A scale-down runs, study S-PA-SDM2, were made during the investigation (§2). The osmolality study S-BRX-OSM at the production bioreactor started on 2026-09-01, during the investigation, and is outside its scope. The bioreactor report PCR-003 Version 2.0 records it as PD-003-01, a discrepancy from the plan.</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deviations recorded in the step reports keep the disposition those reports give them.</w:t>
      </w:r>
    </w:p>
    <w:p>
      <w:pPr>
        <w:pStyle w:val="BodyText"/>
      </w:pPr>
      <w:r>
        <w:t xml:space="preserve">The re-analysis in §6 uses the same designed experiments and the same results as Version 1.0, with two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of 17,069 ng/mg. On the model that PCR-005 Version 2.0 uses, its upper 95 % prediction limit over the NOR as characterized is 92 %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The plan did not foresee the further runs, so the Protein A report PCR-005 Version 2.0 records them as PD-005-01, a discrepancy from the plan. They are not a deviation, because no approved procedure or GMP requirement was departed from.</w:t>
      </w:r>
    </w:p>
    <w:p>
      <w:pPr>
        <w:pStyle w:val="BodyText"/>
      </w:pPr>
      <w:r>
        <w:t xml:space="preserve">A scale-down model is qualified for an output when the conclusion against its criterion over the NOR is the same with the offset at either end of that interval (§6.1). Over the NOR as characterized, the model is not qualified for pool host cell protein, on the planned runs alone or on all runs. With the ratio at the low end of its interval, which raises the prediction at manufacturing scale, the upper prediction limit over that NOR is 17,143 ng/mg on all runs, above the criterion. The Protein A report PCR-005 Version 2.0 therefore narrows the NOR of protein load at its high end, from 20–40 g/L resin to 20–39 g/L resin. Over the narrowed NOR, that limit is 16,763 ng/mg on all runs, and the model is qualified. On the planned runs alone it is 18,786 ng/mg, and the model would not be qualified. The further runs therefore made the qualification possible. The decision to make them was taken after the result on the planned runs was known. The qualification therefore rests on runs added after a result was seen, and this is a limitation of it. The qualification rule and the criterion were not changed, and only the number of runs grew. For leached Protein A the model is qualified on either set of runs.</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c)</w:t>
                  </w:r>
                  <w:r>
                    <w:t xml:space="preserve"> </w:t>
                  </w:r>
                  <w:r>
                    <w:t xml:space="preserve">from ≤ 16,000</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b)</w:t>
                  </w:r>
                  <w:r>
                    <w:t xml:space="preserve"> </w:t>
                  </w:r>
                  <w:r>
                    <w:t xml:space="preserve">from ≤ 10.0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427</w:t>
                  </w:r>
                </w:p>
              </w:tc>
              <w:tc>
                <w:tcPr/>
                <w:p>
                  <w:pPr>
                    <w:pStyle w:val="Compact"/>
                    <w:jc w:val="center"/>
                  </w:pPr>
                  <w:r>
                    <w:t xml:space="preserve">Carried back, widened</w:t>
                  </w:r>
                  <w:r>
                    <w:rPr>
                      <w:vertAlign w:val="superscript"/>
                    </w:rPr>
                    <w:t xml:space="preserve">c)</w:t>
                  </w:r>
                  <w:r>
                    <w:t xml:space="preserve"> </w:t>
                  </w:r>
                  <w:r>
                    <w:t xml:space="preserve">from ≤ 400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an adequate model.</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2025-08-07</w:t>
                  </w:r>
                </w:p>
              </w:tc>
              <w:tc>
                <w:tcPr/>
                <w:p>
                  <w:pPr>
                    <w:pStyle w:val="Compact"/>
                    <w:jc w:val="center"/>
                  </w:pPr>
                  <w:r>
                    <w:t xml:space="preserve">2025-08-11</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compares each platform worst case with the A-Mab worst case that the response surface model of the downstream step predicts within its NOR. The bound that can replace a platform value is the one-sided 95 % prediction bound of a single batch at the least favourable combination of NOR low, set-point and NOR high (the single-batch bound). Where the A-Mab prediction is worse than the platform value, the single-batch bound replaces it and the criteria upstream tighten. Where the single-batch bound is better than the platform value, it replaces it and the criteria upstream widen, but only if the model passes the adequacy tests of PCMP-001 Version 2.0 (R² less predicted R² at most 0.2, and no lack of fit at the 0.05 level). Otherwise the platform value stands. No criterion is set from a point prediction or from a confidence bound of the mean.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9 are the drug-substance criterion applied directly, 8 are carried back through the downstream steps, and 5 are platform viral clearance claims. When the platform worst cases were verified (§6.2), 2 of the back-calculated criteria were tightened and 3 were widened. The criterion for aggregates at the production bioreactor step is counted in both, because one downstream step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single-batch bound of a downstream step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7 assumptions that could be tested, 6 were confirmed, because the prediction within the NOR was no worse than the platform value. For 2 of them the single-batch bound was also better than the platform value, on an adequate model, and the criteria upstream were recalculated with the bound. For the increase of acidic variants at low-pH viral inactivation the bound was also better, but the acidic-variant results of that design have no scatter. The model fits them exactly, so the lack-of-fit test and the model F-test cannot be applied, and the platform value stands. For the other three the single-batch bound was not better than the platform value,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fails an adequacy test of PCMP-001, so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30.3-fold, short of the platform worst case of 40.0-fold. Within the NOR, the lowest clearance the model predicts is 44.9-fold, and the single-batch bound is 36.7-fold. The edges of the characterization range lie outside the NOR, so the edge value does not decide the criterion. The prediction within the NOR confirms the platform value. The single-batch bound is below it, so the platform value of 40.0-fold stands for cation exchange. The verification used the models that INV-002 corrective action CA3 selects for each output (§2). At anion exchange, the single-batch bound for host cell protein is 4.27-fold, which is better than the platform value of 4.00-fold. The anion exchange model passes the adequacy tests, so this bound replaced the platform value. The anion exchange bound widened the cation exchange criterion for host cell protein from 400 to 427 ng/mg. Carried back through the platform value at cation exchange and this bound at anion exchange, the Protein A criterion for host cell protein was widened from 16,000 to 17,069 ng/mg. The Protein A criterion is also wider than the Version 1.0 limit of 10,724 ng/mg, which was never an approved criterion (finding F1). In all, 3 criteria were widened, for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One assumption was not confirmed. The platform worst case for aggregate at cation exchange is a fold clearance of 2.0. Within its NOR, the lowest fold clearance the response surface model of this campaign predicts is 1.58, and the single-batch bound is 1.40. The aggregate criteria upstream of cation exchange were recalculated with the bound, and the 2 aggregate criteria at the production bioreactor and low-pH viral inactivation steps were tightened. At the bioreactor the same criterion was also widened, because the single-batch bound of the aggregate increase at low-pH viral inactivation, 0.56 percentage points, is smaller than the platform value of 0.70. The platform value is an increase over a hold of 180 min. The A-Mab value is an increase within the NOR as characterized, where the hold lasts at most 120 min. For aggregate, the largest increase measured at the edges of the range studied, which include a hold of 180 min, is 0.84 points, above the platform value. That criterion therefore moved because the A-Mab hold is shorter, not because A-Mab is more stable at low pH. The criterion is still right, because routine manufacture does not hold longer than the NOR. The acidic-variant increase at low-pH viral inactivation, 0.40 points, is also below its platform value of 1.00, but its model fits exactly, so the bioreactor criterion for acidic variants stays at its a priori value. Against the tightened criteria, every aggregate proven acceptable range at these two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5 %,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CO2 partial pressure (pCO2) rises, in this campaign’s response surface model and in the response surface estimates of the published A-Mab case study</w:t>
      </w:r>
      <w:r>
        <w:t xml:space="preserve"> </w:t>
      </w:r>
      <w:r>
        <w:t xml:space="preserve">(CMC Biotech Working Group 2009, Table 3.16)</w:t>
      </w:r>
      <w:r>
        <w:t xml:space="preserve">. For CO2 partial pressure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CO2 partial pressure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CO2 partial pressure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CO2 partial pressure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18.0–39.0</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6.46</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7.02</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427</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For this reason, the low-pH viral inactivation report PCR-006 Version 2.0 moves the NOR and the set-point of inactivation pH lower and narrows the NORs of hold time and temperature. PCR-006 gives the values and the reasons.</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for NORs at the Protein A and low-pH viral inactivation steps and set-points at low-pH viral inactivation, which PCR-005 and PCR-006 Version 2.0 change (§2,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2026-10-09T17:36:47Z</dcterms:created>
  <dcterms:modified xsi:type="dcterms:W3CDTF">2026-10-09T17:36:47Z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