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re-analysis of the studies,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6"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site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1</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drug substance process train and the principal role of each step.</w:t>
            </w:r>
          </w:p>
          <w:tbl>
            <w:tblPr>
              <w:tblStyle w:val="Table"/>
              <w:tblW w:type="pct" w:w="5000"/>
              <w:tblLayout w:type="fixed"/>
              <w:tblLook w:firstRow="1" w:lastRow="0" w:firstColumn="0" w:lastColumn="0" w:noHBand="0" w:noVBand="0" w:val="0020"/>
            </w:tblPr>
            <w:tblGrid>
              <w:gridCol w:w="510"/>
              <w:gridCol w:w="2171"/>
              <w:gridCol w:w="5237"/>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3"/>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build on each other in sequence. The risk assessment RA-001 sets the scope of each study. The Process Characterization Plan of the step (PCP-00N) plans the study, and the paired Process Characterization Report (PCR-00N) reports it. The Process Characterization Master Report PCMR-001 then consolidates the reports into the control strategy for the whole process. The QA investigation INV-001 reviewed PCMR-001 Version 1.0, and its findings led back to this revision and to the reissue of the other documents.</w:t>
      </w:r>
      <w:r>
        <w:t xml:space="preserve"> </w:t>
      </w:r>
      <w:hyperlink w:anchor="tbl-docs">
        <w:r>
          <w:rPr>
            <w:rStyle w:val="Hyperlink"/>
          </w:rPr>
          <w:t xml:space="preserve">Table 2</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4" w:name="tbl-docs"/>
          <w:p>
            <w:pPr>
              <w:jc w:val="center"/>
            </w:pPr>
            <w:pPr>
              <w:jc w:val="start"/>
              <w:spacing w:before="200"/>
              <w:pStyle w:val="ImageCaption"/>
            </w:pPr>
            <w:r>
              <w:t xml:space="preserve">Table 2: Documents of the A-Mab characterization package.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Subject</w:t>
                  </w:r>
                </w:p>
              </w:tc>
              <w:tc>
                <w:tcPr/>
                <w:p>
                  <w:pPr>
                    <w:pStyle w:val="Compact"/>
                    <w:jc w:val="center"/>
                  </w:pPr>
                  <w:r>
                    <w:t xml:space="preserve">Document ID</w:t>
                  </w:r>
                </w:p>
              </w:tc>
              <w:tc>
                <w:tcPr/>
                <w:p>
                  <w:pPr>
                    <w:pStyle w:val="Compact"/>
                    <w:jc w:val="center"/>
                  </w:pPr>
                  <w:r>
                    <w:t xml:space="preserve">Document class</w:t>
                  </w:r>
                </w:p>
              </w:tc>
            </w:tr>
            <w:tr>
              <w:tc>
                <w:tcPr>
                  <w:vMerge w:val="restart"/>
                </w:tcPr>
                <w:p>
                  <w:pPr>
                    <w:pStyle w:val="Compact"/>
                    <w:jc w:val="center"/>
                  </w:pPr>
                  <w:r>
                    <w:t xml:space="preserve">A-Mab Drug Substance</w:t>
                  </w:r>
                </w:p>
              </w:tc>
              <w:tc>
                <w:tcPr/>
                <w:p>
                  <w:pPr>
                    <w:pStyle w:val="Compact"/>
                    <w:jc w:val="center"/>
                  </w:pPr>
                  <w:r>
                    <w:t xml:space="preserve">PTP-001</w:t>
                  </w:r>
                </w:p>
              </w:tc>
              <w:tc>
                <w:tcPr/>
                <w:p>
                  <w:pPr>
                    <w:pStyle w:val="Compact"/>
                    <w:jc w:val="center"/>
                  </w:pPr>
                  <w:r>
                    <w:t xml:space="preserve">Process Transfer Plan</w:t>
                  </w:r>
                </w:p>
              </w:tc>
            </w:tr>
            <w:tr>
              <w:tc>
                <w:tcPr>
                  <w:gridSpan w:val="1"/>
                  <w:vMerge w:val="continue"/>
                </w:tcPr>
                <w:p>
                  <w:pPr/>
                </w:p>
              </w:tc>
              <w:tc>
                <w:tcPr/>
                <w:p>
                  <w:pPr>
                    <w:pStyle w:val="Compact"/>
                    <w:jc w:val="center"/>
                  </w:pPr>
                  <w:r>
                    <w:t xml:space="preserve">RA-001</w:t>
                  </w:r>
                </w:p>
              </w:tc>
              <w:tc>
                <w:tcPr/>
                <w:p>
                  <w:pPr>
                    <w:pStyle w:val="Compact"/>
                    <w:jc w:val="center"/>
                  </w:pPr>
                  <w:r>
                    <w:t xml:space="preserve">Pre-Characterization Process Risk Assessment</w:t>
                  </w:r>
                </w:p>
              </w:tc>
            </w:tr>
            <w:tr>
              <w:tc>
                <w:tcPr>
                  <w:vMerge w:val="restart"/>
                </w:tcPr>
                <w:p>
                  <w:pPr>
                    <w:pStyle w:val="Compact"/>
                    <w:jc w:val="center"/>
                  </w:pPr>
                  <w:r>
                    <w:t xml:space="preserve">Production Bioreactor (Step 3)</w:t>
                  </w:r>
                </w:p>
              </w:tc>
              <w:tc>
                <w:tcPr/>
                <w:p>
                  <w:pPr>
                    <w:pStyle w:val="Compact"/>
                    <w:jc w:val="center"/>
                  </w:pPr>
                  <w:r>
                    <w:t xml:space="preserve">PCP-003</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PCR-003</w:t>
                  </w:r>
                </w:p>
              </w:tc>
              <w:tc>
                <w:tcPr/>
                <w:p>
                  <w:pPr>
                    <w:pStyle w:val="Compact"/>
                    <w:jc w:val="center"/>
                  </w:pPr>
                  <w:r>
                    <w:t xml:space="preserve">Process Characterization Report</w:t>
                  </w:r>
                </w:p>
              </w:tc>
            </w:tr>
            <w:tr>
              <w:tc>
                <w:tcPr>
                  <w:vMerge w:val="restart"/>
                </w:tcPr>
                <w:p>
                  <w:pPr>
                    <w:pStyle w:val="Compact"/>
                    <w:jc w:val="center"/>
                  </w:pPr>
                  <w:r>
                    <w:t xml:space="preserve">Harvest and Clarification (Step 4)</w:t>
                  </w:r>
                </w:p>
              </w:tc>
              <w:tc>
                <w:tcPr/>
                <w:p>
                  <w:pPr>
                    <w:pStyle w:val="Compact"/>
                    <w:jc w:val="center"/>
                  </w:pPr>
                  <w:r>
                    <w:t xml:space="preserve">PCP-004</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PCR-004</w:t>
                  </w:r>
                </w:p>
              </w:tc>
              <w:tc>
                <w:tcPr/>
                <w:p>
                  <w:pPr>
                    <w:pStyle w:val="Compact"/>
                    <w:jc w:val="center"/>
                  </w:pPr>
                  <w:r>
                    <w:t xml:space="preserve">Process Characterization Report</w:t>
                  </w:r>
                </w:p>
              </w:tc>
            </w:tr>
            <w:tr>
              <w:tc>
                <w:tcPr>
                  <w:vMerge w:val="restart"/>
                </w:tcPr>
                <w:p>
                  <w:pPr>
                    <w:pStyle w:val="Compact"/>
                    <w:jc w:val="center"/>
                  </w:pPr>
                  <w:r>
                    <w:t xml:space="preserve">Protein A Chromatography (Step 5)</w:t>
                  </w:r>
                </w:p>
              </w:tc>
              <w:tc>
                <w:tcPr/>
                <w:p>
                  <w:pPr>
                    <w:pStyle w:val="Compact"/>
                    <w:jc w:val="center"/>
                  </w:pPr>
                  <w:r>
                    <w:t xml:space="preserve">PCP-005</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PCR-005</w:t>
                  </w:r>
                </w:p>
              </w:tc>
              <w:tc>
                <w:tcPr/>
                <w:p>
                  <w:pPr>
                    <w:pStyle w:val="Compact"/>
                    <w:jc w:val="center"/>
                  </w:pPr>
                  <w:r>
                    <w:t xml:space="preserve">Process Characterization Report</w:t>
                  </w:r>
                </w:p>
              </w:tc>
            </w:tr>
            <w:tr>
              <w:tc>
                <w:tcPr>
                  <w:vMerge w:val="restart"/>
                </w:tcPr>
                <w:p>
                  <w:pPr>
                    <w:pStyle w:val="Compact"/>
                    <w:jc w:val="center"/>
                  </w:pPr>
                  <w:r>
                    <w:t xml:space="preserve">Low-pH Viral Inactivation (Step 6)</w:t>
                  </w:r>
                </w:p>
              </w:tc>
              <w:tc>
                <w:tcPr/>
                <w:p>
                  <w:pPr>
                    <w:pStyle w:val="Compact"/>
                    <w:jc w:val="center"/>
                  </w:pPr>
                  <w:r>
                    <w:t xml:space="preserve">PCP-006</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PCR-006</w:t>
                  </w:r>
                </w:p>
              </w:tc>
              <w:tc>
                <w:tcPr/>
                <w:p>
                  <w:pPr>
                    <w:pStyle w:val="Compact"/>
                    <w:jc w:val="center"/>
                  </w:pPr>
                  <w:r>
                    <w:t xml:space="preserve">Process Characterization Report</w:t>
                  </w:r>
                </w:p>
              </w:tc>
            </w:tr>
            <w:tr>
              <w:tc>
                <w:tcPr>
                  <w:vMerge w:val="restart"/>
                </w:tcPr>
                <w:p>
                  <w:pPr>
                    <w:pStyle w:val="Compact"/>
                    <w:jc w:val="center"/>
                  </w:pPr>
                  <w:r>
                    <w:t xml:space="preserve">Cation Exchange Chromatography (Step 7)</w:t>
                  </w:r>
                </w:p>
              </w:tc>
              <w:tc>
                <w:tcPr/>
                <w:p>
                  <w:pPr>
                    <w:pStyle w:val="Compact"/>
                    <w:jc w:val="center"/>
                  </w:pPr>
                  <w:r>
                    <w:t xml:space="preserve">PCP-007</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PCR-007</w:t>
                  </w:r>
                </w:p>
              </w:tc>
              <w:tc>
                <w:tcPr/>
                <w:p>
                  <w:pPr>
                    <w:pStyle w:val="Compact"/>
                    <w:jc w:val="center"/>
                  </w:pPr>
                  <w:r>
                    <w:t xml:space="preserve">Process Characterization Report</w:t>
                  </w:r>
                </w:p>
              </w:tc>
            </w:tr>
            <w:tr>
              <w:tc>
                <w:tcPr>
                  <w:vMerge w:val="restart"/>
                </w:tcPr>
                <w:p>
                  <w:pPr>
                    <w:pStyle w:val="Compact"/>
                    <w:jc w:val="center"/>
                  </w:pPr>
                  <w:r>
                    <w:t xml:space="preserve">Anion Exchange Chromatography (Step 8)</w:t>
                  </w:r>
                </w:p>
              </w:tc>
              <w:tc>
                <w:tcPr/>
                <w:p>
                  <w:pPr>
                    <w:pStyle w:val="Compact"/>
                    <w:jc w:val="center"/>
                  </w:pPr>
                  <w:r>
                    <w:t xml:space="preserve">PCP-008</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PCR-008</w:t>
                  </w:r>
                </w:p>
              </w:tc>
              <w:tc>
                <w:tcPr/>
                <w:p>
                  <w:pPr>
                    <w:pStyle w:val="Compact"/>
                    <w:jc w:val="center"/>
                  </w:pPr>
                  <w:r>
                    <w:t xml:space="preserve">Process Characterization Report</w:t>
                  </w:r>
                </w:p>
              </w:tc>
            </w:tr>
            <w:tr>
              <w:tc>
                <w:tcPr>
                  <w:vMerge w:val="restart"/>
                </w:tcPr>
                <w:p>
                  <w:pPr>
                    <w:pStyle w:val="Compact"/>
                    <w:jc w:val="center"/>
                  </w:pPr>
                  <w:r>
                    <w:t xml:space="preserve">Small-Virus Retentive Filtration (Step 9)</w:t>
                  </w:r>
                </w:p>
              </w:tc>
              <w:tc>
                <w:tcPr/>
                <w:p>
                  <w:pPr>
                    <w:pStyle w:val="Compact"/>
                    <w:jc w:val="center"/>
                  </w:pPr>
                  <w:r>
                    <w:t xml:space="preserve">PCP-009</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PCR-009</w:t>
                  </w:r>
                </w:p>
              </w:tc>
              <w:tc>
                <w:tcPr/>
                <w:p>
                  <w:pPr>
                    <w:pStyle w:val="Compact"/>
                    <w:jc w:val="center"/>
                  </w:pPr>
                  <w:r>
                    <w:t xml:space="preserve">Process Characterization Report</w:t>
                  </w:r>
                </w:p>
              </w:tc>
            </w:tr>
            <w:tr>
              <w:tc>
                <w:tcPr>
                  <w:vMerge w:val="restart"/>
                </w:tcPr>
                <w:p>
                  <w:pPr>
                    <w:pStyle w:val="Compact"/>
                    <w:jc w:val="center"/>
                  </w:pPr>
                  <w:r>
                    <w:t xml:space="preserve">Ultrafiltration / Diafiltration (Step 10)</w:t>
                  </w:r>
                </w:p>
              </w:tc>
              <w:tc>
                <w:tcPr/>
                <w:p>
                  <w:pPr>
                    <w:pStyle w:val="Compact"/>
                    <w:jc w:val="center"/>
                  </w:pPr>
                  <w:r>
                    <w:t xml:space="preserve">PCP-010</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PCR-010</w:t>
                  </w:r>
                </w:p>
              </w:tc>
              <w:tc>
                <w:tcPr/>
                <w:p>
                  <w:pPr>
                    <w:pStyle w:val="Compact"/>
                    <w:jc w:val="center"/>
                  </w:pPr>
                  <w:r>
                    <w:t xml:space="preserve">Process Characterization Report</w:t>
                  </w:r>
                </w:p>
              </w:tc>
            </w:tr>
            <w:tr>
              <w:tc>
                <w:tcPr/>
                <w:p>
                  <w:pPr>
                    <w:pStyle w:val="Compact"/>
                    <w:jc w:val="center"/>
                  </w:pPr>
                  <w:r>
                    <w:t xml:space="preserve">A-Mab Drug Substance</w:t>
                  </w:r>
                </w:p>
              </w:tc>
              <w:tc>
                <w:tcPr/>
                <w:p>
                  <w:pPr>
                    <w:pStyle w:val="Compact"/>
                    <w:jc w:val="center"/>
                  </w:pPr>
                  <w:r>
                    <w:t xml:space="preserve">PCMR-001</w:t>
                  </w:r>
                </w:p>
              </w:tc>
              <w:tc>
                <w:tcPr/>
                <w:p>
                  <w:pPr>
                    <w:pStyle w:val="Compact"/>
                    <w:jc w:val="center"/>
                  </w:pPr>
                  <w:r>
                    <w:t xml:space="preserve">Process Characterization Master Report</w:t>
                  </w:r>
                </w:p>
              </w:tc>
            </w:tr>
            <w:tr>
              <w:tc>
                <w:tcPr/>
                <w:p>
                  <w:pPr>
                    <w:pStyle w:val="Compact"/>
                    <w:jc w:val="center"/>
                  </w:pPr>
                  <w:r>
                    <w:t xml:space="preserve">Acceptance criteria for proven-acceptable-range analysis set after data review</w:t>
                  </w:r>
                </w:p>
              </w:tc>
              <w:tc>
                <w:tcPr/>
                <w:p>
                  <w:pPr>
                    <w:pStyle w:val="Compact"/>
                    <w:jc w:val="center"/>
                  </w:pPr>
                  <w:r>
                    <w:t xml:space="preserve">INV-001</w:t>
                  </w:r>
                </w:p>
              </w:tc>
              <w:tc>
                <w:tcPr/>
                <w:p>
                  <w:pPr>
                    <w:pStyle w:val="Compact"/>
                    <w:jc w:val="center"/>
                  </w:pPr>
                  <w:r>
                    <w:t xml:space="preserve">Investigation Report</w:t>
                  </w:r>
                </w:p>
              </w:tc>
            </w:tr>
          </w:tbl>
          <w:bookmarkEnd w:id="24"/>
          <w:p/>
        </w:tc>
      </w:tr>
    </w:tbl>
    <w:bookmarkStart w:id="25" w:name="sec-changes"/>
    <w:p>
      <w:pPr>
        <w:pStyle w:val="Heading2"/>
      </w:pPr>
      <w:r>
        <w:t xml:space="preserve">1.1 Changes in this revision</w:t>
      </w:r>
    </w:p>
    <w:p>
      <w:pPr>
        <w:pStyle w:val="FirstParagraph"/>
      </w:pPr>
      <w:r>
        <w:t xml:space="preserve">Version 1.0 of this plan was approved on 2025-08-04, before the first characterization study started on 2025-08-11.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Of the 15 Version 1.0 step criteria, the 6 aggregate and host cell protein criteria had been carried back from the drug substance limit through the nominal clearance of this campaign and then divided by a margin that differed by step (INV-001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w:t>
      </w:r>
      <w:hyperlink w:anchor="sec-iac">
        <w:r>
          <w:rPr>
            <w:rStyle w:val="Hyperlink"/>
          </w:rPr>
          <w:t xml:space="preserve">Section 7.3</w:t>
        </w:r>
      </w:hyperlink>
      <w:r>
        <w:t xml:space="preserve">). The rule that derives them uses no data from the studies it judges. They replace the Version 1.0 step criteria described above (INV-001 findings 1 and 2). They also replace the bioreactor limits for the glycans and acidic variants, which were computed from the capability data they were then used to judge (INV-001 finding 3).</w:t>
      </w:r>
    </w:p>
    <w:p>
      <w:pPr>
        <w:pStyle w:val="Compact"/>
        <w:numPr>
          <w:ilvl w:val="0"/>
          <w:numId w:val="1001"/>
        </w:numPr>
      </w:pPr>
      <w:r>
        <w:t xml:space="preserve">It defines how each report verifies the platform worst cases that the criteria rely on, and when that verification may change a criterion (</w:t>
      </w:r>
      <w:hyperlink w:anchor="sec-verification">
        <w:r>
          <w:rPr>
            <w:rStyle w:val="Hyperlink"/>
          </w:rPr>
          <w:t xml:space="preserve">Section 7.5</w:t>
        </w:r>
      </w:hyperlink>
      <w:r>
        <w:t xml:space="preserve">). Verification tightens a criterion where a step does worse within its NOR than the platform worst case. It widens a criterion only where the one-sided 95 % prediction bound of a single batch, at the least favourable combination of NOR low, set-point and NOR high of the step, is better than the platform value and the model behind it is adequate. In both directions this bound replaces the platform value, and neither the point prediction nor a confidence bound of the mean ever does. A report whose verification changes a criterion argues the change by its risk.</w:t>
      </w:r>
    </w:p>
    <w:p>
      <w:pPr>
        <w:pStyle w:val="Compact"/>
        <w:numPr>
          <w:ilvl w:val="0"/>
          <w:numId w:val="1001"/>
        </w:numPr>
      </w:pPr>
      <w:r>
        <w:t xml:space="preserve">It qualifies each scale-down model by its offset from manufacturing scale, not by a test of equivalence, and states every judgement against a criterion at manufacturing scale (</w:t>
      </w:r>
      <w:hyperlink w:anchor="sec-acc-sdm">
        <w:r>
          <w:rPr>
            <w:rStyle w:val="Hyperlink"/>
          </w:rPr>
          <w:t xml:space="preserve">Section 7.1</w:t>
        </w:r>
      </w:hyperlink>
      <w:r>
        <w:t xml:space="preserve">).</w:t>
      </w:r>
    </w:p>
    <w:p>
      <w:pPr>
        <w:pStyle w:val="Compact"/>
        <w:numPr>
          <w:ilvl w:val="0"/>
          <w:numId w:val="1001"/>
        </w:numPr>
      </w:pPr>
      <w:r>
        <w:t xml:space="preserve">It sets non-reduced CE-SDS (nrCE-SDS) as the method for fragments at every step, following the decision of 2026-03-20 to change the fragment method to nrCE-SDS (AMD-001,</w:t>
      </w:r>
      <w:r>
        <w:t xml:space="preserve"> </w:t>
      </w:r>
      <w:hyperlink w:anchor="sec-fragments">
        <w:r>
          <w:rPr>
            <w:rStyle w:val="Hyperlink"/>
          </w:rPr>
          <w:t xml:space="preserve">Section 7.8</w:t>
        </w:r>
      </w:hyperlink>
      <w:r>
        <w:t xml:space="preserve">). This answers INV-001 finding 6, that size exclusion chromatography (SEC) reads fragments high in samples that still carry host cell protein.</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Version 1.0 assessed it against the upper end only (INV-001 finding 4).</w:t>
      </w:r>
    </w:p>
    <w:p>
      <w:pPr>
        <w:pStyle w:val="Compact"/>
        <w:numPr>
          <w:ilvl w:val="0"/>
          <w:numId w:val="1001"/>
        </w:numPr>
      </w:pPr>
      <w:r>
        <w:t xml:space="preserve">It judges viral clearance at the worst case within the NOR (</w:t>
      </w:r>
      <w:hyperlink w:anchor="sec-par">
        <w:r>
          <w:rPr>
            <w:rStyle w:val="Hyperlink"/>
          </w:rPr>
          <w:t xml:space="preserve">Section 6.4</w:t>
        </w:r>
      </w:hyperlink>
      <w:r>
        <w:t xml:space="preserve">). That is the mean predicted log reduction with the other parameters at their least favourable combination of NOR low, set-point and NOR high. Viral clearance is validated at worst-case conditions, so the claim must hold there. Quality attributes are judged on a single batch.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The Version 1.0 records gave no execution dates, so the equipment tables appeared to cite expired calibrations (INV-001 finding 5). The Version 1.0 title blocks of the plans also carried 2026-07-24, the date on which the Version 1.0 reports were approved, in place of the date each plan was approved. The revision history of this plan now gives the approval date.</w:t>
      </w:r>
    </w:p>
    <w:p>
      <w:pPr>
        <w:pStyle w:val="Compact"/>
        <w:numPr>
          <w:ilvl w:val="0"/>
          <w:numId w:val="1001"/>
        </w:numPr>
      </w:pPr>
      <w:r>
        <w:t xml:space="preserve">It states campaign thresholds for the significance of model terms (</w:t>
      </w:r>
      <w:hyperlink w:anchor="sec-stats">
        <w:r>
          <w:rPr>
            <w:rStyle w:val="Hyperlink"/>
          </w:rPr>
          <w:t xml:space="preserve">Section 6</w:t>
        </w:r>
      </w:hyperlink>
      <w:r>
        <w:t xml:space="preserve">),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all three to the individual study.</w:t>
      </w:r>
    </w:p>
    <w:p>
      <w:pPr>
        <w:pStyle w:val="FirstParagraph"/>
      </w:pPr>
      <w:r>
        <w:t xml:space="preserve">In Version 1.0 the cation exchange pool was judged against an aggregate limit of 1 % HMW. That limit was the drug substance criterion of 5 % divided by a margin of 5. The derivation in this plan credits no step after cation exchange with aggregate removal. The cation exchange pool therefore carries the drug substance criterion itself, 5 % (</w:t>
      </w:r>
      <w:hyperlink w:anchor="tbl-iac">
        <w:r>
          <w:rPr>
            <w:rStyle w:val="Hyperlink"/>
          </w:rPr>
          <w:t xml:space="preserve">Table 9</w:t>
        </w:r>
      </w:hyperlink>
      <w:r>
        <w:t xml:space="preserve">). The Version 1.0 limit was never an approved criterion, because it was applied at analysis and appeared in no approved plan, so the wider criterion now in force replaces no approved value. What moved at each step as a result is stated in the</w:t>
      </w:r>
      <w:r>
        <w:t xml:space="preserve"> </w:t>
      </w:r>
      <w:r>
        <w:t xml:space="preserve">“Changes in this revision”</w:t>
      </w:r>
      <w:r>
        <w:t xml:space="preserve"> </w:t>
      </w:r>
      <w:r>
        <w:t xml:space="preserve">section of its PCR-00N, from its own data.</w:t>
      </w:r>
    </w:p>
    <w:bookmarkEnd w:id="25"/>
    <w:bookmarkEnd w:id="26"/>
    <w:bookmarkStart w:id="27"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scale-down model. The qualification runs of the model come before the designs, and the decision whether the model is qualified is made at analysis (</w:t>
      </w:r>
      <w:hyperlink w:anchor="sec-sdm">
        <w:r>
          <w:rPr>
            <w:rStyle w:val="Hyperlink"/>
          </w:rPr>
          <w:t xml:space="preserve">Section 5</w:t>
        </w:r>
      </w:hyperlink>
      <w:r>
        <w:t xml:space="preserve">). Such designs are planned for 6 steps, from the production bioreactor to virus filtration. The harvest (Step 4) and UF/DF (Step 10) steps are characterized by univariate and qualitative studies only, because RA-001 assigned none of their parameters to multivariate study.</w:t>
      </w:r>
    </w:p>
    <w:p>
      <w:pPr>
        <w:pStyle w:val="BodyText"/>
      </w:pPr>
      <w:r>
        <w:t xml:space="preserve">Against the NOR in force (</w:t>
      </w:r>
      <w:hyperlink w:anchor="tbl-parameters-by-step">
        <w:r>
          <w:rPr>
            <w:rStyle w:val="Hyperlink"/>
          </w:rPr>
          <w:t xml:space="preserve">Table 5</w:t>
        </w:r>
      </w:hyperlink>
      <w:r>
        <w:t xml:space="preserve">), the characterized range is wider than the NOR at both ends for 32 of the 37 parameters. For 4 parameters (post-clarification turbidity,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7"/>
    <w:bookmarkStart w:id="29" w:name="sec-cqa"/>
    <w:p>
      <w:pPr>
        <w:pStyle w:val="Heading1"/>
      </w:pPr>
      <w:r>
        <w:t xml:space="preserve">3. Critical quality attribute framework</w:t>
      </w:r>
    </w:p>
    <w:p>
      <w:pPr>
        <w:pStyle w:val="FirstParagraph"/>
      </w:pPr>
      <w:r>
        <w:t xml:space="preserve">The CQAs and their drug substance acceptance criteria are taken from the A-Mab case study</w:t>
      </w:r>
      <w:r>
        <w:t xml:space="preserve"> </w:t>
      </w:r>
      <w:r>
        <w:t xml:space="preserve">(CMC Biotech Working Group 2009)</w:t>
      </w:r>
      <w:r>
        <w:t xml:space="preserve">. Several of the criteria were set there from clinical experience with X-Mab, the closest platform antibody. They are held in the drug substance CQA register, and</w:t>
      </w:r>
      <w:r>
        <w:t xml:space="preserve"> </w:t>
      </w:r>
      <w:hyperlink w:anchor="tbl-cqa">
        <w:r>
          <w:rPr>
            <w:rStyle w:val="Hyperlink"/>
          </w:rPr>
          <w:t xml:space="preserve">Table 3</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 For every attribute except viral clearance, a higher score gives an equal or higher level. The two viral clearance attributes were assigned very high criticality by rule, because a viral contamination would directly harm the patient, whatever the uncertainty term of the score gives.</w:t>
      </w:r>
    </w:p>
    <w:tbl>
      <w:tblPr>
        <w:tblStyle w:val="Table"/>
        <w:tblW w:type="pct" w:w="5000"/>
        <w:tblLayout w:type="fixed"/>
        <w:tblLook w:firstRow="0" w:lastRow="0" w:firstColumn="0" w:lastColumn="0" w:noHBand="0" w:noVBand="0" w:val="0000"/>
      </w:tblPr>
      <w:tblGrid>
        <w:gridCol w:w="7920"/>
      </w:tblGrid>
      <w:tr>
        <w:tc>
          <w:tcPr/>
          <w:bookmarkStart w:id="28" w:name="tbl-cqa"/>
          <w:p>
            <w:pPr>
              <w:jc w:val="center"/>
            </w:pPr>
            <w:pPr>
              <w:jc w:val="start"/>
              <w:spacing w:before="200"/>
              <w:pStyle w:val="ImageCaption"/>
            </w:pPr>
            <w:r>
              <w:t xml:space="preserve">Table 3: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Low-pH Viral Inactivation</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Anion Exchange Chromatography</w:t>
                  </w:r>
                </w:p>
              </w:tc>
            </w:tr>
          </w:tbl>
          <w:bookmarkEnd w:id="28"/>
          <w:p/>
        </w:tc>
      </w:tr>
    </w:tbl>
    <w:p>
      <w:pPr>
        <w:pStyle w:val="BodyText"/>
      </w:pPr>
      <w:r>
        <w:t xml:space="preserve">The last column of</w:t>
      </w:r>
      <w:r>
        <w:t xml:space="preserve"> </w:t>
      </w:r>
      <w:hyperlink w:anchor="tbl-cqa">
        <w:r>
          <w:rPr>
            <w:rStyle w:val="Hyperlink"/>
          </w:rPr>
          <w:t xml:space="preserve">Table 3</w:t>
        </w:r>
      </w:hyperlink>
      <w:r>
        <w:t xml:space="preserve"> </w:t>
      </w:r>
      <w:r>
        <w:t xml:space="preserve">names the step at which each attribute is formed or set. Most attributes are formed in the production bioreactor. Afucosylation, galactosylation and high mannose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 register therefore assigns them to harvest. No criterion for fragments is set at harvest, and they are judged at the downstream steps (</w:t>
      </w:r>
      <w:hyperlink w:anchor="tbl-iac">
        <w:r>
          <w:rPr>
            <w:rStyle w:val="Hyperlink"/>
          </w:rPr>
          <w:t xml:space="preserve">Table 9</w:t>
        </w:r>
      </w:hyperlink>
      <w:r>
        <w:t xml:space="preserve">). They are not an attribute of the production bioreactor designs (</w:t>
      </w:r>
      <w:hyperlink w:anchor="tbl-methods-by-study">
        <w:r>
          <w:rPr>
            <w:rStyle w:val="Hyperlink"/>
          </w:rPr>
          <w:t xml:space="preserve">Table 11</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29"/>
    <w:bookmarkStart w:id="32"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4</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0" w:name="tbl-scope"/>
          <w:p>
            <w:pPr>
              <w:jc w:val="center"/>
            </w:pPr>
            <w:pPr>
              <w:jc w:val="start"/>
              <w:spacing w:before="200"/>
              <w:pStyle w:val="ImageCaption"/>
            </w:pPr>
            <w:r>
              <w:t xml:space="preserve">Table 4: Characterization scope per step, from RA-001.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Unit</w:t>
                  </w:r>
                  <w:r>
                    <w:br/>
                  </w:r>
                  <w:r>
                    <w:t xml:space="preserve">operation</w:t>
                  </w:r>
                </w:p>
              </w:tc>
              <w:tc>
                <w:tcPr/>
                <w:p>
                  <w:pPr>
                    <w:pStyle w:val="Compact"/>
                    <w:jc w:val="center"/>
                  </w:pPr>
                  <w:r>
                    <w:t xml:space="preserve">Parameters</w:t>
                  </w:r>
                  <w:r>
                    <w:br/>
                  </w:r>
                  <w:r>
                    <w:t xml:space="preserve">in scope</w:t>
                  </w:r>
                </w:p>
              </w:tc>
              <w:tc>
                <w:tcPr/>
                <w:p>
                  <w:pPr>
                    <w:pStyle w:val="Compact"/>
                    <w:jc w:val="center"/>
                  </w:pPr>
                  <w:r>
                    <w:t xml:space="preserve">In multivariate</w:t>
                  </w:r>
                  <w:r>
                    <w:br/>
                  </w:r>
                  <w:r>
                    <w:t xml:space="preserve">designs</w:t>
                  </w:r>
                </w:p>
              </w:tc>
              <w:tc>
                <w:tcPr/>
                <w:p>
                  <w:pPr>
                    <w:pStyle w:val="Compact"/>
                    <w:jc w:val="center"/>
                  </w:pPr>
                  <w:r>
                    <w:t xml:space="preserve">One factor</w:t>
                  </w:r>
                  <w:r>
                    <w:br/>
                  </w:r>
                  <w:r>
                    <w:t xml:space="preserve">at a time</w:t>
                  </w:r>
                </w:p>
              </w:tc>
              <w:tc>
                <w:tcPr/>
                <w:p>
                  <w:pPr>
                    <w:pStyle w:val="Compact"/>
                    <w:jc w:val="center"/>
                  </w:pPr>
                  <w:r>
                    <w:t xml:space="preserve">Documents</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 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 (formulation)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30"/>
          <w:p/>
        </w:tc>
      </w:tr>
    </w:tbl>
    <w:p>
      <w:pPr>
        <w:pStyle w:val="BodyText"/>
      </w:pPr>
      <w:hyperlink w:anchor="tbl-parameters-by-step">
        <w:r>
          <w:rPr>
            <w:rStyle w:val="Hyperlink"/>
          </w:rPr>
          <w:t xml:space="preserve">Table 5</w:t>
        </w:r>
      </w:hyperlink>
      <w:r>
        <w:t xml:space="preserve"> </w:t>
      </w:r>
      <w:r>
        <w:t xml:space="preserve">lists every parameter with its set-point, NOR and characterized range. The set-point and the NOR shown are those in force. Some of them were changed at Version 2.0 by the report of their step, after the studies. The Protein A report PCR-005 narrowed the NOR of protein load. The low-pH viral inactivation report PCR-006 moved the NOR and the set-point of inactivation pH, and narrowed the NORs of hold time and temperature, with a new set-point for hold time. The table footnotes each change with the value the studies were planned against. The class column gives the classification assigned in each PCR-00N under the parameter classification procedure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eters-by-step"/>
          <w:p>
            <w:pPr>
              <w:jc w:val="center"/>
            </w:pPr>
            <w:pPr>
              <w:jc w:val="start"/>
              <w:spacing w:before="200"/>
              <w:pStyle w:val="ImageCaption"/>
            </w:pPr>
            <w:r>
              <w:t xml:space="preserve">Table 5: Process parameters by step: set-point, ranges and classification.</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Study</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mOsm/kg</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p>
              </w:tc>
              <w:tc>
                <w:tcPr/>
                <w:p>
                  <w:pPr>
                    <w:pStyle w:val="Compact"/>
                    <w:jc w:val="center"/>
                  </w:pPr>
                  <w:r>
                    <w:t xml:space="preserve">% air saturation</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Initial viable cell conc.</w:t>
                  </w:r>
                </w:p>
              </w:tc>
              <w:tc>
                <w:tcPr/>
                <w:p>
                  <w:pPr>
                    <w:pStyle w:val="Compact"/>
                    <w:jc w:val="center"/>
                  </w:pPr>
                  <w:r>
                    <w:t xml:space="preserve">10⁶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p>
              </w:tc>
              <w:tc>
                <w:tcPr/>
                <w:p>
                  <w:pPr>
                    <w:pStyle w:val="Compact"/>
                    <w:jc w:val="center"/>
                  </w:pPr>
                  <w:r>
                    <w:t xml:space="preserve">× standard</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Nutrient feed-1 volume</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c1)</w:t>
                  </w:r>
                </w:p>
              </w:tc>
              <w:tc>
                <w:tcPr/>
                <w:p>
                  <w:pPr>
                    <w:pStyle w:val="Compact"/>
                    <w:jc w:val="center"/>
                  </w:pPr>
                  <w:r>
                    <w:t xml:space="preserve">10–50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c3)</w:t>
                  </w:r>
                </w:p>
              </w:tc>
              <w:tc>
                <w:tcPr/>
                <w:p>
                  <w:pPr>
                    <w:pStyle w:val="Compact"/>
                    <w:jc w:val="center"/>
                  </w:pPr>
                  <w:r>
                    <w:t xml:space="preserve">3.3–3.5</w:t>
                  </w:r>
                  <w:r>
                    <w:rPr>
                      <w:vertAlign w:val="superscript"/>
                    </w:rPr>
                    <w:t xml:space="preserve">c2)</w:t>
                  </w:r>
                </w:p>
              </w:tc>
              <w:tc>
                <w:tcPr/>
                <w:p>
                  <w:pPr>
                    <w:pStyle w:val="Compact"/>
                    <w:jc w:val="center"/>
                  </w:pPr>
                  <w:r>
                    <w:t xml:space="preserve">3.2–4</w:t>
                  </w:r>
                </w:p>
              </w:tc>
              <w:tc>
                <w:tcPr/>
                <w:p>
                  <w:pPr>
                    <w:pStyle w:val="Compact"/>
                    <w:jc w:val="center"/>
                  </w:pPr>
                  <w:r>
                    <w:t xml:space="preserve">multivariate</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r>
                    <w:rPr>
                      <w:vertAlign w:val="superscript"/>
                    </w:rPr>
                    <w:t xml:space="preserve">c5)</w:t>
                  </w:r>
                </w:p>
              </w:tc>
              <w:tc>
                <w:tcPr/>
                <w:p>
                  <w:pPr>
                    <w:pStyle w:val="Compact"/>
                    <w:jc w:val="center"/>
                  </w:pPr>
                  <w:r>
                    <w:t xml:space="preserve">100–120</w:t>
                  </w:r>
                  <w:r>
                    <w:rPr>
                      <w:vertAlign w:val="superscript"/>
                    </w:rPr>
                    <w:t xml:space="preserve">c4)</w:t>
                  </w:r>
                </w:p>
              </w:tc>
              <w:tc>
                <w:tcPr/>
                <w:p>
                  <w:pPr>
                    <w:pStyle w:val="Compact"/>
                    <w:jc w:val="center"/>
                  </w:pPr>
                  <w:r>
                    <w:t xml:space="preserve">60–180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c6)</w:t>
                  </w:r>
                </w:p>
              </w:tc>
              <w:tc>
                <w:tcPr/>
                <w:p>
                  <w:pPr>
                    <w:pStyle w:val="Compact"/>
                    <w:jc w:val="center"/>
                  </w:pPr>
                  <w:r>
                    <w:t xml:space="preserve">15–25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univariate</w:t>
                  </w:r>
                  <w:r>
                    <w:rPr>
                      <w:vertAlign w:val="superscript"/>
                    </w:rPr>
                    <w:t xml:space="preserve">a)</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multivariate</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7–9</w:t>
                  </w:r>
                </w:p>
              </w:tc>
              <w:tc>
                <w:tcPr/>
                <w:p>
                  <w:pPr>
                    <w:pStyle w:val="Compact"/>
                    <w:jc w:val="center"/>
                  </w:pPr>
                  <w:r>
                    <w:t xml:space="preserve">7–10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8"/>
                </w:tcPr>
                <w:p>
                  <w:pPr>
                    <w:pStyle w:val="Compact"/>
                    <w:jc w:val="center"/>
                  </w:pPr>
                  <w:r>
                    <w:rPr>
                      <w:vertAlign w:val="superscript"/>
                    </w:rPr>
                    <w:t xml:space="preserve">a)</w:t>
                  </w:r>
                  <w:r>
                    <w:t xml:space="preserve"> </w:t>
                  </w:r>
                  <w:r>
                    <w:t xml:space="preserve">Studied one factor at a time.</w:t>
                  </w:r>
                </w:p>
              </w:tc>
            </w:tr>
            <w:tr>
              <w:tc>
                <w:tcPr>
                  <w:gridSpan w:val="8"/>
                </w:tcPr>
                <w:p>
                  <w:pPr>
                    <w:pStyle w:val="Compact"/>
                    <w:jc w:val="center"/>
                  </w:pPr>
                  <w:r>
                    <w:rPr>
                      <w:vertAlign w:val="superscript"/>
                    </w:rPr>
                    <w:t xml:space="preserve">b)</w:t>
                  </w:r>
                  <w:r>
                    <w:t xml:space="preserve"> </w:t>
                  </w:r>
                  <w:r>
                    <w:t xml:space="preserve">The normal operating range equals the characterized range.</w:t>
                  </w:r>
                </w:p>
              </w:tc>
            </w:tr>
            <w:tr>
              <w:tc>
                <w:tcPr>
                  <w:gridSpan w:val="8"/>
                </w:tcPr>
                <w:p>
                  <w:pPr>
                    <w:pStyle w:val="Compact"/>
                    <w:jc w:val="center"/>
                  </w:pPr>
                  <w:r>
                    <w:rPr>
                      <w:vertAlign w:val="superscript"/>
                    </w:rPr>
                    <w:t xml:space="preserve">c1)</w:t>
                  </w:r>
                  <w:r>
                    <w:t xml:space="preserve"> </w:t>
                  </w:r>
                  <w:r>
                    <w:t xml:space="preserve">Narrowed at Version 2.0 from 20–40 g/L resin, the NOR as characterized (PCR-005).</w:t>
                  </w:r>
                </w:p>
              </w:tc>
            </w:tr>
            <w:tr>
              <w:tc>
                <w:tcPr>
                  <w:gridSpan w:val="8"/>
                </w:tcPr>
                <w:p>
                  <w:pPr>
                    <w:pStyle w:val="Compact"/>
                    <w:jc w:val="center"/>
                  </w:pPr>
                  <w:r>
                    <w:rPr>
                      <w:vertAlign w:val="superscript"/>
                    </w:rPr>
                    <w:t xml:space="preserve">c2)</w:t>
                  </w:r>
                  <w:r>
                    <w:t xml:space="preserve"> </w:t>
                  </w:r>
                  <w:r>
                    <w:t xml:space="preserve">Moved at Version 2.0 from pH 3.4–3.6, the NOR as characterized (PCR-006).</w:t>
                  </w:r>
                </w:p>
              </w:tc>
            </w:tr>
            <w:tr>
              <w:tc>
                <w:tcPr>
                  <w:gridSpan w:val="8"/>
                </w:tcPr>
                <w:p>
                  <w:pPr>
                    <w:pStyle w:val="Compact"/>
                    <w:jc w:val="center"/>
                  </w:pPr>
                  <w:r>
                    <w:rPr>
                      <w:vertAlign w:val="superscript"/>
                    </w:rPr>
                    <w:t xml:space="preserve">c3)</w:t>
                  </w:r>
                  <w:r>
                    <w:t xml:space="preserve"> </w:t>
                  </w:r>
                  <w:r>
                    <w:t xml:space="preserve">Moved at Version 2.0 from pH 3.5, the set-point the studies were run around (PCR-006).</w:t>
                  </w:r>
                </w:p>
              </w:tc>
            </w:tr>
            <w:tr>
              <w:tc>
                <w:tcPr>
                  <w:gridSpan w:val="8"/>
                </w:tcPr>
                <w:p>
                  <w:pPr>
                    <w:pStyle w:val="Compact"/>
                    <w:jc w:val="center"/>
                  </w:pPr>
                  <w:r>
                    <w:rPr>
                      <w:vertAlign w:val="superscript"/>
                    </w:rPr>
                    <w:t xml:space="preserve">c4)</w:t>
                  </w:r>
                  <w:r>
                    <w:t xml:space="preserve"> </w:t>
                  </w:r>
                  <w:r>
                    <w:t xml:space="preserve">Narrowed at Version 2.0 from 60–120 min, the NOR as characterized (PCR-006).</w:t>
                  </w:r>
                </w:p>
              </w:tc>
            </w:tr>
            <w:tr>
              <w:tc>
                <w:tcPr>
                  <w:gridSpan w:val="8"/>
                </w:tcPr>
                <w:p>
                  <w:pPr>
                    <w:pStyle w:val="Compact"/>
                    <w:jc w:val="center"/>
                  </w:pPr>
                  <w:r>
                    <w:rPr>
                      <w:vertAlign w:val="superscript"/>
                    </w:rPr>
                    <w:t xml:space="preserve">c5)</w:t>
                  </w:r>
                  <w:r>
                    <w:t xml:space="preserve"> </w:t>
                  </w:r>
                  <w:r>
                    <w:t xml:space="preserve">Moved at Version 2.0 from 90 min, the set-point the studies were run around (PCR-006).</w:t>
                  </w:r>
                </w:p>
              </w:tc>
            </w:tr>
            <w:tr>
              <w:tc>
                <w:tcPr>
                  <w:gridSpan w:val="8"/>
                </w:tcPr>
                <w:p>
                  <w:pPr>
                    <w:pStyle w:val="Compact"/>
                    <w:jc w:val="center"/>
                  </w:pPr>
                  <w:r>
                    <w:rPr>
                      <w:vertAlign w:val="superscript"/>
                    </w:rPr>
                    <w:t xml:space="preserve">c6)</w:t>
                  </w:r>
                  <w:r>
                    <w:t xml:space="preserve"> </w:t>
                  </w:r>
                  <w:r>
                    <w:t xml:space="preserve">Narrowed at Version 2.0 from 19–23 °C, the NOR as characterized (PCR-006).</w:t>
                  </w:r>
                </w:p>
              </w:tc>
            </w:tr>
          </w:tbl>
          <w:bookmarkEnd w:id="31"/>
          <w:p/>
        </w:tc>
      </w:tr>
    </w:tbl>
    <w:p>
      <w:pPr>
        <w:pStyle w:val="BodyText"/>
      </w:pPr>
      <w:r>
        <w:t xml:space="preserve">The range of a parameter studied univariately is supported by its own data, and its class is decided by the same rules as for a parameter studied in a design.</w:t>
      </w:r>
    </w:p>
    <w:bookmarkEnd w:id="32"/>
    <w:bookmarkStart w:id="35" w:name="sec-sdm"/>
    <w:p>
      <w:pPr>
        <w:pStyle w:val="Heading1"/>
      </w:pPr>
      <w:r>
        <w:t xml:space="preserve">5. Scale-down model strategy</w:t>
      </w:r>
    </w:p>
    <w:p>
      <w:pPr>
        <w:pStyle w:val="FirstParagraph"/>
      </w:pPr>
      <w:r>
        <w:t xml:space="preserve">Every characterization study is run in a scale-down model. The model is designed on the scaling principles of its unit operation. Parameters that do not depend on scale are held at their commercial values. Parameters that depend on scale are set so that the model matches the performance of the manufacturing scale. The qualification runs of the model are made under the scale-down model procedure SOP-1001 before the first characterization run of the step, and the offset of each output from manufacturing scale is estimated from them. The decision whether the model is qualified for an output is made later, at analysis. That decision needs the response-surface model of the step, because it compares the conclusion over the NOR with the offset at either end of its confidence interval (</w:t>
      </w:r>
      <w:hyperlink w:anchor="sec-acc-sdm">
        <w:r>
          <w:rPr>
            <w:rStyle w:val="Hyperlink"/>
          </w:rPr>
          <w:t xml:space="preserve">Section 7.1</w:t>
        </w:r>
      </w:hyperlink>
      <w:r>
        <w:t xml:space="preserv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cO2 partial pressure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batches. The outputs compared are those of the production bioreactor (afucosylation, galactosylation, high mannose, acidic variants, aggregate), Protein A (host cell protein, step yield, leached Protein A, plate count, peak asymmetry), low-pH viral inactivation (acidic variants, aggregate), cation exchange (step yield, plate count, peak asymmetry, aggregate, host cell protein), anion exchange (step yield, plate count, peak asymmetry, host cell protein) and virus filtration (step yield). A scale-down model need not reproduce the manufacturing mean. The difference between the two scales must instead be known precisely enough that no conclusion depends on its exact size. The rule is in</w:t>
      </w:r>
      <w:r>
        <w:t xml:space="preserve"> </w:t>
      </w:r>
      <w:hyperlink w:anchor="sec-acc-sdm">
        <w:r>
          <w:rPr>
            <w:rStyle w:val="Hyperlink"/>
          </w:rPr>
          <w:t xml:space="preserve">Section 7.1</w:t>
        </w:r>
      </w:hyperlink>
      <w:r>
        <w:t xml:space="preserve">, and each PCP-00N applies it to its own outputs. A model qualified for one output is not by that fact qualified for another. Where the qualification runs do not compare an output at both scales, the PCP-00N should say so and should state how that output is characterized instead. Where the model is not qualified for an output at analysis, the PCR-00N should say so and should state the consequence.</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campaign used 3 instrumented scale-down systems under calibration and change control. They are the temperature-controlled chromatography chamber (EQ-CHR-118), the production scale-down bioreactor pCO2 probe (EQ-BRX-205) and the ultrafiltration / diafiltration TFF skid (EQ-TFF-142).</w:t>
      </w:r>
      <w:r>
        <w:t xml:space="preserve"> </w:t>
      </w:r>
      <w:hyperlink w:anchor="tbl-equipment">
        <w:r>
          <w:rPr>
            <w:rStyle w:val="Hyperlink"/>
          </w:rPr>
          <w:t xml:space="preserve">Table 6</w:t>
        </w:r>
      </w:hyperlink>
      <w:r>
        <w:t xml:space="preserve"> </w:t>
      </w:r>
      <w:r>
        <w:t xml:space="preserve">lists each with the studies that used it. Every study window closed before the next calibration due date of the equipment it used. Every study that the Version 1.0 reports analysed closed before those reports were approved on 2026-07-24. The last of them ended on 2026-05-15. One supplementary qualification study of the Protein A scale-down model, S-PA-SDM2 (2026-09-07 to 2026-09-11), ran afterwards, while INV-001 was open. Its runs were made to narrow the confidence interval of the offset for host cell protein in the Protein A pool (</w:t>
      </w:r>
      <w:hyperlink w:anchor="sec-acc-sdm">
        <w:r>
          <w:rPr>
            <w:rStyle w:val="Hyperlink"/>
          </w:rPr>
          <w:t xml:space="preserve">Section 7.1</w:t>
        </w:r>
      </w:hyperlink>
      <w:r>
        <w:t xml:space="preserve">). They are work that the Protein A plan PCP-005 did not foresee, and the Protein A report PCR-005 records them as discrepancy PD-005-01 from that plan.</w:t>
      </w:r>
    </w:p>
    <w:tbl>
      <w:tblPr>
        <w:tblStyle w:val="Table"/>
        <w:tblW w:type="pct" w:w="5000"/>
        <w:tblLayout w:type="fixed"/>
        <w:tblLook w:firstRow="0" w:lastRow="0" w:firstColumn="0" w:lastColumn="0" w:noHBand="0" w:noVBand="0" w:val="0000"/>
      </w:tblPr>
      <w:tblGrid>
        <w:gridCol w:w="7920"/>
      </w:tblGrid>
      <w:tr>
        <w:tc>
          <w:tcPr/>
          <w:bookmarkStart w:id="33" w:name="tbl-equipment"/>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33"/>
          <w:p/>
        </w:tc>
      </w:tr>
    </w:tbl>
    <w:p>
      <w:pPr>
        <w:pStyle w:val="BodyText"/>
      </w:pPr>
      <w:r>
        <w:t xml:space="preserve">Intermediate pools are held between steps. During a hold, aggregate can form, asparagine residues can deamidate and raise the acidic variants, and proteases in the clarified harvest can clip the antibody into fragments. Each of these raises its attribute with time. The campaign includes 3 hold studies. The clarified harvest and the Protein A eluate (at elution pH) are each held at 2-8 °C and 21 °C, and the neutralized viral inactivation pool at 21 °C and 25 °C, for up to 7 days. The design of the viral inactivation pool study follows A-Mab Table 4.17</w:t>
      </w:r>
      <w:r>
        <w:t xml:space="preserve"> </w:t>
      </w:r>
      <w:r>
        <w:t xml:space="preserve">(CMC Biotech Working Group 2009)</w:t>
      </w:r>
      <w:r>
        <w:t xml:space="preserve">. Each hold study is planned in the PCP-00N of the step that produces the pool.</w:t>
      </w:r>
    </w:p>
    <w:p>
      <w:pPr>
        <w:pStyle w:val="BodyText"/>
      </w:pPr>
      <w:r>
        <w:t xml:space="preserve">Each response is measured by a validated method under its own SOP.</w:t>
      </w:r>
      <w:r>
        <w:t xml:space="preserve"> </w:t>
      </w:r>
      <w:hyperlink w:anchor="tbl-sops">
        <w:r>
          <w:rPr>
            <w:rStyle w:val="Hyperlink"/>
          </w:rPr>
          <w:t xml:space="preserve">Table 7</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4"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4"/>
          <w:p/>
        </w:tc>
      </w:tr>
    </w:tbl>
    <w:bookmarkEnd w:id="35"/>
    <w:bookmarkStart w:id="42" w:name="sec-stats"/>
    <w:p>
      <w:pPr>
        <w:pStyle w:val="Heading1"/>
      </w:pPr>
      <w:r>
        <w:t xml:space="preserve">6. Common statistical approach</w:t>
      </w:r>
    </w:p>
    <w:bookmarkStart w:id="37" w:name="designs"/>
    <w:p>
      <w:pPr>
        <w:pStyle w:val="Heading2"/>
      </w:pPr>
      <w:r>
        <w:t xml:space="preserve">6.1 Designs</w:t>
      </w:r>
    </w:p>
    <w:p>
      <w:pPr>
        <w:pStyle w:val="FirstParagraph"/>
      </w:pPr>
      <w:r>
        <w:t xml:space="preserve">Each step with a multivariate scope is studied in two stages, under the design of experiments procedure SOP-1002. A screening design comes first. It is a two-level factorial design, full or fractional as the number of factors requires, with replicated centre points. A response-surface design follows. It is a central composite design over the factors that screening showed, or RA-001 expected, to affect a CQA with a criterion at the step. It also has replicated centre points.</w:t>
      </w:r>
      <w:r>
        <w:t xml:space="preserve"> </w:t>
      </w:r>
      <w:hyperlink w:anchor="tbl-designs">
        <w:r>
          <w:rPr>
            <w:rStyle w:val="Hyperlink"/>
          </w:rPr>
          <w:t xml:space="preserve">Table 8</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6" w:name="tbl-designs"/>
          <w:p>
            <w:pPr>
              <w:jc w:val="center"/>
            </w:pPr>
            <w:pPr>
              <w:jc w:val="start"/>
              <w:spacing w:before="200"/>
              <w:pStyle w:val="ImageCaption"/>
            </w:pPr>
            <w:r>
              <w:t xml:space="preserve">Table 8: Designed experiments per step. Runs are given with the number of centre points in brackets.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Unit operation</w:t>
                  </w:r>
                </w:p>
              </w:tc>
              <w:tc>
                <w:tcPr>
                  <w:gridSpan w:val="3"/>
                </w:tcPr>
                <w:p>
                  <w:pPr>
                    <w:pStyle w:val="Compact"/>
                    <w:jc w:val="center"/>
                  </w:pPr>
                  <w:r>
                    <w:t xml:space="preserve">Screening</w:t>
                  </w:r>
                </w:p>
              </w:tc>
              <w:tc>
                <w:tcPr>
                  <w:gridSpan w:val="2"/>
                </w:tcPr>
                <w:p>
                  <w:pPr>
                    <w:pStyle w:val="Compact"/>
                    <w:jc w:val="center"/>
                  </w:pPr>
                  <w:r>
                    <w:t xml:space="preserve">Response surface</w:t>
                  </w:r>
                </w:p>
              </w:tc>
              <w:tc>
                <w:tcPr>
                  <w:vMerge w:val="restart"/>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Factors</w:t>
                  </w:r>
                </w:p>
              </w:tc>
              <w:tc>
                <w:tcPr/>
                <w:p>
                  <w:pPr>
                    <w:pStyle w:val="Compact"/>
                    <w:jc w:val="center"/>
                  </w:pPr>
                  <w:r>
                    <w:t xml:space="preserve">Runs</w:t>
                  </w:r>
                </w:p>
              </w:tc>
              <w:tc>
                <w:tcPr/>
                <w:p>
                  <w:pPr>
                    <w:pStyle w:val="Compact"/>
                    <w:jc w:val="center"/>
                  </w:pPr>
                  <w:r>
                    <w:t xml:space="preserve">Model terms</w:t>
                  </w:r>
                </w:p>
              </w:tc>
              <w:tc>
                <w:tcPr/>
                <w:p>
                  <w:pPr>
                    <w:pStyle w:val="Compact"/>
                    <w:jc w:val="center"/>
                  </w:pPr>
                  <w:r>
                    <w:t xml:space="preserve">Factors</w:t>
                  </w:r>
                </w:p>
              </w:tc>
              <w:tc>
                <w:tcPr/>
                <w:p>
                  <w:pPr>
                    <w:pStyle w:val="Compact"/>
                    <w:jc w:val="center"/>
                  </w:pPr>
                  <w:r>
                    <w:t xml:space="preserve">Runs</w:t>
                  </w:r>
                </w:p>
              </w:tc>
              <w:tc>
                <w:tcPr>
                  <w:gridSpan w:val="1"/>
                  <w:vMerge w:val="continue"/>
                </w:tcPr>
                <w:p>
                  <w:pP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5</w:t>
                  </w:r>
                </w:p>
              </w:tc>
              <w:tc>
                <w:tcPr/>
                <w:p>
                  <w:pPr>
                    <w:pStyle w:val="Compact"/>
                    <w:jc w:val="center"/>
                  </w:pPr>
                  <w:r>
                    <w:t xml:space="preserve">19 (3)</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Afucosylation, Galactosylation, High mannose, Acidic variants, Aggregates (HMW)</w:t>
                  </w:r>
                </w:p>
              </w:tc>
            </w:tr>
            <w:tr>
              <w:tc>
                <w:tcPr/>
                <w:p>
                  <w:pPr>
                    <w:pStyle w:val="Compact"/>
                    <w:jc w:val="center"/>
                  </w:pPr>
                  <w:r>
                    <w:t xml:space="preserve">5</w:t>
                  </w:r>
                </w:p>
              </w:tc>
              <w:tc>
                <w:tcPr/>
                <w:p>
                  <w:pPr>
                    <w:pStyle w:val="Compact"/>
                    <w:jc w:val="center"/>
                  </w:pPr>
                  <w:r>
                    <w:t xml:space="preserve">Protein A</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Step yield, Leached Protein A (ppm), Fragments (LMW, %, nrCE-SDS)</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3</w:t>
                  </w:r>
                </w:p>
              </w:tc>
              <w:tc>
                <w:tcPr/>
                <w:p>
                  <w:pPr>
                    <w:pStyle w:val="Compact"/>
                    <w:jc w:val="center"/>
                  </w:pPr>
                  <w:r>
                    <w:t xml:space="preserve">11 (3)</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18 (4)</w:t>
                  </w:r>
                </w:p>
              </w:tc>
              <w:tc>
                <w:tcPr/>
                <w:p>
                  <w:pPr>
                    <w:pStyle w:val="Compact"/>
                    <w:jc w:val="center"/>
                  </w:pPr>
                  <w:r>
                    <w:t xml:space="preserve">Aggregates (HMW, %), XMuLV LRF (log₁₀), Acidic variants, Fragments (LMW, %, nrCE-SDS)</w:t>
                  </w:r>
                </w:p>
              </w:tc>
            </w:tr>
            <w:tr>
              <w:tc>
                <w:tcPr/>
                <w:p>
                  <w:pPr>
                    <w:pStyle w:val="Compact"/>
                    <w:jc w:val="center"/>
                  </w:pPr>
                  <w:r>
                    <w:t xml:space="preserve">7</w:t>
                  </w:r>
                </w:p>
              </w:tc>
              <w:tc>
                <w:tcPr/>
                <w:p>
                  <w:pPr>
                    <w:pStyle w:val="Compact"/>
                    <w:jc w:val="center"/>
                  </w:pPr>
                  <w:r>
                    <w:t xml:space="preserve">Cation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Aggregates (HMW, %), Pool HCP (ng/mg), Step yield, Fragments (LMW, %, nrCE-SDS)</w:t>
                  </w:r>
                </w:p>
              </w:tc>
            </w:tr>
            <w:tr>
              <w:tc>
                <w:tcPr/>
                <w:p>
                  <w:pPr>
                    <w:pStyle w:val="Compact"/>
                    <w:jc w:val="center"/>
                  </w:pPr>
                  <w:r>
                    <w:t xml:space="preserve">8</w:t>
                  </w:r>
                </w:p>
              </w:tc>
              <w:tc>
                <w:tcPr/>
                <w:p>
                  <w:pPr>
                    <w:pStyle w:val="Compact"/>
                    <w:jc w:val="center"/>
                  </w:pPr>
                  <w:r>
                    <w:t xml:space="preserve">Anion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XMuLV LRF (log₁₀), MVM LRF (log₁₀), Step yield, Fragments (LMW, %, nrCE-SDS)</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7 (3)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12 (4)</w:t>
                  </w:r>
                </w:p>
              </w:tc>
              <w:tc>
                <w:tcPr/>
                <w:p>
                  <w:pPr>
                    <w:pStyle w:val="Compact"/>
                    <w:jc w:val="center"/>
                  </w:pPr>
                  <w:r>
                    <w:t xml:space="preserve">MVM LRF (log₁₀), XMuLV LRF (log₁₀), Step yield, Fragments (LMW, %, nrCE-SDS)</w:t>
                  </w:r>
                </w:p>
              </w:tc>
            </w:tr>
          </w:tbl>
          <w:bookmarkEnd w:id="36"/>
          <w:p/>
        </w:tc>
      </w:tr>
    </w:tbl>
    <w:p>
      <w:pPr>
        <w:pStyle w:val="BodyText"/>
      </w:pPr>
      <w:r>
        <w:t xml:space="preserve">Runs are executed in random order within each design. Where a run is lost or invalidated, the PCR-00N should report it and state whether the design was repaired or re-executed.</w:t>
      </w:r>
    </w:p>
    <w:bookmarkEnd w:id="37"/>
    <w:bookmarkStart w:id="38"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a model term is significant when its p-value is below α = 0.05. This is the conventional level. Its consequence is that about one term in twenty with no real effect is called significant by chance. An attribute is called affected by a parameter when a term that contains the parameter is significant at that level.</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8</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For this reason a quality attribute is judged on a single batch, not on the mean prediction, in three analyses. The NOR-propagated proven acceptable range (</w:t>
      </w:r>
      <w:hyperlink w:anchor="sec-par">
        <w:r>
          <w:rPr>
            <w:rStyle w:val="Hyperlink"/>
          </w:rPr>
          <w:t xml:space="preserve">Section 6.4</w:t>
        </w:r>
      </w:hyperlink>
      <w:r>
        <w:t xml:space="preserve">) is computed by Monte Carlo, and its interval includes the model residual, the uncertainty of the fitted coefficients and the variation of the other parameters within their NOR. The judgement of an output over the NOR in the scale-down qualification (</w:t>
      </w:r>
      <w:hyperlink w:anchor="sec-acc-sdm">
        <w:r>
          <w:rPr>
            <w:rStyle w:val="Hyperlink"/>
          </w:rPr>
          <w:t xml:space="preserve">Section 7.1</w:t>
        </w:r>
      </w:hyperlink>
      <w:r>
        <w:t xml:space="preserve">) uses the exact 95 % prediction interval of a single run at each combination of NOR low, set-point and NOR high. The verification of the platform worst cases (</w:t>
      </w:r>
      <w:hyperlink w:anchor="sec-verification">
        <w:r>
          <w:rPr>
            <w:rStyle w:val="Hyperlink"/>
          </w:rPr>
          <w:t xml:space="preserve">Section 7.5</w:t>
        </w:r>
      </w:hyperlink>
      <w:r>
        <w:t xml:space="preserve">) uses the one-sided 95 % prediction bound of a single batch at the least favourable of these combinations.</w:t>
      </w:r>
    </w:p>
    <w:bookmarkEnd w:id="38"/>
    <w:bookmarkStart w:id="39"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39"/>
    <w:bookmarkStart w:id="40" w:name="sec-par"/>
    <w:p>
      <w:pPr>
        <w:pStyle w:val="Heading2"/>
      </w:pPr>
      <w:r>
        <w:t xml:space="preserve">6.4 Proven acceptable ranges</w:t>
      </w:r>
    </w:p>
    <w:p>
      <w:pPr>
        <w:pStyle w:val="FirstParagraph"/>
      </w:pPr>
      <w:r>
        <w:t xml:space="preserve">A PAR is computed for each CQA that has a criterion at the step and for each factor of the response-surface model.</w:t>
      </w:r>
    </w:p>
    <w:p>
      <w:pPr>
        <w:pStyle w:val="Compact"/>
        <w:numPr>
          <w:ilvl w:val="0"/>
          <w:numId w:val="1002"/>
        </w:numPr>
      </w:pPr>
      <w:r>
        <w:t xml:space="preserve">The set-point analysis is a univariate proven acceptable range with the other parameters at their set-points. It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is the same range with the other parameters varying within their NORs. It scans the factor across 81 grid points. The PAR is the contiguous range around the set-point over which the predicted result meets the criterion.</w:t>
      </w:r>
    </w:p>
    <w:p>
      <w:pPr>
        <w:pStyle w:val="FirstParagraph"/>
      </w:pPr>
      <w:r>
        <w:t xml:space="preserve">What the NOR-propagated analysis compares with the criterion depends on the kind of attribute.</w:t>
      </w:r>
    </w:p>
    <w:p>
      <w:pPr>
        <w:pStyle w:val="Compact"/>
        <w:numPr>
          <w:ilvl w:val="0"/>
          <w:numId w:val="1003"/>
        </w:numPr>
      </w:pPr>
      <w:r>
        <w:t xml:space="preserve">For a quality attribute it compares the 95 % prediction interval of a single batch, because a single batch is what must meet the criterion. At each grid point the analysis draws 2,000 operating points for the other factors. Each factor is drawn from a normal distribution centred on its set-point, with a standard deviation of one sixth of the width of its NOR, and clipped to the characterized range. This assumes that the NOR spans ±3 standard deviations of the routine variation of the parameter. The interval includes the model residual and the uncertainty of the fitted coefficients. It runs from the 2.5th to the 97.5th percentile of the simulated batches. For an upper limit the 97.5th percentile must not exceed the limit, for a lower limit the 2.5th percentile must not fall below it, and for a two-sided criterion both apply.</w:t>
      </w:r>
    </w:p>
    <w:p>
      <w:pPr>
        <w:pStyle w:val="Compact"/>
        <w:numPr>
          <w:ilvl w:val="0"/>
          <w:numId w:val="1003"/>
        </w:numPr>
      </w:pPr>
      <w:r>
        <w:t xml:space="preserve">For viral clearance it compares the worst case within the NOR. At each grid point the other factors are set to every combination of their NOR low, set-point and NOR high. The lowest mean predicted log reduction among these combinations must meet the claim of the step. Viral clearance is validated at worst-case conditions, so a claim that held only on average over the NOR would not support a validated log reduction.</w:t>
      </w:r>
    </w:p>
    <w:p>
      <w:pPr>
        <w:pStyle w:val="FirstParagraph"/>
      </w:pPr>
      <w:r>
        <w:t xml:space="preserve">The NOR-propagated PAR is the one that supports a claim. It is in general narrower than the set-point PAR, because the range must hold while the rest of the operating point moves within its NOR.</w:t>
      </w:r>
    </w:p>
    <w:bookmarkEnd w:id="40"/>
    <w:bookmarkStart w:id="41"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from the same normal distribution as in the NOR-propagated analysis of a quality attribute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1"/>
    <w:bookmarkEnd w:id="42"/>
    <w:bookmarkStart w:id="55"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In Version 1.0 each step plan was approved before its studies ran. The a priori derivation of the Version 2.0 criteria came after the studies, and for that reason it uses platform data and the drug substance criteria only (</w:t>
      </w:r>
      <w:hyperlink w:anchor="sec-iac">
        <w:r>
          <w:rPr>
            <w:rStyle w:val="Hyperlink"/>
          </w:rPr>
          <w:t xml:space="preserve">Section 7.3</w:t>
        </w:r>
      </w:hyperlink>
      <w:r>
        <w:t xml:space="preserve">). Verification then replaced some platform values with A-Mab prediction bounds of a single batch, and 4 of the 22 criteria in force include such a bound (</w:t>
      </w:r>
      <w:hyperlink w:anchor="sec-verification">
        <w:r>
          <w:rPr>
            <w:rStyle w:val="Hyperlink"/>
          </w:rPr>
          <w:t xml:space="preserve">Section 7.5</w:t>
        </w:r>
      </w:hyperlink>
      <w:r>
        <w:t xml:space="preserve">).</w:t>
      </w:r>
    </w:p>
    <w:bookmarkStart w:id="43" w:name="sec-acc-sdm"/>
    <w:p>
      <w:pPr>
        <w:pStyle w:val="Heading2"/>
      </w:pPr>
      <w:r>
        <w:t xml:space="preserve">7.1 Scale-down model qualification</w:t>
      </w:r>
    </w:p>
    <w:p>
      <w:pPr>
        <w:pStyle w:val="FirstParagraph"/>
      </w:pPr>
      <w:r>
        <w:t xml:space="preserve">A scale-down model is qualified for each output separately. It is qualified by the offset between the scales, not by a test of equivalence. A model may differ in mean from manufacturing scale, provided the difference is known precisely enough. The rule has four parts.</w:t>
      </w:r>
    </w:p>
    <w:p>
      <w:pPr>
        <w:pStyle w:val="Compact"/>
        <w:numPr>
          <w:ilvl w:val="0"/>
          <w:numId w:val="1004"/>
        </w:numPr>
      </w:pPr>
      <w:r>
        <w:t xml:space="preserve">The offset of an output is the mean of the scale-down runs at set-point minus the mean of the manufacturing-scale batches. It is reported with its two-sided 90 % confidence interval. Each end of that interval is a one-sided 95 % confidence bound, which is the level used to compare two means at 5 % on each side.</w:t>
      </w:r>
    </w:p>
    <w:p>
      <w:pPr>
        <w:pStyle w:val="Compact"/>
        <w:numPr>
          <w:ilvl w:val="0"/>
          <w:numId w:val="1004"/>
        </w:numPr>
      </w:pPr>
      <w:r>
        <w:t xml:space="preserve">Where the qualification compared an output at both scales, every judgement of a scale-down result for that output against a criterion first subtracts its offset. Ranges and conclusions are therefore stated at manufacturing scale.</w:t>
      </w:r>
    </w:p>
    <w:p>
      <w:pPr>
        <w:pStyle w:val="Compact"/>
        <w:numPr>
          <w:ilvl w:val="0"/>
          <w:numId w:val="1004"/>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response-surface factors.</w:t>
      </w:r>
    </w:p>
    <w:p>
      <w:pPr>
        <w:pStyle w:val="Compact"/>
        <w:numPr>
          <w:ilvl w:val="0"/>
          <w:numId w:val="1004"/>
        </w:numPr>
      </w:pPr>
      <w:r>
        <w:t xml:space="preserve">An output with no criterion at the step, such as step yield, has its offset recorded only. No conclusion depends on it.</w:t>
      </w:r>
    </w:p>
    <w:p>
      <w:pPr>
        <w:pStyle w:val="FirstParagraph"/>
      </w:pPr>
      <w:r>
        <w:t xml:space="preserve">Where the cause of an offset is known, the report states it. A model whose conclusion for an output changes between the two ends of the offset interval is not used for that output. The qualification studies do not compare fragments or viral clearance at both scales. Their offset is unknown, not zero. These outputs are judged as the model predicts them because the qualification did not compare them, and their representativeness rests on what each step plan states, which is the mechanism of the step for fragments and the spiking model for viral clearance.</w:t>
      </w:r>
    </w:p>
    <w:p>
      <w:pPr>
        <w:pStyle w:val="BodyText"/>
      </w:pPr>
      <w:r>
        <w:t xml:space="preserve">Each PCP-00N names the outputs, the number of runs at each scale and the manufacturing-scale data set. The scale-down runs at set-point are made, and the offset of each output is estimated, before the first characterization run of the step. The decision whether the model is qualified for an output needs the response-surface model of the step, because the conclusion over the NOR comes from that model. That decision is therefore made at analysis. Each PCR-00N tabulates the offsets of its step, and PCMR-001 summarises them for the whole train.</w:t>
      </w:r>
    </w:p>
    <w:bookmarkEnd w:id="43"/>
    <w:bookmarkStart w:id="44"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5"/>
        </w:numPr>
      </w:pPr>
      <w:r>
        <w:t xml:space="preserve">The model F-test is significant at the level set for model terms, α = 0.05 (</w:t>
      </w:r>
      <w:hyperlink w:anchor="sec-stats">
        <w:r>
          <w:rPr>
            <w:rStyle w:val="Hyperlink"/>
          </w:rPr>
          <w:t xml:space="preserve">Section 6</w:t>
        </w:r>
      </w:hyperlink>
      <w:r>
        <w:t xml:space="preserve">).</w:t>
      </w:r>
    </w:p>
    <w:p>
      <w:pPr>
        <w:pStyle w:val="Compact"/>
        <w:numPr>
          <w:ilvl w:val="0"/>
          <w:numId w:val="1005"/>
        </w:numPr>
      </w:pPr>
      <w:r>
        <w:t xml:space="preserve">Lack of fit against pure error is not significant at α = 0.05.</w:t>
      </w:r>
    </w:p>
    <w:p>
      <w:pPr>
        <w:pStyle w:val="Compact"/>
        <w:numPr>
          <w:ilvl w:val="0"/>
          <w:numId w:val="1005"/>
        </w:numPr>
      </w:pPr>
      <w:r>
        <w:t xml:space="preserve">Predicted R² falls short of R² by no more than 0.20. This is a limit on overfitting, because a model that fits its own runs much better than it predicts left-out runs has more terms than the data support.</w:t>
      </w:r>
    </w:p>
    <w:p>
      <w:pPr>
        <w:pStyle w:val="Compact"/>
        <w:numPr>
          <w:ilvl w:val="0"/>
          <w:numId w:val="1005"/>
        </w:numPr>
      </w:pPr>
      <w:r>
        <w:t xml:space="preserve">The residuals show no pattern against predicted values or run order, and no single run dominates the fit.</w:t>
      </w:r>
    </w:p>
    <w:p>
      <w:pPr>
        <w:pStyle w:val="FirstParagraph"/>
      </w:pPr>
      <w:r>
        <w:t xml:space="preserve">A model that fails the lack-of-fit test or the limit on overfitting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4"/>
    <w:bookmarkStart w:id="46"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The Protein A pool is expected to carry far more host cell protein than the drug substance limit of 100 ng/mg, so that limit cannot judge it.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afucosylation, galactosylation and high mannose.</w:t>
      </w:r>
    </w:p>
    <w:p>
      <w:pPr>
        <w:pStyle w:val="BodyText"/>
      </w:pPr>
      <w:r>
        <w:t xml:space="preserve">For host cell protein the rule gives the Protein A pool an a priori criterion of 16,000 ng/mg. The drug substance limit of 100 ng/mg is carried back through the platform worst case of anion exchange (4-fold) and then of cation exchange (40-fold). The cation exchange pool is judged against the limit carried back through anion exchange alone, 400 ng/mg a priori. For A-Mab, the one-sided 95 % prediction bounds of a single batch for the host cell protein clearance were 36.7-fold for cation exchange and 4.27-fold for anion exchange (</w:t>
      </w:r>
      <w:hyperlink w:anchor="sec-verification">
        <w:r>
          <w:rPr>
            <w:rStyle w:val="Hyperlink"/>
          </w:rPr>
          <w:t xml:space="preserve">Section 7.5</w:t>
        </w:r>
      </w:hyperlink>
      <w:r>
        <w:t xml:space="preserve">). The prediction bound of the cation exchange clearance does not exceed its platform worst case of 40-fold, so the platform value stands. The prediction bound of the anion exchange clearance exceeds its platform worst case of 4-fold, and the anion exchange model of host cell protein meets the model adequacy criteria, so the bound replaced the platform value (</w:t>
      </w:r>
      <w:hyperlink w:anchor="sec-acc-model">
        <w:r>
          <w:rPr>
            <w:rStyle w:val="Hyperlink"/>
          </w:rPr>
          <w:t xml:space="preserve">Section 7.2</w:t>
        </w:r>
      </w:hyperlink>
      <w:r>
        <w:t xml:space="preserve">). The Protein A pool criterion is therefore 17,069 ng/mg, and the cation exchange pool criterion is widened to 427 ng/mg.</w:t>
      </w:r>
    </w:p>
    <w:p>
      <w:pPr>
        <w:pStyle w:val="BodyText"/>
      </w:pPr>
      <w:hyperlink w:anchor="tbl-iac">
        <w:r>
          <w:rPr>
            <w:rStyle w:val="Hyperlink"/>
          </w:rPr>
          <w:t xml:space="preserve">Table 9</w:t>
        </w:r>
      </w:hyperlink>
      <w:r>
        <w:t xml:space="preserve"> </w:t>
      </w:r>
      <w:r>
        <w:t xml:space="preserve">gives all 22 criteria across 6 steps, with the downstream worst case each one is derived from, platform or verified. The downstream worst case shown is the cumulative fold or increase of all steps after the step output. In a tightened or a widened row it includes a verified A-Mab value, the prediction bound of a single batch that replaced a platform worst case (</w:t>
      </w:r>
      <w:hyperlink w:anchor="sec-verification">
        <w:r>
          <w:rPr>
            <w:rStyle w:val="Hyperlink"/>
          </w:rPr>
          <w:t xml:space="preserve">Section 7.5</w:t>
        </w:r>
      </w:hyperlink>
      <w:r>
        <w:t xml:space="preserve">). The footnotes of the table mark these rows.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5"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5"/>
          <w:p/>
        </w:tc>
      </w:tr>
    </w:tbl>
    <w:p>
      <w:pPr>
        <w:pStyle w:val="BodyText"/>
      </w:pPr>
      <w:r>
        <w:t xml:space="preserve">The rule above credits each downstream step only with the clearance or increase in its platform history and assumes no other change in its operation. Note b) of</w:t>
      </w:r>
      <w:r>
        <w:t xml:space="preserve"> </w:t>
      </w:r>
      <w:hyperlink w:anchor="tbl-iac">
        <w:r>
          <w:rPr>
            <w:rStyle w:val="Hyperlink"/>
          </w:rPr>
          <w:t xml:space="preserve">Table 9</w:t>
        </w:r>
      </w:hyperlink>
      <w:r>
        <w:t xml:space="preserve"> </w:t>
      </w:r>
      <w:r>
        <w:t xml:space="preserve">marks the rows where no downstream step is credited, so the drug substance criterion applies. A hold between steps can still raise aggregate and acidic variants (</w:t>
      </w:r>
      <w:hyperlink w:anchor="sec-sdm">
        <w:r>
          <w:rPr>
            <w:rStyle w:val="Hyperlink"/>
          </w:rPr>
          <w:t xml:space="preserve">Section 5</w:t>
        </w:r>
      </w:hyperlink>
      <w:r>
        <w:t xml:space="preserve">). Holds are covered by the hold studies, each planned in the PCP-00N of the step that produces the pool and judged against a hold criterion set in that plan.</w:t>
      </w:r>
    </w:p>
    <w:p>
      <w:pPr>
        <w:pStyle w:val="BodyText"/>
      </w:pPr>
      <w:r>
        <w:t xml:space="preserve">Residual DNA has a drug substance criterion but no intermediate acceptance criterion. The Protein A designs measure DNA in the load and the pool, but the platform history used here gives no worst-case DNA clearance for the steps after Protein A, so no criterion can be carried back. Residual DNA is therefore judged on the drug substance only, and its capability is assessed in the integrated model (</w:t>
      </w:r>
      <w:hyperlink w:anchor="sec-capability">
        <w:r>
          <w:rPr>
            <w:rStyle w:val="Hyperlink"/>
          </w:rPr>
          <w:t xml:space="preserve">Section 6.5</w:t>
        </w:r>
      </w:hyperlink>
      <w:r>
        <w:t xml:space="preserve">).</w:t>
      </w:r>
    </w:p>
    <w:p>
      <w:pPr>
        <w:pStyle w:val="BodyText"/>
      </w:pPr>
      <w:r>
        <w:t xml:space="preserve">Of the 22 criteria in</w:t>
      </w:r>
      <w:r>
        <w:t xml:space="preserve"> </w:t>
      </w:r>
      <w:hyperlink w:anchor="tbl-iac">
        <w:r>
          <w:rPr>
            <w:rStyle w:val="Hyperlink"/>
          </w:rPr>
          <w:t xml:space="preserve">Table 9</w:t>
        </w:r>
      </w:hyperlink>
      <w:r>
        <w:t xml:space="preserve">, 18 are in force at their a priori value and verification changed 4. The tightened criteria are the aggregate criteria upstream of cation exchange, because the cation exchange model gave a lower aggregate clearance than the platform worst case. One of them, the criterion for aggregate in the production bioreactor harvest (from 9.30 % to 6.46 %), was also widened, because the low-pH viral inactivation model gave a smaller aggregate increase (0.56 % at the prediction bound of a single batch, against 0.70 % on the platform). The result is a stricter criterion than the a priori one. The other tightened criterion is the criterion for aggregate in the viral inactivation pool (from 10.0 % to 7.02 %). The criteria only widened are the criterion for host cell protein in the Protein A pool (from 16,000 ng/mg to 17,069 ng/mg) and the criterion for host cell protein in the cation exchange pool (from 400 ng/mg to 427 ng/mg). The widening of the criteria for aggregate in the production bioreactor harvest comes from low-pH viral inactivation. There the A-Mab hold is at most 120 min within its NOR as characterized, and the platform worst cases are increases over a hold of 180 min. For aggregate the change reflects that shorter hold, not a more stable product. Every report that relies on a changed criterion argues the change by its risk (</w:t>
      </w:r>
      <w:hyperlink w:anchor="sec-verification">
        <w:r>
          <w:rPr>
            <w:rStyle w:val="Hyperlink"/>
          </w:rPr>
          <w:t xml:space="preserve">Section 7.5</w:t>
        </w:r>
      </w:hyperlink>
      <w:r>
        <w:t xml:space="preserve">).</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when verification replaces a platform worst case with the one-sided 95 % prediction bound of a single batch for the same step (</w:t>
      </w:r>
      <w:hyperlink w:anchor="sec-verification">
        <w:r>
          <w:rPr>
            <w:rStyle w:val="Hyperlink"/>
          </w:rPr>
          <w:t xml:space="preserve">Section 7.5</w:t>
        </w:r>
      </w:hyperlink>
      <w:r>
        <w:t xml:space="preserve">).</w:t>
      </w:r>
    </w:p>
    <w:bookmarkEnd w:id="46"/>
    <w:bookmarkStart w:id="48"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The sum of the claims is then checked against the cumulative requirement of the drug substance.</w:t>
      </w:r>
      <w:r>
        <w:t xml:space="preserve"> </w:t>
      </w:r>
      <w:hyperlink w:anchor="tbl-viral">
        <w:r>
          <w:rPr>
            <w:rStyle w:val="Hyperlink"/>
          </w:rPr>
          <w:t xml:space="preserve">Table 10</w:t>
        </w:r>
      </w:hyperlink>
      <w:r>
        <w:t xml:space="preserve"> </w:t>
      </w:r>
      <w:r>
        <w:t xml:space="preserve">shows that check for each model virus. Each step is then judged against its own claim at the worst case within its NOR, as</w:t>
      </w:r>
      <w:r>
        <w:t xml:space="preserve"> </w:t>
      </w:r>
      <w:hyperlink w:anchor="sec-par">
        <w:r>
          <w:rPr>
            <w:rStyle w:val="Hyperlink"/>
          </w:rPr>
          <w:t xml:space="preserve">Section 6.4</w:t>
        </w:r>
      </w:hyperlink>
      <w:r>
        <w:t xml:space="preserve"> </w:t>
      </w:r>
      <w:r>
        <w:t xml:space="preserve">defines it.</w:t>
      </w:r>
    </w:p>
    <w:tbl>
      <w:tblPr>
        <w:tblStyle w:val="Table"/>
        <w:tblW w:type="pct" w:w="5000"/>
        <w:tblLayout w:type="fixed"/>
        <w:tblLook w:firstRow="0" w:lastRow="0" w:firstColumn="0" w:lastColumn="0" w:noHBand="0" w:noVBand="0" w:val="0000"/>
      </w:tblPr>
      <w:tblGrid>
        <w:gridCol w:w="7920"/>
      </w:tblGrid>
      <w:tr>
        <w:tc>
          <w:tcPr/>
          <w:bookmarkStart w:id="47" w:name="tbl-viral"/>
          <w:p>
            <w:pPr>
              <w:jc w:val="center"/>
            </w:pPr>
            <w:pPr>
              <w:jc w:val="start"/>
              <w:spacing w:before="200"/>
              <w:pStyle w:val="ImageCaption"/>
            </w:pPr>
            <w:r>
              <w:t xml:space="preserve">Table 10: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Virus</w:t>
                  </w:r>
                </w:p>
              </w:tc>
              <w:tc>
                <w:tcPr/>
                <w:p>
                  <w:pPr>
                    <w:pStyle w:val="Compact"/>
                    <w:jc w:val="center"/>
                  </w:pPr>
                  <w:r>
                    <w:t xml:space="preserve">Low-pH viral</w:t>
                  </w:r>
                  <w:r>
                    <w:br/>
                  </w:r>
                  <w:r>
                    <w:t xml:space="preserve">inactivation</w:t>
                  </w:r>
                </w:p>
              </w:tc>
              <w:tc>
                <w:tcPr/>
                <w:p>
                  <w:pPr>
                    <w:pStyle w:val="Compact"/>
                    <w:jc w:val="center"/>
                  </w:pPr>
                  <w:r>
                    <w:t xml:space="preserve">Anion</w:t>
                  </w:r>
                  <w:r>
                    <w:br/>
                  </w:r>
                  <w:r>
                    <w:t xml:space="preserve">exchange</w:t>
                  </w:r>
                </w:p>
              </w:tc>
              <w:tc>
                <w:tcPr/>
                <w:p>
                  <w:pPr>
                    <w:pStyle w:val="Compact"/>
                    <w:jc w:val="center"/>
                  </w:pPr>
                  <w:r>
                    <w:t xml:space="preserve">Virus</w:t>
                  </w:r>
                  <w:r>
                    <w:br/>
                  </w:r>
                  <w:r>
                    <w:t xml:space="preserve">filtration</w:t>
                  </w:r>
                </w:p>
              </w:tc>
              <w:tc>
                <w:tcPr/>
                <w:p>
                  <w:pPr>
                    <w:pStyle w:val="Compact"/>
                    <w:jc w:val="center"/>
                  </w:pPr>
                  <w:r>
                    <w:t xml:space="preserve">Sum of</w:t>
                  </w:r>
                  <w:r>
                    <w:br/>
                  </w:r>
                  <w:r>
                    <w:t xml:space="preserve">claims</w:t>
                  </w:r>
                </w:p>
              </w:tc>
              <w:tc>
                <w:tcPr/>
                <w:p>
                  <w:pPr>
                    <w:pStyle w:val="Compact"/>
                    <w:jc w:val="center"/>
                  </w:pPr>
                  <w:r>
                    <w:t xml:space="preserve">Cumulative</w:t>
                  </w:r>
                  <w:r>
                    <w:br/>
                  </w:r>
                  <w:r>
                    <w:t xml:space="preserve">requirement</w:t>
                  </w:r>
                </w:p>
              </w:tc>
              <w:tc>
                <w:tcPr/>
                <w:p>
                  <w:pPr>
                    <w:pStyle w:val="Compact"/>
                    <w:jc w:val="center"/>
                  </w:pPr>
                  <w:r>
                    <w:t xml:space="preserve">Met</w:t>
                  </w:r>
                </w:p>
              </w:tc>
            </w:tr>
            <w:tr>
              <w:tc>
                <w:tcPr/>
                <w:p>
                  <w:pPr>
                    <w:pStyle w:val="Compact"/>
                    <w:jc w:val="center"/>
                  </w:pPr>
                  <w:r>
                    <w:t xml:space="preserve">XMuLV (enveloped)</w:t>
                  </w:r>
                </w:p>
              </w:tc>
              <w:tc>
                <w:tcPr/>
                <w:p>
                  <w:pPr>
                    <w:pStyle w:val="Compact"/>
                    <w:jc w:val="center"/>
                  </w:pPr>
                  <w:r>
                    <w:t xml:space="preserve">6.6</w:t>
                  </w:r>
                </w:p>
              </w:tc>
              <w:tc>
                <w:tcPr/>
                <w:p>
                  <w:pPr>
                    <w:pStyle w:val="Compact"/>
                    <w:jc w:val="center"/>
                  </w:pPr>
                  <w:r>
                    <w:t xml:space="preserve">5.5</w:t>
                  </w:r>
                </w:p>
              </w:tc>
              <w:tc>
                <w:tcPr/>
                <w:p>
                  <w:pPr>
                    <w:pStyle w:val="Compact"/>
                    <w:jc w:val="center"/>
                  </w:pPr>
                  <w:r>
                    <w:t xml:space="preserve">4.62</w:t>
                  </w:r>
                </w:p>
              </w:tc>
              <w:tc>
                <w:tcPr/>
                <w:p>
                  <w:pPr>
                    <w:pStyle w:val="Compact"/>
                    <w:jc w:val="center"/>
                  </w:pPr>
                  <w:r>
                    <w:t xml:space="preserve">16.72</w:t>
                  </w:r>
                </w:p>
              </w:tc>
              <w:tc>
                <w:tcPr/>
                <w:p>
                  <w:pPr>
                    <w:pStyle w:val="Compact"/>
                    <w:jc w:val="center"/>
                  </w:pPr>
                  <w:r>
                    <w:t xml:space="preserve">16.7</w:t>
                  </w:r>
                </w:p>
              </w:tc>
              <w:tc>
                <w:tcPr/>
                <w:p>
                  <w:pPr>
                    <w:pStyle w:val="Compact"/>
                    <w:jc w:val="center"/>
                  </w:pPr>
                  <w:r>
                    <w:t xml:space="preserve">yes</w:t>
                  </w:r>
                </w:p>
              </w:tc>
            </w:tr>
            <w:tr>
              <w:tc>
                <w:tcPr/>
                <w:p>
                  <w:pPr>
                    <w:pStyle w:val="Compact"/>
                    <w:jc w:val="center"/>
                  </w:pPr>
                  <w:r>
                    <w:t xml:space="preserve">MVM (parvovirus)</w:t>
                  </w:r>
                </w:p>
              </w:tc>
              <w:tc>
                <w:tcPr/>
                <w:p>
                  <w:pPr>
                    <w:pStyle w:val="Compact"/>
                    <w:jc w:val="center"/>
                  </w:pPr>
                  <w:r>
                    <w:t xml:space="preserve">no claim</w:t>
                  </w:r>
                </w:p>
              </w:tc>
              <w:tc>
                <w:tcPr/>
                <w:p>
                  <w:pPr>
                    <w:pStyle w:val="Compact"/>
                    <w:jc w:val="center"/>
                  </w:pPr>
                  <w:r>
                    <w:t xml:space="preserve">4</w:t>
                  </w:r>
                </w:p>
              </w:tc>
              <w:tc>
                <w:tcPr/>
                <w:p>
                  <w:pPr>
                    <w:pStyle w:val="Compact"/>
                    <w:jc w:val="center"/>
                  </w:pPr>
                  <w:r>
                    <w:t xml:space="preserve">4.62</w:t>
                  </w:r>
                </w:p>
              </w:tc>
              <w:tc>
                <w:tcPr/>
                <w:p>
                  <w:pPr>
                    <w:pStyle w:val="Compact"/>
                    <w:jc w:val="center"/>
                  </w:pPr>
                  <w:r>
                    <w:t xml:space="preserve">8.62</w:t>
                  </w:r>
                </w:p>
              </w:tc>
              <w:tc>
                <w:tcPr/>
                <w:p>
                  <w:pPr>
                    <w:pStyle w:val="Compact"/>
                    <w:jc w:val="center"/>
                  </w:pPr>
                  <w:r>
                    <w:t xml:space="preserve">8.6</w:t>
                  </w:r>
                </w:p>
              </w:tc>
              <w:tc>
                <w:tcPr/>
                <w:p>
                  <w:pPr>
                    <w:pStyle w:val="Compact"/>
                    <w:jc w:val="center"/>
                  </w:pPr>
                  <w:r>
                    <w:t xml:space="preserve">yes</w:t>
                  </w:r>
                </w:p>
              </w:tc>
            </w:tr>
          </w:tbl>
          <w:bookmarkEnd w:id="47"/>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made up by the surplus of another step. Low-pH viral inactivation makes no claim for MVM, because a parvovirus has no lipid envelope for low pH to disrupt.</w:t>
      </w:r>
    </w:p>
    <w:bookmarkEnd w:id="48"/>
    <w:bookmarkStart w:id="49" w:name="sec-verification"/>
    <w:p>
      <w:pPr>
        <w:pStyle w:val="Heading2"/>
      </w:pPr>
      <w:r>
        <w:t xml:space="preserve">7.5 Verification of the platform worst cases</w:t>
      </w:r>
    </w:p>
    <w:p>
      <w:pPr>
        <w:pStyle w:val="FirstParagraph"/>
      </w:pPr>
      <w:r>
        <w:t xml:space="preserve">Each intermediate acceptance criterion assumes that every downstream step performs at least as well as its platform worst case. That is, the step clears at least the lowest fold, or adds no more than the largest increase, seen for X-Mab, Y-Mab and Z-Mab. Each report checks the platform worst cases of its own step. The check evaluates the response-surface model of the step at every combination of NOR low, set-point and NOR high of its factors. These are the NOR and the set-point as characterized, the values the studies were planned against, so a later change of a NOR or a set-point by a report does not move a criterion. The model gives the worst clearance fold, or the largest increase, that it predicts over these combinations. The model also gives the one-sided 95 % prediction bound of a single batch at the least favourable combination, on its unfavourable side. An assumption is confirmed when the predicted worst case is no worse than the platform worst case. The values observed at the edges of the characterized range are reported beside it for information.</w:t>
      </w:r>
    </w:p>
    <w:p>
      <w:pPr>
        <w:pStyle w:val="BodyText"/>
      </w:pPr>
      <w:r>
        <w:t xml:space="preserve">The bound is a prediction bound of a single batch, never a confidence bound of the mean. Each platform worst case that the criteria rely on concerns a quality attribute, and a quality attribute is judged on a single batch (</w:t>
      </w:r>
      <w:hyperlink w:anchor="sec-stats">
        <w:r>
          <w:rPr>
            <w:rStyle w:val="Hyperlink"/>
          </w:rPr>
          <w:t xml:space="preserve">Section 6</w:t>
        </w:r>
      </w:hyperlink>
      <w:r>
        <w:t xml:space="preserve">). The platform worst case that the bound may replace was itself the result of a single run. A confidence bound of the mean describes the average batch, and a single batch can fall beyond it. A bound from a tolerance interval would be statistically purer, because it covers a stated proportion of all batches with a stated confidence. Such a bound would also be wider, and too conservative to set against a platform worst case that was one run. The prediction bound of a single batch is therefore used.</w:t>
      </w:r>
    </w:p>
    <w:p>
      <w:pPr>
        <w:pStyle w:val="BodyText"/>
      </w:pPr>
      <w:r>
        <w:t xml:space="preserve">Verification may change a criterion in either direction, by the following rule.</w:t>
      </w:r>
    </w:p>
    <w:p>
      <w:pPr>
        <w:pStyle w:val="Compact"/>
        <w:numPr>
          <w:ilvl w:val="0"/>
          <w:numId w:val="1006"/>
        </w:numPr>
      </w:pPr>
      <w:r>
        <w:t xml:space="preserve">Where the A-Mab worst case predicted within the NOR is worse than the platform worst case, the prediction bound of a single batch replaces the platform value. Every criterion upstream of that step is recalculated with it and becomes stricter.</w:t>
      </w:r>
    </w:p>
    <w:p>
      <w:pPr>
        <w:pStyle w:val="Compact"/>
        <w:numPr>
          <w:ilvl w:val="0"/>
          <w:numId w:val="1006"/>
        </w:numPr>
      </w:pPr>
      <w:r>
        <w:t xml:space="preserve">Where the prediction bound of a single batch is better than the platform value, and the response-surface model behind it meets the adequacy criteria of</w:t>
      </w:r>
      <w:r>
        <w:t xml:space="preserve"> </w:t>
      </w:r>
      <w:hyperlink w:anchor="sec-acc-model">
        <w:r>
          <w:rPr>
            <w:rStyle w:val="Hyperlink"/>
          </w:rPr>
          <w:t xml:space="preserve">Section 7.2</w:t>
        </w:r>
      </w:hyperlink>
      <w:r>
        <w:t xml:space="preserve">, the bound replaces the platform value. Every criterion upstream of that step is recalculated with it and becomes wider.</w:t>
      </w:r>
    </w:p>
    <w:p>
      <w:pPr>
        <w:pStyle w:val="Compact"/>
        <w:numPr>
          <w:ilvl w:val="0"/>
          <w:numId w:val="1006"/>
        </w:numPr>
      </w:pPr>
      <w:r>
        <w:t xml:space="preserve">Otherwise the platform value stands.</w:t>
      </w:r>
    </w:p>
    <w:p>
      <w:pPr>
        <w:pStyle w:val="FirstParagraph"/>
      </w:pPr>
      <w:r>
        <w:t xml:space="preserve">In both directions the bound, on its unfavourable side, replaces the platform value, and the point prediction never does.</w:t>
      </w:r>
    </w:p>
    <w:p>
      <w:pPr>
        <w:pStyle w:val="BodyText"/>
      </w:pPr>
      <w:r>
        <w:t xml:space="preserve">Every change of a criterion is argued by its risk. A report whose verification tightens or widens a criterion gives that argument in four parts.</w:t>
      </w:r>
    </w:p>
    <w:p>
      <w:pPr>
        <w:pStyle w:val="Compact"/>
        <w:numPr>
          <w:ilvl w:val="0"/>
          <w:numId w:val="1007"/>
        </w:numPr>
      </w:pPr>
      <w:r>
        <w:t xml:space="preserve">The report states who bears the risk of the change, the patient or the producer.</w:t>
      </w:r>
    </w:p>
    <w:p>
      <w:pPr>
        <w:pStyle w:val="Compact"/>
        <w:numPr>
          <w:ilvl w:val="0"/>
          <w:numId w:val="1007"/>
        </w:numPr>
      </w:pPr>
      <w:r>
        <w:t xml:space="preserve">The report states whether an excursion of the step output beyond the changed criterion would be detected, and where, by an in-process test or by a release test.</w:t>
      </w:r>
    </w:p>
    <w:p>
      <w:pPr>
        <w:pStyle w:val="Compact"/>
        <w:numPr>
          <w:ilvl w:val="0"/>
          <w:numId w:val="1007"/>
        </w:numPr>
      </w:pPr>
      <w:r>
        <w:t xml:space="preserve">The report states what the downstream steps must then clear.</w:t>
      </w:r>
    </w:p>
    <w:p>
      <w:pPr>
        <w:pStyle w:val="Compact"/>
        <w:numPr>
          <w:ilvl w:val="0"/>
          <w:numId w:val="1007"/>
        </w:numPr>
      </w:pPr>
      <w:r>
        <w:t xml:space="preserve">The report gives the probability of an out-of-specification drug substance from the integrated model (</w:t>
      </w:r>
      <w:hyperlink w:anchor="sec-capability">
        <w:r>
          <w:rPr>
            <w:rStyle w:val="Hyperlink"/>
          </w:rPr>
          <w:t xml:space="preserve">Section 6.5</w:t>
        </w:r>
      </w:hyperlink>
      <w:r>
        <w:t xml:space="preserve">).</w:t>
      </w:r>
    </w:p>
    <w:p>
      <w:pPr>
        <w:pStyle w:val="FirstParagraph"/>
      </w:pPr>
      <w:r>
        <w:t xml:space="preserve">A report that relies on a widened criterion also gives the bound, the runs behind it, and the reason why the performance of the downstream step for A-Mab is known well enough to replace the platform value. The rule was written into this plan before any Version 2.0 step report used it. This reissue of the plan also records what the rule gave, in</w:t>
      </w:r>
      <w:r>
        <w:t xml:space="preserve"> </w:t>
      </w:r>
      <w:hyperlink w:anchor="sec-iac">
        <w:r>
          <w:rPr>
            <w:rStyle w:val="Hyperlink"/>
          </w:rPr>
          <w:t xml:space="preserve">Section 7.3</w:t>
        </w:r>
      </w:hyperlink>
      <w:r>
        <w:t xml:space="preserve"> </w:t>
      </w:r>
      <w:r>
        <w:t xml:space="preserve">and below.</w:t>
      </w:r>
    </w:p>
    <w:p>
      <w:pPr>
        <w:pStyle w:val="BodyText"/>
      </w:pPr>
      <w:r>
        <w:t xml:space="preserve">The criteria assume 9 platform worst cases. Of these, 7 are responses of the response-surface designs of low-pH viral inactivation, cation exchange and anion exchange, and they can be checked. The other 2 are the leached Protein A clearance of cation exchange and of anion exchange. Leached Protein A is not a response of those designs, so the platform values stand. The prediction bound of a single batch was better than the platform worst case for the aggregate increase of low-pH viral inactivation and the host cell protein clearance of anion exchange, and these bounds replaced the platform values. The platform worst cases of the low-pH hold are increases over a hold of 180 min. The A-Mab bound is the increase within the hold-time NOR as characterized, which ends at 120 min. For aggregate, the largest increase measured at the edges of the range studied, which include a hold of 180 min, is 0.84 percentage points, above the platform value of 0.70. Its replacement therefore reflects the shorter hold of A-Mab, not a more stable product. The criteria calculated with this bound are still right, because routine manufacture never holds longer than the NOR.</w:t>
      </w:r>
    </w:p>
    <w:p>
      <w:pPr>
        <w:pStyle w:val="BodyText"/>
      </w:pPr>
      <w:r>
        <w:t xml:space="preserve">For the acidic variants increase of low-pH viral inactivation the prediction bound of a single batch was also better, but the model does not meet the model adequacy criteria, so the platform values stand. For the fragments increase of low-pH viral inactivation, the host cell protein clearance of cation exchange and the fragments clearance of cation exchange, the predicted worst case confirmed the platform worst case, but the prediction bound of a single batch is not better than it, so the platform values stand. Verification found that the aggregate clearance of cation exchange within its NOR is lower than the platform worst case. That tightened the aggregate criteria upstream of cation exchange (</w:t>
      </w:r>
      <w:hyperlink w:anchor="sec-iac">
        <w:r>
          <w:rPr>
            <w:rStyle w:val="Hyperlink"/>
          </w:rPr>
          <w:t xml:space="preserve">Section 7.3</w:t>
        </w:r>
      </w:hyperlink>
      <w:r>
        <w:t xml:space="preserve">). The cation exchange report PCR-007 gives the values and their analysis.</w:t>
      </w:r>
    </w:p>
    <w:bookmarkEnd w:id="49"/>
    <w:bookmarkStart w:id="50"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9</w:t>
        </w:r>
      </w:hyperlink>
      <w:r>
        <w:t xml:space="preserve"> </w:t>
      </w:r>
      <w:r>
        <w:t xml:space="preserve">defines one, and the drug substance criterion otherwise. A parameter that affects several attributes has a PAR for each, and the range carried into the control strategy is their intersection. Where the output does not meet its criterion even at the set-point, the PCR-00N reports that no PAR exists for the attribute and states the consequence for the NOR.</w:t>
      </w:r>
    </w:p>
    <w:p>
      <w:pPr>
        <w:pStyle w:val="BodyText"/>
      </w:pPr>
      <w:r>
        <w:t xml:space="preserve">A PAR that reaches the edge of the characterized range is reported as reaching it, and no claim is made beyond it.</w:t>
      </w:r>
    </w:p>
    <w:bookmarkEnd w:id="50"/>
    <w:bookmarkStart w:id="51" w:name="sec-classification"/>
    <w:p>
      <w:pPr>
        <w:pStyle w:val="Heading2"/>
      </w:pPr>
      <w:r>
        <w:t xml:space="preserve">7.7 Parameter classification</w:t>
      </w:r>
    </w:p>
    <w:p>
      <w:pPr>
        <w:pStyle w:val="FirstParagraph"/>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8"/>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8"/>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8"/>
        </w:numPr>
      </w:pPr>
      <w:r>
        <w:t xml:space="preserve">A key process parameter (KPP) affects process performance, such as yield or concentration, and has no effect on a CQA within its range.</w:t>
      </w:r>
    </w:p>
    <w:p>
      <w:pPr>
        <w:pStyle w:val="Compact"/>
        <w:numPr>
          <w:ilvl w:val="0"/>
          <w:numId w:val="1008"/>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1 CPP, 20 WC-CPP, 10 KPP and 6 GPP, and is consolidated in PCMR-001.</w:t>
      </w:r>
    </w:p>
    <w:bookmarkEnd w:id="51"/>
    <w:bookmarkStart w:id="53" w:name="sec-fragments"/>
    <w:p>
      <w:pPr>
        <w:pStyle w:val="Heading2"/>
      </w:pPr>
      <w:r>
        <w:t xml:space="preserve">7.8 Method for fragments</w:t>
      </w:r>
    </w:p>
    <w:p>
      <w:pPr>
        <w:pStyle w:val="FirstParagraph"/>
      </w:pPr>
      <w:r>
        <w:t xml:space="preserve">From 2026-03-20, fragments are measured by nrCE-SDS (AMV-3020, under SOP-3015) in every study at every step. This follows the decision to change the fragment method to nrCE-SDS (AMD-001). One method across the train is needed because fragment results are compared across steps, and a comparison between two methods would mix method bias with step performance. Designs executed before that date measured fragments by SEC (</w:t>
      </w:r>
      <w:hyperlink w:anchor="tbl-methods-by-study">
        <w:r>
          <w:rPr>
            <w:rStyle w:val="Hyperlink"/>
          </w:rPr>
          <w:t xml:space="preserve">Table 11</w:t>
        </w:r>
      </w:hyperlink>
      <w:r>
        <w:t xml:space="preserve">). The screening designs of Protein A, low-pH viral inactivation and cation exchange and the invalidated first execution of the anion exchange design have SEC results only. The response-surface designs of Protein A and low-pH viral inactivation were measured by SEC, and their retained samples were later re-tested by nrCE-SDS. The cation exchange response-surface design ran across the decision date and measured fragments by both methods on every run.</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11</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w:t>
      </w:r>
    </w:p>
    <w:tbl>
      <w:tblPr>
        <w:tblStyle w:val="Table"/>
        <w:tblW w:type="pct" w:w="5000"/>
        <w:tblLayout w:type="fixed"/>
        <w:tblLook w:firstRow="0" w:lastRow="0" w:firstColumn="0" w:lastColumn="0" w:noHBand="0" w:noVBand="0" w:val="0000"/>
      </w:tblPr>
      <w:tblGrid>
        <w:gridCol w:w="7920"/>
      </w:tblGrid>
      <w:tr>
        <w:tc>
          <w:tcPr/>
          <w:bookmarkStart w:id="52" w:name="tbl-methods-by-study"/>
          <w:p>
            <w:pPr>
              <w:jc w:val="center"/>
            </w:pPr>
            <w:pPr>
              <w:jc w:val="start"/>
              <w:spacing w:before="200"/>
              <w:pStyle w:val="ImageCaption"/>
            </w:pPr>
            <w:r>
              <w:t xml:space="preserve">Table 11: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52"/>
          <w:p/>
        </w:tc>
      </w:tr>
    </w:tbl>
    <w:bookmarkEnd w:id="53"/>
    <w:bookmarkStart w:id="54"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9"/>
        </w:numPr>
      </w:pPr>
      <w:r>
        <w:t xml:space="preserve">A Cpk of at least 1.33 is expected of a CQA in routine manufacture. At that value the nearest limit lies 3.99 standard deviations from the process mean, and a normal process would put about 33 batches per million beyond that limit.</w:t>
      </w:r>
    </w:p>
    <w:p>
      <w:pPr>
        <w:pStyle w:val="Compact"/>
        <w:numPr>
          <w:ilvl w:val="0"/>
          <w:numId w:val="1009"/>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4"/>
    <w:bookmarkEnd w:id="55"/>
    <w:bookmarkStart w:id="57" w:name="sec-register"/>
    <w:p>
      <w:pPr>
        <w:pStyle w:val="Heading1"/>
      </w:pPr>
      <w:r>
        <w:t xml:space="preserve">8. Register of characterization plans</w:t>
      </w:r>
    </w:p>
    <w:p>
      <w:pPr>
        <w:pStyle w:val="FirstParagraph"/>
      </w:pPr>
      <w:hyperlink w:anchor="tbl-plans">
        <w:r>
          <w:rPr>
            <w:rStyle w:val="Hyperlink"/>
          </w:rPr>
          <w:t xml:space="preserve">Table 12</w:t>
        </w:r>
      </w:hyperlink>
      <w:r>
        <w:t xml:space="preserve"> </w:t>
      </w:r>
      <w:r>
        <w:t xml:space="preserve">lists the step plans that apply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6" w:name="tbl-plans"/>
          <w:p>
            <w:pPr>
              <w:jc w:val="center"/>
            </w:pPr>
            <w:pPr>
              <w:jc w:val="start"/>
              <w:spacing w:before="200"/>
              <w:pStyle w:val="ImageCaption"/>
            </w:pPr>
            <w:r>
              <w:t xml:space="preserve">Table 12: Process Characterization Plans under PCMP-001.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Subject</w:t>
                  </w:r>
                </w:p>
              </w:tc>
              <w:tc>
                <w:tcPr/>
                <w:p>
                  <w:pPr>
                    <w:pStyle w:val="Compact"/>
                    <w:jc w:val="center"/>
                  </w:pPr>
                  <w:r>
                    <w:t xml:space="preserve">Study type</w:t>
                  </w:r>
                </w:p>
              </w:tc>
              <w:tc>
                <w:tcPr/>
                <w:p>
                  <w:pPr>
                    <w:pStyle w:val="Compact"/>
                    <w:jc w:val="center"/>
                  </w:pPr>
                  <w:r>
                    <w:t xml:space="preserve">Paired report</w:t>
                  </w:r>
                </w:p>
              </w:tc>
            </w:tr>
            <w:tr>
              <w:tc>
                <w:tcPr/>
                <w:p>
                  <w:pPr>
                    <w:pStyle w:val="Compact"/>
                    <w:jc w:val="center"/>
                  </w:pPr>
                  <w:r>
                    <w:t xml:space="preserve">PCP-003</w:t>
                  </w:r>
                </w:p>
              </w:tc>
              <w:tc>
                <w:tcPr/>
                <w:p>
                  <w:pPr>
                    <w:pStyle w:val="Compact"/>
                    <w:jc w:val="center"/>
                  </w:pPr>
                  <w:r>
                    <w:t xml:space="preserve">Production Bioreactor (Step 3)</w:t>
                  </w:r>
                </w:p>
              </w:tc>
              <w:tc>
                <w:tcPr/>
                <w:p>
                  <w:pPr>
                    <w:pStyle w:val="Compact"/>
                    <w:jc w:val="center"/>
                  </w:pPr>
                  <w:r>
                    <w:t xml:space="preserve">screening and response surface</w:t>
                  </w:r>
                </w:p>
              </w:tc>
              <w:tc>
                <w:tcPr/>
                <w:p>
                  <w:pPr>
                    <w:pStyle w:val="Compact"/>
                    <w:jc w:val="center"/>
                  </w:pPr>
                  <w:r>
                    <w:t xml:space="preserve">PCR-003</w:t>
                  </w:r>
                </w:p>
              </w:tc>
            </w:tr>
            <w:tr>
              <w:tc>
                <w:tcPr/>
                <w:p>
                  <w:pPr>
                    <w:pStyle w:val="Compact"/>
                    <w:jc w:val="center"/>
                  </w:pPr>
                  <w:r>
                    <w:t xml:space="preserve">PCP-004</w:t>
                  </w:r>
                </w:p>
              </w:tc>
              <w:tc>
                <w:tcPr/>
                <w:p>
                  <w:pPr>
                    <w:pStyle w:val="Compact"/>
                    <w:jc w:val="center"/>
                  </w:pPr>
                  <w:r>
                    <w:t xml:space="preserve">Harvest and Clarification (Step 4)</w:t>
                  </w:r>
                </w:p>
              </w:tc>
              <w:tc>
                <w:tcPr/>
                <w:p>
                  <w:pPr>
                    <w:pStyle w:val="Compact"/>
                    <w:jc w:val="center"/>
                  </w:pPr>
                  <w:r>
                    <w:t xml:space="preserve">univariate and qualitative</w:t>
                  </w:r>
                </w:p>
              </w:tc>
              <w:tc>
                <w:tcPr/>
                <w:p>
                  <w:pPr>
                    <w:pStyle w:val="Compact"/>
                    <w:jc w:val="center"/>
                  </w:pPr>
                  <w:r>
                    <w:t xml:space="preserve">PCR-004</w:t>
                  </w:r>
                </w:p>
              </w:tc>
            </w:tr>
            <w:tr>
              <w:tc>
                <w:tcPr/>
                <w:p>
                  <w:pPr>
                    <w:pStyle w:val="Compact"/>
                    <w:jc w:val="center"/>
                  </w:pPr>
                  <w:r>
                    <w:t xml:space="preserve">PCP-005</w:t>
                  </w:r>
                </w:p>
              </w:tc>
              <w:tc>
                <w:tcPr/>
                <w:p>
                  <w:pPr>
                    <w:pStyle w:val="Compact"/>
                    <w:jc w:val="center"/>
                  </w:pPr>
                  <w:r>
                    <w:t xml:space="preserve">Protein A Chromatography (Step 5)</w:t>
                  </w:r>
                </w:p>
              </w:tc>
              <w:tc>
                <w:tcPr/>
                <w:p>
                  <w:pPr>
                    <w:pStyle w:val="Compact"/>
                    <w:jc w:val="center"/>
                  </w:pPr>
                  <w:r>
                    <w:t xml:space="preserve">screening and response surface</w:t>
                  </w:r>
                </w:p>
              </w:tc>
              <w:tc>
                <w:tcPr/>
                <w:p>
                  <w:pPr>
                    <w:pStyle w:val="Compact"/>
                    <w:jc w:val="center"/>
                  </w:pPr>
                  <w:r>
                    <w:t xml:space="preserve">PCR-005</w:t>
                  </w:r>
                </w:p>
              </w:tc>
            </w:tr>
            <w:tr>
              <w:tc>
                <w:tcPr/>
                <w:p>
                  <w:pPr>
                    <w:pStyle w:val="Compact"/>
                    <w:jc w:val="center"/>
                  </w:pPr>
                  <w:r>
                    <w:t xml:space="preserve">PCP-006</w:t>
                  </w:r>
                </w:p>
              </w:tc>
              <w:tc>
                <w:tcPr/>
                <w:p>
                  <w:pPr>
                    <w:pStyle w:val="Compact"/>
                    <w:jc w:val="center"/>
                  </w:pPr>
                  <w:r>
                    <w:t xml:space="preserve">Low-pH Viral Inactivation (Step 6)</w:t>
                  </w:r>
                </w:p>
              </w:tc>
              <w:tc>
                <w:tcPr/>
                <w:p>
                  <w:pPr>
                    <w:pStyle w:val="Compact"/>
                    <w:jc w:val="center"/>
                  </w:pPr>
                  <w:r>
                    <w:t xml:space="preserve">screening and response surface</w:t>
                  </w:r>
                </w:p>
              </w:tc>
              <w:tc>
                <w:tcPr/>
                <w:p>
                  <w:pPr>
                    <w:pStyle w:val="Compact"/>
                    <w:jc w:val="center"/>
                  </w:pPr>
                  <w:r>
                    <w:t xml:space="preserve">PCR-006</w:t>
                  </w:r>
                </w:p>
              </w:tc>
            </w:tr>
            <w:tr>
              <w:tc>
                <w:tcPr/>
                <w:p>
                  <w:pPr>
                    <w:pStyle w:val="Compact"/>
                    <w:jc w:val="center"/>
                  </w:pPr>
                  <w:r>
                    <w:t xml:space="preserve">PCP-007</w:t>
                  </w:r>
                </w:p>
              </w:tc>
              <w:tc>
                <w:tcPr/>
                <w:p>
                  <w:pPr>
                    <w:pStyle w:val="Compact"/>
                    <w:jc w:val="center"/>
                  </w:pPr>
                  <w:r>
                    <w:t xml:space="preserve">Cation Exchange Chromatography (Step 7)</w:t>
                  </w:r>
                </w:p>
              </w:tc>
              <w:tc>
                <w:tcPr/>
                <w:p>
                  <w:pPr>
                    <w:pStyle w:val="Compact"/>
                    <w:jc w:val="center"/>
                  </w:pPr>
                  <w:r>
                    <w:t xml:space="preserve">screening and response surface</w:t>
                  </w:r>
                </w:p>
              </w:tc>
              <w:tc>
                <w:tcPr/>
                <w:p>
                  <w:pPr>
                    <w:pStyle w:val="Compact"/>
                    <w:jc w:val="center"/>
                  </w:pPr>
                  <w:r>
                    <w:t xml:space="preserve">PCR-007</w:t>
                  </w:r>
                </w:p>
              </w:tc>
            </w:tr>
            <w:tr>
              <w:tc>
                <w:tcPr/>
                <w:p>
                  <w:pPr>
                    <w:pStyle w:val="Compact"/>
                    <w:jc w:val="center"/>
                  </w:pPr>
                  <w:r>
                    <w:t xml:space="preserve">PCP-008</w:t>
                  </w:r>
                </w:p>
              </w:tc>
              <w:tc>
                <w:tcPr/>
                <w:p>
                  <w:pPr>
                    <w:pStyle w:val="Compact"/>
                    <w:jc w:val="center"/>
                  </w:pPr>
                  <w:r>
                    <w:t xml:space="preserve">Anion Exchange Chromatography (Step 8)</w:t>
                  </w:r>
                </w:p>
              </w:tc>
              <w:tc>
                <w:tcPr/>
                <w:p>
                  <w:pPr>
                    <w:pStyle w:val="Compact"/>
                    <w:jc w:val="center"/>
                  </w:pPr>
                  <w:r>
                    <w:t xml:space="preserve">screening and response surface</w:t>
                  </w:r>
                </w:p>
              </w:tc>
              <w:tc>
                <w:tcPr/>
                <w:p>
                  <w:pPr>
                    <w:pStyle w:val="Compact"/>
                    <w:jc w:val="center"/>
                  </w:pPr>
                  <w:r>
                    <w:t xml:space="preserve">PCR-008</w:t>
                  </w:r>
                </w:p>
              </w:tc>
            </w:tr>
            <w:tr>
              <w:tc>
                <w:tcPr/>
                <w:p>
                  <w:pPr>
                    <w:pStyle w:val="Compact"/>
                    <w:jc w:val="center"/>
                  </w:pPr>
                  <w:r>
                    <w:t xml:space="preserve">PCP-009</w:t>
                  </w:r>
                </w:p>
              </w:tc>
              <w:tc>
                <w:tcPr/>
                <w:p>
                  <w:pPr>
                    <w:pStyle w:val="Compact"/>
                    <w:jc w:val="center"/>
                  </w:pPr>
                  <w:r>
                    <w:t xml:space="preserve">Small-Virus Retentive Filtration (Step 9)</w:t>
                  </w:r>
                </w:p>
              </w:tc>
              <w:tc>
                <w:tcPr/>
                <w:p>
                  <w:pPr>
                    <w:pStyle w:val="Compact"/>
                    <w:jc w:val="center"/>
                  </w:pPr>
                  <w:r>
                    <w:t xml:space="preserve">screening and response surface</w:t>
                  </w:r>
                </w:p>
              </w:tc>
              <w:tc>
                <w:tcPr/>
                <w:p>
                  <w:pPr>
                    <w:pStyle w:val="Compact"/>
                    <w:jc w:val="center"/>
                  </w:pPr>
                  <w:r>
                    <w:t xml:space="preserve">PCR-009</w:t>
                  </w:r>
                </w:p>
              </w:tc>
            </w:tr>
            <w:tr>
              <w:tc>
                <w:tcPr/>
                <w:p>
                  <w:pPr>
                    <w:pStyle w:val="Compact"/>
                    <w:jc w:val="center"/>
                  </w:pPr>
                  <w:r>
                    <w:t xml:space="preserve">PCP-010</w:t>
                  </w:r>
                </w:p>
              </w:tc>
              <w:tc>
                <w:tcPr/>
                <w:p>
                  <w:pPr>
                    <w:pStyle w:val="Compact"/>
                    <w:jc w:val="center"/>
                  </w:pPr>
                  <w:r>
                    <w:t xml:space="preserve">Ultrafiltration / Diafiltration (Step 10)</w:t>
                  </w:r>
                </w:p>
              </w:tc>
              <w:tc>
                <w:tcPr/>
                <w:p>
                  <w:pPr>
                    <w:pStyle w:val="Compact"/>
                    <w:jc w:val="center"/>
                  </w:pPr>
                  <w:r>
                    <w:t xml:space="preserve">univariate and qualitative</w:t>
                  </w:r>
                </w:p>
              </w:tc>
              <w:tc>
                <w:tcPr/>
                <w:p>
                  <w:pPr>
                    <w:pStyle w:val="Compact"/>
                    <w:jc w:val="center"/>
                  </w:pPr>
                  <w:r>
                    <w:t xml:space="preserve">PCR-010</w:t>
                  </w:r>
                </w:p>
              </w:tc>
            </w:tr>
          </w:tbl>
          <w:bookmarkEnd w:id="56"/>
          <w:p/>
        </w:tc>
      </w:tr>
    </w:tbl>
    <w:p>
      <w:pPr>
        <w:pStyle w:val="BodyText"/>
      </w:pPr>
      <w:r>
        <w:t xml:space="preserve">Each step plan has the same sections, for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7"/>
    <w:bookmarkStart w:id="59"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10"/>
        </w:numPr>
      </w:pPr>
      <w:r>
        <w:t xml:space="preserve">One PCP-00N and one PCR-00N for each of the 8 steps, each report paired with its plan.</w:t>
      </w:r>
    </w:p>
    <w:p>
      <w:pPr>
        <w:pStyle w:val="Compact"/>
        <w:numPr>
          <w:ilvl w:val="0"/>
          <w:numId w:val="1010"/>
        </w:numPr>
      </w:pPr>
      <w:r>
        <w:t xml:space="preserve">PCMR-001, which consolidates the reports into the design spaces, the PARs, the parameter classes, the capability of the drug substance and the control strategy.</w:t>
      </w:r>
    </w:p>
    <w:p>
      <w:pPr>
        <w:pStyle w:val="Compact"/>
        <w:numPr>
          <w:ilvl w:val="0"/>
          <w:numId w:val="1010"/>
        </w:numPr>
      </w:pPr>
      <w:r>
        <w:t xml:space="preserve">A ground-truth annex for each controlled document, built from the same data as the document.</w:t>
      </w:r>
    </w:p>
    <w:p>
      <w:pPr>
        <w:pStyle w:val="FirstParagraph"/>
      </w:pPr>
      <w:r>
        <w:t xml:space="preserve">In Version 1.0 each step plan was approved before the first characterization run of its step, and each report after the data of all its studies were complete. PCMR-001 is written last.</w:t>
      </w:r>
    </w:p>
    <w:p>
      <w:pPr>
        <w:pStyle w:val="BodyText"/>
      </w:pPr>
      <w:hyperlink w:anchor="tbl-chronology">
        <w:r>
          <w:rPr>
            <w:rStyle w:val="Hyperlink"/>
          </w:rPr>
          <w:t xml:space="preserve">Table 13</w:t>
        </w:r>
      </w:hyperlink>
      <w:r>
        <w:t xml:space="preserve"> </w:t>
      </w:r>
      <w:r>
        <w:t xml:space="preserve">records the execution window of every study, in order of start. The campaign ran from 2025-08-11 to 2026-09-11 across 31 studies. Some steps were studied in parallel, because their scale-down models are independent of each other. The first execution of the anion exchange design (S-AEX-SUP) was invalidated under deviation DEV-008-01, because its load material had been deamidated during an extended hold after neutralization and did not represent the process. The design was re-executed as S-AEX-SCR and S-AEX-RSM.</w:t>
      </w:r>
    </w:p>
    <w:tbl>
      <w:tblPr>
        <w:tblStyle w:val="Table"/>
        <w:tblW w:type="pct" w:w="5000"/>
        <w:tblLayout w:type="fixed"/>
        <w:tblLook w:firstRow="0" w:lastRow="0" w:firstColumn="0" w:lastColumn="0" w:noHBand="0" w:noVBand="0" w:val="0000"/>
      </w:tblPr>
      <w:tblGrid>
        <w:gridCol w:w="7920"/>
      </w:tblGrid>
      <w:tr>
        <w:tc>
          <w:tcPr/>
          <w:bookmarkStart w:id="58" w:name="tbl-chronology"/>
          <w:p>
            <w:pPr>
              <w:jc w:val="center"/>
            </w:pPr>
            <w:pPr>
              <w:jc w:val="start"/>
              <w:spacing w:before="200"/>
              <w:pStyle w:val="ImageCaption"/>
            </w:pPr>
            <w:r>
              <w:t xml:space="preserve">Table 13: Execution window of every characterization 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Step</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S-BRX-SDM</w:t>
                  </w:r>
                </w:p>
              </w:tc>
              <w:tc>
                <w:tcPr/>
                <w:p>
                  <w:pPr>
                    <w:pStyle w:val="Compact"/>
                    <w:jc w:val="center"/>
                  </w:pPr>
                  <w:r>
                    <w:t xml:space="preserve">Production Bioreactor</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r>
            <w:tr>
              <w:tc>
                <w:tcPr/>
                <w:p>
                  <w:pPr>
                    <w:pStyle w:val="Compact"/>
                    <w:jc w:val="center"/>
                  </w:pPr>
                  <w:r>
                    <w:t xml:space="preserve">S-BRX-SCR</w:t>
                  </w:r>
                </w:p>
              </w:tc>
              <w:tc>
                <w:tcPr/>
                <w:p>
                  <w:pPr>
                    <w:pStyle w:val="Compact"/>
                    <w:jc w:val="center"/>
                  </w:pPr>
                  <w:r>
                    <w:t xml:space="preserve">Production Bioreactor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r>
            <w:tr>
              <w:tc>
                <w:tcPr/>
                <w:p>
                  <w:pPr>
                    <w:pStyle w:val="Compact"/>
                    <w:jc w:val="center"/>
                  </w:pPr>
                  <w:r>
                    <w:t xml:space="preserve">S-BRX-UNI</w:t>
                  </w:r>
                </w:p>
              </w:tc>
              <w:tc>
                <w:tcPr/>
                <w:p>
                  <w:pPr>
                    <w:pStyle w:val="Compact"/>
                    <w:jc w:val="center"/>
                  </w:pPr>
                  <w:r>
                    <w:t xml:space="preserve">Production Bioreactor</w:t>
                  </w:r>
                </w:p>
              </w:tc>
              <w:tc>
                <w:tcPr/>
                <w:p>
                  <w:pPr>
                    <w:pStyle w:val="Compact"/>
                    <w:jc w:val="center"/>
                  </w:pPr>
                  <w:r>
                    <w:t xml:space="preserve">univariate</w:t>
                  </w:r>
                </w:p>
              </w:tc>
              <w:tc>
                <w:tcPr/>
                <w:p>
                  <w:pPr>
                    <w:pStyle w:val="Compact"/>
                    <w:jc w:val="center"/>
                  </w:pPr>
                  <w:r>
                    <w:t xml:space="preserve">2025-10-06</w:t>
                  </w:r>
                </w:p>
              </w:tc>
              <w:tc>
                <w:tcPr/>
                <w:p>
                  <w:pPr>
                    <w:pStyle w:val="Compact"/>
                    <w:jc w:val="center"/>
                  </w:pPr>
                  <w:r>
                    <w:t xml:space="preserve">2025-10-31</w:t>
                  </w:r>
                </w:p>
              </w:tc>
            </w:tr>
            <w:tr>
              <w:tc>
                <w:tcPr/>
                <w:p>
                  <w:pPr>
                    <w:pStyle w:val="Compact"/>
                    <w:jc w:val="center"/>
                  </w:pPr>
                  <w:r>
                    <w:t xml:space="preserve">S-BRX-RSM</w:t>
                  </w:r>
                </w:p>
              </w:tc>
              <w:tc>
                <w:tcPr/>
                <w:p>
                  <w:pPr>
                    <w:pStyle w:val="Compact"/>
                    <w:jc w:val="center"/>
                  </w:pPr>
                  <w:r>
                    <w:t xml:space="preserve">Production Bioreactor</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r>
            <w:tr>
              <w:tc>
                <w:tcPr/>
                <w:p>
                  <w:pPr>
                    <w:pStyle w:val="Compact"/>
                    <w:jc w:val="center"/>
                  </w:pPr>
                  <w:r>
                    <w:t xml:space="preserve">S-HAR-UNI</w:t>
                  </w:r>
                </w:p>
              </w:tc>
              <w:tc>
                <w:tcPr/>
                <w:p>
                  <w:pPr>
                    <w:pStyle w:val="Compact"/>
                    <w:jc w:val="center"/>
                  </w:pPr>
                  <w:r>
                    <w:t xml:space="preserve">Harvest and Clarification</w:t>
                  </w:r>
                </w:p>
              </w:tc>
              <w:tc>
                <w:tcPr/>
                <w:p>
                  <w:pPr>
                    <w:pStyle w:val="Compact"/>
                    <w:jc w:val="center"/>
                  </w:pPr>
                  <w:r>
                    <w:t xml:space="preserve">univariate</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S-PA-SDM</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Protein A Chromatography</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Protein A Chromatography</w:t>
                  </w:r>
                </w:p>
              </w:tc>
              <w:tc>
                <w:tcPr/>
                <w:p>
                  <w:pPr>
                    <w:pStyle w:val="Compact"/>
                    <w:jc w:val="center"/>
                  </w:pPr>
                  <w:r>
                    <w:t xml:space="preserve">univariate</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S-VI-SDM</w:t>
                  </w:r>
                </w:p>
              </w:tc>
              <w:tc>
                <w:tcPr/>
                <w:p>
                  <w:pPr>
                    <w:pStyle w:val="Compact"/>
                    <w:jc w:val="center"/>
                  </w:pPr>
                  <w:r>
                    <w:t xml:space="preserve">Low-pH Viral Inactivation</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S-PA-RSM</w:t>
                  </w:r>
                </w:p>
              </w:tc>
              <w:tc>
                <w:tcPr/>
                <w:p>
                  <w:pPr>
                    <w:pStyle w:val="Compact"/>
                    <w:jc w:val="center"/>
                  </w:pPr>
                  <w:r>
                    <w:t xml:space="preserve">Protein A Chromatography</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S-VI-SCR</w:t>
                  </w:r>
                </w:p>
              </w:tc>
              <w:tc>
                <w:tcPr/>
                <w:p>
                  <w:pPr>
                    <w:pStyle w:val="Compact"/>
                    <w:jc w:val="center"/>
                  </w:pPr>
                  <w:r>
                    <w:t xml:space="preserve">Low-pH Viral Inactivation</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p>
                  <w:pPr>
                    <w:pStyle w:val="Compact"/>
                    <w:jc w:val="center"/>
                  </w:pPr>
                  <w:r>
                    <w:t xml:space="preserve">S-VI-RSM</w:t>
                  </w:r>
                </w:p>
              </w:tc>
              <w:tc>
                <w:tcPr/>
                <w:p>
                  <w:pPr>
                    <w:pStyle w:val="Compact"/>
                    <w:jc w:val="center"/>
                  </w:pPr>
                  <w:r>
                    <w:t xml:space="preserve">Low-pH Viral Inactivation</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p>
                  <w:pPr>
                    <w:pStyle w:val="Compact"/>
                    <w:jc w:val="center"/>
                  </w:pPr>
                  <w:r>
                    <w:t xml:space="preserve">S-VI-UNI</w:t>
                  </w:r>
                </w:p>
              </w:tc>
              <w:tc>
                <w:tcPr/>
                <w:p>
                  <w:pPr>
                    <w:pStyle w:val="Compact"/>
                    <w:jc w:val="center"/>
                  </w:pPr>
                  <w:r>
                    <w:t xml:space="preserve">Low-pH Viral Inactivation</w:t>
                  </w:r>
                </w:p>
              </w:tc>
              <w:tc>
                <w:tcPr/>
                <w:p>
                  <w:pPr>
                    <w:pStyle w:val="Compact"/>
                    <w:jc w:val="center"/>
                  </w:pPr>
                  <w:r>
                    <w:t xml:space="preserve">univariate</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S-AEX-SDM</w:t>
                  </w:r>
                </w:p>
              </w:tc>
              <w:tc>
                <w:tcPr/>
                <w:p>
                  <w:pPr>
                    <w:pStyle w:val="Compact"/>
                    <w:jc w:val="center"/>
                  </w:pPr>
                  <w:r>
                    <w:t xml:space="preserve">Anion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S-CEX-SDM</w:t>
                  </w:r>
                </w:p>
              </w:tc>
              <w:tc>
                <w:tcPr/>
                <w:p>
                  <w:pPr>
                    <w:pStyle w:val="Compact"/>
                    <w:jc w:val="center"/>
                  </w:pPr>
                  <w:r>
                    <w:t xml:space="preserve">Cation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Anion Exchange Chromatography</w:t>
                  </w:r>
                </w:p>
              </w:tc>
              <w:tc>
                <w:tcPr/>
                <w:p>
                  <w:pPr>
                    <w:pStyle w:val="Compact"/>
                    <w:jc w:val="center"/>
                  </w:pPr>
                  <w:r>
                    <w:t xml:space="preserve">first execution (invalidated)</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S-CEX-SCR</w:t>
                  </w:r>
                </w:p>
              </w:tc>
              <w:tc>
                <w:tcPr/>
                <w:p>
                  <w:pPr>
                    <w:pStyle w:val="Compact"/>
                    <w:jc w:val="center"/>
                  </w:pPr>
                  <w:r>
                    <w:t xml:space="preserve">Cation Exchange Chromatography</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S-UFDF-SDM</w:t>
                  </w:r>
                </w:p>
              </w:tc>
              <w:tc>
                <w:tcPr/>
                <w:p>
                  <w:pPr>
                    <w:pStyle w:val="Compact"/>
                    <w:jc w:val="center"/>
                  </w:pPr>
                  <w:r>
                    <w:t xml:space="preserve">Ultrafiltration / Diafiltration</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S-CEX-FRC</w:t>
                  </w:r>
                </w:p>
              </w:tc>
              <w:tc>
                <w:tcPr/>
                <w:p>
                  <w:pPr>
                    <w:pStyle w:val="Compact"/>
                    <w:jc w:val="center"/>
                  </w:pPr>
                  <w:r>
                    <w:t xml:space="preserve">Cation Exchange Chromatography</w:t>
                  </w:r>
                </w:p>
              </w:tc>
              <w:tc>
                <w:tcPr/>
                <w:p>
                  <w:pPr>
                    <w:pStyle w:val="Compact"/>
                    <w:jc w:val="center"/>
                  </w:pPr>
                  <w:r>
                    <w:t xml:space="preserve">method comparability</w:t>
                  </w:r>
                </w:p>
              </w:tc>
              <w:tc>
                <w:tcPr/>
                <w:p>
                  <w:pPr>
                    <w:pStyle w:val="Compact"/>
                    <w:jc w:val="center"/>
                  </w:pPr>
                  <w:r>
                    <w:t xml:space="preserve">2026-03-02</w:t>
                  </w:r>
                </w:p>
              </w:tc>
              <w:tc>
                <w:tcPr/>
                <w:p>
                  <w:pPr>
                    <w:pStyle w:val="Compact"/>
                    <w:jc w:val="center"/>
                  </w:pPr>
                  <w:r>
                    <w:t xml:space="preserve">2026-03-13</w:t>
                  </w:r>
                </w:p>
              </w:tc>
            </w:tr>
            <w:tr>
              <w:tc>
                <w:tcPr/>
                <w:p>
                  <w:pPr>
                    <w:pStyle w:val="Compact"/>
                    <w:jc w:val="center"/>
                  </w:pPr>
                  <w:r>
                    <w:t xml:space="preserve">S-CEX-RSM</w:t>
                  </w:r>
                </w:p>
              </w:tc>
              <w:tc>
                <w:tcPr/>
                <w:p>
                  <w:pPr>
                    <w:pStyle w:val="Compact"/>
                    <w:jc w:val="center"/>
                  </w:pPr>
                  <w:r>
                    <w:t xml:space="preserve">Cation Exchange Chromatography</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S-UFDF-UNI</w:t>
                  </w:r>
                </w:p>
              </w:tc>
              <w:tc>
                <w:tcPr/>
                <w:p>
                  <w:pPr>
                    <w:pStyle w:val="Compact"/>
                    <w:jc w:val="center"/>
                  </w:pPr>
                  <w:r>
                    <w:t xml:space="preserve">Ultrafiltration / Diafiltration</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r>
              <w:tc>
                <w:tcPr/>
                <w:p>
                  <w:pPr>
                    <w:pStyle w:val="Compact"/>
                    <w:jc w:val="center"/>
                  </w:pPr>
                  <w:r>
                    <w:t xml:space="preserve">S-CEX-UNI</w:t>
                  </w:r>
                </w:p>
              </w:tc>
              <w:tc>
                <w:tcPr/>
                <w:p>
                  <w:pPr>
                    <w:pStyle w:val="Compact"/>
                    <w:jc w:val="center"/>
                  </w:pPr>
                  <w:r>
                    <w:t xml:space="preserve">Cation Exchange Chromatography</w:t>
                  </w:r>
                </w:p>
              </w:tc>
              <w:tc>
                <w:tcPr/>
                <w:p>
                  <w:pPr>
                    <w:pStyle w:val="Compact"/>
                    <w:jc w:val="center"/>
                  </w:pPr>
                  <w:r>
                    <w:t xml:space="preserve">univariate</w:t>
                  </w:r>
                </w:p>
              </w:tc>
              <w:tc>
                <w:tcPr/>
                <w:p>
                  <w:pPr>
                    <w:pStyle w:val="Compact"/>
                    <w:jc w:val="center"/>
                  </w:pPr>
                  <w:r>
                    <w:t xml:space="preserve">2026-03-16</w:t>
                  </w:r>
                </w:p>
              </w:tc>
              <w:tc>
                <w:tcPr/>
                <w:p>
                  <w:pPr>
                    <w:pStyle w:val="Compact"/>
                    <w:jc w:val="center"/>
                  </w:pPr>
                  <w:r>
                    <w:t xml:space="preserve">2026-03-20</w:t>
                  </w:r>
                </w:p>
              </w:tc>
            </w:tr>
            <w:tr>
              <w:tc>
                <w:tcPr/>
                <w:p>
                  <w:pPr>
                    <w:pStyle w:val="Compact"/>
                    <w:jc w:val="center"/>
                  </w:pPr>
                  <w:r>
                    <w:t xml:space="preserve">S-AEX-SCR</w:t>
                  </w:r>
                </w:p>
              </w:tc>
              <w:tc>
                <w:tcPr/>
                <w:p>
                  <w:pPr>
                    <w:pStyle w:val="Compact"/>
                    <w:jc w:val="center"/>
                  </w:pPr>
                  <w:r>
                    <w:t xml:space="preserve">Anion Exchange Chromatography</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Anion Exchange Chromatography</w:t>
                  </w:r>
                </w:p>
              </w:tc>
              <w:tc>
                <w:tcPr/>
                <w:p>
                  <w:pPr>
                    <w:pStyle w:val="Compact"/>
                    <w:jc w:val="center"/>
                  </w:pPr>
                  <w:r>
                    <w:t xml:space="preserve">response-surface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S-PA-RET</w:t>
                  </w:r>
                </w:p>
              </w:tc>
              <w:tc>
                <w:tcPr/>
                <w:p>
                  <w:pPr>
                    <w:pStyle w:val="Compact"/>
                    <w:jc w:val="center"/>
                  </w:pPr>
                  <w:r>
                    <w:t xml:space="preserve">Protein A Chromatography</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S-VI-RET</w:t>
                  </w:r>
                </w:p>
              </w:tc>
              <w:tc>
                <w:tcPr/>
                <w:p>
                  <w:pPr>
                    <w:pStyle w:val="Compact"/>
                    <w:jc w:val="center"/>
                  </w:pPr>
                  <w:r>
                    <w:t xml:space="preserve">Low-pH Viral Inactivation</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S-AEX-UNI</w:t>
                  </w:r>
                </w:p>
              </w:tc>
              <w:tc>
                <w:tcPr/>
                <w:p>
                  <w:pPr>
                    <w:pStyle w:val="Compact"/>
                    <w:jc w:val="center"/>
                  </w:pPr>
                  <w:r>
                    <w:t xml:space="preserve">Anion Exchange Chromatography</w:t>
                  </w:r>
                </w:p>
              </w:tc>
              <w:tc>
                <w:tcPr/>
                <w:p>
                  <w:pPr>
                    <w:pStyle w:val="Compact"/>
                    <w:jc w:val="center"/>
                  </w:pPr>
                  <w:r>
                    <w:t xml:space="preserve">univariate</w:t>
                  </w:r>
                </w:p>
              </w:tc>
              <w:tc>
                <w:tcPr/>
                <w:p>
                  <w:pPr>
                    <w:pStyle w:val="Compact"/>
                    <w:jc w:val="center"/>
                  </w:pPr>
                  <w:r>
                    <w:t xml:space="preserve">2026-04-13</w:t>
                  </w:r>
                </w:p>
              </w:tc>
              <w:tc>
                <w:tcPr/>
                <w:p>
                  <w:pPr>
                    <w:pStyle w:val="Compact"/>
                    <w:jc w:val="center"/>
                  </w:pPr>
                  <w:r>
                    <w:t xml:space="preserve">2026-04-17</w:t>
                  </w:r>
                </w:p>
              </w:tc>
            </w:tr>
            <w:tr>
              <w:tc>
                <w:tcPr/>
                <w:p>
                  <w:pPr>
                    <w:pStyle w:val="Compact"/>
                    <w:jc w:val="center"/>
                  </w:pPr>
                  <w:r>
                    <w:t xml:space="preserve">S-VF-SDM</w:t>
                  </w:r>
                </w:p>
              </w:tc>
              <w:tc>
                <w:tcPr/>
                <w:p>
                  <w:pPr>
                    <w:pStyle w:val="Compact"/>
                    <w:jc w:val="center"/>
                  </w:pPr>
                  <w:r>
                    <w:t xml:space="preserve">Small-Virus Retentive Filtration</w:t>
                  </w:r>
                </w:p>
              </w:tc>
              <w:tc>
                <w:tcPr/>
                <w:p>
                  <w:pPr>
                    <w:pStyle w:val="Compact"/>
                    <w:jc w:val="center"/>
                  </w:pPr>
                  <w:r>
                    <w:t xml:space="preserve">scale-down model qualification</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Small-Virus Retentive Filtration</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Small-Virus Retentive Filtration</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p>
                  <w:pPr>
                    <w:pStyle w:val="Compact"/>
                    <w:jc w:val="center"/>
                  </w:pPr>
                  <w:r>
                    <w:t xml:space="preserve">S-PA-SDM2</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bl>
          <w:bookmarkEnd w:id="58"/>
          <w:p/>
        </w:tc>
      </w:tr>
    </w:tbl>
    <w:bookmarkEnd w:id="59"/>
    <w:bookmarkStart w:id="61"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w:t>
      </w:r>
    </w:p>
    <w:tbl>
      <w:tblPr>
        <w:tblStyle w:val="Table"/>
        <w:tblW w:type="pct" w:w="5000"/>
        <w:tblLayout w:type="fixed"/>
        <w:tblLook w:firstRow="0" w:lastRow="0" w:firstColumn="0" w:lastColumn="0" w:noHBand="0" w:noVBand="0" w:val="0000"/>
      </w:tblPr>
      <w:tblGrid>
        <w:gridCol w:w="7920"/>
      </w:tblGrid>
      <w:tr>
        <w:tc>
          <w:tcPr/>
          <w:bookmarkStart w:id="60" w:name="tbl-approval-roles"/>
          <w:p>
            <w:pPr>
              <w:jc w:val="center"/>
            </w:pPr>
            <w:pPr>
              <w:jc w:val="start"/>
              <w:spacing w:before="200"/>
              <w:pStyle w:val="ImageCaption"/>
            </w:pPr>
            <w:r>
              <w:t xml:space="preserve">Table 14: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0"/>
          <w:p/>
        </w:tc>
      </w:tr>
    </w:tbl>
    <w:bookmarkEnd w:id="61"/>
    <w:bookmarkStart w:id="68" w:name="references"/>
    <w:p>
      <w:pPr>
        <w:pStyle w:val="Heading1"/>
      </w:pPr>
      <w:r>
        <w:t xml:space="preserve">References</w:t>
      </w:r>
    </w:p>
    <w:bookmarkStart w:id="67" w:name="refs"/>
    <w:bookmarkStart w:id="62"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2"/>
    <w:bookmarkStart w:id="63"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2026-10-09T17:35:02Z</dcterms:created>
  <dcterms:modified xsi:type="dcterms:W3CDTF">2026-10-09T17:35:02Z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