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21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app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0"/>
          <w:p/>
        </w:tc>
      </w:tr>
    </w:tbl>
    <w:bookmarkEnd w:id="21"/>
    <w:bookmarkStart w:id="22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CPP, critical process</w:t>
      </w:r>
      <w:r>
        <w:t xml:space="preserve"> </w:t>
      </w:r>
      <w:r>
        <w:t xml:space="preserve">parameter · CQA, critical quality attribute · DoE, design of experiments · DS, drug</w:t>
      </w:r>
      <w:r>
        <w:t xml:space="preserve"> </w:t>
      </w:r>
      <w:r>
        <w:t xml:space="preserve">substance · GPP, general process parameter · HCP, host-cell protein · ICH,</w:t>
      </w:r>
      <w:r>
        <w:t xml:space="preserve"> </w:t>
      </w:r>
      <w:r>
        <w:t xml:space="preserve">International Council for Harmonisation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RRF, risk ranking and filtering · RSM, response-surface methodology · SDM, scale-down</w:t>
      </w:r>
      <w:r>
        <w:t xml:space="preserve"> </w:t>
      </w:r>
      <w:r>
        <w:t xml:space="preserve">model · 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22"/>
    <w:bookmarkStart w:id="2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PCP-003</w:t>
      </w:r>
      <w:r>
        <w:t xml:space="preserve">) defines the Stage 1 (Process</w:t>
      </w:r>
      <w:r>
        <w:t xml:space="preserve"> </w:t>
      </w:r>
      <w:r>
        <w:t xml:space="preserve">Design) characterization of the A-Mab production bioreactor (Step 3), the fed-batch</w:t>
      </w:r>
      <w:r>
        <w:t xml:space="preserve"> </w:t>
      </w:r>
      <w:r>
        <w:t xml:space="preserve">cell-culture operation that establishes the N-glycosylation, charge-variant and</w:t>
      </w:r>
      <w:r>
        <w:t xml:space="preserve"> </w:t>
      </w:r>
      <w:r>
        <w:t xml:space="preserve">initial size-variant and process-impurity profile of the drug substance. The plan</w:t>
      </w:r>
      <w:r>
        <w:t xml:space="preserve"> </w:t>
      </w:r>
      <w:r>
        <w:t xml:space="preserve">specifies the objectives, the quality attributes in scope, the process parameters</w:t>
      </w:r>
      <w:r>
        <w:t xml:space="preserve"> </w:t>
      </w:r>
      <w:r>
        <w:t xml:space="preserve">and ranges to be characterized, the experimental designs, the analytical methods,</w:t>
      </w:r>
      <w:r>
        <w:t xml:space="preserve"> </w:t>
      </w:r>
      <w:r>
        <w:t xml:space="preserve">the sampling plan, the statistical-analysis approach, and the acceptance and decision</w:t>
      </w:r>
      <w:r>
        <w:t xml:space="preserve"> </w:t>
      </w:r>
      <w:r>
        <w:t xml:space="preserve">criteria by which each parameter will be classified and a 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15,000-L commercial-scale</w:t>
      </w:r>
      <w:r>
        <w:t xml:space="preserve"> </w:t>
      </w:r>
      <w:r>
        <w:t xml:space="preserve">production bioreactor, characterized on a qualified 2 L scale-down model (SDM).</w:t>
      </w:r>
      <w:r>
        <w:t xml:space="preserve"> </w:t>
      </w:r>
      <w:r>
        <w:t xml:space="preserve">Seed-train expansion (Steps 1–2) and harvest (Step 4) are addressed only where they</w:t>
      </w:r>
      <w:r>
        <w:t xml:space="preserve"> </w:t>
      </w:r>
      <w:r>
        <w:t xml:space="preserve">affect the production culture; their characterization is out of scope. This plan</w:t>
      </w:r>
      <w:r>
        <w:t xml:space="preserve"> </w:t>
      </w:r>
      <w:r>
        <w:t xml:space="preserve">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</w:t>
      </w:r>
      <w:r>
        <w:t xml:space="preserve"> </w:t>
      </w:r>
      <w:r>
        <w:t xml:space="preserve">structure 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 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3"/>
    <w:bookmarkStart w:id="24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production-bioreactor</w:t>
      </w:r>
      <w:r>
        <w:t xml:space="preserve"> </w:t>
      </w:r>
      <w:r>
        <w:t xml:space="preserve">process parameters and the cell-culture CQAs;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design space over which all CQAs are met simultaneously;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</w:t>
      </w:r>
      <w:r>
        <w:t xml:space="preserve"> </w:t>
      </w:r>
      <w:r>
        <w:t xml:space="preserve">performance 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24"/>
    <w:bookmarkStart w:id="27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governing procedures and validated analytical methods referenced by this plan</w:t>
      </w:r>
      <w:r>
        <w:t xml:space="preserve"> </w:t>
      </w:r>
      <w:r>
        <w:t xml:space="preserve">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bookmarkEnd w:id="27"/>
    <w:bookmarkStart w:id="32" w:name="prior-knowledge-and-quality-risk-basis"/>
    <w:p>
      <w:pPr>
        <w:pStyle w:val="Heading1"/>
      </w:pPr>
      <w:r>
        <w:t xml:space="preserve">4. Prior knowledge and quality risk basis</w:t>
      </w:r>
    </w:p>
    <w:bookmarkStart w:id="2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mammalian cell culture operated at</w:t>
      </w:r>
      <w:r>
        <w:t xml:space="preserve"> </w:t>
      </w:r>
      <w:r>
        <w:t xml:space="preserve">15,000 L working volume. It is the only upstream</w:t>
      </w:r>
      <w:r>
        <w:t xml:space="preserve"> </w:t>
      </w:r>
      <w:r>
        <w:t xml:space="preserve">operation that forms product-quality CQAs and is therefore the sole upstream step</w:t>
      </w:r>
      <w:r>
        <w:t xml:space="preserve"> </w:t>
      </w:r>
      <w:r>
        <w:t xml:space="preserve">used to define the upstream design space</w:t>
      </w:r>
      <w:r>
        <w:t xml:space="preserve"> </w:t>
      </w:r>
      <w:r>
        <w:t xml:space="preserve">(CMC Biotech Working Group 2009)</w:t>
      </w:r>
      <w:r>
        <w:t xml:space="preserve">. Platform knowledge from related</w:t>
      </w:r>
      <w:r>
        <w:t xml:space="preserve"> </w:t>
      </w:r>
      <w:r>
        <w:t xml:space="preserve">humanized IgG1 antibodies and A-Mab development experience established that Fc</w:t>
      </w:r>
      <w:r>
        <w:t xml:space="preserve"> </w:t>
      </w:r>
      <w:r>
        <w:t xml:space="preserve">glycosylation governs ADCC/CDC potency and is set in culture, that aggregate formed</w:t>
      </w:r>
      <w:r>
        <w:t xml:space="preserve"> </w:t>
      </w:r>
      <w:r>
        <w:t xml:space="preserve">in culture is polished downstream, and that the harvest HCP and DNA burden is</w:t>
      </w:r>
      <w:r>
        <w:t xml:space="preserve"> </w:t>
      </w:r>
      <w:r>
        <w:t xml:space="preserve">generated upstream and cleared by the purification train. This knowledge frames the</w:t>
      </w:r>
      <w:r>
        <w:t xml:space="preserve"> </w:t>
      </w:r>
      <w:r>
        <w:t xml:space="preserve">CQAs in scope and the prioritization of parameters for characterization.</w:t>
      </w:r>
    </w:p>
    <w:bookmarkEnd w:id="28"/>
    <w:bookmarkStart w:id="3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characterization targets the CQAs set or principally controlled by the production</w:t>
      </w:r>
      <w:r>
        <w:t xml:space="preserve"> </w:t>
      </w:r>
      <w:r>
        <w:t xml:space="preserve">bioreactor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 continuum using Tool #1</w:t>
      </w:r>
      <w:r>
        <w:t xml:space="preserve"> </w:t>
      </w:r>
      <w:r>
        <w:t xml:space="preserve">(Risk Score = Impact × Uncertainty); attributes rated High (H) or Very High (VH) are</w:t>
      </w:r>
      <w:r>
        <w:t xml:space="preserve"> </w:t>
      </w:r>
      <w:r>
        <w:t xml:space="preserve">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cq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CQAs in scope, with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</w:t>
      </w:r>
      <w:r>
        <w:t xml:space="preserve"> </w:t>
      </w:r>
      <w:r>
        <w:t xml:space="preserve">of PDA TR 60, the study scope is set by the Pre-Characterization Process Risk</w:t>
      </w:r>
      <w:r>
        <w:t xml:space="preserve"> </w:t>
      </w:r>
      <w:r>
        <w:t xml:space="preserve">Assessment (</w:t>
      </w:r>
      <w:r>
        <w:rPr>
          <w:b/>
          <w:bCs/>
        </w:rPr>
        <w:t xml:space="preserve">RA-001</w:t>
      </w:r>
      <w:r>
        <w:t xml:space="preserve">). A risk-ranking-and-filtering (RRF) screen scores each</w:t>
      </w:r>
      <w:r>
        <w:t xml:space="preserve"> </w:t>
      </w:r>
      <w:r>
        <w:t xml:space="preserve">parameter for its potential main-effect and interaction impact on the CQAs and</w:t>
      </w:r>
      <w:r>
        <w:t xml:space="preserve"> </w:t>
      </w:r>
      <w:r>
        <w:t xml:space="preserve">assigns the study type accordingly: parameters with a credible multivariate risk are</w:t>
      </w:r>
      <w:r>
        <w:t xml:space="preserve"> </w:t>
      </w:r>
      <w:r>
        <w:t xml:space="preserve">studied in the multivariate DoE; parameters expected to affect only process</w:t>
      </w:r>
      <w:r>
        <w:t xml:space="preserve"> </w:t>
      </w:r>
      <w:r>
        <w:t xml:space="preserve">performance are studied univariately or held at their set-point; parameters with no</w:t>
      </w:r>
      <w:r>
        <w:t xml:space="preserve"> </w:t>
      </w:r>
      <w:r>
        <w:t xml:space="preserve">credible impact over a wide range are not formally studied</w:t>
      </w:r>
      <w:r>
        <w:t xml:space="preserve"> </w:t>
      </w:r>
      <w:r>
        <w:t xml:space="preserve">(CMC Biotech Working Group 2009)</w:t>
      </w:r>
      <w:r>
        <w:t xml:space="preserve">. The resulting</w:t>
      </w:r>
      <w:r>
        <w:t xml:space="preserve"> </w:t>
      </w:r>
      <w:r>
        <w:t xml:space="preserve">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31"/>
    <w:bookmarkEnd w:id="32"/>
    <w:bookmarkStart w:id="39" w:name="materials-and-methods"/>
    <w:p>
      <w:pPr>
        <w:pStyle w:val="Heading1"/>
      </w:pPr>
      <w:r>
        <w:t xml:space="preserve">5. Materials and methods</w:t>
      </w:r>
    </w:p>
    <w:bookmarkStart w:id="3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2 L bench-scale bioreactor operated at the</w:t>
      </w:r>
      <w:r>
        <w:t xml:space="preserve"> </w:t>
      </w:r>
      <w:r>
        <w:t xml:space="preserve">commercial working-volume equivalent for pH, temperature, dissolved oxygen and CO₂</w:t>
      </w:r>
      <w:r>
        <w:t xml:space="preserve"> </w:t>
      </w:r>
      <w:r>
        <w:t xml:space="preserve">control, gas sparging, agitation power per unit volume and feeding strategy</w:t>
      </w:r>
      <w:r>
        <w:t xml:space="preserve"> </w:t>
      </w:r>
      <w:r>
        <w:t xml:space="preserve">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Prior to characterization the SDM will be qualified</w:t>
      </w:r>
      <w:r>
        <w:t xml:space="preserve"> </w:t>
      </w:r>
      <w:r>
        <w:t xml:space="preserve">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quality attributes — viable cell</w:t>
      </w:r>
      <w:r>
        <w:t xml:space="preserve"> </w:t>
      </w:r>
      <w:r>
        <w:t xml:space="preserve">density, viability, titer and the glycan, charge-variant, aggregate, HCP and DNA</w:t>
      </w:r>
      <w:r>
        <w:t xml:space="preserve"> </w:t>
      </w:r>
      <w:r>
        <w:t xml:space="preserve">profiles — to confirm the model is representative and suitable to support design-space</w:t>
      </w:r>
      <w:r>
        <w:t xml:space="preserve"> </w:t>
      </w:r>
      <w:r>
        <w:t xml:space="preserve">and PAR claims</w:t>
      </w:r>
      <w:r>
        <w:t xml:space="preserve"> </w:t>
      </w:r>
      <w:r>
        <w:t xml:space="preserve">(Parenteral Drug Association 2013)</w:t>
      </w:r>
      <w:r>
        <w:t xml:space="preserve">. The center-point replicates of each design provide an</w:t>
      </w:r>
      <w:r>
        <w:t xml:space="preserve"> </w:t>
      </w:r>
      <w:r>
        <w:t xml:space="preserve">in-study estimate of model reproducibility (pure error) used in the lack-of-fit</w:t>
      </w:r>
      <w:r>
        <w:t xml:space="preserve"> </w:t>
      </w:r>
      <w:r>
        <w:t xml:space="preserve">assessment.</w:t>
      </w:r>
    </w:p>
    <w:bookmarkEnd w:id="33"/>
    <w:bookmarkStart w:id="34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set-point; osmolality is a monitored</w:t>
      </w:r>
      <w:r>
        <w:t xml:space="preserve"> </w:t>
      </w:r>
      <w:r>
        <w:t xml:space="preserve">attribute governed by feed and base addition; the culture is harvested on the nominal</w:t>
      </w:r>
      <w:r>
        <w:t xml:space="preserve"> </w:t>
      </w:r>
      <w:r>
        <w:t xml:space="preserve">duration criterion. Raw materials and media are controlled to platform specifications</w:t>
      </w:r>
      <w:r>
        <w:t xml:space="preserve"> </w:t>
      </w:r>
      <w:r>
        <w:t xml:space="preserve">and are treated as identity/quality-controlled inputs rather than characterized</w:t>
      </w:r>
      <w:r>
        <w:t xml:space="preserve"> </w:t>
      </w:r>
      <w:r>
        <w:t xml:space="preserve">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34"/>
    <w:bookmarkStart w:id="3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CQAs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</w:t>
      </w:r>
      <w:r>
        <w:t xml:space="preserve"> </w:t>
      </w:r>
      <w:r>
        <w:t xml:space="preserve">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ethod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will</w:t>
      </w:r>
      <w:r>
        <w:t xml:space="preserve"> </w:t>
      </w:r>
      <w:r>
        <w:t xml:space="preserve">confirm the culture trajectory. Center-point runs are replicated within each design</w:t>
      </w:r>
      <w:r>
        <w:t xml:space="preserve"> </w:t>
      </w:r>
      <w:r>
        <w:t xml:space="preserve">(three in screening, four in the response-surface design) to quantify reproducibility</w:t>
      </w:r>
      <w:r>
        <w:t xml:space="preserve"> </w:t>
      </w:r>
      <w:r>
        <w:t xml:space="preserve">and pure error.</w:t>
      </w:r>
    </w:p>
    <w:bookmarkEnd w:id="37"/>
    <w:bookmarkStart w:id="3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</w:t>
      </w:r>
      <w:r>
        <w:t xml:space="preserve"> </w:t>
      </w:r>
      <w:r>
        <w:t xml:space="preserve">regression of each response on the main effects and all two-factor interactions;</w:t>
      </w:r>
      <w:r>
        <w:t xml:space="preserve"> </w:t>
      </w:r>
      <w:r>
        <w:t xml:space="preserve">factor effects are reported as twice the coded coefficient. Response-surface data</w:t>
      </w:r>
      <w:r>
        <w:t xml:space="preserve"> </w:t>
      </w:r>
      <w:r>
        <w:t xml:space="preserve">will be analyzed with the full quadratic model (main effects, two-factor</w:t>
      </w:r>
      <w:r>
        <w:t xml:space="preserve"> </w:t>
      </w:r>
      <w:r>
        <w:t xml:space="preserve">interactions and pure-quadratic terms). Significance will be assessed at α = 0.05.</w:t>
      </w:r>
      <w:r>
        <w:t xml:space="preserve"> </w:t>
      </w:r>
      <w:r>
        <w:t xml:space="preserve">Model adequacy will be judged by R², adjusted R², predicted R² (from the PRESS</w:t>
      </w:r>
      <w:r>
        <w:t xml:space="preserve"> </w:t>
      </w:r>
      <w:r>
        <w:t xml:space="preserve">statistic), the overall model F-test, and an ANOVA lack-of-fit test against the</w:t>
      </w:r>
      <w:r>
        <w:t xml:space="preserve"> </w:t>
      </w:r>
      <w:r>
        <w:t xml:space="preserve">center-point pure error. The design space will be defined as the multivariate region</w:t>
      </w:r>
      <w:r>
        <w:t xml:space="preserve"> </w:t>
      </w:r>
      <w:r>
        <w:t xml:space="preserve">over which all CQA responses satisfy their acceptance criteria simultaneously, and</w:t>
      </w:r>
      <w:r>
        <w:t xml:space="preserve"> </w:t>
      </w:r>
      <w:r>
        <w:t xml:space="preserve">commercial-scale capability will be estimated by Monte-Carlo simulation with each</w:t>
      </w:r>
      <w:r>
        <w:t xml:space="preserve"> </w:t>
      </w:r>
      <w:r>
        <w:t xml:space="preserve">parameter varied within its NOR.</w:t>
      </w:r>
    </w:p>
    <w:bookmarkEnd w:id="38"/>
    <w:bookmarkEnd w:id="39"/>
    <w:bookmarkStart w:id="46" w:name="study-design"/>
    <w:p>
      <w:pPr>
        <w:pStyle w:val="Heading1"/>
      </w:pPr>
      <w:r>
        <w:t xml:space="preserve">6. Study design</w:t>
      </w:r>
    </w:p>
    <w:bookmarkStart w:id="4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Nine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</w:t>
      </w:r>
      <w:r>
        <w:t xml:space="preserve"> </w:t>
      </w:r>
      <w:r>
        <w:t xml:space="preserve">the study and is reported in PCR-003.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para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Production-bioreactor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legen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41"/>
          <w:p/>
        </w:tc>
      </w:tr>
    </w:tbl>
    <w:bookmarkEnd w:id="42"/>
    <w:bookmarkStart w:id="4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resolution-V two-level fractional factorial in the five</w:t>
      </w:r>
      <w:r>
        <w:t xml:space="preserve"> </w:t>
      </w:r>
      <w:r>
        <w:t xml:space="preserve">multivariate factors (A–E) with three center-point replicates, 19 runs</w:t>
      </w:r>
      <w:r>
        <w:t xml:space="preserve"> </w:t>
      </w:r>
      <w:r>
        <w:t xml:space="preserve">in total. At resolution V, main effects are unconfounded with one another and with</w:t>
      </w:r>
      <w:r>
        <w:t xml:space="preserve"> </w:t>
      </w:r>
      <w:r>
        <w:t xml:space="preserve">two-factor interactions, permitting clean estimation of both. Five responses will be</w:t>
      </w:r>
      <w:r>
        <w:t xml:space="preserve"> </w:t>
      </w:r>
      <w:r>
        <w:t xml:space="preserve">recorded for each run (afucosylation, galactosylation, high mannose, acidic charge</w:t>
      </w:r>
      <w:r>
        <w:t xml:space="preserve"> </w:t>
      </w:r>
      <w:r>
        <w:t xml:space="preserve">variants and aggregate). The planned coded design is given in Appendix A.</w:t>
      </w:r>
    </w:p>
    <w:bookmarkEnd w:id="43"/>
    <w:bookmarkStart w:id="4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dominant factors carried forward from screening (anticipated to be culture pH,</w:t>
      </w:r>
      <w:r>
        <w:t xml:space="preserve"> </w:t>
      </w:r>
      <w:r>
        <w:t xml:space="preserve">temperature, culture duration and dissolved CO₂) will be studied in a face-centred</w:t>
      </w:r>
      <w:r>
        <w:t xml:space="preserve"> </w:t>
      </w:r>
      <w:r>
        <w:t xml:space="preserve">central-composite design with four center-point replicates, 28 runs in</w:t>
      </w:r>
      <w:r>
        <w:t xml:space="preserve"> </w:t>
      </w:r>
      <w:r>
        <w:t xml:space="preserve">total, enabling estimation of curvature in addition to main effects and interactions.</w:t>
      </w:r>
      <w:r>
        <w:t xml:space="preserve"> </w:t>
      </w:r>
      <w:r>
        <w:t xml:space="preserve">The planned coded design is given in Appendix B.</w:t>
      </w:r>
    </w:p>
    <w:bookmarkEnd w:id="44"/>
    <w:bookmarkStart w:id="4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trajectory.</w:t>
      </w:r>
    </w:p>
    <w:bookmarkEnd w:id="45"/>
    <w:bookmarkEnd w:id="46"/>
    <w:bookmarkStart w:id="4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are adequate — target R² ≥ 0.90, adjusted</w:t>
      </w:r>
      <w:r>
        <w:t xml:space="preserve"> </w:t>
      </w:r>
      <w:r>
        <w:t xml:space="preserve">R² ≥ 0.80, no significant lack of fit (p &gt; 0.05 against the center-point pure</w:t>
      </w:r>
      <w:r>
        <w:t xml:space="preserve"> </w:t>
      </w:r>
      <w:r>
        <w:t xml:space="preserve">error), and residual diagnostics without systematic structure; and</w:t>
      </w:r>
    </w:p>
    <w:p>
      <w:pPr>
        <w:pStyle w:val="Compact"/>
        <w:numPr>
          <w:ilvl w:val="0"/>
          <w:numId w:val="1002"/>
        </w:numPr>
      </w:pPr>
      <w:r>
        <w:t xml:space="preserve">a design space exists over which every in-scope CQA is satisfied simultaneously at</w:t>
      </w:r>
      <w:r>
        <w:t xml:space="preserve"> </w:t>
      </w:r>
      <w:r>
        <w:t xml:space="preserve">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design space (low risk of leaving it) the</w:t>
      </w:r>
      <w:r>
        <w:t xml:space="preserve"> </w:t>
      </w:r>
      <w:r>
        <w:t xml:space="preserve">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</w:t>
      </w:r>
      <w:r>
        <w:t xml:space="preserve"> </w:t>
      </w:r>
      <w:r>
        <w:t xml:space="preserve">performance 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</w:t>
      </w:r>
      <w:r>
        <w:t xml:space="preserve"> </w:t>
      </w:r>
      <w:r>
        <w:t xml:space="preserve">a 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design space, classifications and PARs established here will justify the Stage 2</w:t>
      </w:r>
      <w:r>
        <w:t xml:space="preserve"> </w:t>
      </w:r>
      <w:r>
        <w:t xml:space="preserve">operating ranges and feed the drug-substance control strategy.</w:t>
      </w:r>
    </w:p>
    <w:bookmarkEnd w:id="47"/>
    <w:bookmarkStart w:id="48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</w:t>
      </w:r>
      <w:r>
        <w:t xml:space="preserve"> </w:t>
      </w:r>
      <w:r>
        <w:t xml:space="preserve">recorded and retained under the site data-integrity procedures (ALCOA+). Analyses</w:t>
      </w:r>
      <w:r>
        <w:t xml:space="preserve"> </w:t>
      </w:r>
      <w:r>
        <w:t xml:space="preserve">will be performed with version-controlled scripts and reviewed by a second analyst;</w:t>
      </w:r>
      <w:r>
        <w:t xml:space="preserve"> </w:t>
      </w:r>
      <w:r>
        <w:t xml:space="preserve">designs, models and derived design spaces will be archived with the report. Any</w:t>
      </w:r>
      <w:r>
        <w:t xml:space="preserve"> </w:t>
      </w:r>
      <w:r>
        <w:t xml:space="preserve">deviation from this plan will be documented and assessed for impact in PCR-003.</w:t>
      </w:r>
    </w:p>
    <w:bookmarkEnd w:id="48"/>
    <w:bookmarkStart w:id="50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rol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design-space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49"/>
          <w:p/>
        </w:tc>
      </w:tr>
    </w:tbl>
    <w:bookmarkEnd w:id="50"/>
    <w:bookmarkStart w:id="51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PCR-003</w:t>
      </w:r>
      <w:r>
        <w:t xml:space="preserve">),</w:t>
      </w:r>
      <w:r>
        <w:t xml:space="preserve"> </w:t>
      </w:r>
      <w:r>
        <w:t xml:space="preserve">reporting the executed designs, the significant effects, the design space, the</w:t>
      </w:r>
      <w:r>
        <w:t xml:space="preserve"> </w:t>
      </w:r>
      <w:r>
        <w:t xml:space="preserve">parameter classification and the CQA outcomes. PCR-003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</w:t>
      </w:r>
      <w:r>
        <w:t xml:space="preserve"> </w:t>
      </w:r>
      <w:r>
        <w:t xml:space="preserve">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51"/>
    <w:bookmarkStart w:id="52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</w:t>
      </w:r>
      <w:r>
        <w:t xml:space="preserve"> </w:t>
      </w:r>
      <w:r>
        <w:t xml:space="preserve">The principal risk is that absolute CQA values or the harvest impurity load shift at</w:t>
      </w:r>
      <w:r>
        <w:t xml:space="preserve"> </w:t>
      </w:r>
      <w:r>
        <w:t xml:space="preserve">commercial scale; this is mitigated by defining the design space on the qualified SDM,</w:t>
      </w:r>
      <w:r>
        <w:t xml:space="preserve"> </w:t>
      </w:r>
      <w:r>
        <w:t xml:space="preserve">confirming it at scale in Stage 2, and carrying the WC-CPP ranges forward with</w:t>
      </w:r>
      <w:r>
        <w:t xml:space="preserve"> </w:t>
      </w:r>
      <w:r>
        <w:t xml:space="preserve">in-process monitoring.</w:t>
      </w:r>
    </w:p>
    <w:bookmarkEnd w:id="52"/>
    <w:bookmarkStart w:id="53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3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t xml:space="preserve">“A-Mab: A Case Study in Bioprocess Development.”</w:t>
      </w:r>
      <w:r>
        <w:t xml:space="preserve"> </w:t>
      </w:r>
      <w:r>
        <w:t xml:space="preserve">CASSS.</w:t>
      </w:r>
    </w:p>
    <w:bookmarkEnd w:id="54"/>
    <w:bookmarkStart w:id="5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t xml:space="preserve">“ICH Q8(R2): Pharmaceutical Development.”</w:t>
      </w:r>
      <w:r>
        <w:t xml:space="preserve"> </w:t>
      </w:r>
      <w:r>
        <w:t xml:space="preserve">ICH.</w:t>
      </w:r>
    </w:p>
    <w:bookmarkEnd w:id="55"/>
    <w:bookmarkStart w:id="56" w:name="ref-ichq11"/>
    <w:p>
      <w:pPr>
        <w:pStyle w:val="Bibliography"/>
      </w:pPr>
      <w:r>
        <w:t xml:space="preserve">———. 2012.</w:t>
      </w:r>
      <w:r>
        <w:t xml:space="preserve"> </w:t>
      </w:r>
      <w:r>
        <w:t xml:space="preserve">“ICH Q11: Development and Manufacture of Drug Substances.”</w:t>
      </w:r>
      <w:r>
        <w:t xml:space="preserve"> </w:t>
      </w:r>
      <w:r>
        <w:t xml:space="preserve">ICH.</w:t>
      </w:r>
    </w:p>
    <w:bookmarkEnd w:id="56"/>
    <w:bookmarkStart w:id="57" w:name="ref-ichq9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“ICH Q9(R1): Quality Risk Management.”</w:t>
      </w:r>
      <w:r>
        <w:t xml:space="preserve"> </w:t>
      </w:r>
      <w:r>
        <w:t xml:space="preserve">ICH.</w:t>
      </w:r>
    </w:p>
    <w:bookmarkEnd w:id="57"/>
    <w:bookmarkStart w:id="5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t xml:space="preserve">“Good Practice Guide: Practical Implementation of the Lifecycle Approach to Process Validation.”</w:t>
      </w:r>
      <w:r>
        <w:t xml:space="preserve"> </w:t>
      </w:r>
      <w:r>
        <w:t xml:space="preserve">ISPE.</w:t>
      </w:r>
    </w:p>
    <w:bookmarkEnd w:id="58"/>
    <w:bookmarkStart w:id="5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t xml:space="preserve">“Technical Report No. 60: Process Validation — a Lifecycle Approach.”</w:t>
      </w:r>
      <w:r>
        <w:t xml:space="preserve"> </w:t>
      </w:r>
      <w:r>
        <w:t xml:space="preserve">PDA.</w:t>
      </w:r>
    </w:p>
    <w:bookmarkEnd w:id="59"/>
    <w:bookmarkStart w:id="6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t xml:space="preserve">“Guidance for Industry: Process Validation — General Principles and Practices.”</w:t>
      </w:r>
      <w:r>
        <w:t xml:space="preserve"> </w:t>
      </w:r>
      <w:r>
        <w:t xml:space="preserve">FDA.</w:t>
      </w:r>
    </w:p>
    <w:bookmarkEnd w:id="60"/>
    <w:bookmarkEnd w:id="61"/>
    <w:p>
      <w:r>
        <w:br w:type="page"/>
      </w:r>
    </w:p>
    <w:bookmarkEnd w:id="62"/>
    <w:bookmarkStart w:id="64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</w:t>
      </w:r>
      <w:r>
        <w:t xml:space="preserve"> </w:t>
      </w:r>
      <w:r>
        <w:t xml:space="preserve">levels −1/0/+1). Responses will be recorded at execution and reported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app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63"/>
          <w:p/>
        </w:tc>
      </w:tr>
    </w:tbl>
    <w:p>
      <w:r>
        <w:br w:type="page"/>
      </w:r>
    </w:p>
    <w:bookmarkEnd w:id="64"/>
    <w:bookmarkStart w:id="66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A, B, C, E; coded levels</w:t>
      </w:r>
      <w:r>
        <w:t xml:space="preserve"> </w:t>
      </w:r>
      <w:r>
        <w:t xml:space="preserve">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app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65"/>
          <w:p/>
        </w:tc>
      </w:tr>
    </w:tbl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2026-07-24T16:36:12Z</dcterms:created>
  <dcterms:modified xsi:type="dcterms:W3CDTF">2026-07-24T16:36:12Z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Production Bioreactor (Step 3) — PCP-003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