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491"/>
              <w:gridCol w:w="2087"/>
              <w:gridCol w:w="5341"/>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by size; principal MVM clearance (MVM and XMuLV credit)</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7"/>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c3)</w:t>
                  </w:r>
                  <w:r>
                    <w:t xml:space="preserve"> </w:t>
                  </w:r>
                  <w:r>
                    <w:t xml:space="preserve">Moved at Version 2.0 from pH 3.5, the set-point in the characterization plan (PCR-006).</w:t>
                  </w:r>
                </w:p>
              </w:tc>
            </w:tr>
            <w:tr>
              <w:tc>
                <w:tcPr>
                  <w:gridSpan w:val="7"/>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c5)</w:t>
                  </w:r>
                  <w:r>
                    <w:t xml:space="preserve"> </w:t>
                  </w:r>
                  <w:r>
                    <w:t xml:space="preserve">Moved at Version 2.0 from 90 min, the set-point in the characterization plan (PCR-006).</w:t>
                  </w:r>
                </w:p>
              </w:tc>
            </w:tr>
            <w:tr>
              <w:tc>
                <w:tcPr>
                  <w:gridSpan w:val="7"/>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four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 The design space of a step is drawn on the same statistic. A setting of its response-surface parameters lies inside it when every quality attribute meets its criterion at both ends of the 95 % prediction interval of a single run, and viral clearance on its mean prediction.</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three adequacy criteria that the rule names,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first three adequacy criteria of</w:t>
      </w:r>
      <w:r>
        <w:t xml:space="preserve"> </w:t>
      </w:r>
      <w:hyperlink w:anchor="sec-acc-model">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three adequacy criteria that the rule names,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every study that measures fragments, at every step, measures them by nrCE-SDS (AMV-3020, under SOP-3015).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2026-10-10T13:39:05Z</dcterms:created>
  <dcterms:modified xsi:type="dcterms:W3CDTF">2026-10-10T13:39:05Z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