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and the data for the classification of every parameter of the step.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The limit was written into the text of this plan when the package was compiled, and it was not approved with the plan (INV-001 finding 1).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anion exchange showed at the one-sided 95 % prediction bound of a single batch, from a model that meets the first three adequacy criteria of PCMP-001 and is not an exact fit,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 Whether the model is qualified for an attribute is decided at analysis. The rule therefore replaces the Version 1.0 rules that made the qualification a gate. Version 1.0 stated in its acceptance criteria,</w:t>
      </w:r>
      <w:r>
        <w:t xml:space="preserve"> </w:t>
      </w:r>
      <w:r>
        <w:t xml:space="preserve">“The scale-down model must meet the qualification criteria of §5.1 before any characterization run is executed. A characterization run performed on an unqualified model may not be used to support an operating range.”</w:t>
      </w:r>
      <w:r>
        <w:t xml:space="preserve"> </w:t>
      </w:r>
      <w:r>
        <w:t xml:space="preserve">Its study sequence stated that the scale-down model is qualified first and that the response-surface design will not begin until the model qualification remains valid (</w:t>
      </w:r>
      <w:hyperlink w:anchor="sec-deliverables">
        <w:r>
          <w:rPr>
            <w:rStyle w:val="Hyperlink"/>
          </w:rPr>
          <w:t xml:space="preserve">Section 11</w:t>
        </w:r>
      </w:hyperlink>
      <w:r>
        <w:t xml:space="preserve">). The qualification runs and the offset estimates still come first, and a model that is not qualified for an attribute is not used for that attribute (criterion 1 of</w:t>
      </w:r>
      <w:r>
        <w:t xml:space="preserve"> </w:t>
      </w:r>
      <w:hyperlink w:anchor="sec-criteria">
        <w:r>
          <w:rPr>
            <w:rStyle w:val="Hyperlink"/>
          </w:rPr>
          <w:t xml:space="preserve">Section 7</w:t>
        </w:r>
      </w:hyperlink>
      <w:r>
        <w:t xml:space="preserve">). Objective 6 is added for this change.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 Objective 7 is added for this change, and fragments enter objectives 1 and 3.</w:t>
      </w:r>
    </w:p>
    <w:p>
      <w:pPr>
        <w:pStyle w:val="Compact"/>
        <w:numPr>
          <w:ilvl w:val="0"/>
          <w:numId w:val="1001"/>
        </w:numPr>
      </w:pPr>
      <w:r>
        <w:t xml:space="preserve">It states the model adequacy criteria of PCMP-001 (</w:t>
      </w:r>
      <w:hyperlink w:anchor="sec-criteria">
        <w:r>
          <w:rPr>
            <w:rStyle w:val="Hyperlink"/>
          </w:rPr>
          <w:t xml:space="preserve">Section 7</w:t>
        </w:r>
      </w:hyperlink>
      <w:r>
        <w:t xml:space="preserve">). Version 1.0 judged a model on four measures, the model F-test, R² with its adjusted and predicted forms, the lack of fit against pure error, and diagnostic plots of the residuals. It judged a model adequate when the F-test was significant at p &lt; 0.05, the lack of fit was not significant against pure error at p &lt; 0.05, and the adjusted and predicted R² were reported and consistent with each other. It set no limit on the gap between them and no test on the residuals. Version 2.0 adds a limit of 0.20 on how far predicted R² may fall short of R², and the tests on the residuals and on influential runs with their thresholds.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remedy of PCMP-001 for a failing model replaces the consequence that Version 1.0 stated. Version 1.0 re-examined a model with a large gap between adjusted and predicted R² before it was used. It did not use a model with significant lack of fit to define the operating region until the misfit was explained, and it allowed the design to be augmented under SOP-1002. A model that fails the lack-of-fit test or the limit on overfitting is now either refitted with a justified change of terms or transformation, or it is not used to set a range (</w:t>
      </w:r>
      <w:hyperlink w:anchor="sec-stats">
        <w:r>
          <w:rPr>
            <w:rStyle w:val="Hyperlink"/>
          </w:rPr>
          <w:t xml:space="preserve">Section 5.5</w:t>
        </w:r>
      </w:hyperlink>
      <w:r>
        <w:t xml:space="preserve">). In the PAR analysis Version 1.0 compared the mean prediction in the set-point analysis and the 95 % predictive interval in the NOR-propagated analysis, with the other parameters sampled within their NORs and the residual variation of the model added. Version 2.0 draws the other parameters from the normal distribution that PCMP-001 defines and adds the uncertainty of the fitted coefficients (</w:t>
      </w:r>
      <w:hyperlink w:anchor="sec-par-analyses">
        <w:r>
          <w:rPr>
            <w:rStyle w:val="Hyperlink"/>
          </w:rPr>
          <w:t xml:space="preserve">Section 8.2</w:t>
        </w:r>
      </w:hyperlink>
      <w:r>
        <w:t xml:space="preserve">).</w:t>
      </w:r>
    </w:p>
    <w:p>
      <w:pPr>
        <w:pStyle w:val="Compact"/>
        <w:numPr>
          <w:ilvl w:val="0"/>
          <w:numId w:val="1001"/>
        </w:numPr>
      </w:pPr>
      <w:r>
        <w:t xml:space="preserve">It draws the operating region on the single-batch limit that PCMP-001 sets for the design space of a step (criterion 8 of</w:t>
      </w:r>
      <w:r>
        <w:t xml:space="preserve"> </w:t>
      </w:r>
      <w:hyperlink w:anchor="sec-criteria">
        <w:r>
          <w:rPr>
            <w:rStyle w:val="Hyperlink"/>
          </w:rPr>
          <w:t xml:space="preserve">Section 7</w:t>
        </w:r>
      </w:hyperlink>
      <w:r>
        <w:t xml:space="preserve">). A setting lies inside the region when every quality attribute the step controls meets its criterion at both ends of the 95 % prediction interval of a single run. Version 1.0 declared the region where the response-surface model predicts that each attribute meets its criterion, that is on the mean prediction.</w:t>
      </w:r>
    </w:p>
    <w:p>
      <w:pPr>
        <w:pStyle w:val="Compact"/>
        <w:numPr>
          <w:ilvl w:val="0"/>
          <w:numId w:val="1001"/>
        </w:numPr>
      </w:pPr>
      <w:r>
        <w:t xml:space="preserve">It classifies the parameters by the rule of PCMP-001 Version 2.0 (criterion 7 of</w:t>
      </w:r>
      <w:r>
        <w:t xml:space="preserve"> </w:t>
      </w:r>
      <w:hyperlink w:anchor="sec-criteria">
        <w:r>
          <w:rPr>
            <w:rStyle w:val="Hyperlink"/>
          </w:rPr>
          <w:t xml:space="preserve">Section 7</w:t>
        </w:r>
      </w:hyperlink>
      <w:r>
        <w:t xml:space="preserve">). Version 1.0 stated no rule for the classification and left it to PCR-005. Under PCMP-001 an attribute is affected by a parameter when a term that contains the parameter is significant, and a significant effect that is too small to move the attribute appreciably within the PAR does not by itself make a parameter critical. PCR-005 states the size of each effect across the PAR and the margin of the PAR to the NOR, and it classifies on them.</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 The compiled text of Version 1.0 carried 2026-07-24, the date on which the Version 1.0 reports were approved, in its title block in place of the date on which this plan was approved (finding 5). It also carried the limit for pool host cell protein that the criterion of change 1 replaces, added to the plan text when the package was compiled, without a revision of the approved plan (finding 1). The revision history gives the approval date.</w:t>
      </w:r>
    </w:p>
    <w:p>
      <w:pPr>
        <w:pStyle w:val="Compact"/>
        <w:numPr>
          <w:ilvl w:val="0"/>
          <w:numId w:val="1001"/>
        </w:numPr>
      </w:pPr>
      <w:r>
        <w:t xml:space="preserve">Two descriptive sentences of Version 1.0 in</w:t>
      </w:r>
      <w:r>
        <w:t xml:space="preserve"> </w:t>
      </w:r>
      <w:hyperlink w:anchor="sec-univariate">
        <w:r>
          <w:rPr>
            <w:rStyle w:val="Hyperlink"/>
          </w:rPr>
          <w:t xml:space="preserve">Section 6.4</w:t>
        </w:r>
      </w:hyperlink>
      <w:r>
        <w:t xml:space="preserve"> </w:t>
      </w:r>
      <w:r>
        <w:t xml:space="preserve">are corrected, with no change to the design. Version 1.0 said that neither operating temperature nor bed height is expected to interact with the parameters that drive host cell protein, and that the limitation of a univariate study is accepted because the risk assessment found no credible interaction to detect. Either parameter can interact with protein load through the dynamic binding capacity (</w:t>
      </w:r>
      <w:hyperlink w:anchor="sec-risk">
        <w:r>
          <w:rPr>
            <w:rStyle w:val="Hyperlink"/>
          </w:rPr>
          <w:t xml:space="preserve">Section 4.3</w:t>
        </w:r>
      </w:hyperlink>
      <w:r>
        <w:t xml:space="preserve">). The sentences now say so and refer to the grounds that</w:t>
      </w:r>
      <w:r>
        <w:t xml:space="preserve"> </w:t>
      </w:r>
      <w:hyperlink w:anchor="sec-risk">
        <w:r>
          <w:rPr>
            <w:rStyle w:val="Hyperlink"/>
          </w:rPr>
          <w:t xml:space="preserve">Section 4.3</w:t>
        </w:r>
      </w:hyperlink>
      <w:r>
        <w:t xml:space="preserve"> </w:t>
      </w:r>
      <w:r>
        <w:t xml:space="preserve">gives for studying each parameter one factor at a time.</w:t>
      </w:r>
    </w:p>
    <w:p>
      <w:pPr>
        <w:pStyle w:val="FirstParagraph"/>
      </w:pPr>
      <w:r>
        <w:t xml:space="preserve">The Version 2.0 criterion for pool host cell protein, 17,069 ng/mg, is wider than the Version 1.0 analysis limit of 10,724 ng/mg.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Quantify the effect of each characterized parameter on pool host cell protein, on step yield and on leached Protein A, over the ranges given in</w:t>
      </w:r>
      <w:r>
        <w:t xml:space="preserve"> </w:t>
      </w:r>
      <w:hyperlink w:anchor="sec-factors">
        <w:r>
          <w:rPr>
            <w:rStyle w:val="Hyperlink"/>
          </w:rPr>
          <w:t xml:space="preserve">Section 6.1</w:t>
        </w:r>
      </w:hyperlink>
      <w:r>
        <w:t xml:space="preserve">.</w:t>
      </w:r>
    </w:p>
    <w:p>
      <w:pPr>
        <w:pStyle w:val="Compact"/>
        <w:numPr>
          <w:ilvl w:val="0"/>
          <w:numId w:val="1002"/>
        </w:numPr>
      </w:pPr>
      <w:r>
        <w:t xml:space="preserve">Define the region of the characterized space within which the quality attributes this step controls are predicted to remain within their acceptance criteria.</w:t>
      </w:r>
    </w:p>
    <w:p>
      <w:pPr>
        <w:pStyle w:val="Compact"/>
        <w:numPr>
          <w:ilvl w:val="0"/>
          <w:numId w:val="1002"/>
        </w:numPr>
      </w:pPr>
      <w:r>
        <w:t xml:space="preserve">Establish a proven acceptable range for each parameter and each quality attribute the step controls, both with the other parameters at their set-points and with the other parameters varying within their normal operating ranges.</w:t>
      </w:r>
    </w:p>
    <w:p>
      <w:pPr>
        <w:pStyle w:val="Compact"/>
        <w:numPr>
          <w:ilvl w:val="0"/>
          <w:numId w:val="1002"/>
        </w:numPr>
      </w:pPr>
      <w:r>
        <w:t xml:space="preserve">Provide the demonstrated effects and the operating region from which each parameter will be classified under SOP-4001.</w:t>
      </w:r>
    </w:p>
    <w:p>
      <w:pPr>
        <w:pStyle w:val="Compact"/>
        <w:numPr>
          <w:ilvl w:val="0"/>
          <w:numId w:val="1002"/>
        </w:numPr>
      </w:pPr>
      <w:r>
        <w:t xml:space="preserve">Justify the parameter ranges carried into Stage 2 and the contribution this step makes to the control strategy of the drug substance process.</w:t>
      </w:r>
    </w:p>
    <w:p>
      <w:pPr>
        <w:pStyle w:val="Compact"/>
        <w:numPr>
          <w:ilvl w:val="0"/>
          <w:numId w:val="1002"/>
        </w:numPr>
      </w:pPr>
      <w:r>
        <w:t xml:space="preserve">Estimate, before the first characterization run, the offset between the scale-down model and manufacturing scale for each quantity that the qualification compares, and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Fit response-surface models for pool host cell protein, step yield, leached Protein A and fragments by nrCE-SDS over the ranges studied, and judge their adequacy for prediction.</w:t>
      </w:r>
    </w:p>
    <w:p>
      <w:pPr>
        <w:pStyle w:val="FirstParagraph"/>
      </w:pPr>
      <w:r>
        <w:t xml:space="preserve">Objectives 1 to 5 are those of Version 1.0. Objectives 6 and 7 are added at Version 2.0 (changes 2 to 4). Change 3 also adds fragments to objectives 1 and 3, and change 2 states the ranges of objective 3 at manufacturing scale for pool host cell protein and leached Protein A.</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qualification runs are made under the scale-down model qualification procedure SOP-1001 in study S-PA-SDM, before the first run of the screening design, and they give the offset of each quantity the qualification compares. Whether the model is qualified for an output is decided at analysis, because the decision needs the response-surface model of the step.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w:t>
                  </w:r>
                </w:p>
              </w:tc>
              <w:tc>
                <w:tcPr/>
                <w:p>
                  <w:pPr>
                    <w:pStyle w:val="Compact"/>
                    <w:jc w:val="center"/>
                  </w:pPr>
                  <w:r>
                    <w:t xml:space="preserve">Response of the response-surface design</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w:t>
                  </w:r>
                </w:p>
              </w:tc>
              <w:tc>
                <w:tcPr/>
                <w:p>
                  <w:pPr>
                    <w:pStyle w:val="Compact"/>
                    <w:jc w:val="center"/>
                  </w:pPr>
                  <w:r>
                    <w:t xml:space="preserve">For information only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A model that fails the lack-of-fit test or the limit on overfitting of</w:t>
      </w:r>
      <w:r>
        <w:t xml:space="preserve"> </w:t>
      </w:r>
      <w:hyperlink w:anchor="sec-criteria">
        <w:r>
          <w:rPr>
            <w:rStyle w:val="Hyperlink"/>
          </w:rPr>
          <w:t xml:space="preserve">Section 7</w:t>
        </w:r>
      </w:hyperlink>
      <w:r>
        <w:t xml:space="preserve"> </w:t>
      </w:r>
      <w:r>
        <w:t xml:space="preserve">is either refitted with a justified change of terms or transformation, or it is not used to set a range (PCMP-001, model adequacy). PCR-005 reports any such change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the parameters is an outcome of the studies. It is assigned in PCR-005 and is not stated in this plan.</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r>
                    <w:rPr>
                      <w:vertAlign w:val="superscript"/>
                    </w:rPr>
                    <w:t xml:space="preserve">a)</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gridSpan w:val="6"/>
                </w:tcPr>
                <w:p>
                  <w:pPr>
                    <w:pStyle w:val="Compact"/>
                    <w:jc w:val="center"/>
                  </w:pPr>
                  <w:r>
                    <w:rPr>
                      <w:vertAlign w:val="superscript"/>
                    </w:rPr>
                    <w:t xml:space="preserve">a)</w:t>
                  </w:r>
                  <w:r>
                    <w:t xml:space="preserve"> </w:t>
                  </w:r>
                  <w:r>
                    <w:t xml:space="preserve">The NOR against which the studies were planned and judged. PCR-005 Version 2.0 narrowed protein load to 20–39 g/L resin.</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will be assessed one factor at a time. Each will be run at the low edge, the centre and the high edge of its characterized range, with the other parameters held at their set-points and with the same responses measured as in the multivariate designs. Temperature will be assessed over 15 to 30 °C and bed height over 10 to 30 cm. Both parameters are assessed in study S-PA-UNI. The column and all buffers are equilibrated to the run temperature. In the bed height runs the linear velocity is held at its set-point, so that the residence time changes with the bed height. Holding the velocity makes the short bed the more severe test, because the short bed then also has the shortest residence time.</w:t>
      </w:r>
    </w:p>
    <w:p>
      <w:pPr>
        <w:pStyle w:val="BodyText"/>
      </w:pPr>
      <w:r>
        <w:t xml:space="preserve">These two parameters were kept out of the multivariate design for the mechanistic reasons given in</w:t>
      </w:r>
      <w:r>
        <w:t xml:space="preserve"> </w:t>
      </w:r>
      <w:hyperlink w:anchor="sec-risk">
        <w:r>
          <w:rPr>
            <w:rStyle w:val="Hyperlink"/>
          </w:rPr>
          <w:t xml:space="preserve">Section 4.3</w:t>
        </w:r>
      </w:hyperlink>
      <w:r>
        <w:t xml:space="preserve">. Their expected effects are small beside those of load and elution pH over the ranges they can take, and either can interact with protein load through the dynamic binding capacity. A univariate study cannot detect an interaction, and this limitation is accepted on the grounds that</w:t>
      </w:r>
      <w:r>
        <w:t xml:space="preserve"> </w:t>
      </w:r>
      <w:hyperlink w:anchor="sec-risk">
        <w:r>
          <w:rPr>
            <w:rStyle w:val="Hyperlink"/>
          </w:rPr>
          <w:t xml:space="preserve">Section 4.3</w:t>
        </w:r>
      </w:hyperlink>
      <w:r>
        <w:t xml:space="preserve"> </w:t>
      </w:r>
      <w:r>
        <w:t xml:space="preserve">gives for each parameter. Should the univariate data show an effect comparable with the multivariate effects, the parameter will be added to a supplementary multivariate study before the operating region is declared.</w:t>
      </w:r>
    </w:p>
    <w:p>
      <w:pPr>
        <w:pStyle w:val="BodyText"/>
      </w:pPr>
      <w:r>
        <w:t xml:space="preserve">A univariate study has no model, so there is no prediction interval to compute, and each individual result stands for a single batch, which is the statistic on which PCMP-001 judges a quality attribute.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Because the study cannot detect an interaction, the ranges of operating temperature and bed height are supported only with the other parameters at their set-points, and PCR-005 states this beside each result.</w:t>
      </w:r>
    </w:p>
    <w:bookmarkEnd w:id="48"/>
    <w:bookmarkEnd w:id="49"/>
    <w:bookmarkStart w:id="51"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how a parameter is classified and where the operating region lies.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5"/>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5"/>
        </w:numPr>
      </w:pPr>
      <w:r>
        <w:t xml:space="preserve">Model significance. A response-surface model is used for prediction only if the model F-test is significant at α = 0.05.</w:t>
      </w:r>
    </w:p>
    <w:p>
      <w:pPr>
        <w:pStyle w:val="Compact"/>
        <w:numPr>
          <w:ilvl w:val="0"/>
          <w:numId w:val="1005"/>
        </w:numPr>
      </w:pPr>
      <w:r>
        <w:t xml:space="preserve">Lack of fit. The test of lack of fit against pure error is not significant at α = 0.05.</w:t>
      </w:r>
    </w:p>
    <w:p>
      <w:pPr>
        <w:pStyle w:val="Compact"/>
        <w:numPr>
          <w:ilvl w:val="0"/>
          <w:numId w:val="1005"/>
        </w:numPr>
      </w:pPr>
      <w:r>
        <w:t xml:space="preserve">Predictive power. The predicted R², computed from the prediction error sum of squares (PRESS), falls short of the R² of the same model by no more than 0.20.</w:t>
      </w:r>
    </w:p>
    <w:p>
      <w:pPr>
        <w:pStyle w:val="Compact"/>
        <w:numPr>
          <w:ilvl w:val="0"/>
          <w:numId w:val="1005"/>
        </w:numPr>
      </w:pPr>
      <w:r>
        <w:t xml:space="preserve">Residuals. A regression of the absolute residuals on the predicted values, and a regression of the residuals on run order, each show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a common screening cut-off for influential runs that scales with the number of runs, and it is 0.14 for the 28 runs of the response-surface design.</w:t>
      </w:r>
    </w:p>
    <w:p>
      <w:pPr>
        <w:pStyle w:val="Compact"/>
        <w:numPr>
          <w:ilvl w:val="0"/>
          <w:numId w:val="1005"/>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5"/>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An attribute is affected by a parameter when a term that contains the parameter is significant at α = 0.05. A significant effect that is too small to move the attribute appreciably within the PAR does not by itself make the parameter critical. Neither PCMP-001 nor SOP-4001 sets a numerical threshold for a practically relevant effect or for a low risk. PCR-005 therefore states the size of each effect across the PAR beside its significance and the margin of the PAR to the NOR, and it gives the reason for each class on them.</w:t>
      </w:r>
    </w:p>
    <w:p>
      <w:pPr>
        <w:pStyle w:val="Compact"/>
        <w:numPr>
          <w:ilvl w:val="0"/>
          <w:numId w:val="1005"/>
        </w:numPr>
      </w:pPr>
      <w:r>
        <w:t xml:space="preserve">Operating region. The operating region will be declared as the part of the characterized space over which every quality attribute the step controls meets the criterion in</w:t>
      </w:r>
      <w:r>
        <w:t xml:space="preserve"> </w:t>
      </w:r>
      <w:hyperlink w:anchor="tbl-outcrit">
        <w:r>
          <w:rPr>
            <w:rStyle w:val="Hyperlink"/>
          </w:rPr>
          <w:t xml:space="preserve">Table 9</w:t>
        </w:r>
      </w:hyperlink>
      <w:r>
        <w:t xml:space="preserve"> </w:t>
      </w:r>
      <w:r>
        <w:t xml:space="preserve">at both ends of the 95 % prediction interval of a single run from its response-surface model, which is the statistic on which PCMP-001 draws the design space of a step. The study passes when the model is adequate for each modelled response, when the normal operating range of every parameter lies inside that region, and when the proven acceptable ranges of</w:t>
      </w:r>
      <w:r>
        <w:t xml:space="preserve"> </w:t>
      </w:r>
      <w:hyperlink w:anchor="sec-par">
        <w:r>
          <w:rPr>
            <w:rStyle w:val="Hyperlink"/>
          </w:rPr>
          <w:t xml:space="preserve">Section 8</w:t>
        </w:r>
      </w:hyperlink>
      <w:r>
        <w:t xml:space="preserve"> </w:t>
      </w:r>
      <w:r>
        <w:t xml:space="preserve">contain the normal operating range. A parameter whose normal operating range is not contained will have its range narrowed in PCR-005, and the narrowed range will be carried into the control strategy.</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0"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17,069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anion exchange showed at the one-sided 95 % prediction bound of a single batch, from a model that meets the first three adequacy criteria of PCMP-001 and is not an exact fit, that the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0"/>
          <w:p/>
        </w:tc>
      </w:tr>
    </w:tbl>
    <w:bookmarkEnd w:id="51"/>
    <w:bookmarkStart w:id="57" w:name="sec-par"/>
    <w:p>
      <w:pPr>
        <w:pStyle w:val="Heading1"/>
      </w:pPr>
      <w:r>
        <w:t xml:space="preserve">8. Proven acceptable ranges (planned analysis)</w:t>
      </w:r>
    </w:p>
    <w:bookmarkStart w:id="54"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2" w:name="tbl-iac"/>
          <w:p>
            <w:pPr>
              <w:jc w:val="center"/>
            </w:pPr>
            <w:pPr>
              <w:jc w:val="start"/>
              <w:spacing w:before="200"/>
              <w:pStyle w:val="ImageCaption"/>
            </w:pPr>
            <w:r>
              <w:t xml:space="preserve">Table 10: Intermediate acceptance criteria for the Protein A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2"/>
          <w:p/>
        </w:tc>
      </w:tr>
    </w:tbl>
    <w:p>
      <w:pPr>
        <w:pStyle w:val="BodyText"/>
      </w:pPr>
      <w:r>
        <w:t xml:space="preserve">For pool host cell protein the drug substance limit of 100 ng/mg is carried back through cation exchange and anion exchange, which together clear host cell protein 170.690-fold in the derivation. That gives 17,069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anion exchange meets the first three adequacy criteria of PCMP-001 and is not an exact fit, and it showed at the one-sided 95 % prediction bound of a single batch that the step clears host cell protein better than its platform worst case. That bound replaced the platform value, which widened the criterion to the value above. The criterion for fragments is at its a priori value of 2.45 %, because the A-Mab results of the downstream steps did not replace any platform value for fragments (</w:t>
      </w:r>
      <w:hyperlink w:anchor="tbl-worstcase">
        <w:r>
          <w:rPr>
            <w:rStyle w:val="Hyperlink"/>
          </w:rPr>
          <w:t xml:space="preserve">Table 11</w:t>
        </w:r>
      </w:hyperlink>
      <w:r>
        <w:t xml:space="preserve">).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6"/>
        </w:numPr>
      </w:pPr>
      <w:r>
        <w:t xml:space="preserve">Where a downstream step does worse within its NOR than its platform worst case, the one-sided 95 % prediction bound of a single batch at its A-Mab worst case, taken on the unfavourable side, replaces the platform value. The criterion of this step then becomes stricter.</w:t>
      </w:r>
    </w:p>
    <w:p>
      <w:pPr>
        <w:pStyle w:val="Compact"/>
        <w:numPr>
          <w:ilvl w:val="0"/>
          <w:numId w:val="1006"/>
        </w:numPr>
      </w:pPr>
      <w:r>
        <w:t xml:space="preserve">Where the one-sided 95 % prediction bound of a single batch at the A-Mab worst case within the NOR is better than the platform value, and the response-surface model of the downstream step meets the first three adequacy criteria of PCMP-001 (a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The criterion of this step then becomes wider. The point prediction is never used to widen a criterion.</w:t>
      </w:r>
    </w:p>
    <w:p>
      <w:pPr>
        <w:pStyle w:val="Compact"/>
        <w:numPr>
          <w:ilvl w:val="0"/>
          <w:numId w:val="1006"/>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7"/>
        </w:numPr>
      </w:pPr>
      <w:r>
        <w:t xml:space="preserve">The bound and the platform value it replaced.</w:t>
      </w:r>
    </w:p>
    <w:p>
      <w:pPr>
        <w:pStyle w:val="Compact"/>
        <w:numPr>
          <w:ilvl w:val="0"/>
          <w:numId w:val="1007"/>
        </w:numPr>
      </w:pPr>
      <w:r>
        <w:t xml:space="preserve">The runs of the anion exchange design behind the bound.</w:t>
      </w:r>
    </w:p>
    <w:p>
      <w:pPr>
        <w:pStyle w:val="Compact"/>
        <w:numPr>
          <w:ilvl w:val="0"/>
          <w:numId w:val="1007"/>
        </w:numPr>
      </w:pPr>
      <w:r>
        <w:t xml:space="preserve">The adequacy results of the anion exchange model.</w:t>
      </w:r>
    </w:p>
    <w:p>
      <w:pPr>
        <w:pStyle w:val="Compact"/>
        <w:numPr>
          <w:ilvl w:val="0"/>
          <w:numId w:val="1007"/>
        </w:numPr>
      </w:pPr>
      <w:r>
        <w:t xml:space="preserve">The reason why the performance of anion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3"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Bound, widened</w:t>
                  </w:r>
                  <w:r>
                    <w:rPr>
                      <w:vertAlign w:val="superscript"/>
                    </w:rPr>
                    <w:t xml:space="preserve">c)</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A-Mab result confirmed the platform worst case, which stands.</w:t>
                  </w:r>
                </w:p>
              </w:tc>
            </w:tr>
            <w:tr>
              <w:tc>
                <w:tcPr>
                  <w:gridSpan w:val="7"/>
                </w:tcPr>
                <w:p>
                  <w:pPr>
                    <w:pStyle w:val="Compact"/>
                    <w:jc w:val="center"/>
                  </w:pPr>
                  <w:r>
                    <w:rPr>
                      <w:vertAlign w:val="superscript"/>
                    </w:rPr>
                    <w:t xml:space="preserve">b)</w:t>
                  </w:r>
                  <w:r>
                    <w:t xml:space="preserve"> </w:t>
                  </w:r>
                  <w:r>
                    <w:t xml:space="preserve">Not a response of the downstream designs, so the platform value cannot be checked in this campaign and stands.</w:t>
                  </w:r>
                </w:p>
              </w:tc>
            </w:tr>
            <w:tr>
              <w:tc>
                <w:tcPr>
                  <w:gridSpan w:val="7"/>
                </w:tcPr>
                <w:p>
                  <w:pPr>
                    <w:pStyle w:val="Compact"/>
                    <w:jc w:val="center"/>
                  </w:pPr>
                  <w:r>
                    <w:rPr>
                      <w:vertAlign w:val="superscript"/>
                    </w:rPr>
                    <w:t xml:space="preserve">c)</w:t>
                  </w:r>
                  <w:r>
                    <w:t xml:space="preserve"> </w:t>
                  </w:r>
                  <w:r>
                    <w:t xml:space="preserve">The one-sided 95 % prediction bound of a single batch at the A-Mab worst case within the NOR was better than the platform value, and the model meets the first three adequacy criteria of PCMP-001 and is not an exact fit. The bound replaced the platform value.</w:t>
                  </w:r>
                </w:p>
              </w:tc>
            </w:tr>
            <w:tr>
              <w:tc>
                <w:tcPr>
                  <w:gridSpan w:val="7"/>
                </w:tcPr>
                <w:p>
                  <w:pPr>
                    <w:pStyle w:val="Compact"/>
                    <w:jc w:val="center"/>
                  </w:pPr>
                  <w:r>
                    <w:t xml:space="preserve">Computed from unrounded values. A criterion recomputed from the rounded values shown can differ in its last digit.</w:t>
                  </w:r>
                </w:p>
              </w:tc>
            </w:tr>
          </w:tbl>
          <w:bookmarkEnd w:id="53"/>
          <w:p/>
        </w:tc>
      </w:tr>
    </w:tbl>
    <w:bookmarkEnd w:id="54"/>
    <w:bookmarkStart w:id="55"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8"/>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8"/>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5"/>
    <w:bookmarkStart w:id="56"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p>
      <w:pPr>
        <w:pStyle w:val="BodyText"/>
      </w:pPr>
      <w:r>
        <w:t xml:space="preserve">A proven acceptable range is a univariate statement and does not replace the operating region of</w:t>
      </w:r>
      <w:r>
        <w:t xml:space="preserve"> </w:t>
      </w:r>
      <w:hyperlink w:anchor="sec-criteria">
        <w:r>
          <w:rPr>
            <w:rStyle w:val="Hyperlink"/>
          </w:rPr>
          <w:t xml:space="preserve">Section 7</w:t>
        </w:r>
      </w:hyperlink>
      <w:r>
        <w:t xml:space="preserve">. Two parameters may each sit inside their own proven acceptable range while their combination sits outside the multivariate region. Where the two disagree, the multivariate region takes precedence, and the proven acceptable ranges will be reported as supporting information for excursion assessment.</w:t>
      </w:r>
    </w:p>
    <w:bookmarkEnd w:id="56"/>
    <w:bookmarkEnd w:id="57"/>
    <w:bookmarkStart w:id="58"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8"/>
    <w:bookmarkStart w:id="60"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59"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59"/>
          <w:p/>
        </w:tc>
      </w:tr>
    </w:tbl>
    <w:bookmarkEnd w:id="60"/>
    <w:bookmarkStart w:id="62"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and the PARs, and it proposes the classification of every parameter. It rolls up into PCMR-001.</w:t>
      </w:r>
    </w:p>
    <w:p>
      <w:pPr>
        <w:pStyle w:val="BodyText"/>
      </w:pPr>
      <w:r>
        <w:t xml:space="preserve">The work will be executed in five phases and in the order given. The qualification runs of the scale-down model are made first, and the offsets are estimated from them. The screening design is executed and analysed second. The response-surface design is executed third, and it will not begin until the screening data have been reviewed. The univariate assessments are executed fourth and may run in parallel with the response-surface design, since they share no equipment constraint with it. The analysis and the report are completed last. As in Version 1.0, no calendar dates are fixed in this plan. The sequence above is the binding commitment, and the schedule is held in the project plan under PTP-001.</w:t>
      </w:r>
      <w:r>
        <w:t xml:space="preserve"> </w:t>
      </w:r>
      <w:hyperlink w:anchor="tbl-chrono">
        <w:r>
          <w:rPr>
            <w:rStyle w:val="Hyperlink"/>
          </w:rPr>
          <w:t xml:space="preserve">Table 13</w:t>
        </w:r>
      </w:hyperlink>
      <w:r>
        <w:t xml:space="preserve"> </w:t>
      </w:r>
      <w:r>
        <w:t xml:space="preserve">records the execution window of each study, as INV-001 preventive action PA3 requires,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1"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1"/>
          <w:p/>
        </w:tc>
      </w:tr>
    </w:tbl>
    <w:bookmarkEnd w:id="62"/>
    <w:bookmarkStart w:id="63"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09"/>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09"/>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09"/>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09"/>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09"/>
        </w:numPr>
      </w:pPr>
      <w:r>
        <w:t xml:space="preserve">Fragments by nrCE-SDS rest on the retained pools of the response-surface design.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09"/>
        </w:numPr>
      </w:pPr>
      <w:r>
        <w:t xml:space="preserve">Supply of clarified harvest and resin may limit the number of runs. The designs are executed in full before analysis, and no run is dropped to save material.</w:t>
      </w:r>
    </w:p>
    <w:bookmarkEnd w:id="63"/>
    <w:bookmarkStart w:id="64"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4"/>
    <w:bookmarkStart w:id="66"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5"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5"/>
          <w:p/>
        </w:tc>
      </w:tr>
    </w:tbl>
    <w:bookmarkEnd w:id="66"/>
    <w:bookmarkStart w:id="68"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7"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7"/>
          <w:p/>
        </w:tc>
      </w:tr>
    </w:tbl>
    <w:bookmarkEnd w:id="68"/>
    <w:bookmarkStart w:id="71" w:name="references"/>
    <w:p>
      <w:pPr>
        <w:pStyle w:val="Heading1"/>
      </w:pPr>
      <w:r>
        <w:t xml:space="preserve">References</w:t>
      </w:r>
    </w:p>
    <w:bookmarkStart w:id="70" w:name="refs"/>
    <w:bookmarkStart w:id="69"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2026-10-10T15:56:21Z</dcterms:created>
  <dcterms:modified xsi:type="dcterms:W3CDTF">2026-10-10T15:56:21Z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