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PCP-008 Version 1.0 (2026-02-02)</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2026-02-02</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Equil/Wash-1</w:t>
            </w:r>
          </w:p>
        </w:tc>
        <w:tc>
          <w:tcPr/>
          <w:p>
            <w:pPr>
              <w:pStyle w:val="Compact"/>
              <w:jc w:val="left"/>
            </w:pPr>
            <w:r>
              <w:t xml:space="preserve">equilibration and first wash buffer</w:t>
            </w:r>
          </w:p>
        </w:tc>
      </w:tr>
      <w:tr>
        <w:tc>
          <w:tcPr/>
          <w:p>
            <w:pPr>
              <w:pStyle w:val="Compact"/>
              <w:jc w:val="left"/>
            </w:pPr>
            <w:r>
              <w:t xml:space="preserve">Fc</w:t>
            </w:r>
          </w:p>
        </w:tc>
        <w:tc>
          <w:tcPr/>
          <w:p>
            <w:pPr>
              <w:pStyle w:val="Compact"/>
              <w:jc w:val="left"/>
            </w:pPr>
            <w:r>
              <w:t xml:space="preserve">crystallizable fragment of the antibody</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fifty percent tissue culture infectious dose</w:t>
            </w:r>
          </w:p>
        </w:tc>
      </w:tr>
      <w:tr>
        <w:tc>
          <w:tcPr/>
          <w:p>
            <w:pPr>
              <w:pStyle w:val="Compact"/>
              <w:jc w:val="left"/>
            </w:pPr>
            <w:r>
              <w:t xml:space="preserve">XMuLV</w:t>
            </w:r>
          </w:p>
        </w:tc>
        <w:tc>
          <w:tcPr/>
          <w:p>
            <w:pPr>
              <w:pStyle w:val="Compact"/>
              <w:jc w:val="left"/>
            </w:pPr>
            <w:r>
              <w:t xml:space="preserve">xenotropic murine leukaemia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process characterization of the anion exchange chromatography step of the A-Mab drug substance process</w:t>
      </w:r>
      <w:r>
        <w:t xml:space="preserve"> </w:t>
      </w:r>
      <w:r>
        <w:t xml:space="preserve">(U.S. Food and Drug Administration 2011)</w:t>
      </w:r>
      <w:r>
        <w:t xml:space="preserve">. The step is Step 8 of the train and the last chromatography step before virus filtration. It is operated in flow-through mode. The characterization supports the transfer of the process from the development site to the commercial drug substance site under the Process Transfer Plan PTP-001. It is executed on a scale-down model of the commercial column (</w:t>
      </w:r>
      <w:hyperlink w:anchor="sec-sdm">
        <w:r>
          <w:rPr>
            <w:rStyle w:val="Hyperlink"/>
          </w:rPr>
          <w:t xml:space="preserve">Section 5.1</w:t>
        </w:r>
      </w:hyperlink>
      <w:r>
        <w:t xml:space="preserve">).</w:t>
      </w:r>
    </w:p>
    <w:p>
      <w:pPr>
        <w:pStyle w:val="BodyText"/>
      </w:pPr>
      <w:r>
        <w:t xml:space="preserve">The study covers the five process parameters that the risk assessment RA-001 carried forward for this step. Of these, four are studied in a screening design and a response surface design, and operating flow rate is assessed one factor at a time. The responses measured on the flow-through pool are host cell protein, the log reduction factors of the two model viruses, step yield and fragments. Residual DNA and leached Protein A are measured on the pool of every response surface run and are monitored, not modelled (</w:t>
      </w:r>
      <w:hyperlink w:anchor="sec-sampling">
        <w:r>
          <w:rPr>
            <w:rStyle w:val="Hyperlink"/>
          </w:rPr>
          <w:t xml:space="preserve">Section 5.4</w:t>
        </w:r>
      </w:hyperlink>
      <w:r>
        <w:t xml:space="preserve">). The commercial process is operated at a bioreactor scale of 15,000 L, and the anion exchange step processes the cation exchange pool derived from a single batch at that scale.</w:t>
      </w:r>
    </w:p>
    <w:p>
      <w:pPr>
        <w:pStyle w:val="BodyText"/>
      </w:pPr>
      <w:r>
        <w:t xml:space="preserve">Three activities lie outside this plan. Resin packing, sanitization and life cycle are qualified under the resin procedure SOP-2008, and none of them is varied here. Performance at commercial scale is confirmed in Stage 2, during process performance qualification (PPQ), whose batches run inside the NORs and do not test the edges of the ranges. The small-virus retentive filter is characterized under its own plan, PCP-009, and this study claims no clearance that belongs to that filter.</w:t>
      </w:r>
    </w:p>
    <w:bookmarkStart w:id="24" w:name="sec-changes"/>
    <w:p>
      <w:pPr>
        <w:pStyle w:val="Heading2"/>
      </w:pPr>
      <w:r>
        <w:t xml:space="preserve">1.1 Changes in this revision</w:t>
      </w:r>
    </w:p>
    <w:p>
      <w:pPr>
        <w:pStyle w:val="FirstParagraph"/>
      </w:pPr>
      <w:r>
        <w:t xml:space="preserve">Version 1.0 of this plan was approved on 2026-02-02, before the first study of this step began on 2026-02-04 (the scale-down model qualification study S-AEX-SDM). Version 2.0 is the amendment of the step plans with the a priori criteria and the fragment method that the QA investigation INV-001 calls for in its corrective action CA2, and it is issued after the studies ran. QA opened INV-001 on 2026-08-03 after its review of the master report PCMR-001 Version 1.0 for BLA readiness, and closed it on 2026-09-18. INV-001 found that the criteria used to judge each step in the proven acceptable range analysis had been set after the data were seen and were in no approved protocol (INV-001 finding 1). The revision is also issued under INV-002, which investigated response surface models that fell below the model adequacy criteria of PCMP-001 Version 2.0. Its corrective actions, the model selection and the refits of the response surface models below those criteria, are applied in the paired report PCR-008.</w:t>
      </w:r>
    </w:p>
    <w:p>
      <w:pPr>
        <w:pStyle w:val="BodyText"/>
      </w:pPr>
      <w:r>
        <w:t xml:space="preserve">Version 2.0 keeps the designs, the sampling, the spiking and the decision rules of Version 1.0 as Version 1.0 wrote them. Where the master plan PCMP-001 Version 2.0 sets a rule in place of one, the text gives the rule of PCMP-001 and says so, and the list below names the Version 1.0 rule it replaces. The changes are the following.</w:t>
      </w:r>
    </w:p>
    <w:p>
      <w:pPr>
        <w:pStyle w:val="Compact"/>
        <w:numPr>
          <w:ilvl w:val="0"/>
          <w:numId w:val="1001"/>
        </w:numPr>
      </w:pPr>
      <w:r>
        <w:t xml:space="preserve">The outputs of the step are judged against the intermediate acceptance criteria that PCMP-001 Version 2.0 derives a priori (its §7.3). Each drug substance criterion is carried back through the platform worst case of every later step, that is the lowest clearance or the largest increase that the step showed for X-Mab, Y-Mab and Z-Mab, with no margin. These criteria replace the limits of Version 1.0 (</w:t>
      </w:r>
      <w:hyperlink w:anchor="tbl-criteria-change">
        <w:r>
          <w:rPr>
            <w:rStyle w:val="Hyperlink"/>
          </w:rPr>
          <w:t xml:space="preserve">Table 1</w:t>
        </w:r>
      </w:hyperlink>
      <w:r>
        <w:t xml:space="preserve">, discussed below), and objective 5 asks whether the step meets its platform claims for both viruses.</w:t>
      </w:r>
    </w:p>
    <w:p>
      <w:pPr>
        <w:pStyle w:val="Compact"/>
        <w:numPr>
          <w:ilvl w:val="0"/>
          <w:numId w:val="1001"/>
        </w:numPr>
      </w:pPr>
      <w:r>
        <w:t xml:space="preserve">A quality attribute is judged on a single batch, through the 95 % prediction interval of a single batch. Viral clearance is judged at the worst case within the NOR, on the mean predicted log reduction factor at the least favourable combination of NOR low, set-point and NOR high of the multivariate parameters (</w:t>
      </w:r>
      <w:hyperlink w:anchor="sec-par">
        <w:r>
          <w:rPr>
            <w:rStyle w:val="Hyperlink"/>
          </w:rPr>
          <w:t xml:space="preserve">Section 8</w:t>
        </w:r>
      </w:hyperlink>
      <w:r>
        <w:t xml:space="preserve">). The multivariate operating region is drawn in the same way, on both ends of the 95 % prediction interval of a single run for each quality attribute and on the mean prediction for viral clearance (</w:t>
      </w:r>
      <w:hyperlink w:anchor="sec-criteria">
        <w:r>
          <w:rPr>
            <w:rStyle w:val="Hyperlink"/>
          </w:rPr>
          <w:t xml:space="preserve">Section 7</w:t>
        </w:r>
      </w:hyperlink>
      <w:r>
        <w:t xml:space="preserve">). Version 1.0 judged every response on a single batch and did not say on which statistic the operating region was drawn.</w:t>
      </w:r>
    </w:p>
    <w:p>
      <w:pPr>
        <w:pStyle w:val="Compact"/>
        <w:numPr>
          <w:ilvl w:val="0"/>
          <w:numId w:val="1001"/>
        </w:numPr>
      </w:pPr>
      <w:r>
        <w:t xml:space="preserve">The scale-down model is qualified for each output by its offset from manufacturing scale (PCMP-001 §7.1), and whether it is qualified for an output is decided at analysis (</w:t>
      </w:r>
      <w:hyperlink w:anchor="sec-sdm">
        <w:r>
          <w:rPr>
            <w:rStyle w:val="Hyperlink"/>
          </w:rPr>
          <w:t xml:space="preserve">Section 5.1</w:t>
        </w:r>
      </w:hyperlink>
      <w:r>
        <w:t xml:space="preserve">). Version 1.0 tested for a difference between the scales and accepted the model only where the test found no statistically significant difference, and it released no characterization run on a model that had not passed.</w:t>
      </w:r>
    </w:p>
    <w:p>
      <w:pPr>
        <w:pStyle w:val="Compact"/>
        <w:numPr>
          <w:ilvl w:val="0"/>
          <w:numId w:val="1001"/>
        </w:numPr>
      </w:pPr>
      <w:r>
        <w:t xml:space="preserve">Fragments are judged at this step against the drug substance criterion, on results by nrCE-SDS (AMV-3020), the method that the method decision AMD-001 of 2026-03-20 set for every step (</w:t>
      </w:r>
      <w:hyperlink w:anchor="sec-analytical">
        <w:r>
          <w:rPr>
            <w:rStyle w:val="Hyperlink"/>
          </w:rPr>
          <w:t xml:space="preserve">Section 5.3</w:t>
        </w:r>
      </w:hyperlink>
      <w:r>
        <w:t xml:space="preserve">). Version 1.0 did not list fragments as a response of this step and did not judge them. Objective 1 includes them.</w:t>
      </w:r>
    </w:p>
    <w:p>
      <w:pPr>
        <w:pStyle w:val="Compact"/>
        <w:numPr>
          <w:ilvl w:val="0"/>
          <w:numId w:val="1001"/>
        </w:numPr>
      </w:pPr>
      <w:r>
        <w:t xml:space="preserve">A response surface model is adequate when it passes the four conditions of PCMP-001 §7.2. These are a significant model F-test, no significant lack of fit against pure error, a predicted R² within 0.20 of R² (the limit on overfitting), and residuals with no pattern and no run that dominates the fit. PCMP-001 sets the levels of the first two conditions and the limit of the third. For the fourth this plan applies the two tests that every plan of the campaign applies, a test for patterns in the residuals, by regressions of the absolute residuals on the predicted values and of the residuals on the run order, and a test for influence, by Cook’s distance (</w:t>
      </w:r>
      <w:hyperlink w:anchor="sec-stats">
        <w:r>
          <w:rPr>
            <w:rStyle w:val="Hyperlink"/>
          </w:rPr>
          <w:t xml:space="preserve">Section 5.5</w:t>
        </w:r>
      </w:hyperlink>
      <w:r>
        <w:t xml:space="preserve">).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A model that fails the lack of fit test or the limit on overfitting is either refitted with a justified change of terms or transformation, or it is not used to set a range (</w:t>
      </w:r>
      <w:hyperlink w:anchor="sec-criteria">
        <w:r>
          <w:rPr>
            <w:rStyle w:val="Hyperlink"/>
          </w:rPr>
          <w:t xml:space="preserve">Section 7</w:t>
        </w:r>
      </w:hyperlink>
      <w:r>
        <w:t xml:space="preserve">). Version 1.0 judged adequacy on the lack of fit test at p ≥ 0.05 and an inspection of the residuals, and fixed no threshold for the coefficient of determination. It allowed a model with significant lack of fit to be used for prediction where its residual standard error was small against the margin to the limit, and it reported a response with neither an adequate nor a justified model without a predictive model.</w:t>
      </w:r>
    </w:p>
    <w:p>
      <w:pPr>
        <w:pStyle w:val="Compact"/>
        <w:numPr>
          <w:ilvl w:val="0"/>
          <w:numId w:val="1001"/>
        </w:numPr>
      </w:pPr>
      <w:r>
        <w:t xml:space="preserve">The criteria of the upstream steps rely on two platform worst cases of this step, a host cell protein clearance of at least 4-fold and a leached Protein A clearance of at least 10-fold. PCR-008 verifies the host cell protein worst case on the response surface model of this step, by the rule of PCMP-001 §7.5. The leached Protein A value stands under that rule, because leached Protein A is not a response of the designs (</w:t>
      </w:r>
      <w:hyperlink w:anchor="sec-criteria">
        <w:r>
          <w:rPr>
            <w:rStyle w:val="Hyperlink"/>
          </w:rPr>
          <w:t xml:space="preserve">Section 7</w:t>
        </w:r>
      </w:hyperlink>
      <w:r>
        <w:t xml:space="preserve">). Objective 6 is added for the verification.</w:t>
      </w:r>
    </w:p>
    <w:p>
      <w:pPr>
        <w:pStyle w:val="Compact"/>
        <w:numPr>
          <w:ilvl w:val="0"/>
          <w:numId w:val="1001"/>
        </w:numPr>
      </w:pPr>
      <w:r>
        <w:t xml:space="preserve">The execution window of every study is recorded, as INV-001 preventive action PA3 requires of every study record (</w:t>
      </w:r>
      <w:hyperlink w:anchor="sec-schedule">
        <w:r>
          <w:rPr>
            <w:rStyle w:val="Hyperlink"/>
          </w:rPr>
          <w:t xml:space="preserve">Section 11</w:t>
        </w:r>
      </w:hyperlink>
      <w:r>
        <w:t xml:space="preserve">), and the revision history gives the date on which Version 1.0 was approved. The Version 1.0 records gave no execution dates (INV-001 finding 5). The frozen Version 1.0 text of this plan, compiled with the package of the Version 1.0 reports, also differs from the approved plan in two ways. Its title block carries 2026-07-24, the date on which the Version 1.0 reports were approved. Its acceptance criteria carry the step limits of</w:t>
      </w:r>
      <w:r>
        <w:t xml:space="preserve"> </w:t>
      </w:r>
      <w:hyperlink w:anchor="tbl-criteria-change">
        <w:r>
          <w:rPr>
            <w:rStyle w:val="Hyperlink"/>
          </w:rPr>
          <w:t xml:space="preserve">Table 1</w:t>
        </w:r>
      </w:hyperlink>
      <w:r>
        <w:t xml:space="preserve">, which were added to the plan text when the package was compiled, without a revision of the approved plan (INV-001 root cause 1).</w:t>
      </w:r>
    </w:p>
    <w:p>
      <w:pPr>
        <w:pStyle w:val="Compact"/>
        <w:numPr>
          <w:ilvl w:val="0"/>
          <w:numId w:val="1001"/>
        </w:numPr>
      </w:pPr>
      <w:r>
        <w:t xml:space="preserve">Capability is no longer estimated for this step alone. Version 1.0 estimated it by simulating the fitted models of this step and reported a one-sided index for each governed attribute against the criterion at this step. PCMP-001 Version 2.0 estimates it from the integrated process model of the train, against the drug substance criterion, and judges it in PCMR-001 against a Cpk of 1.33, expected in routine manufacture, and a Cpk of 1, below which the control strategy needs an action (</w:t>
      </w:r>
      <w:hyperlink w:anchor="sec-stats">
        <w:r>
          <w:rPr>
            <w:rStyle w:val="Hyperlink"/>
          </w:rPr>
          <w:t xml:space="preserve">Section 5.5</w:t>
        </w:r>
      </w:hyperlink>
      <w:r>
        <w:t xml:space="preserve">).</w:t>
      </w:r>
    </w:p>
    <w:p>
      <w:pPr>
        <w:pStyle w:val="Compact"/>
        <w:numPr>
          <w:ilvl w:val="0"/>
          <w:numId w:val="1001"/>
        </w:numPr>
      </w:pPr>
      <w:r>
        <w:t xml:space="preserve">Classification keeps the rule of Version 1.0 and adds the rules of PCMP-001 Version 2.0 (</w:t>
      </w:r>
      <w:hyperlink w:anchor="sec-criteria">
        <w:r>
          <w:rPr>
            <w:rStyle w:val="Hyperlink"/>
          </w:rPr>
          <w:t xml:space="preserve">Section 7</w:t>
        </w:r>
      </w:hyperlink>
      <w:r>
        <w:t xml:space="preserve">). An attribute is affected by a parameter when a term that contains the parameter is significant at α = 0.05 (PCMP-001 §6.2). The report states the size of each effect across the proven acceptable range and the margin between that range and the NOR, and gives the reason for each class from them (PCMP-001 §7.7). Version 1.0 did not define when a parameter acts on an attribute or when it is held well inside its acceptable range, and it had no class for a critical parameter that is not well controlled.</w:t>
      </w:r>
    </w:p>
    <w:p>
      <w:pPr>
        <w:pStyle w:val="Compact"/>
        <w:numPr>
          <w:ilvl w:val="0"/>
          <w:numId w:val="1001"/>
        </w:numPr>
      </w:pPr>
      <w:r>
        <w:t xml:space="preserve">Descriptive sentences of Version 1.0 that were scientifically wrong or imprecise are corrected, without change to the design. They state what the scaling of the scale-down model holds equal (</w:t>
      </w:r>
      <w:hyperlink w:anchor="sec-sdm">
        <w:r>
          <w:rPr>
            <w:rStyle w:val="Hyperlink"/>
          </w:rPr>
          <w:t xml:space="preserve">Section 5.1</w:t>
        </w:r>
      </w:hyperlink>
      <w:r>
        <w:t xml:space="preserve">), what limits the smallest effect an assay can resolve (</w:t>
      </w:r>
      <w:hyperlink w:anchor="sec-analytical">
        <w:r>
          <w:rPr>
            <w:rStyle w:val="Hyperlink"/>
          </w:rPr>
          <w:t xml:space="preserve">Section 5.3</w:t>
        </w:r>
      </w:hyperlink>
      <w:r>
        <w:t xml:space="preserve">), how residence time acts on virus particles (</w:t>
      </w:r>
      <w:hyperlink w:anchor="sec-univariate">
        <w:r>
          <w:rPr>
            <w:rStyle w:val="Hyperlink"/>
          </w:rPr>
          <w:t xml:space="preserve">Section 6.4</w:t>
        </w:r>
      </w:hyperlink>
      <w:r>
        <w:t xml:space="preserve">), what Stage 2 confirms (</w:t>
      </w:r>
      <w:hyperlink w:anchor="sec-purpose">
        <w:r>
          <w:rPr>
            <w:rStyle w:val="Hyperlink"/>
          </w:rPr>
          <w:t xml:space="preserve">Section 1</w:t>
        </w:r>
      </w:hyperlink>
      <w:r>
        <w:t xml:space="preserve">), what an unrepresentative load puts at risk and why platform knowledge applies to A-Mab (</w:t>
      </w:r>
      <w:hyperlink w:anchor="sec-risks">
        <w:r>
          <w:rPr>
            <w:rStyle w:val="Hyperlink"/>
          </w:rPr>
          <w:t xml:space="preserve">Section 12</w:t>
        </w:r>
      </w:hyperlink>
      <w:r>
        <w:t xml:space="preserve">), and how load pH and conductivity together let host cell protein through and which step sets the attributes of the load (</w:t>
      </w:r>
      <w:hyperlink w:anchor="sec-risk">
        <w:r>
          <w:rPr>
            <w:rStyle w:val="Hyperlink"/>
          </w:rPr>
          <w:t xml:space="preserve">Section 4.3</w:t>
        </w:r>
      </w:hyperlink>
      <w:r>
        <w:t xml:space="preserve">).</w:t>
      </w:r>
    </w:p>
    <w:p>
      <w:pPr>
        <w:pStyle w:val="FirstParagraph"/>
      </w:pPr>
      <w:hyperlink w:anchor="tbl-criteria-change">
        <w:r>
          <w:rPr>
            <w:rStyle w:val="Hyperlink"/>
          </w:rPr>
          <w:t xml:space="preserve">Table 1</w:t>
        </w:r>
      </w:hyperlink>
      <w:r>
        <w:t xml:space="preserve"> </w:t>
      </w:r>
      <w:r>
        <w:t xml:space="preserve">compares the criteria. The compiled text of Version 1.0 (change 7) judged pool host cell protein against 21.7 ng/mg, the drug substance limit carried back through the nominal clearance of the later steps of this campaign and then divided by a margin of 4.6. Such margins differed by step and were chosen so that every step passed at its own set-point (INV-001 finding 2). It judged the two model viruses against minimum step log reduction factors, each the cumulative requirement minus the nominal clearance of the other steps of this campaign. The host cell protein criterion of Version 2.0 is wider than the Version 1.0 limit, and the two viral clearance criteria are stricter.</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anion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b)</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Quantify the effect of each studied parameter on pool host cell protein, on the log reduction factors for xenotropic murine leukaemia virus and minute virus of mice, and on step yield, over the ranges given in</w:t>
      </w:r>
      <w:r>
        <w:t xml:space="preserve"> </w:t>
      </w:r>
      <w:hyperlink w:anchor="sec-factors">
        <w:r>
          <w:rPr>
            <w:rStyle w:val="Hyperlink"/>
          </w:rPr>
          <w:t xml:space="preserve">Section 6.1</w:t>
        </w:r>
      </w:hyperlink>
      <w:r>
        <w:t xml:space="preserve">, and the effect of each multivariate parameter on fragments.</w:t>
      </w:r>
    </w:p>
    <w:p>
      <w:pPr>
        <w:pStyle w:val="Compact"/>
        <w:numPr>
          <w:ilvl w:val="0"/>
          <w:numId w:val="1002"/>
        </w:numPr>
      </w:pPr>
      <w:r>
        <w:t xml:space="preserve">Define the multivariate operating region within which every governed quality attribute meets its criterion (a quality attribute on the single-batch limit and viral clearance on its mean prediction, as PCMP-001 Version 2.0 draws its design space), and state where the boundary of that region lies.</w:t>
      </w:r>
    </w:p>
    <w:p>
      <w:pPr>
        <w:pStyle w:val="Compact"/>
        <w:numPr>
          <w:ilvl w:val="0"/>
          <w:numId w:val="1002"/>
        </w:numPr>
      </w:pPr>
      <w:r>
        <w:t xml:space="preserve">Establish a proven acceptable range for each parameter and each attribute it governs, and confirm that the normal operating range falls inside it.</w:t>
      </w:r>
    </w:p>
    <w:p>
      <w:pPr>
        <w:pStyle w:val="Compact"/>
        <w:numPr>
          <w:ilvl w:val="0"/>
          <w:numId w:val="1002"/>
        </w:numPr>
      </w:pPr>
      <w:r>
        <w:t xml:space="preserve">Classify each parameter under the parameter classification procedure SOP-4001 from the effects demonstrated in the study and from the capability with which the parameter can be held.</w:t>
      </w:r>
    </w:p>
    <w:p>
      <w:pPr>
        <w:pStyle w:val="Compact"/>
        <w:numPr>
          <w:ilvl w:val="0"/>
          <w:numId w:val="1002"/>
        </w:numPr>
      </w:pPr>
      <w:r>
        <w:t xml:space="preserve">Determine whether the step meets its platform claims for both model viruses at the worst case within the NOR, and justify the Stage 2 ranges and this step’s part of the control strategy.</w:t>
      </w:r>
    </w:p>
    <w:p>
      <w:pPr>
        <w:pStyle w:val="Compact"/>
        <w:numPr>
          <w:ilvl w:val="0"/>
          <w:numId w:val="1002"/>
        </w:numPr>
      </w:pPr>
      <w:r>
        <w:t xml:space="preserve">Verify the host cell protein clearance of this step against its platform worst case, 4-fold, on which the host cell protein criteria of the upstream steps rely.</w:t>
      </w:r>
    </w:p>
    <w:bookmarkEnd w:id="26"/>
    <w:bookmarkStart w:id="29" w:name="sec-related"/>
    <w:p>
      <w:pPr>
        <w:pStyle w:val="Heading1"/>
      </w:pPr>
      <w:r>
        <w:t xml:space="preserve">3. Related documents</w:t>
      </w:r>
    </w:p>
    <w:p>
      <w:pPr>
        <w:pStyle w:val="FirstParagraph"/>
      </w:pPr>
      <w:r>
        <w:t xml:space="preserve">The documents that scope this study and that consume its output are listed in</w:t>
      </w:r>
      <w:r>
        <w:t xml:space="preserve"> </w:t>
      </w:r>
      <w:hyperlink w:anchor="tbl-related">
        <w:r>
          <w:rPr>
            <w:rStyle w:val="Hyperlink"/>
          </w:rPr>
          <w:t xml:space="preserve">Table 2</w:t>
        </w:r>
      </w:hyperlink>
      <w:r>
        <w:t xml:space="preserve">, with the investigation INV-001 that caused this revision. RA-001 fixes the parameters and the ranges carried into the study, and PCR-008 will report the executed study against this plan.</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controlled procedures and the validated analytical methods that the study will follow are listed in</w:t>
      </w:r>
      <w:r>
        <w:t xml:space="preserve"> </w:t>
      </w:r>
      <w:hyperlink w:anchor="tbl-sops">
        <w:r>
          <w:rPr>
            <w:rStyle w:val="Hyperlink"/>
          </w:rPr>
          <w:t xml:space="preserve">Table 3</w:t>
        </w:r>
      </w:hyperlink>
      <w:r>
        <w:t xml:space="preserve">. The scale-down model procedure SOP-1001 governs the qualification of the model, the design of experiments procedure SOP-1002 the design and the statistical analysis of the multivariate studies, and the operating procedure SOP-2011 the operation of the step itself.</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Anion exchange chromatography is the last chromatography step of the A-Mab process and is operated in flow-through mode</w:t>
      </w:r>
      <w:r>
        <w:t xml:space="preserve"> </w:t>
      </w:r>
      <w:r>
        <w:t xml:space="preserve">(CMC Biotech Working Group 2009)</w:t>
      </w:r>
      <w:r>
        <w:t xml:space="preserve">. The resin carries a quaternary amine ligand with a fixed positive charge. At the load pH the antibody carries a net positive charge, because its isoelectric point lies well above the pH of the load, and it passes through the bed. Species that carry a net negative charge at that pH bind to the ligand. These are residual DNA, the acidic part of the host cell protein population, leached Protein A and virus particles. Yield in flow-through mode is high, because the ligand repels the positively charged antibody. Product is lost only where part of the antibody comes close enough to neutral charge at the load pH to bind, and the range of load pH is set to avoid that.</w:t>
      </w:r>
    </w:p>
    <w:p>
      <w:pPr>
        <w:pStyle w:val="BodyText"/>
      </w:pPr>
      <w:r>
        <w:t xml:space="preserve">Whether an impurity binds depends on its net charge at the load pH and on how strongly the ionic strength of the buffer screens that charge. At a higher load pH the pH lies above the isoelectric point of more of the host cell proteins, so more of them carry a net negative charge and bind. A higher conductivity of the equilibration and first wash buffer, the Equil/Wash-1 conductivity, screens the electrostatic interaction and lets weakly bound host cell protein pass with the antibody. A higher load pH gives an acidic host cell protein more net negative charge, and the salt of the solution in contact with the bed while the protein binds screens that charge. The effect of conductivity therefore depends on the load pH, and an interaction between the two is expected. The design must be able to estimate it free of confounding (</w:t>
      </w:r>
      <w:hyperlink w:anchor="sec-screening">
        <w:r>
          <w:rPr>
            <w:rStyle w:val="Hyperlink"/>
          </w:rPr>
          <w:t xml:space="preserve">Section 6.2</w:t>
        </w:r>
      </w:hyperlink>
      <w:r>
        <w:t xml:space="preserve">).</w:t>
      </w:r>
    </w:p>
    <w:p>
      <w:pPr>
        <w:pStyle w:val="BodyText"/>
      </w:pPr>
      <w:r>
        <w:t xml:space="preserve">The conductivity of the load acts by the same screening while the bed is being loaded. A higher load conductivity weakens the binding of the more weakly charged impurities, and as the ligand fills, more strongly charged species displace them, so weakly charged host cell protein is the first to pass into the pool. A higher protein load brings more impurity mass onto each litre of resin. Pool host cell protein is expressed per milligram of antibody, so a higher load raises it only where the bound impurity approaches the capacity of the ligand and starts to break through. Within the range studied the impurity mass is expected to stay below that capacity. Flow rate sets the residence time in the bed. Binding at equilibrium does not depend on residence time, but the time a species needs to reach the ligand does. Virus particles are large and diffuse slowly to the ligand, so their clearance is the most likely to fall at a short residence time.</w:t>
      </w:r>
    </w:p>
    <w:p>
      <w:pPr>
        <w:pStyle w:val="BodyText"/>
      </w:pPr>
      <w:r>
        <w:t xml:space="preserve">The step carries a modular viral clearance claim for an enveloped and a non-enveloped model virus</w:t>
      </w:r>
      <w:r>
        <w:t xml:space="preserve"> </w:t>
      </w:r>
      <w:r>
        <w:t xml:space="preserve">(International Council for Harmonisation 2023a)</w:t>
      </w:r>
      <w:r>
        <w:t xml:space="preserve">. Particles of the retrovirus model, XMuLV, carry a net negative charge at the load pH and bind the ligand by the same electrostatic interaction as the acidic impurities. The parvovirus model, MVM, has no envelope and is small, and its capsid also carries a net negative charge at the load pH, so it binds by the same mechanism. For both viruses, clearance is expected to fall as the load pH drops toward the point at which the particle surface loses its negative charge, and as the conductivity rises</w:t>
      </w:r>
      <w:r>
        <w:t xml:space="preserve"> </w:t>
      </w:r>
      <w:r>
        <w:t xml:space="preserve">(CMC Biotech Working Group 2009)</w:t>
      </w:r>
      <w:r>
        <w:t xml:space="preserve">. The XMuLV claim of this step is orthogonal to that of low-pH inactivation, which acts on the viral envelope and not on the surface charge. MVM is not inactivated by low pH, so this step and the virus filter carry the whole claim for it.</w:t>
      </w:r>
    </w:p>
    <w:p>
      <w:pPr>
        <w:pStyle w:val="BodyText"/>
      </w:pPr>
      <w:r>
        <w:t xml:space="preserve">Residual DNA is a polyanion at every pH in the range studied and binds the ligand strongly. Its clearance is expected to be robust to the operating parameters, and it is monitored across the step rather than modelled (</w:t>
      </w:r>
      <w:hyperlink w:anchor="sec-sampling">
        <w:r>
          <w:rPr>
            <w:rStyle w:val="Hyperlink"/>
          </w:rPr>
          <w:t xml:space="preserve">Section 5.4</w:t>
        </w:r>
      </w:hyperlink>
      <w:r>
        <w:t xml:space="preserve">). Leached Protein A carries a net negative charge at the load pH and binds while the antibody passes through, so the step is expected to clear the ligand fragments that the capture step releases. Fragments held in complex by the antibody Fc are removed only where the complex dissociates, and no clearance is claimed for that fraction. PCMP-001 Version 2.0 sets a criterion for antibody fragments (LMW) in the pool of this step and no aggregate criterion (Table 7.1 of PCMP-001). Antibody fragments are therefore measured and judged at this step (</w:t>
      </w:r>
      <w:hyperlink w:anchor="sec-analytical">
        <w:r>
          <w:rPr>
            <w:rStyle w:val="Hyperlink"/>
          </w:rPr>
          <w:t xml:space="preserve">Section 5.3</w:t>
        </w:r>
      </w:hyperlink>
      <w:r>
        <w:t xml:space="preserve">), and aggregate is not a response of the designs.</w:t>
      </w:r>
    </w:p>
    <w:p>
      <w:pPr>
        <w:pStyle w:val="BodyText"/>
      </w:pPr>
      <w:r>
        <w:t xml:space="preserve">The platform anion exchange step has been used to manufacture three previously licensed humanized IgG1 antibodies, X-Mab, Y-Mab and Z-Mab, and through A-Mab clinical supply</w:t>
      </w:r>
      <w:r>
        <w:t xml:space="preserve"> </w:t>
      </w:r>
      <w:r>
        <w:t xml:space="preserve">(CMC Biotech Working Group 2009)</w:t>
      </w:r>
      <w:r>
        <w:t xml:space="preserve">. That experience established the mode of operation, the buffer system and the clearance the step delivers, including the platform worst cases of this step on which the criteria of the upstream steps rely (</w:t>
      </w:r>
      <w:hyperlink w:anchor="sec-criteria">
        <w:r>
          <w:rPr>
            <w:rStyle w:val="Hyperlink"/>
          </w:rPr>
          <w:t xml:space="preserve">Section 7</w:t>
        </w:r>
      </w:hyperlink>
      <w:r>
        <w:t xml:space="preserve">) and the platform claims for both viruses (</w:t>
      </w:r>
      <w:hyperlink w:anchor="sec-par">
        <w:r>
          <w:rPr>
            <w:rStyle w:val="Hyperlink"/>
          </w:rPr>
          <w:t xml:space="preserve">Section 8</w:t>
        </w:r>
      </w:hyperlink>
      <w:r>
        <w:t xml:space="preserve">).</w:t>
      </w:r>
    </w:p>
    <w:bookmarkEnd w:id="30"/>
    <w:bookmarkStart w:id="32" w:name="sec-cqas"/>
    <w:p>
      <w:pPr>
        <w:pStyle w:val="Heading2"/>
      </w:pPr>
      <w:r>
        <w:t xml:space="preserve">4.2 Quality attributes in scope</w:t>
      </w:r>
    </w:p>
    <w:p>
      <w:pPr>
        <w:pStyle w:val="FirstParagraph"/>
      </w:pPr>
      <w:r>
        <w:t xml:space="preserve">The step contributes to the cumulative clearance of both model viruses. It claims 5.5 log10 for XMuLV, of a cumulative requirement of 16.7 log10, and 4 log10 for MVM, of a cumulative requirement of 8.6 log10 (</w:t>
      </w:r>
      <w:hyperlink w:anchor="tbl-iac">
        <w:r>
          <w:rPr>
            <w:rStyle w:val="Hyperlink"/>
          </w:rPr>
          <w:t xml:space="preserve">Table 8</w:t>
        </w:r>
      </w:hyperlink>
      <w:r>
        <w:t xml:space="preserve">). It clears three impurities that are formed upstream and cleared by more than one step, host cell protein, residual DNA and leached Protein A. Fragments pass through the step unchanged on the platform and are judged in its pool.</w:t>
      </w:r>
      <w:r>
        <w:t xml:space="preserve"> </w:t>
      </w:r>
      <w:hyperlink w:anchor="tbl-cqas">
        <w:r>
          <w:rPr>
            <w:rStyle w:val="Hyperlink"/>
          </w:rPr>
          <w:t xml:space="preserve">Table 4</w:t>
        </w:r>
      </w:hyperlink>
      <w:r>
        <w:t xml:space="preserve"> </w:t>
      </w:r>
      <w:r>
        <w:t xml:space="preserve">lists these attributes with their drug substance criteria and their criticality.</w:t>
      </w:r>
    </w:p>
    <w:p>
      <w:pPr>
        <w:pStyle w:val="BodyText"/>
      </w:pPr>
      <w:r>
        <w:t xml:space="preserve">Criticality was assigned with Tool #1 of the A-Mab case study, from the impact of each attribute on safety and efficacy and the uncertainty in that impact</w:t>
      </w:r>
      <w:r>
        <w:t xml:space="preserve"> </w:t>
      </w:r>
      <w:r>
        <w:t xml:space="preserve">(CMC Biotech Working Group 2009; International Council for Harmonisation 2023b)</w:t>
      </w:r>
      <w:r>
        <w:t xml:space="preserve">. The two viral clearance attributes carry very high criticality by rule, because a viral contamination would harm the patient directly, whatever their score (master plan PCMP-001 §3).</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to which the anion exchange step contributes, with their drug 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Role</w:t>
                  </w:r>
                </w:p>
              </w:tc>
              <w:tc>
                <w:tcPr/>
                <w:p>
                  <w:pPr>
                    <w:pStyle w:val="Compact"/>
                    <w:jc w:val="center"/>
                  </w:pPr>
                  <w:r>
                    <w:t xml:space="preserve">Attribute</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vMerge w:val="restart"/>
                </w:tcPr>
                <w:p>
                  <w:pPr>
                    <w:pStyle w:val="Compact"/>
                    <w:jc w:val="center"/>
                  </w:pPr>
                  <w:r>
                    <w:t xml:space="preserve">Contributes a claim</w:t>
                  </w:r>
                </w:p>
              </w:tc>
              <w:tc>
                <w:tcPr/>
                <w:p>
                  <w:pPr>
                    <w:pStyle w:val="Compact"/>
                    <w:jc w:val="center"/>
                  </w:pPr>
                  <w:r>
                    <w:t xml:space="preserve">Viral clearance — XMuLV (enveloped)</w:t>
                  </w:r>
                </w:p>
              </w:tc>
              <w:tc>
                <w:tcPr/>
                <w:p>
                  <w:pPr>
                    <w:pStyle w:val="Compact"/>
                    <w:jc w:val="center"/>
                  </w:pPr>
                  <w:r>
                    <w:t xml:space="preserve">viral safety</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viral safety</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vMerge w:val="restart"/>
                </w:tcPr>
                <w:p>
                  <w:pPr>
                    <w:pStyle w:val="Compact"/>
                    <w:jc w:val="center"/>
                  </w:pPr>
                  <w:r>
                    <w:t xml:space="preserve">Clears</w:t>
                  </w:r>
                </w:p>
              </w:tc>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r>
                    <w:rPr>
                      <w:vertAlign w:val="superscript"/>
                    </w:rPr>
                    <w:t xml:space="preserve">a)</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Passes unchanged</w:t>
                  </w:r>
                </w:p>
              </w:tc>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gridSpan w:val="6"/>
                </w:tcPr>
                <w:p>
                  <w:pPr>
                    <w:pStyle w:val="Compact"/>
                    <w:jc w:val="center"/>
                  </w:pPr>
                  <w:r>
                    <w:rPr>
                      <w:vertAlign w:val="superscript"/>
                    </w:rPr>
                    <w:t xml:space="preserve">a)</w:t>
                  </w:r>
                  <w:r>
                    <w:t xml:space="preserve"> </w:t>
                  </w:r>
                  <w:r>
                    <w:t xml:space="preserve">Per dose of 700 mg, the A-Mab weekly dose of 10 mg/kg for a reference adult of 70 kg. The body weight is an assumption of this campaign.</w:t>
                  </w:r>
                </w:p>
              </w:tc>
            </w:tr>
            <w:tr>
              <w:tc>
                <w:tcPr>
                  <w:gridSpan w:val="6"/>
                </w:tcPr>
                <w:p>
                  <w:pPr>
                    <w:pStyle w:val="Compact"/>
                    <w:jc w:val="center"/>
                  </w:pPr>
                  <w:r>
                    <w:t xml:space="preserve">Criticality from Tool #1 of the A-Mab case study, from impact and uncertainty. VL, very low. L, low. M, moderate. H, high. VH, very high. L-M and M-H lie between two levels. The viral clearance attributes are very high by rule.</w:t>
                  </w:r>
                </w:p>
              </w:tc>
            </w:tr>
          </w:tbl>
          <w:bookmarkEnd w:id="31"/>
          <w:p/>
        </w:tc>
      </w:tr>
    </w:tbl>
    <w:p>
      <w:pPr>
        <w:pStyle w:val="BodyText"/>
      </w:pPr>
      <w:r>
        <w:t xml:space="preserve">The criteria that apply to the outputs of this step are the intermediate acceptance criteria of</w:t>
      </w:r>
      <w:r>
        <w:t xml:space="preserve"> </w:t>
      </w:r>
      <w:hyperlink w:anchor="sec-par">
        <w:r>
          <w:rPr>
            <w:rStyle w:val="Hyperlink"/>
          </w:rPr>
          <w:t xml:space="preserve">Section 8</w:t>
        </w:r>
      </w:hyperlink>
      <w:r>
        <w:t xml:space="preserve">. For host cell protein and fragments they equal the drug substance criteria, and for viral clearance they are the claims of this step. Step yield is a process performance attribute rather than a quality attribute. It is measured on every run and reported, and no acceptance criterion is applied to it at this step.</w:t>
      </w:r>
    </w:p>
    <w:bookmarkEnd w:id="32"/>
    <w:bookmarkStart w:id="33" w:name="sec-risk"/>
    <w:p>
      <w:pPr>
        <w:pStyle w:val="Heading2"/>
      </w:pPr>
      <w:r>
        <w:t xml:space="preserve">4.3 Risk-based prioritization of parameters</w:t>
      </w:r>
    </w:p>
    <w:p>
      <w:pPr>
        <w:pStyle w:val="FirstParagraph"/>
      </w:pPr>
      <w:r>
        <w:t xml:space="preserve">Each parameter of the step was ranked in the risk assessment RA-001 on its potential impact on a critical quality attribute and on its potential to interact with other parameters, and the study type was assigned from the ranking. Parameters ranked high on both counts were assigned to the multivariate design. Parameters ranked high on impact but low on interaction were assigned to a univariate assessment. Parameters held to a platform specification with no credible path to a quality attribute were not studied, and their ranges are carried from platform knowledge and from the modular claims established on prior products.</w:t>
      </w:r>
    </w:p>
    <w:p>
      <w:pPr>
        <w:pStyle w:val="BodyText"/>
      </w:pPr>
      <w:r>
        <w:t xml:space="preserve">The outcome for this step is 4 parameters in the multivariate design and 1 assessed one at a time (</w:t>
      </w:r>
      <w:hyperlink w:anchor="tbl-params">
        <w:r>
          <w:rPr>
            <w:rStyle w:val="Hyperlink"/>
          </w:rPr>
          <w:t xml:space="preserve">Table 6</w:t>
        </w:r>
      </w:hyperlink>
      <w:r>
        <w:t xml:space="preserve">). The highest ranks went to load pH, Equil/Wash-1 conductivity and load conductivity, because together they set how strongly an acidic host cell protein binds. A low load pH and a high conductivity both weaken that binding, and together they let host cell protein flow through with the antibody. The design also includes protein load, because the impurity mass loaded onto the column scales with it, and the ligand has a finite capacity for the species it binds. Operating flow rate was assigned to a univariate assessment, because binding of the small, highly charged impurities is fast relative to the residence time at every flow rate in the range.</w:t>
      </w:r>
    </w:p>
    <w:p>
      <w:pPr>
        <w:pStyle w:val="BodyText"/>
      </w:pPr>
      <w:r>
        <w:t xml:space="preserve">The material loaded onto the step is the cation exchange pool, whose attributes are set by the preceding step, characterized under the cation exchange plan PCP-007. This study varies the parameters of the anion exchange step and does not vary the quality of its load.</w:t>
      </w:r>
    </w:p>
    <w:bookmarkEnd w:id="33"/>
    <w:bookmarkEnd w:id="34"/>
    <w:bookmarkStart w:id="41"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study will be executed on a scale-down model of the commercial anion exchange column, qualified under SOP-1001. The model keeps the bed height, the linear flow velocity, the protein load in grams of antibody per litre of resin, and the equilibration, load, wash and chase volumes expressed in column volumes. Scaling on these variables holds the residence time and the impurity mass per unit of ligand equal to the commercial step. These set how much time each species has to reach the ligand and how close the bed comes to its capacity. The resin, the buffers and the packing method are the same as at commercial scale.</w:t>
      </w:r>
    </w:p>
    <w:p>
      <w:pPr>
        <w:pStyle w:val="BodyText"/>
      </w:pPr>
      <w:r>
        <w:t xml:space="preserve">Qualification will compare the model against commercial-equivalent runs on step yield, pool host cell protein, residual DNA, leached Protein A, the pressure across the bed and the shape of the flow-through peak. PCMP-001 Version 2.0 replaces the acceptance rule of Version 1.0 by the offset rule of its §7.1. The offset of an output is the mean of the scale-down runs at set-point minus the mean of the manufacturing-scale batches, reported with its two-sided 90 % confidence interval, each end of which is a one-sided 95 % confidence bound. The offset of each output with a criterion at this step is estimated in this way. The offsets of the other compared outputs are recorded where both scales measure them, and no conclusion depends on them. Of the outputs compared, pool host cell protein is the only one with a criterion at this step (</w:t>
      </w:r>
      <w:hyperlink w:anchor="sec-par">
        <w:r>
          <w:rPr>
            <w:rStyle w:val="Hyperlink"/>
          </w:rPr>
          <w:t xml:space="preserve">Section 8</w:t>
        </w:r>
      </w:hyperlink>
      <w:r>
        <w:t xml:space="preserve">), so the qualification decision concerns it alone.</w:t>
      </w:r>
    </w:p>
    <w:p>
      <w:pPr>
        <w:pStyle w:val="BodyText"/>
      </w:pPr>
      <w:r>
        <w:t xml:space="preserve">The qualification compares 3 scale-down runs at set-point with 5 batches made at manufacturing scale (study S-AEX-SDM), and these runs and the offset estimates come before the first characterization run of the step. Every judgement of a scale-down result for pool host cell protein against its criterion first subtracts the offset, so that ranges and conclusions are stated at manufacturing scale. The model is qualified for pool host cell protein when the conclusion against its criterion over the NOR is the same with the offset at either end of its interval. That conclusion is whether the output meets its criterion at every combination of NOR low, set-point and NOR high of the four multivariate parameters. It comes from the response surface model, so the decision is made at analysis and reported in PCR-008. A model whose conclusion changes between the two ends of the interval is not used for that output. The qualification record is held with the study data and is cited in PCR-008.</w:t>
      </w:r>
    </w:p>
    <w:p>
      <w:pPr>
        <w:pStyle w:val="BodyText"/>
      </w:pPr>
      <w:r>
        <w:t xml:space="preserve">The qualification does not compare fragments or viral clearance at the two scales. Their offset is unknown, not zero, and they are judged as the scale-down model gives them (PCMP-001 §7.1). For viral clearance the representativeness rests on the spiked scale-down model described below. For fragments it rests on the mechanism of the step. On the platform no step after cation exchange changes the fragment level (PCMP-001 §7.3), so the pool is expected to carry the fragments of its load at either scale.</w:t>
      </w:r>
    </w:p>
    <w:p>
      <w:pPr>
        <w:pStyle w:val="BodyText"/>
      </w:pPr>
      <w:r>
        <w:t xml:space="preserve">The viral clearance runs will be executed on the same scale-down model in a dedicated containment laboratory, as a small-scale spiking study</w:t>
      </w:r>
      <w:r>
        <w:t xml:space="preserve"> </w:t>
      </w:r>
      <w:r>
        <w:t xml:space="preserve">(International Council for Harmonisation 2023a)</w:t>
      </w:r>
      <w:r>
        <w:t xml:space="preserve">. The spiking model will be qualified separately, because adding a virus spike to the load changes the load itself. A spike adds cell culture medium, protein and salt, which can shift the protein concentration, the pH and the conductivity of the load. That qualification will confirm that the spiked load matches the unspiked load in protein concentration, in pH and in conductivity, and that the spike volume stays below the fraction at which those attributes move. Spiked and unspiked runs will be executed on matched load material, so that the clearance results and the impurity results describe the same step.</w:t>
      </w:r>
    </w:p>
    <w:p>
      <w:pPr>
        <w:pStyle w:val="BodyText"/>
      </w:pPr>
      <w:r>
        <w:t xml:space="preserve">The centre point of each design will be executed in replicate. The replicates estimate pure error, and pure error is the reference against which lack of fit is tested (</w:t>
      </w:r>
      <w:hyperlink w:anchor="sec-stats">
        <w:r>
          <w:rPr>
            <w:rStyle w:val="Hyperlink"/>
          </w:rPr>
          <w:t xml:space="preserve">Section 5.5</w:t>
        </w:r>
      </w:hyperlink>
      <w:r>
        <w:t xml:space="preserve">). A replicate is a full independent execution of the step and not a repeat measurement of one pool, because a repeat injection estimates assay variability and lack of fit must be judged against the variability of the process.</w:t>
      </w:r>
    </w:p>
    <w:bookmarkEnd w:id="35"/>
    <w:bookmarkStart w:id="37" w:name="sec-operation"/>
    <w:p>
      <w:pPr>
        <w:pStyle w:val="Heading2"/>
      </w:pPr>
      <w:r>
        <w:t xml:space="preserve">5.2 Operation</w:t>
      </w:r>
    </w:p>
    <w:p>
      <w:pPr>
        <w:pStyle w:val="FirstParagraph"/>
      </w:pPr>
      <w:r>
        <w:t xml:space="preserve">The step will be operated as it is operated at commercial scale, under SOP-2011. The column is equilibrated with the equilibration buffer, loaded with the cation exchange pool adjusted to the target pH and conductivity, and chased with the first wash buffer. The flow-through and the chase are collected as a single pool from the start of the load to the end of the chase. The pool is filtered and held for the virus filtration step, and the hold conditions are those of the commercial process.</w:t>
      </w:r>
    </w:p>
    <w:p>
      <w:pPr>
        <w:pStyle w:val="BodyText"/>
      </w:pPr>
      <w:r>
        <w:t xml:space="preserve">Resin, buffers and column packing are controlled to platform specification. Each resin lot will be released against its certificate of analysis and packed and tested under SOP-2008, and a packed column will be accepted on plate count and peak asymmetry before use. Buffer lots will be prepared and released under the site buffer preparation procedure and used within their assigned expiry. These inputs are identity and quality controlled, and they are not characterized in this study.</w:t>
      </w:r>
    </w:p>
    <w:p>
      <w:pPr>
        <w:pStyle w:val="BodyText"/>
      </w:pPr>
      <w:r>
        <w:t xml:space="preserve">The chromatography system will be operated in a temperature-controlled chamber under calibration and change control. The system is identified in</w:t>
      </w:r>
      <w:r>
        <w:t xml:space="preserve"> </w:t>
      </w:r>
      <w:hyperlink w:anchor="tbl-equipment">
        <w:r>
          <w:rPr>
            <w:rStyle w:val="Hyperlink"/>
          </w:rPr>
          <w:t xml:space="preserve">Table 5</w:t>
        </w:r>
      </w:hyperlink>
      <w:r>
        <w:t xml:space="preserve">, and its calibration status will be verified before the first run and confirmed at the end of the execution period.</w:t>
      </w:r>
    </w:p>
    <w:tbl>
      <w:tblPr>
        <w:tblStyle w:val="Table"/>
        <w:tblW w:type="pct" w:w="5000"/>
        <w:tblLayout w:type="fixed"/>
        <w:tblLook w:firstRow="0" w:lastRow="0" w:firstColumn="0" w:lastColumn="0" w:noHBand="0" w:noVBand="0" w:val="0000"/>
      </w:tblPr>
      <w:tblGrid>
        <w:gridCol w:w="7920"/>
      </w:tblGrid>
      <w:tr>
        <w:tc>
          <w:tcPr/>
          <w:bookmarkStart w:id="36" w:name="tbl-equipment"/>
          <w:p>
            <w:pPr>
              <w:jc w:val="center"/>
            </w:pPr>
            <w:pPr>
              <w:jc w:val="start"/>
              <w:spacing w:before="200"/>
              <w:pStyle w:val="ImageCaption"/>
            </w:pPr>
            <w:r>
              <w:t xml:space="preserve">Table 5: Instrumented system for the anion exchange characterization 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Equipment</w:t>
                  </w:r>
                </w:p>
              </w:tc>
              <w:tc>
                <w:tcPr/>
                <w:p>
                  <w:pPr>
                    <w:pStyle w:val="Compact"/>
                    <w:jc w:val="center"/>
                  </w:pPr>
                  <w:r>
                    <w:t xml:space="preserve">Description</w:t>
                  </w:r>
                </w:p>
              </w:tc>
            </w:tr>
            <w:tr>
              <w:tc>
                <w:tcPr/>
                <w:p>
                  <w:pPr>
                    <w:pStyle w:val="Compact"/>
                    <w:jc w:val="center"/>
                  </w:pPr>
                  <w:r>
                    <w:t xml:space="preserve">EQ-CHR-118</w:t>
                  </w:r>
                </w:p>
              </w:tc>
              <w:tc>
                <w:tcPr/>
                <w:p>
                  <w:pPr>
                    <w:pStyle w:val="Compact"/>
                    <w:jc w:val="center"/>
                  </w:pPr>
                  <w:r>
                    <w:t xml:space="preserve">temperature-controlled chromatography chamber</w:t>
                  </w:r>
                </w:p>
              </w:tc>
            </w:tr>
          </w:tbl>
          <w:bookmarkEnd w:id="36"/>
          <w:p/>
        </w:tc>
      </w:tr>
    </w:tbl>
    <w:bookmarkEnd w:id="37"/>
    <w:bookmarkStart w:id="38" w:name="sec-analytical"/>
    <w:p>
      <w:pPr>
        <w:pStyle w:val="Heading2"/>
      </w:pPr>
      <w:r>
        <w:t xml:space="preserve">5.3 Analytical methods</w:t>
      </w:r>
    </w:p>
    <w:p>
      <w:pPr>
        <w:pStyle w:val="FirstParagraph"/>
      </w:pPr>
      <w:r>
        <w:t xml:space="preserve">Every response will be measured by a validated method, and the methods are listed with their validation references in</w:t>
      </w:r>
      <w:r>
        <w:t xml:space="preserve"> </w:t>
      </w:r>
      <w:hyperlink w:anchor="tbl-sops">
        <w:r>
          <w:rPr>
            <w:rStyle w:val="Hyperlink"/>
          </w:rPr>
          <w:t xml:space="preserve">Table 3</w:t>
        </w:r>
      </w:hyperlink>
      <w:r>
        <w:t xml:space="preserve">. Pool host cell protein will be measured by ELISA (AMV-3012) and reported in nanograms per milligram of antibody. Residual DNA will be measured by qPCR (AMV-3014) and leached Protein A by ELISA (AMV-3016). Infectivity of xenotropic murine leukaemia virus will be measured by TCID50 (AMV-3017) and infectivity of minute virus of mice by TCID50 with a qPCR confirmation (AMV-3018). The charge variant profile of the load will be measured by icIEF (AMV-3013) and compared with the release profile of the cation exchange pool (</w:t>
      </w:r>
      <w:hyperlink w:anchor="sec-criteria">
        <w:r>
          <w:rPr>
            <w:rStyle w:val="Hyperlink"/>
          </w:rPr>
          <w:t xml:space="preserve">Section 7</w:t>
        </w:r>
      </w:hyperlink>
      <w:r>
        <w:t xml:space="preserve">).</w:t>
      </w:r>
    </w:p>
    <w:p>
      <w:pPr>
        <w:pStyle w:val="BodyText"/>
      </w:pPr>
      <w:r>
        <w:t xml:space="preserve">Fragments will be measured by nrCE-SDS (AMV-3020, under the nrCE-SDS procedure SOP-3015). The method decision AMD-001 of 2026-03-20 set this method for every study that measures fragments, at every step, so that one method spans the train (PCMP-001 §7.8). SEC reads fragments high in samples that still carry host cell protein, because part of the host cell protein elutes in its low molecular weight window (INV-001 finding 6). Fragments are judged on nrCE-SDS results only.</w:t>
      </w:r>
    </w:p>
    <w:p>
      <w:pPr>
        <w:pStyle w:val="BodyText"/>
      </w:pPr>
      <w:r>
        <w:t xml:space="preserve">An effect that is small against the variability of the method that measures it can be separated from that variability only with enough runs. The precision of each assay and the number of runs therefore bound the smallest effect the study can resolve on its response. Method variability enters the residual variance of the fitted models and is not separated from process variability by this design. An apparent effect on a log reduction factor that is small relative to the variability of the infectivity assay will be attributed to the assay rather than to the step. Performance characteristics of each method are held in the validation reports named in</w:t>
      </w:r>
      <w:r>
        <w:t xml:space="preserve"> </w:t>
      </w:r>
      <w:hyperlink w:anchor="tbl-sops">
        <w:r>
          <w:rPr>
            <w:rStyle w:val="Hyperlink"/>
          </w:rPr>
          <w:t xml:space="preserve">Table 3</w:t>
        </w:r>
      </w:hyperlink>
      <w:r>
        <w:t xml:space="preserve">.</w:t>
      </w:r>
    </w:p>
    <w:bookmarkEnd w:id="38"/>
    <w:bookmarkStart w:id="39" w:name="sec-sampling"/>
    <w:p>
      <w:pPr>
        <w:pStyle w:val="Heading2"/>
      </w:pPr>
      <w:r>
        <w:t xml:space="preserve">5.4 Sampling plan</w:t>
      </w:r>
    </w:p>
    <w:p>
      <w:pPr>
        <w:pStyle w:val="FirstParagraph"/>
      </w:pPr>
      <w:r>
        <w:t xml:space="preserve">Samples will be taken from the load and from the flow-through pool of every run. The load sample supports the material qualification in</w:t>
      </w:r>
      <w:r>
        <w:t xml:space="preserve"> </w:t>
      </w:r>
      <w:hyperlink w:anchor="sec-criteria">
        <w:r>
          <w:rPr>
            <w:rStyle w:val="Hyperlink"/>
          </w:rPr>
          <w:t xml:space="preserve">Section 7</w:t>
        </w:r>
      </w:hyperlink>
      <w:r>
        <w:t xml:space="preserve"> </w:t>
      </w:r>
      <w:r>
        <w:t xml:space="preserve">and provides the input concentration against which clearance is calculated. The pool sample carries the responses.</w:t>
      </w:r>
    </w:p>
    <w:p>
      <w:pPr>
        <w:pStyle w:val="BodyText"/>
      </w:pPr>
      <w:r>
        <w:t xml:space="preserve">The screening design includes 3 centre point replicates and the response surface design includes 4. Each replicate is executed as a separate run from a separate load aliquot, for the reason given in</w:t>
      </w:r>
      <w:r>
        <w:t xml:space="preserve"> </w:t>
      </w:r>
      <w:hyperlink w:anchor="sec-sdm">
        <w:r>
          <w:rPr>
            <w:rStyle w:val="Hyperlink"/>
          </w:rPr>
          <w:t xml:space="preserve">Section 5.1</w:t>
        </w:r>
      </w:hyperlink>
      <w:r>
        <w:t xml:space="preserve">. Load and pool samples will be retained frozen so that a response can be re-tested if an assay result is invalidated.</w:t>
      </w:r>
    </w:p>
    <w:p>
      <w:pPr>
        <w:pStyle w:val="BodyText"/>
      </w:pPr>
      <w:r>
        <w:t xml:space="preserve">Viral clearance runs will be sampled at the spiked load and at the pool. The log reduction factor will be calculated from the total infectivity in the load and the total infectivity in the pool. Cytotoxicity and interference controls will be run for each matrix, and the detection limit of the assay will be reported with any result that reaches it</w:t>
      </w:r>
      <w:r>
        <w:t xml:space="preserve"> </w:t>
      </w:r>
      <w:r>
        <w:t xml:space="preserve">(International Council for Harmonisation 2023a)</w:t>
      </w:r>
      <w:r>
        <w:t xml:space="preserve">.</w:t>
      </w:r>
    </w:p>
    <w:p>
      <w:pPr>
        <w:pStyle w:val="BodyText"/>
      </w:pPr>
      <w:r>
        <w:t xml:space="preserve">Residual DNA and leached Protein A will be measured on the pool of every run in the response surface design. They are monitored to confirm the clearance the mechanism in</w:t>
      </w:r>
      <w:r>
        <w:t xml:space="preserve"> </w:t>
      </w:r>
      <w:hyperlink w:anchor="sec-uo">
        <w:r>
          <w:rPr>
            <w:rStyle w:val="Hyperlink"/>
          </w:rPr>
          <w:t xml:space="preserve">Section 4.1</w:t>
        </w:r>
      </w:hyperlink>
      <w:r>
        <w:t xml:space="preserve"> </w:t>
      </w:r>
      <w:r>
        <w:t xml:space="preserve">predicts, and they are not fitted as responses of the design. Where either attribute moves with a parameter, the observation will be reported and carried into the risk assessment rather than used to set a range.</w:t>
      </w:r>
    </w:p>
    <w:bookmarkEnd w:id="39"/>
    <w:bookmarkStart w:id="40" w:name="sec-stats"/>
    <w:p>
      <w:pPr>
        <w:pStyle w:val="Heading2"/>
      </w:pPr>
      <w:r>
        <w:t xml:space="preserve">5.5 Statistical methods</w:t>
      </w:r>
    </w:p>
    <w:p>
      <w:pPr>
        <w:pStyle w:val="FirstParagraph"/>
      </w:pPr>
      <w:r>
        <w:t xml:space="preserve">Each parameter will be coded so that the set-point is 0 and the edges of the characterization range are ±1. Coding places the parameters on one scale, so that an effect estimated in coded units is comparable across parameters measured in different physical units. Effects will be converted back to natural units when a range is reported.</w:t>
      </w:r>
    </w:p>
    <w:p>
      <w:pPr>
        <w:pStyle w:val="BodyText"/>
      </w:pPr>
      <w:r>
        <w:t xml:space="preserve">The screening data will be analysed by ordinary least squares with every main effect and every two-factor interaction in the model. An effect will be reported as twice the coded coefficient, which is the change in the response across the full characterization range of the parameter. Terms significant at p &lt; 0.05 will be identified as active. The screening model identifies which parameters act on which response, and it is not the model from which an operating region is derived.</w:t>
      </w:r>
    </w:p>
    <w:p>
      <w:pPr>
        <w:pStyle w:val="BodyText"/>
      </w:pPr>
      <w:r>
        <w:t xml:space="preserve">The response surface data will be analysed with a full quadratic model in the 4 multivariate parameters, fitted on the coded factors. This is the predictive model of the study. The operating region and the proven acceptable ranges of the multivariate parameters will be derived from it, and PCR-008 will report the coefficients, the analysis of variance and the diagnostics for each response. A quality attribute is judged on a single batch, because its criterion applies to each batch. The model predicts the mean response, and at the edge of a region drawn on mean predictions a single batch meets its criterion only about half the time if variability is symmetrical. The judgement of a quality attribute therefore uses the 95 % prediction interval of a single batch, and viral clearance is judged on the mean prediction at the worst case within the NOR (</w:t>
      </w:r>
      <w:hyperlink w:anchor="sec-par">
        <w:r>
          <w:rPr>
            <w:rStyle w:val="Hyperlink"/>
          </w:rPr>
          <w:t xml:space="preserve">Section 8</w:t>
        </w:r>
      </w:hyperlink>
      <w:r>
        <w:t xml:space="preserve">).</w:t>
      </w:r>
    </w:p>
    <w:p>
      <w:pPr>
        <w:pStyle w:val="BodyText"/>
      </w:pPr>
      <w:r>
        <w:t xml:space="preserve">Each response surface model is reported with R², adjusted R² and predicted R², computed from the prediction error sum of squares, with the model F-test, and with the lack of fit test against pure error from the centre point replicates. PCMP-001 Version 2.0 (§7.2) sets four conditions for a model to be adequate for prediction, and they replace the adequacy rule of Version 1.0:</w:t>
      </w:r>
    </w:p>
    <w:p>
      <w:pPr>
        <w:pStyle w:val="Compact"/>
        <w:numPr>
          <w:ilvl w:val="0"/>
          <w:numId w:val="1003"/>
        </w:numPr>
      </w:pPr>
      <w:r>
        <w:t xml:space="preserve">The model F-test is significant at α = 0.05.</w:t>
      </w:r>
    </w:p>
    <w:p>
      <w:pPr>
        <w:pStyle w:val="Compact"/>
        <w:numPr>
          <w:ilvl w:val="0"/>
          <w:numId w:val="1003"/>
        </w:numPr>
      </w:pPr>
      <w:r>
        <w:t xml:space="preserve">Lack of fit against pure error is not significant at α = 0.05.</w:t>
      </w:r>
    </w:p>
    <w:p>
      <w:pPr>
        <w:pStyle w:val="Compact"/>
        <w:numPr>
          <w:ilvl w:val="0"/>
          <w:numId w:val="1003"/>
        </w:numPr>
      </w:pPr>
      <w:r>
        <w:t xml:space="preserve">Predicted R² falls short of R² by no more than 0.20. This is the limit on overfitting, because a model that fits its own runs much better than it predicts runs left out of the fit has more terms than the data support.</w:t>
      </w:r>
    </w:p>
    <w:p>
      <w:pPr>
        <w:pStyle w:val="Compact"/>
        <w:numPr>
          <w:ilvl w:val="0"/>
          <w:numId w:val="1003"/>
        </w:numPr>
      </w:pPr>
      <w:r>
        <w:t xml:space="preserve">The residuals show no pattern against the predicted values or the run order, and no single run dominates the fit.</w:t>
      </w:r>
    </w:p>
    <w:p>
      <w:pPr>
        <w:pStyle w:val="FirstParagraph"/>
      </w:pPr>
      <w:r>
        <w:t xml:space="preserve">PCMP-001 sets the levels and the limit of the first three conditions. The fourth carries no limit in PCMP-001, and this plan tests it by the two tests that every plan of the campaign applies. The absolute residuals are regressed on the predicted values, and the residuals are regressed on the run order, each at α = 0.05. A significant slope shows a spread that grows with the level of the response in the first case and a drift over the execution in the second.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factor of 4 is the usual convention, and for the 28 runs of the response surface design the cut-off is 0.14.</w:t>
      </w:r>
    </w:p>
    <w:p>
      <w:pPr>
        <w:pStyle w:val="BodyText"/>
      </w:pPr>
      <w:r>
        <w:t xml:space="preserve">A parameter with no active term in either model will be described as having no detectable effect on that response over the range studied. The range studied bounds that statement, and it will be stated with the range attached.</w:t>
      </w:r>
    </w:p>
    <w:p>
      <w:pPr>
        <w:pStyle w:val="BodyText"/>
      </w:pPr>
      <w:r>
        <w:t xml:space="preserve">Capability at commercial scale is estimated from the integrated process model of the train (PCMP-001 §6.5). The model runs 2,000 simulated batches through every step in sequence, with each process parameter drawn from a normal distribution centred on its set-point, with a standard deviation of the width of its NOR divided by 6 (</w:t>
      </w:r>
      <w:hyperlink w:anchor="sec-par">
        <w:r>
          <w:rPr>
            <w:rStyle w:val="Hyperlink"/>
          </w:rPr>
          <w:t xml:space="preserve">Section 8</w:t>
        </w:r>
      </w:hyperlink>
      <w:r>
        <w:t xml:space="preserve">). Capability is reported as Cpk against the drug substance criterion, one-sided for each attribute of this step, since each of their criteria has one limit. It is judged in the master report PCMR-001 against two values (PCMP-001 §7.9). A Cpk of at least 1.33 is expected in routine manufacture, and a Cpk below 1 needs an action in the control strategy. A Cpk between the two values is acceptable, and PCMR-001 then names the parameters that drive it. The same simulation gives, for each attribute, the probability that the drug substance is out of specification. The estimate carries no source of commercial variability that the scale-down model does not reproduce, and confirmation at commercial scale is a Stage 2 activity</w:t>
      </w:r>
      <w:r>
        <w:t xml:space="preserve"> </w:t>
      </w:r>
      <w:r>
        <w:t xml:space="preserve">(U.S. Food and Drug Administration 2011)</w:t>
      </w:r>
      <w:r>
        <w:t xml:space="preserve">.</w:t>
      </w:r>
    </w:p>
    <w:bookmarkEnd w:id="40"/>
    <w:bookmarkEnd w:id="41"/>
    <w:bookmarkStart w:id="48" w:name="sec-design"/>
    <w:p>
      <w:pPr>
        <w:pStyle w:val="Heading1"/>
      </w:pPr>
      <w:r>
        <w:t xml:space="preserve">6. Study design</w:t>
      </w:r>
    </w:p>
    <w:bookmarkStart w:id="44" w:name="sec-factors"/>
    <w:p>
      <w:pPr>
        <w:pStyle w:val="Heading2"/>
      </w:pPr>
      <w:r>
        <w:t xml:space="preserve">6.1 Factors, ranges and study type</w:t>
      </w:r>
    </w:p>
    <w:p>
      <w:pPr>
        <w:pStyle w:val="FirstParagraph"/>
      </w:pPr>
      <w:hyperlink w:anchor="tbl-params">
        <w:r>
          <w:rPr>
            <w:rStyle w:val="Hyperlink"/>
          </w:rPr>
          <w:t xml:space="preserve">Table 6</w:t>
        </w:r>
      </w:hyperlink>
      <w:r>
        <w:t xml:space="preserve"> </w:t>
      </w:r>
      <w:r>
        <w:t xml:space="preserve">lists the parameters, their set-points, the range that will be studied, the normal operating range and the study type assigned in RA-001.</w:t>
      </w:r>
    </w:p>
    <w:tbl>
      <w:tblPr>
        <w:tblStyle w:val="Table"/>
        <w:tblW w:type="pct" w:w="5000"/>
        <w:tblLayout w:type="fixed"/>
        <w:tblLook w:firstRow="0" w:lastRow="0" w:firstColumn="0" w:lastColumn="0" w:noHBand="0" w:noVBand="0" w:val="0000"/>
      </w:tblPr>
      <w:tblGrid>
        <w:gridCol w:w="7920"/>
      </w:tblGrid>
      <w:tr>
        <w:tc>
          <w:tcPr/>
          <w:bookmarkStart w:id="42" w:name="tbl-params"/>
          <w:p>
            <w:pPr>
              <w:jc w:val="center"/>
            </w:pPr>
            <w:pPr>
              <w:jc w:val="start"/>
              <w:spacing w:before="200"/>
              <w:pStyle w:val="ImageCaption"/>
            </w:pPr>
            <w:r>
              <w:t xml:space="preserve">Table 6: Parameters, ranges and study type for the anion exchange characterization.</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 type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vMerge w:val="restart"/>
                </w:tcPr>
                <w:p>
                  <w:pPr>
                    <w:pStyle w:val="Compact"/>
                    <w:jc w:val="center"/>
                  </w:pPr>
                  <w:r>
                    <w:t xml:space="preserve">multivariate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7.2–7.8</w:t>
                  </w:r>
                </w:p>
              </w:tc>
              <w:tc>
                <w:tcPr/>
                <w:p>
                  <w:pPr>
                    <w:pStyle w:val="Compact"/>
                    <w:jc w:val="center"/>
                  </w:pPr>
                  <w:r>
                    <w:t xml:space="preserve">7.35–7.65</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1.6–3.6</w:t>
                  </w:r>
                </w:p>
              </w:tc>
              <w:tc>
                <w:tcPr/>
                <w:p>
                  <w:pPr>
                    <w:pStyle w:val="Compact"/>
                    <w:jc w:val="center"/>
                  </w:pPr>
                  <w:r>
                    <w:t xml:space="preserve">2.1–3.1</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3–8</w:t>
                  </w:r>
                </w:p>
              </w:tc>
              <w:tc>
                <w:tcPr/>
                <w:p>
                  <w:pPr>
                    <w:pStyle w:val="Compact"/>
                    <w:jc w:val="center"/>
                  </w:pPr>
                  <w:r>
                    <w:t xml:space="preserve">4–7</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50–300</w:t>
                  </w:r>
                </w:p>
              </w:tc>
              <w:tc>
                <w:tcPr/>
                <w:p>
                  <w:pPr>
                    <w:pStyle w:val="Compact"/>
                    <w:jc w:val="center"/>
                  </w:pPr>
                  <w:r>
                    <w:t xml:space="preserve">120–280</w:t>
                  </w:r>
                </w:p>
              </w:tc>
            </w:tr>
            <w:tr>
              <w:tc>
                <w:tcPr/>
                <w:p>
                  <w:pPr>
                    <w:pStyle w:val="Compact"/>
                    <w:jc w:val="center"/>
                  </w:pPr>
                  <w:r>
                    <w:t xml:space="preserve">univariate</w:t>
                  </w: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150–450</w:t>
                  </w:r>
                </w:p>
              </w:tc>
              <w:tc>
                <w:tcPr/>
                <w:p>
                  <w:pPr>
                    <w:pStyle w:val="Compact"/>
                    <w:jc w:val="center"/>
                  </w:pPr>
                  <w:r>
                    <w:t xml:space="preserve">200–400</w:t>
                  </w:r>
                </w:p>
              </w:tc>
            </w:tr>
            <w:tr>
              <w:tc>
                <w:tcPr>
                  <w:gridSpan w:val="6"/>
                </w:tcPr>
                <w:p>
                  <w:pPr>
                    <w:pStyle w:val="Compact"/>
                    <w:jc w:val="center"/>
                  </w:pPr>
                  <w:r>
                    <w:t xml:space="preserve">NOR, normal operating range.</w:t>
                  </w:r>
                </w:p>
              </w:tc>
            </w:tr>
          </w:tbl>
          <w:bookmarkEnd w:id="42"/>
          <w:p/>
        </w:tc>
      </w:tr>
    </w:tbl>
    <w:p>
      <w:pPr>
        <w:pStyle w:val="BodyText"/>
      </w:pPr>
      <w:r>
        <w:t xml:space="preserve">The range studied is wider than the normal operating range for every parameter. A study confined to the normal operating range would place the edge of the operating region outside the data, and a proven acceptable range may only be claimed over settings that were actually run</w:t>
      </w:r>
      <w:r>
        <w:t xml:space="preserve"> </w:t>
      </w:r>
      <w:r>
        <w:t xml:space="preserve">(CMC Biotech Working Group 2009)</w:t>
      </w:r>
      <w:r>
        <w:t xml:space="preserve">.</w:t>
      </w:r>
    </w:p>
    <w:p>
      <w:pPr>
        <w:pStyle w:val="BodyText"/>
      </w:pPr>
      <w:r>
        <w:t xml:space="preserve">The load pH range is bounded above by the pH at which a fraction of the antibody would begin to bind and yield would fall. The range in</w:t>
      </w:r>
      <w:r>
        <w:t xml:space="preserve"> </w:t>
      </w:r>
      <w:hyperlink w:anchor="tbl-params">
        <w:r>
          <w:rPr>
            <w:rStyle w:val="Hyperlink"/>
          </w:rPr>
          <w:t xml:space="preserve">Table 6</w:t>
        </w:r>
      </w:hyperlink>
      <w:r>
        <w:t xml:space="preserve"> </w:t>
      </w:r>
      <w:r>
        <w:t xml:space="preserve">sits below that pH, so product loss is not expected anywhere in the design. The conductivity of the equilibration and first wash buffer is set by buffer preparation and is the more closely controlled of the two conductivities, and its range reflects the spread that buffer preparation and column equilibration can produce. The conductivity of the load is set by the cation exchange pool and by its adjustment, so its range reflects what the preceding step delivers rather than a choice made at this step. The protein load range extends well above the set-point, because the impurity mass carried with the antibody scales with the load and the ligand has a finite capacity for the bound species.</w:t>
      </w:r>
    </w:p>
    <w:p>
      <w:pPr>
        <w:pStyle w:val="BodyText"/>
      </w:pPr>
      <w:hyperlink w:anchor="tbl-codes">
        <w:r>
          <w:rPr>
            <w:rStyle w:val="Hyperlink"/>
          </w:rPr>
          <w:t xml:space="preserve">Table 7</w:t>
        </w:r>
      </w:hyperlink>
      <w:r>
        <w:t xml:space="preserve"> </w:t>
      </w:r>
      <w:r>
        <w:t xml:space="preserve">gives the letter codes used for the multivariate parameters in the design matrices in Appendix A and Appendix B, and the same codes will be used for the model terms reported in PCR-008.</w:t>
      </w:r>
    </w:p>
    <w:tbl>
      <w:tblPr>
        <w:tblStyle w:val="Table"/>
        <w:tblW w:type="pct" w:w="5000"/>
        <w:tblLayout w:type="fixed"/>
        <w:tblLook w:firstRow="0" w:lastRow="0" w:firstColumn="0" w:lastColumn="0" w:noHBand="0" w:noVBand="0" w:val="0000"/>
      </w:tblPr>
      <w:tblGrid>
        <w:gridCol w:w="7920"/>
      </w:tblGrid>
      <w:tr>
        <w:tc>
          <w:tcPr/>
          <w:bookmarkStart w:id="43" w:name="tbl-codes"/>
          <w:p>
            <w:pPr>
              <w:jc w:val="center"/>
            </w:pPr>
            <w:pPr>
              <w:jc w:val="start"/>
              <w:spacing w:before="200"/>
              <w:pStyle w:val="ImageCaption"/>
            </w:pPr>
            <w:r>
              <w:t xml:space="preserve">Table 7: Coded factor legend for the multivariate designs. All four factors are studied in the screening and in the response surface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Load pH</w:t>
                  </w:r>
                </w:p>
              </w:tc>
              <w:tc>
                <w:tcPr/>
                <w:p>
                  <w:pPr>
                    <w:pStyle w:val="Compact"/>
                    <w:jc w:val="center"/>
                  </w:pPr>
                  <w:r>
                    <w:t xml:space="preserve">pH</w:t>
                  </w:r>
                </w:p>
              </w:tc>
            </w:tr>
            <w:tr>
              <w:tc>
                <w:tcPr/>
                <w:p>
                  <w:pPr>
                    <w:pStyle w:val="Compact"/>
                    <w:jc w:val="center"/>
                  </w:pPr>
                  <w:r>
                    <w:t xml:space="preserve">B</w:t>
                  </w:r>
                </w:p>
              </w:tc>
              <w:tc>
                <w:tcPr/>
                <w:p>
                  <w:pPr>
                    <w:pStyle w:val="Compact"/>
                    <w:jc w:val="center"/>
                  </w:pPr>
                  <w:r>
                    <w:t xml:space="preserve">Equil/Wash-1 conductivity</w:t>
                  </w:r>
                </w:p>
              </w:tc>
              <w:tc>
                <w:tcPr/>
                <w:p>
                  <w:pPr>
                    <w:pStyle w:val="Compact"/>
                    <w:jc w:val="center"/>
                  </w:pPr>
                  <w:r>
                    <w:t xml:space="preserve">mS/cm</w:t>
                  </w:r>
                </w:p>
              </w:tc>
            </w:tr>
            <w:tr>
              <w:tc>
                <w:tcPr/>
                <w:p>
                  <w:pPr>
                    <w:pStyle w:val="Compact"/>
                    <w:jc w:val="center"/>
                  </w:pPr>
                  <w:r>
                    <w:t xml:space="preserve">C</w:t>
                  </w:r>
                </w:p>
              </w:tc>
              <w:tc>
                <w:tcPr/>
                <w:p>
                  <w:pPr>
                    <w:pStyle w:val="Compact"/>
                    <w:jc w:val="center"/>
                  </w:pPr>
                  <w:r>
                    <w:t xml:space="preserve">Load conductivity</w:t>
                  </w:r>
                </w:p>
              </w:tc>
              <w:tc>
                <w:tcPr/>
                <w:p>
                  <w:pPr>
                    <w:pStyle w:val="Compact"/>
                    <w:jc w:val="center"/>
                  </w:pPr>
                  <w:r>
                    <w:t xml:space="preserve">mS/cm</w:t>
                  </w:r>
                </w:p>
              </w:tc>
            </w:tr>
            <w:tr>
              <w:tc>
                <w:tcPr/>
                <w:p>
                  <w:pPr>
                    <w:pStyle w:val="Compact"/>
                    <w:jc w:val="center"/>
                  </w:pPr>
                  <w:r>
                    <w:t xml:space="preserve">D</w:t>
                  </w:r>
                </w:p>
              </w:tc>
              <w:tc>
                <w:tcPr/>
                <w:p>
                  <w:pPr>
                    <w:pStyle w:val="Compact"/>
                    <w:jc w:val="center"/>
                  </w:pPr>
                  <w:r>
                    <w:t xml:space="preserve">Protein load</w:t>
                  </w:r>
                </w:p>
              </w:tc>
              <w:tc>
                <w:tcPr/>
                <w:p>
                  <w:pPr>
                    <w:pStyle w:val="Compact"/>
                    <w:jc w:val="center"/>
                  </w:pPr>
                  <w:r>
                    <w:t xml:space="preserve">g/L resin</w:t>
                  </w:r>
                </w:p>
              </w:tc>
            </w:tr>
          </w:tbl>
          <w:bookmarkEnd w:id="43"/>
          <w:p/>
        </w:tc>
      </w:tr>
    </w:tbl>
    <w:bookmarkEnd w:id="44"/>
    <w:bookmarkStart w:id="45" w:name="sec-screening"/>
    <w:p>
      <w:pPr>
        <w:pStyle w:val="Heading2"/>
      </w:pPr>
      <w:r>
        <w:t xml:space="preserve">6.2 Screening design</w:t>
      </w:r>
    </w:p>
    <w:p>
      <w:pPr>
        <w:pStyle w:val="FirstParagraph"/>
      </w:pPr>
      <w:r>
        <w:t xml:space="preserve">The 4 multivariate parameters will be studied in a two-level full factorial design of 16 runs, augmented with 3 centre points, for 19 runs in total. A full factorial in these parameters estimates every main effect and every two-factor interaction without confounding, which the interaction between load pH and Equil/Wash-1 conductivity requires. The centre points estimate pure error and give a test for curvature, and curvature at the centre indicates that a quadratic model is needed.</w:t>
      </w:r>
    </w:p>
    <w:p>
      <w:pPr>
        <w:pStyle w:val="BodyText"/>
      </w:pPr>
      <w:r>
        <w:t xml:space="preserve">Runs will be executed in randomized order within one resin lot and one load lot. Randomization protects the estimates against drift in the load material, in the resin or in the assay over the execution period. Where the design cannot be completed within one load lot, the lots should be treated as a block and the block term reported with the effects. The planned matrix is given in Appendix A.</w:t>
      </w:r>
    </w:p>
    <w:bookmarkEnd w:id="45"/>
    <w:bookmarkStart w:id="46" w:name="sec-rsm"/>
    <w:p>
      <w:pPr>
        <w:pStyle w:val="Heading2"/>
      </w:pPr>
      <w:r>
        <w:t xml:space="preserve">6.3 Response-surface design</w:t>
      </w:r>
    </w:p>
    <w:p>
      <w:pPr>
        <w:pStyle w:val="FirstParagraph"/>
      </w:pPr>
      <w:r>
        <w:t xml:space="preserve">The same parameters will be studied in a face-centred central composite design of 28 runs. The design adds 8 axial runs at the faces of the cube to 16 factorial runs and 4 centre points. Axial points placed at the faces keep every run inside the characterization range, which an axial distance beyond the faces would not.</w:t>
      </w:r>
    </w:p>
    <w:p>
      <w:pPr>
        <w:pStyle w:val="BodyText"/>
      </w:pPr>
      <w:r>
        <w:t xml:space="preserve">The quadratic terms this design supports are needed because the net charge on a protein or a capsid surface changes most steeply near its isoelectric point, so clearance rises more sharply over the part of the load pH range that lies nearest the isoelectric point of the bound species than over the rest of it. A design with two levels in each parameter would fit that curve as a straight line and would put the edge of the operating region at the wrong pH. The planned matrix is given in Appendix B.</w:t>
      </w:r>
    </w:p>
    <w:p>
      <w:pPr>
        <w:pStyle w:val="BodyText"/>
      </w:pPr>
      <w:r>
        <w:t xml:space="preserve">The response surface design will be executed on load material qualified under the criteria in</w:t>
      </w:r>
      <w:r>
        <w:t xml:space="preserve"> </w:t>
      </w:r>
      <w:hyperlink w:anchor="sec-criteria">
        <w:r>
          <w:rPr>
            <w:rStyle w:val="Hyperlink"/>
          </w:rPr>
          <w:t xml:space="preserve">Section 7</w:t>
        </w:r>
      </w:hyperlink>
      <w:r>
        <w:t xml:space="preserve">. Where it cannot be executed on the same load lot as the screening design, the second lot will be compared with the first on charge variant profile, host cell protein and protein concentration before the runs begin.</w:t>
      </w:r>
    </w:p>
    <w:bookmarkEnd w:id="46"/>
    <w:bookmarkStart w:id="47" w:name="sec-univariate"/>
    <w:p>
      <w:pPr>
        <w:pStyle w:val="Heading2"/>
      </w:pPr>
      <w:r>
        <w:t xml:space="preserve">6.4 Univariate assessment</w:t>
      </w:r>
    </w:p>
    <w:p>
      <w:pPr>
        <w:pStyle w:val="FirstParagraph"/>
      </w:pPr>
      <w:r>
        <w:t xml:space="preserve">Operating flow rate will be assessed one at a time over the range in</w:t>
      </w:r>
      <w:r>
        <w:t xml:space="preserve"> </w:t>
      </w:r>
      <w:hyperlink w:anchor="tbl-params">
        <w:r>
          <w:rPr>
            <w:rStyle w:val="Hyperlink"/>
          </w:rPr>
          <w:t xml:space="preserve">Table 6</w:t>
        </w:r>
      </w:hyperlink>
      <w:r>
        <w:t xml:space="preserve">, with every other parameter held at its set-point. The low, the centre and the high setting of the range will be executed, and pool host cell protein and step yield will be measured on each. A viral clearance run at the high setting will be included, because residence time is the mechanism by which flow rate could act on clearance and the high setting is the shortest residence time in the range.</w:t>
      </w:r>
    </w:p>
    <w:p>
      <w:pPr>
        <w:pStyle w:val="BodyText"/>
      </w:pPr>
      <w:r>
        <w:t xml:space="preserve">A univariate assessment cannot resolve an interaction between flow rate and another parameter, and the claim it supports is bounded by the assumption that the effect of flow rate does not depend on where the other parameters sit. Binding of the small, highly charged impurities is fast relative to the residence time at every flow rate in the range, so residence time is not expected to limit their clearance anywhere in the design. Virus particles reach the ligand more slowly (</w:t>
      </w:r>
      <w:hyperlink w:anchor="sec-uo">
        <w:r>
          <w:rPr>
            <w:rStyle w:val="Hyperlink"/>
          </w:rPr>
          <w:t xml:space="preserve">Section 4.1</w:t>
        </w:r>
      </w:hyperlink>
      <w:r>
        <w:t xml:space="preserve">), and the viral clearance run at the high setting tests them. Should the assessment show an effect of flow rate on any response, the parameter will be carried into a multivariate design before its range is claimed.</w:t>
      </w:r>
    </w:p>
    <w:p>
      <w:pPr>
        <w:pStyle w:val="BodyText"/>
      </w:pPr>
      <w:r>
        <w:t xml:space="preserve">The result will support the range for flow rate as a proven acceptable range, and it will not enter the response surface model.</w:t>
      </w:r>
    </w:p>
    <w:bookmarkEnd w:id="47"/>
    <w:bookmarkEnd w:id="48"/>
    <w:bookmarkStart w:id="49" w:name="sec-criteria"/>
    <w:p>
      <w:pPr>
        <w:pStyle w:val="Heading1"/>
      </w:pPr>
      <w:r>
        <w:t xml:space="preserve">7. Acceptance and decision criteria</w:t>
      </w:r>
    </w:p>
    <w:p>
      <w:pPr>
        <w:pStyle w:val="FirstParagraph"/>
      </w:pPr>
      <w:r>
        <w:t xml:space="preserve">PCR-008 will report the executed study against each rule of this section, and a criterion that is not met will be dispositioned as a deviation rather than revised after the fact. The rules are those of Version 1.0, except where PCMP-001 Version 2.0 sets a rule in place of one, and each item below says which applies. Several rules set no numerical threshold, in Version 1.0 or in PCMP-001 Version 2.0, namely the load profile, the match of the spiked load, the comparison of a second load lot, an effect of flow rate, an effect attributed to the infectivity assay, how far inside its acceptable range a parameter must be held to be well controlled and when its risk of leaving that range is high. This revision adds none, and PCR-008 states the approach it applies to each.</w:t>
      </w:r>
    </w:p>
    <w:p>
      <w:pPr>
        <w:pStyle w:val="Compact"/>
        <w:numPr>
          <w:ilvl w:val="0"/>
          <w:numId w:val="1004"/>
        </w:numPr>
      </w:pPr>
      <w:r>
        <w:t xml:space="preserve">Scale-down model (PCMP-001 Version 2.0). The model is qualified for pool host cell protein when the conclusion over the NOR is the same with the offset at either end of its 90 % confidence interval, and the decision is made at analysis (</w:t>
      </w:r>
      <w:hyperlink w:anchor="sec-sdm">
        <w:r>
          <w:rPr>
            <w:rStyle w:val="Hyperlink"/>
          </w:rPr>
          <w:t xml:space="preserve">Section 5.1</w:t>
        </w:r>
      </w:hyperlink>
      <w:r>
        <w:t xml:space="preserve">). A model not qualified for an output is not used for that output. This replaces the Version 1.0 rule that accepted the model where a test found no statistically significant difference between the scales.</w:t>
      </w:r>
    </w:p>
    <w:p>
      <w:pPr>
        <w:pStyle w:val="Compact"/>
        <w:numPr>
          <w:ilvl w:val="0"/>
          <w:numId w:val="1004"/>
        </w:numPr>
      </w:pPr>
      <w:r>
        <w:t xml:space="preserve">Load material (Version 1.0). Load material will be accepted as representative where its charge variant profile by icIEF, its host cell protein content, its protein concentration, its pH and its conductivity fall within the release profile of the cation exchange pool. Load material outside that profile is not representative of routine operation, and a design executed on it will be invalidated for the definition of the operating region and re-executed in full on a qualified load. Data from an invalidated execution will be retained and may be used to investigate and confirm the cause, and they will not be used to set a range, a classification or a clearance claim.</w:t>
      </w:r>
    </w:p>
    <w:p>
      <w:pPr>
        <w:pStyle w:val="Compact"/>
        <w:numPr>
          <w:ilvl w:val="0"/>
          <w:numId w:val="1004"/>
        </w:numPr>
      </w:pPr>
      <w:r>
        <w:t xml:space="preserve">Model adequacy (PCMP-001 Version 2.0). A response surface model is adequate when it passes the four conditions of</w:t>
      </w:r>
      <w:r>
        <w:t xml:space="preserve"> </w:t>
      </w:r>
      <w:hyperlink w:anchor="sec-stats">
        <w:r>
          <w:rPr>
            <w:rStyle w:val="Hyperlink"/>
          </w:rPr>
          <w:t xml:space="preserve">Section 5.5</w:t>
        </w:r>
      </w:hyperlink>
      <w:r>
        <w:t xml:space="preserve">. A model that fails the lack of fit test or the limit on overfitting is either refitted with a justified change of terms or transformation, or it is not used to set a range (PCMP-001 §7.2). For the model behind a widening bound, PCMP-001 §7.5 asks only the first three conditions (item 7). This replaces the Version 1.0 rule that accepted a model on its lack of fit test and its residual diagnostics and allowed a model with significant lack of fit where its residual standard error was small against the margin to the limit.</w:t>
      </w:r>
    </w:p>
    <w:p>
      <w:pPr>
        <w:pStyle w:val="Compact"/>
        <w:numPr>
          <w:ilvl w:val="0"/>
          <w:numId w:val="1004"/>
        </w:numPr>
      </w:pPr>
      <w:r>
        <w:t xml:space="preserve">Outputs against their criteria (Version 1.0, with the criteria of PCMP-001 Version 2.0). Each governed response will be judged against the criterion that applies to it at this step. The criteria are the intermediate acceptance criteria of</w:t>
      </w:r>
      <w:r>
        <w:t xml:space="preserve"> </w:t>
      </w:r>
      <w:hyperlink w:anchor="tbl-iac">
        <w:r>
          <w:rPr>
            <w:rStyle w:val="Hyperlink"/>
          </w:rPr>
          <w:t xml:space="preserve">Table 8</w:t>
        </w:r>
      </w:hyperlink>
      <w:r>
        <w:t xml:space="preserve">, judged at manufacturing scale where the output has an offset. Pool host cell protein must meet ≤ 100 ng/mg and fragments ≤ 2 %, each judged on a single batch through the 95 % prediction interval. The log reduction factor of XMuLV must meet ≥ 5.5 log10 and that of MVM ≥ 4 log10, each judged on the mean prediction at the least favourable combination of NOR low, set-point and NOR high of the multivariate parameters (</w:t>
      </w:r>
      <w:hyperlink w:anchor="sec-par">
        <w:r>
          <w:rPr>
            <w:rStyle w:val="Hyperlink"/>
          </w:rPr>
          <w:t xml:space="preserve">Section 8</w:t>
        </w:r>
      </w:hyperlink>
      <w:r>
        <w:t xml:space="preserve">). Step yield carries no acceptance criterion at this step and will be reported as a performance attribute.</w:t>
      </w:r>
    </w:p>
    <w:p>
      <w:pPr>
        <w:pStyle w:val="Compact"/>
        <w:numPr>
          <w:ilvl w:val="0"/>
          <w:numId w:val="1004"/>
        </w:numPr>
      </w:pPr>
      <w:r>
        <w:t xml:space="preserve">Operating region (Version 1.0, with the statistic of PCMP-001 Version 2.0). The multivariate operating region will be declared over the part of the characterized region in which every governed response meets its criterion simultaneously. The normal operating range of every parameter must fall inside that region. Where it does not, the normal operating range will be narrowed in the control strategy and the change will be carried into PCMR-001. PCMP-001 Version 2.0 draws this region, its design space, on the single-batch limit. A setting lies inside it when every quality attribute meets its criterion at both ends of the 95 % prediction interval of a single run, and viral clearance meets its claim on its mean prediction.</w:t>
      </w:r>
    </w:p>
    <w:p>
      <w:pPr>
        <w:pStyle w:val="Compact"/>
        <w:numPr>
          <w:ilvl w:val="0"/>
          <w:numId w:val="1004"/>
        </w:numPr>
      </w:pPr>
      <w:r>
        <w:t xml:space="preserve">Classification (Version 1.0, with the rules of PCMP-001 Version 2.0). Each parameter will be classified under SOP-4001 from the effect demonstrated on a critical quality attribute and from the capability with which the parameter is held. A parameter that acts on a critical quality attribute and is held well inside its acceptable range is a well-controlled critical process parameter. A parameter that acts on process performance without acting on a quality attribute is a key process parameter. A parameter with no demonstrated effect on either is a general process parameter, and the range studied bounds that classification. PCMP-001 Version 2.0 adds that an attribute is affected by a parameter when a term that contains the parameter is significant at α = 0.05 (its §6.2). The report states the size of each effect across the proven acceptable range and the margin between that range and the NOR, and gives the reason for each class from them (its §7.7). Its §7.7 also classes a parameter with such an effect and a high risk of leaving its acceptable range as a critical process parameter.</w:t>
      </w:r>
    </w:p>
    <w:p>
      <w:pPr>
        <w:pStyle w:val="Compact"/>
        <w:numPr>
          <w:ilvl w:val="0"/>
          <w:numId w:val="1004"/>
        </w:numPr>
      </w:pPr>
      <w:r>
        <w:t xml:space="preserve">Verification of the platform worst cases (PCMP-001 Version 2.0). The criteria of the upstream steps assume that this step clears host cell protein at least 4-fold and leached Protein A at least 10-fold. The host cell protein criteria of the Protein A and cation exchange pools and the leached Protein A criterion of the Protein A pool are carried back through these values (PCMP-001 §7.3). The host cell protein assumption is checked in PCR-008 on the response surface model of pool host cell protein, with the clearance factor taken as the nominal host cell protein of the load divided by the predicted pool value, by the rule of PCMP-001 §7.5. The model is evaluated at every combination of NOR low, set-point and NOR high of the multivariate parameters, with the NOR and the set-point as characterized, so that a later change of a NOR does not move a criterion. Where the lowest clearance predicted within the NOR is below the platform value, the one-sided 95 % prediction bound of a single batch at the least favourable combination replaces the platform value, and the upstream criteria become stricter. Where that bound is better than the platform value, and the response surface model behind it meets the first three adequacy conditions of PCMP-001 §7.2 (a significant model, no significant lack of fit and the limit on overfitting) and is not an exact fit, the bound replaces the platform value and the upstream criteria become wider. The fourth condition, on the residuals and on influential runs, does not decide the change, and PCR-008 examines it and states whether the bound depends on a single run. Otherwise the platform value stands. Neither the point prediction nor a confidence bound of the mean ever replaces it. For leached Protein A, PCMP-001 §7.5 lets the platform value stand, because leached Protein A is monitored on the pools (</w:t>
      </w:r>
      <w:hyperlink w:anchor="sec-sampling">
        <w:r>
          <w:rPr>
            <w:rStyle w:val="Hyperlink"/>
          </w:rPr>
          <w:t xml:space="preserve">Section 5.4</w:t>
        </w:r>
      </w:hyperlink>
      <w:r>
        <w:t xml:space="preserve">) and is not a response of the designs.</w:t>
      </w:r>
    </w:p>
    <w:p>
      <w:pPr>
        <w:pStyle w:val="Compact"/>
        <w:numPr>
          <w:ilvl w:val="0"/>
          <w:numId w:val="1004"/>
        </w:numPr>
      </w:pPr>
      <w:r>
        <w:t xml:space="preserve">Completion (Version 1.0, with the criteria of PCMP-001 Version 2.0). The study will be judged complete when the scale-down model is qualified for pool host cell protein, every planned run is executed or dispositioned, every response has an adequate model or a stated reason for the absence of one, the proven acceptable ranges bracket the normal operating ranges, and the clearance of both model viruses meets the claims of this step at the worst case within the NOR.</w:t>
      </w:r>
    </w:p>
    <w:p>
      <w:pPr>
        <w:pStyle w:val="FirstParagraph"/>
      </w:pPr>
      <w:r>
        <w:t xml:space="preserve">A change of a criterion by the verification of item 7 is argued by its risk in PCR-008. The report states who bears the risk, the patient or the producer, and whether and where an excursion would be detected, by an in-process test or by a release test. It also states what the downstream steps must then clear, and the probability that the drug substance is out of specification (PCMP-001 §7.5).</w:t>
      </w:r>
    </w:p>
    <w:bookmarkEnd w:id="49"/>
    <w:bookmarkStart w:id="51" w:name="sec-par"/>
    <w:p>
      <w:pPr>
        <w:pStyle w:val="Heading1"/>
      </w:pPr>
      <w:r>
        <w:t xml:space="preserve">8. Proven acceptable ranges (planned analysis)</w:t>
      </w:r>
    </w:p>
    <w:p>
      <w:pPr>
        <w:pStyle w:val="FirstParagraph"/>
      </w:pPr>
      <w:r>
        <w:t xml:space="preserve">Each proven acceptable range is judged against the intermediate acceptance criterion of its attribute (</w:t>
      </w:r>
      <w:hyperlink w:anchor="tbl-iac">
        <w:r>
          <w:rPr>
            <w:rStyle w:val="Hyperlink"/>
          </w:rPr>
          <w:t xml:space="preserve">Table 8</w:t>
        </w:r>
      </w:hyperlink>
      <w:r>
        <w:t xml:space="preserve">). For host cell protein and fragments no step after anion exchange changes the attribute on the platform, so the drug substance criterion applies to the pool of this step. For the two model viruses the step is held to its platform claim, the log reduction that it delivered on the platform. The XMuLV claims of low-pH viral inactivation, anion exchange and virus filtration sum to 16.72 log10 against a cumulative requirement of 16.7 log10, and the MVM claims of anion exchange and virus filtration sum to 8.62 log10 against 8.6 log10. A shortfall of this step against its claim therefore cannot be made up by the surplus of another step. No result of the studies under this plan enters the criteria of this step, and the basis column of</w:t>
      </w:r>
      <w:r>
        <w:t xml:space="preserve"> </w:t>
      </w:r>
      <w:hyperlink w:anchor="tbl-iac">
        <w:r>
          <w:rPr>
            <w:rStyle w:val="Hyperlink"/>
          </w:rPr>
          <w:t xml:space="preserve">Table 8</w:t>
        </w:r>
      </w:hyperlink>
      <w:r>
        <w:t xml:space="preserve"> </w:t>
      </w:r>
      <w:r>
        <w:t xml:space="preserve">shows each criterion in force at its a priori value.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8: Intermediate acceptance criteria for the anion exchange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a)</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c)</w:t>
                  </w:r>
                </w:p>
              </w:tc>
            </w:tr>
            <w:tr>
              <w:tc>
                <w:tcPr/>
                <w:p>
                  <w:pPr>
                    <w:pStyle w:val="Compact"/>
                    <w:jc w:val="center"/>
                  </w:pPr>
                  <w:r>
                    <w:t xml:space="preserve">MVM clearance (log10)</w:t>
                  </w:r>
                </w:p>
              </w:tc>
              <w:tc>
                <w:tcPr/>
                <w:p>
                  <w:pPr>
                    <w:pStyle w:val="Compact"/>
                    <w:jc w:val="center"/>
                  </w:pPr>
                  <w:r>
                    <w:t xml:space="preserve">≥ 8.60</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b)</w:t>
                  </w:r>
                  <w:r>
                    <w:t xml:space="preserve"> </w:t>
                  </w:r>
                  <w:r>
                    <w:t xml:space="preserve">Cumulative requirement across the steps that clear the virus.</w:t>
                  </w:r>
                </w:p>
              </w:tc>
            </w:tr>
            <w:tr>
              <w:tc>
                <w:tcPr>
                  <w:gridSpan w:val="6"/>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A proven acceptable range is the range of one parameter over which the attribute it governs stays within its criterion, with the other parameters held or varied as the analysis states. Two analyses will be run for every pair of a parameter and an attribute it governs, and both will be reported.</w:t>
      </w:r>
    </w:p>
    <w:p>
      <w:pPr>
        <w:pStyle w:val="BodyText"/>
      </w:pPr>
      <w:r>
        <w:t xml:space="preserve">The first holds the other parameters at their set-points and evaluates the fitted response surface model across the parameter’s characterization range. The second varies the other parameters within their normal operating ranges by Monte-Carlo simulation of the fitted model, including its residual variance, and reads the range over which the predictive interval of the response stays within the criterion. The interval used is two sided and covers the central 95 % of the simulated distribution. The normal operating ranges in the control strategy will be set from the second analysis, and the first will be reported beside it.</w:t>
      </w:r>
    </w:p>
    <w:p>
      <w:pPr>
        <w:pStyle w:val="BodyText"/>
      </w:pPr>
      <w:r>
        <w:t xml:space="preserve">PCMP-001 Version 2.0 (§6.4) defines the second analysis, which it calls the NOR-propagated analysis, and what it compares with the criterion. Each other parameter is drawn from a normal distribution centred on its set-point, with a standard deviation equal to the width of its NOR divided by 6, and clipped to the characterization range. The draw treats each NOR as ±3 standard deviations of the routine variation of its parameter. For pool host cell protein and fragments the analysis compares the 95 % prediction interval of a single batch, from the 2.5th to the 97.5th percentile of the simulated batches, which includes the model residual and the uncertainty of the fitted coefficients. For an upper limit the 97.5th percentile must not exceed the limit. For XMuLV and MVM it compares the worst case within the NOR. At each setting the other parameters are set to every combination of their NOR low, set-point and NOR high, 27 combinations in all, and the lowest mean predicted log reduction factor must meet the claim, because viral clearance is validated under worst-case conditions. For viral clearance this replaces the Version 1.0 rule, which judged clearance on the predictive interval of the simulated batches.</w:t>
      </w:r>
    </w:p>
    <w:p>
      <w:pPr>
        <w:pStyle w:val="BodyText"/>
      </w:pPr>
      <w:r>
        <w:t xml:space="preserve">The analysis will be evaluated on a grid of 81 settings across the characterization range, with 2,000 Monte-Carlo draws at each setting, under a fixed random seed recorded with the analysis (</w:t>
      </w:r>
      <w:hyperlink w:anchor="sec-data">
        <w:r>
          <w:rPr>
            <w:rStyle w:val="Hyperlink"/>
          </w:rPr>
          <w:t xml:space="preserve">Section 9</w:t>
        </w:r>
      </w:hyperlink>
      <w:r>
        <w:t xml:space="preserve">). A range will be reported only where the acceptable settings form one contiguous interval containing the set-point. Where they do not, the discontinuity will be reported as it stands and no range will be claimed for that pair.</w:t>
      </w:r>
    </w:p>
    <w:p>
      <w:pPr>
        <w:pStyle w:val="BodyText"/>
      </w:pPr>
      <w:r>
        <w:t xml:space="preserve">Each range will be reported in the natural units of the parameter together with the criterion it was measured against (</w:t>
      </w:r>
      <w:hyperlink w:anchor="sec-criteria">
        <w:r>
          <w:rPr>
            <w:rStyle w:val="Hyperlink"/>
          </w:rPr>
          <w:t xml:space="preserve">Section 7</w:t>
        </w:r>
      </w:hyperlink>
      <w:r>
        <w:t xml:space="preserve">). For each governed attribute the report will also carry a plot of the response against its governing parameter, with the acceptable region shaded green and the set-point and the normal operating range marked. The governing parameter is the multivariate parameter with the largest main effect on that attribute in the response surface model.</w:t>
      </w:r>
    </w:p>
    <w:p>
      <w:pPr>
        <w:pStyle w:val="BodyText"/>
      </w:pPr>
      <w:r>
        <w:t xml:space="preserve">PCMP-001 Version 2.0 (§7.6) adds three rules. A range is proven acceptable for an attribute when the NOR-propagated analysis meets the criterion across it, and for a parameter that affects several attributes the range carried into the control strategy is the intersection of its ranges. Where an output does not meet its criterion even at the set-point, PCR-008 reports that no proven acceptable range exists for that attribute and states the consequence for the NOR. A range that reaches the edge of the characterization range is reported as reaching it, and no claim is made beyond it.</w:t>
      </w:r>
    </w:p>
    <w:p>
      <w:pPr>
        <w:pStyle w:val="BodyText"/>
      </w:pPr>
      <w:r>
        <w:t xml:space="preserve">The univariate proven acceptable range for operating flow rate will be derived from the assessment in</w:t>
      </w:r>
      <w:r>
        <w:t xml:space="preserve"> </w:t>
      </w:r>
      <w:hyperlink w:anchor="sec-univariate">
        <w:r>
          <w:rPr>
            <w:rStyle w:val="Hyperlink"/>
          </w:rPr>
          <w:t xml:space="preserve">Section 6.4</w:t>
        </w:r>
      </w:hyperlink>
      <w:r>
        <w:t xml:space="preserve"> </w:t>
      </w:r>
      <w:r>
        <w:t xml:space="preserve">and reported beside the multivariate ranges, with the assumption stated in</w:t>
      </w:r>
      <w:r>
        <w:t xml:space="preserve"> </w:t>
      </w:r>
      <w:hyperlink w:anchor="sec-univariate">
        <w:r>
          <w:rPr>
            <w:rStyle w:val="Hyperlink"/>
          </w:rPr>
          <w:t xml:space="preserve">Section 6.4</w:t>
        </w:r>
      </w:hyperlink>
      <w:r>
        <w:t xml:space="preserve"> </w:t>
      </w:r>
      <w:r>
        <w:t xml:space="preserve">attached to it. Where a proven acceptable range does not contain the whole normal operating range, the normal operating range will be narrowed rather than the criterion relaxed.</w:t>
      </w:r>
    </w:p>
    <w:bookmarkEnd w:id="51"/>
    <w:bookmarkStart w:id="52" w:name="sec-data"/>
    <w:p>
      <w:pPr>
        <w:pStyle w:val="Heading1"/>
      </w:pPr>
      <w:r>
        <w:t xml:space="preserve">9. Data management and integrity</w:t>
      </w:r>
    </w:p>
    <w:p>
      <w:pPr>
        <w:pStyle w:val="FirstParagraph"/>
      </w:pPr>
      <w:r>
        <w:t xml:space="preserve">Data generated under this plan will follow the ALCOA+ principles. Raw data will be captured in the chromatography control system, in the laboratory information system and on the analytical instruments that generate them, with audit trails enabled.</w:t>
      </w:r>
    </w:p>
    <w:p>
      <w:pPr>
        <w:pStyle w:val="BodyText"/>
      </w:pPr>
      <w:r>
        <w:t xml:space="preserve">Each run will carry the identity of the resin lot, the packed column, the load lot, the buffer lots, the instrument and the analyst. Chromatograms and instrument files will be retained in their original electronic form. A run that is aborted or that departs from SOP-2011 will be recorded with the reason, and the disposition of its data will be decided before the analysis begins.</w:t>
      </w:r>
    </w:p>
    <w:p>
      <w:pPr>
        <w:pStyle w:val="BodyText"/>
      </w:pPr>
      <w:r>
        <w:t xml:space="preserve">The statistical analysis will be executed by a scripted analysis held under version control, and the script, its inputs and its outputs will be retained with the study record. The Monte-Carlo analyses use a fixed random seed of 20240724, so that a reported range can be reproduced exactly from the same data. Any change to the analysis after the first execution will be recorded with its reason.</w:t>
      </w:r>
    </w:p>
    <w:p>
      <w:pPr>
        <w:pStyle w:val="BodyText"/>
      </w:pPr>
      <w:r>
        <w:t xml:space="preserve">Data will be reviewed by a second qualified person against the raw records before the analysis is run, and the review will be documented. Deviations from this plan will be recorded and dispositioned in PCR-008 under the site deviation procedure, with an impact assessment for each.</w:t>
      </w:r>
    </w:p>
    <w:bookmarkEnd w:id="52"/>
    <w:bookmarkStart w:id="54" w:name="sec-roles"/>
    <w:p>
      <w:pPr>
        <w:pStyle w:val="Heading1"/>
      </w:pPr>
      <w:r>
        <w:t xml:space="preserve">10. Roles and responsibilities</w:t>
      </w:r>
    </w:p>
    <w:p>
      <w:pPr>
        <w:pStyle w:val="FirstParagraph"/>
      </w:pPr>
      <w:r>
        <w:t xml:space="preserve">Responsibilities are assigned by function in</w:t>
      </w:r>
      <w:r>
        <w:t xml:space="preserve"> </w:t>
      </w:r>
      <w:hyperlink w:anchor="tbl-roles">
        <w:r>
          <w:rPr>
            <w:rStyle w:val="Hyperlink"/>
          </w:rPr>
          <w:t xml:space="preserve">Table 9</w:t>
        </w:r>
      </w:hyperlink>
      <w:r>
        <w:t xml:space="preserve">. The functions are those that approve this plan, with the addition of virology, which executes the spiking runs in containment.</w:t>
      </w:r>
    </w:p>
    <w:tbl>
      <w:tblPr>
        <w:tblStyle w:val="Table"/>
        <w:tblW w:type="pct" w:w="5000"/>
        <w:tblLayout w:type="fixed"/>
        <w:tblLook w:firstRow="0" w:lastRow="0" w:firstColumn="0" w:lastColumn="0" w:noHBand="0" w:noVBand="0" w:val="0000"/>
      </w:tblPr>
      <w:tblGrid>
        <w:gridCol w:w="7920"/>
      </w:tblGrid>
      <w:tr>
        <w:tc>
          <w:tcPr/>
          <w:bookmarkStart w:id="53" w:name="tbl-roles"/>
          <w:p>
            <w:pPr>
              <w:jc w:val="center"/>
            </w:pPr>
            <w:pPr>
              <w:jc w:val="start"/>
              <w:spacing w:before="200"/>
              <w:pStyle w:val="ImageCaption"/>
            </w:pPr>
            <w:r>
              <w:t xml:space="preserve">Table 9: Responsibilities by function.</w:t>
            </w:r>
          </w:p>
          <w:tbl>
            <w:tblPr>
              <w:tblStyle w:val="Table"/>
              <w:tblW w:type="pct" w:w="5000"/>
              <w:tblLayout w:type="fixed"/>
              <w:tblLook w:firstRow="1" w:lastRow="0" w:firstColumn="0" w:lastColumn="0" w:noHBand="0" w:noVBand="0" w:val="0020"/>
            </w:tblPr>
            <w:tblGrid>
              <w:gridCol w:w="2562"/>
              <w:gridCol w:w="5357"/>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Owns this plan, qualifies the scale-down model, executes the characterization runs and authors PCR-008</w:t>
                  </w:r>
                </w:p>
              </w:tc>
            </w:tr>
            <w:tr>
              <w:tc>
                <w:tcPr/>
                <w:p>
                  <w:pPr>
                    <w:pStyle w:val="Compact"/>
                    <w:jc w:val="left"/>
                    <w:jc w:val="center"/>
                  </w:pPr>
                  <w:r>
                    <w:t xml:space="preserve">Analytical Development</w:t>
                  </w:r>
                </w:p>
              </w:tc>
              <w:tc>
                <w:tcPr/>
                <w:p>
                  <w:pPr>
                    <w:pStyle w:val="Compact"/>
                    <w:jc w:val="left"/>
                    <w:jc w:val="center"/>
                  </w:pPr>
                  <w:r>
                    <w:t xml:space="preserve">Performs the validated assays, maintains their validation status and releases the analytical data</w:t>
                  </w:r>
                </w:p>
              </w:tc>
            </w:tr>
            <w:tr>
              <w:tc>
                <w:tcPr/>
                <w:p>
                  <w:pPr>
                    <w:pStyle w:val="Compact"/>
                    <w:jc w:val="left"/>
                    <w:jc w:val="center"/>
                  </w:pPr>
                  <w:r>
                    <w:t xml:space="preserve">Virology</w:t>
                  </w:r>
                </w:p>
              </w:tc>
              <w:tc>
                <w:tcPr/>
                <w:p>
                  <w:pPr>
                    <w:pStyle w:val="Compact"/>
                    <w:jc w:val="left"/>
                    <w:jc w:val="center"/>
                  </w:pPr>
                  <w:r>
                    <w:t xml:space="preserve">Executes the spiking runs, calculates the log reduction factors and reports the assay controls</w:t>
                  </w:r>
                </w:p>
              </w:tc>
            </w:tr>
            <w:tr>
              <w:tc>
                <w:tcPr/>
                <w:p>
                  <w:pPr>
                    <w:pStyle w:val="Compact"/>
                    <w:jc w:val="left"/>
                    <w:jc w:val="center"/>
                  </w:pPr>
                  <w:r>
                    <w:t xml:space="preserve">Statistics</w:t>
                  </w:r>
                </w:p>
              </w:tc>
              <w:tc>
                <w:tcPr/>
                <w:p>
                  <w:pPr>
                    <w:pStyle w:val="Compact"/>
                    <w:jc w:val="left"/>
                    <w:jc w:val="center"/>
                  </w:pPr>
                  <w:r>
                    <w:t xml:space="preserve">Approves the designs, fits the models, performs the range and capability analyses and reviews the classification</w:t>
                  </w:r>
                </w:p>
              </w:tc>
            </w:tr>
            <w:tr>
              <w:tc>
                <w:tcPr/>
                <w:p>
                  <w:pPr>
                    <w:pStyle w:val="Compact"/>
                    <w:jc w:val="left"/>
                    <w:jc w:val="center"/>
                  </w:pPr>
                  <w:r>
                    <w:t xml:space="preserve">Manufacturing Science (receiving site)</w:t>
                  </w:r>
                </w:p>
              </w:tc>
              <w:tc>
                <w:tcPr/>
                <w:p>
                  <w:pPr>
                    <w:pStyle w:val="Compact"/>
                    <w:jc w:val="left"/>
                    <w:jc w:val="center"/>
                  </w:pPr>
                  <w:r>
                    <w:t xml:space="preserve">Reviews the proposed ranges against the control capability of the commercial equipment</w:t>
                  </w:r>
                </w:p>
              </w:tc>
            </w:tr>
            <w:tr>
              <w:tc>
                <w:tcPr/>
                <w:p>
                  <w:pPr>
                    <w:pStyle w:val="Compact"/>
                    <w:jc w:val="left"/>
                    <w:jc w:val="center"/>
                  </w:pPr>
                  <w:r>
                    <w:t xml:space="preserve">Quality Assurance</w:t>
                  </w:r>
                </w:p>
              </w:tc>
              <w:tc>
                <w:tcPr/>
                <w:p>
                  <w:pPr>
                    <w:pStyle w:val="Compact"/>
                    <w:jc w:val="left"/>
                    <w:jc w:val="center"/>
                  </w:pPr>
                  <w:r>
                    <w:t xml:space="preserve">Approves this plan and PCR-008 and dispositions deviations</w:t>
                  </w:r>
                </w:p>
              </w:tc>
            </w:tr>
          </w:tbl>
          <w:bookmarkEnd w:id="53"/>
          <w:p/>
        </w:tc>
      </w:tr>
    </w:tbl>
    <w:p>
      <w:pPr>
        <w:pStyle w:val="BodyText"/>
      </w:pPr>
      <w:r>
        <w:t xml:space="preserve">Statistics approves the designs before execution rather than after, since a design that cannot estimate the interaction between load pH and Equil/Wash-1 conductivity cannot be repaired by analysis.</w:t>
      </w:r>
    </w:p>
    <w:bookmarkEnd w:id="54"/>
    <w:bookmarkStart w:id="56" w:name="sec-schedule"/>
    <w:p>
      <w:pPr>
        <w:pStyle w:val="Heading1"/>
      </w:pPr>
      <w:r>
        <w:t xml:space="preserve">11. Deliverables and schedule</w:t>
      </w:r>
    </w:p>
    <w:p>
      <w:pPr>
        <w:pStyle w:val="FirstParagraph"/>
      </w:pPr>
      <w:r>
        <w:t xml:space="preserve">The deliverable of this plan is PCR-008, the process characterization report for the anion exchange step. It will report the executed designs, the fitted models and their adequacy, the operating region, the proven acceptable ranges, the classification of each parameter, the clearance of both model viruses against the claims of this step, the verification of the host cell protein clearance against its platform worst case and the contribution this step makes to the control strategy. PCR-008 rolls up into the master report PCMR-001, which consolidates the cumulative viral clearance claim across the contributing steps.</w:t>
      </w:r>
    </w:p>
    <w:p>
      <w:pPr>
        <w:pStyle w:val="BodyText"/>
      </w:pPr>
      <w:r>
        <w:t xml:space="preserve">The study will run in four phases. The scale-down model qualification runs come first (</w:t>
      </w:r>
      <w:hyperlink w:anchor="sec-sdm">
        <w:r>
          <w:rPr>
            <w:rStyle w:val="Hyperlink"/>
          </w:rPr>
          <w:t xml:space="preserve">Section 5.1</w:t>
        </w:r>
      </w:hyperlink>
      <w:r>
        <w:t xml:space="preserve">). The screening design is executed next, then the response surface design, then the univariate assessment. The viral clearance runs may run in parallel with the univariate assessment, because they use a separate laboratory and separate load aliquots.</w:t>
      </w:r>
    </w:p>
    <w:p>
      <w:pPr>
        <w:pStyle w:val="BodyText"/>
      </w:pPr>
      <w:r>
        <w:t xml:space="preserve">Version 1.0 committed no calendar dates, and the campaign schedule is held in PTP-001. The studies under this plan ran in the windows of</w:t>
      </w:r>
      <w:r>
        <w:t xml:space="preserve"> </w:t>
      </w:r>
      <w:hyperlink w:anchor="tbl-windows">
        <w:r>
          <w:rPr>
            <w:rStyle w:val="Hyperlink"/>
          </w:rPr>
          <w:t xml:space="preserve">Table 10</w:t>
        </w:r>
      </w:hyperlink>
      <w:r>
        <w:t xml:space="preserve">, from the date of the first run of each to the date of its last, as INV-001 preventive action PA3 requires every study record to state. The record names none of the instrumented scale-down systems under calibration and change control of PCMP-001 Table 5.1 for these studies.</w:t>
      </w:r>
    </w:p>
    <w:tbl>
      <w:tblPr>
        <w:tblStyle w:val="Table"/>
        <w:tblW w:type="pct" w:w="5000"/>
        <w:tblLayout w:type="fixed"/>
        <w:tblLook w:firstRow="0" w:lastRow="0" w:firstColumn="0" w:lastColumn="0" w:noHBand="0" w:noVBand="0" w:val="0000"/>
      </w:tblPr>
      <w:tblGrid>
        <w:gridCol w:w="7920"/>
      </w:tblGrid>
      <w:tr>
        <w:tc>
          <w:tcPr/>
          <w:bookmarkStart w:id="55" w:name="tbl-windows"/>
          <w:p>
            <w:pPr>
              <w:jc w:val="center"/>
            </w:pPr>
            <w:pPr>
              <w:jc w:val="start"/>
              <w:spacing w:before="200"/>
              <w:pStyle w:val="ImageCaption"/>
            </w:pPr>
            <w:r>
              <w:t xml:space="preserve">Table 10: Execution windows of the studies under this plan.</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S-AEX-SDM</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Screening and response surface designs, first execution</w:t>
                  </w:r>
                  <w:r>
                    <w:rPr>
                      <w:vertAlign w:val="superscript"/>
                    </w:rPr>
                    <w:t xml:space="preserve">a)</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S-AEX-SCR</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Response 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S-AEX-UNI</w:t>
                  </w:r>
                </w:p>
              </w:tc>
              <w:tc>
                <w:tcPr/>
                <w:p>
                  <w:pPr>
                    <w:pStyle w:val="Compact"/>
                    <w:jc w:val="center"/>
                  </w:pPr>
                  <w:r>
                    <w:t xml:space="preserve">Univariate assessment of operating flow rate</w:t>
                  </w:r>
                </w:p>
              </w:tc>
              <w:tc>
                <w:tcPr/>
                <w:p>
                  <w:pPr>
                    <w:pStyle w:val="Compact"/>
                    <w:jc w:val="center"/>
                  </w:pPr>
                  <w:r>
                    <w:t xml:space="preserve">2026-04-13</w:t>
                  </w:r>
                </w:p>
              </w:tc>
              <w:tc>
                <w:tcPr/>
                <w:p>
                  <w:pPr>
                    <w:pStyle w:val="Compact"/>
                    <w:jc w:val="center"/>
                  </w:pPr>
                  <w:r>
                    <w:t xml:space="preserve">2026-04-17</w:t>
                  </w:r>
                </w:p>
              </w:tc>
            </w:tr>
            <w:tr>
              <w:tc>
                <w:tcPr>
                  <w:gridSpan w:val="4"/>
                </w:tcPr>
                <w:p>
                  <w:pPr>
                    <w:pStyle w:val="Compact"/>
                    <w:jc w:val="center"/>
                  </w:pPr>
                  <w:r>
                    <w:rPr>
                      <w:vertAlign w:val="superscript"/>
                    </w:rPr>
                    <w:t xml:space="preserve">a)</w:t>
                  </w:r>
                  <w:r>
                    <w:t xml:space="preserve"> </w:t>
                  </w:r>
                  <w:r>
                    <w:t xml:space="preserve">The first execution was invalidated. PCR-008 records the deviation (DEV-008-01).</w:t>
                  </w:r>
                </w:p>
              </w:tc>
            </w:tr>
          </w:tbl>
          <w:bookmarkEnd w:id="55"/>
          <w:p/>
        </w:tc>
      </w:tr>
    </w:tbl>
    <w:bookmarkEnd w:id="56"/>
    <w:bookmarkStart w:id="57" w:name="sec-risks"/>
    <w:p>
      <w:pPr>
        <w:pStyle w:val="Heading1"/>
      </w:pPr>
      <w:r>
        <w:t xml:space="preserve">12. Risks and assumptions</w:t>
      </w:r>
    </w:p>
    <w:p>
      <w:pPr>
        <w:pStyle w:val="FirstParagraph"/>
      </w:pPr>
      <w:r>
        <w:t xml:space="preserve">The scale-down model may not represent the commercial column. The offset rule of</w:t>
      </w:r>
      <w:r>
        <w:t xml:space="preserve"> </w:t>
      </w:r>
      <w:hyperlink w:anchor="sec-sdm">
        <w:r>
          <w:rPr>
            <w:rStyle w:val="Hyperlink"/>
          </w:rPr>
          <w:t xml:space="preserve">Section 5.1</w:t>
        </w:r>
      </w:hyperlink>
      <w:r>
        <w:t xml:space="preserve"> </w:t>
      </w:r>
      <w:r>
        <w:t xml:space="preserve">addresses this risk for pool host cell protein. The offsets of fragments and viral clearance are unknown, not zero, and their judgement rests on the spiked scale-down model and on the expectation that the step does not change the fragment level of its load. The operating region is not confirmed at scale at the edges of the ranges, and Stage 2 confirms performance at commercial scale inside the NORs only.</w:t>
      </w:r>
    </w:p>
    <w:p>
      <w:pPr>
        <w:pStyle w:val="BodyText"/>
      </w:pPr>
      <w:r>
        <w:t xml:space="preserve">The load material may not be representative of the routine cation exchange pool. A load with more acidic charge variants carries more antibody whose net charge at the load pH is close to neutral, and part of it can bind, so the yield is at risk. Load material will be qualified before execution against the criteria in</w:t>
      </w:r>
      <w:r>
        <w:t xml:space="preserve"> </w:t>
      </w:r>
      <w:hyperlink w:anchor="sec-criteria">
        <w:r>
          <w:rPr>
            <w:rStyle w:val="Hyperlink"/>
          </w:rPr>
          <w:t xml:space="preserve">Section 7</w:t>
        </w:r>
      </w:hyperlink>
      <w:r>
        <w:t xml:space="preserve">, and a design executed on non-representative material will be re-executed.</w:t>
      </w:r>
    </w:p>
    <w:p>
      <w:pPr>
        <w:pStyle w:val="BodyText"/>
      </w:pPr>
      <w:r>
        <w:t xml:space="preserve">The virus spike may perturb the load. The spike volume will be bounded and the spiked load compared with the unspiked load, as</w:t>
      </w:r>
      <w:r>
        <w:t xml:space="preserve"> </w:t>
      </w:r>
      <w:hyperlink w:anchor="sec-sdm">
        <w:r>
          <w:rPr>
            <w:rStyle w:val="Hyperlink"/>
          </w:rPr>
          <w:t xml:space="preserve">Section 5.1</w:t>
        </w:r>
      </w:hyperlink>
      <w:r>
        <w:t xml:space="preserve"> </w:t>
      </w:r>
      <w:r>
        <w:t xml:space="preserve">describes.</w:t>
      </w:r>
    </w:p>
    <w:p>
      <w:pPr>
        <w:pStyle w:val="BodyText"/>
      </w:pPr>
      <w:r>
        <w:t xml:space="preserve">Material supply may constrain the execution. The designs together require a large volume of cation exchange pool, and pooling several cation exchange batches to obtain it would blur the load attributes the study holds constant. Load lots will therefore be scheduled against the runs before execution begins.</w:t>
      </w:r>
    </w:p>
    <w:p>
      <w:pPr>
        <w:pStyle w:val="BodyText"/>
      </w:pPr>
      <w:r>
        <w:t xml:space="preserve">The study assumes that platform knowledge from X-Mab, Y-Mab and Z-Mab transfers to A-Mab at this step, because A-Mab has an isoelectric point well above the load pH range and passes through the bed as the platform antibodies do, and the platform buffer system is unchanged. It assumes the resin performs within its qualified life cycle over the execution period under SOP-2008. It assumes that parameters not carried into the study are held to platform specification, and an excursion in any of them will be recorded as a deviation and assessed for impact in PCR-008.</w:t>
      </w:r>
    </w:p>
    <w:bookmarkEnd w:id="57"/>
    <w:bookmarkStart w:id="58" w:name="sec-approvals"/>
    <w:p>
      <w:pPr>
        <w:pStyle w:val="Heading1"/>
      </w:pPr>
      <w:r>
        <w:t xml:space="preserve">13. Approvals</w:t>
      </w:r>
    </w:p>
    <w:p>
      <w:pPr>
        <w:pStyle w:val="FirstParagraph"/>
      </w:pPr>
      <w:r>
        <w:t xml:space="preserve">This plan will be executed after approval by the functions listed in the approval record in the front matter. Approval by Quality Assurance releases the study for execution. A change to this plan after approval will be made by revising the plan and will be approved by the same functions before the affected runs are executed. This Version 2.0 is the amendment that INV-001 required of each step plan in its corrective action CA2, the amendment of PCP-003 to PCP-010 with the criteria and the fragment method, and it was issued after the runs and approved on its effective date, 2026-09-30.</w:t>
      </w:r>
    </w:p>
    <w:bookmarkEnd w:id="58"/>
    <w:bookmarkStart w:id="60" w:name="X7149527b81b82ac7e9fc876cc411d0dd5d45eb6"/>
    <w:p>
      <w:pPr>
        <w:pStyle w:val="Heading1"/>
      </w:pPr>
      <w:r>
        <w:t xml:space="preserve">Appendix A — Planned screening design matrix</w:t>
      </w:r>
    </w:p>
    <w:p>
      <w:pPr>
        <w:pStyle w:val="FirstParagraph"/>
      </w:pPr>
      <w:r>
        <w:t xml:space="preserve">The matrices below are the planned designs. No result is shown, and the executed matrices with their measured responses will be reported in the appendices of PCR-008.</w:t>
      </w:r>
    </w:p>
    <w:p>
      <w:pPr>
        <w:pStyle w:val="BodyText"/>
      </w:pPr>
      <w:r>
        <w:t xml:space="preserve">The runs are given in coded units, where the set-point is 0 and the edges of the characterization range are ±1. The letter codes are given in</w:t>
      </w:r>
      <w:r>
        <w:t xml:space="preserve"> </w:t>
      </w:r>
      <w:hyperlink w:anchor="tbl-codes">
        <w:r>
          <w:rPr>
            <w:rStyle w:val="Hyperlink"/>
          </w:rPr>
          <w:t xml:space="preserve">Table 7</w:t>
        </w:r>
      </w:hyperlink>
      <w:r>
        <w:t xml:space="preserve"> </w:t>
      </w:r>
      <w:r>
        <w:t xml:space="preserve">and the natural settings follow from the ranges in</w:t>
      </w:r>
      <w:r>
        <w:t xml:space="preserve"> </w:t>
      </w:r>
      <w:hyperlink w:anchor="tbl-params">
        <w:r>
          <w:rPr>
            <w:rStyle w:val="Hyperlink"/>
          </w:rPr>
          <w:t xml:space="preserve">Table 6</w:t>
        </w:r>
      </w:hyperlink>
      <w:r>
        <w:t xml:space="preserve">. Run order will be randomized at execution.</w:t>
      </w:r>
    </w:p>
    <w:tbl>
      <w:tblPr>
        <w:tblStyle w:val="Table"/>
        <w:tblW w:type="pct" w:w="5000"/>
        <w:tblLayout w:type="fixed"/>
        <w:tblLook w:firstRow="0" w:lastRow="0" w:firstColumn="0" w:lastColumn="0" w:noHBand="0" w:noVBand="0" w:val="0000"/>
      </w:tblPr>
      <w:tblGrid>
        <w:gridCol w:w="7920"/>
      </w:tblGrid>
      <w:tr>
        <w:tc>
          <w:tcPr/>
          <w:bookmarkStart w:id="59" w:name="tbl-matrix-screening"/>
          <w:p>
            <w:pPr>
              <w:jc w:val="center"/>
            </w:pPr>
            <w:pPr>
              <w:jc w:val="start"/>
              <w:spacing w:before="200"/>
              <w:pStyle w:val="ImageCaption"/>
            </w:pPr>
            <w:r>
              <w:t xml:space="preserve">Table 11: Planned screening design matrix,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59"/>
          <w:p/>
        </w:tc>
      </w:tr>
    </w:tbl>
    <w:bookmarkEnd w:id="60"/>
    <w:bookmarkStart w:id="62" w:name="Xd035249cb2928fc67e6106bc8a61a8b12039d8a"/>
    <w:p>
      <w:pPr>
        <w:pStyle w:val="Heading1"/>
      </w:pPr>
      <w:r>
        <w:t xml:space="preserve">Appendix B — Planned response-surface design matrix</w:t>
      </w:r>
    </w:p>
    <w:p>
      <w:pPr>
        <w:pStyle w:val="FirstParagraph"/>
      </w:pPr>
      <w:r>
        <w:t xml:space="preserve">The face-centred central composite design is given in the same coded units. The axial runs sit at the faces of the cube, so no run lies outside the characterization range.</w:t>
      </w:r>
    </w:p>
    <w:tbl>
      <w:tblPr>
        <w:tblStyle w:val="Table"/>
        <w:tblW w:type="pct" w:w="5000"/>
        <w:tblLayout w:type="fixed"/>
        <w:tblLook w:firstRow="0" w:lastRow="0" w:firstColumn="0" w:lastColumn="0" w:noHBand="0" w:noVBand="0" w:val="0000"/>
      </w:tblPr>
      <w:tblGrid>
        <w:gridCol w:w="7920"/>
      </w:tblGrid>
      <w:tr>
        <w:tc>
          <w:tcPr/>
          <w:bookmarkStart w:id="61" w:name="tbl-matrix-rsm"/>
          <w:p>
            <w:pPr>
              <w:jc w:val="center"/>
            </w:pPr>
            <w:pPr>
              <w:jc w:val="start"/>
              <w:spacing w:before="200"/>
              <w:pStyle w:val="ImageCaption"/>
            </w:pPr>
            <w:r>
              <w:t xml:space="preserve">Table 12: Planned response-surface design matrix,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1"/>
          <w:p/>
        </w:tc>
      </w:tr>
    </w:tbl>
    <w:bookmarkEnd w:id="62"/>
    <w:bookmarkStart w:id="68" w:name="references"/>
    <w:p>
      <w:pPr>
        <w:pStyle w:val="Heading1"/>
      </w:pPr>
      <w:r>
        <w:t xml:space="preserve">References</w:t>
      </w:r>
    </w:p>
    <w:bookmarkStart w:id="67"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5a"/>
    <w:p>
      <w:pPr>
        <w:pStyle w:val="Bibliography"/>
      </w:pPr>
      <w:r>
        <w:t xml:space="preserve">International Council for Harmonisation. 2023a.</w:t>
      </w:r>
      <w:r>
        <w:t xml:space="preserve"> </w:t>
      </w:r>
      <w:r>
        <w:t xml:space="preserve">“ICH Q5A(R2): Viral Safety Evaluation of Biotechnology Products Derived from Cell Lines of Human or Animal Origin.”</w:t>
      </w:r>
      <w:r>
        <w:t xml:space="preserve"> </w:t>
      </w:r>
      <w:r>
        <w:t xml:space="preserve">ICH.</w:t>
      </w:r>
    </w:p>
    <w:bookmarkEnd w:id="64"/>
    <w:bookmarkStart w:id="65" w:name="ref-ichq9"/>
    <w:p>
      <w:pPr>
        <w:pStyle w:val="Bibliography"/>
      </w:pPr>
      <w:r>
        <w:t xml:space="preserve">———. 2023b.</w:t>
      </w:r>
      <w:r>
        <w:t xml:space="preserve"> </w:t>
      </w:r>
      <w:r>
        <w:t xml:space="preserve">“ICH Q9(R1): Quality Risk Management.”</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2026-10-10T15:57:55Z</dcterms:created>
  <dcterms:modified xsi:type="dcterms:W3CDTF">2026-10-10T15:57:55Z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