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Quality Assurance (investigator)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 &amp; Technology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Head of Quality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narrows the NOR of protein load, because over the NOR as it was characterized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27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deviations recorded in the step reports keep the disposition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17,069 ng/mg. On the model that PCR-005 Version 2.0 uses, its upper 95 % prediction limit over the NOR as characterized is 92 %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as characterized, the model is not qualified for pool host cell protein, on the planned runs alone or on all runs. With the ratio at the low end of its interval, which raises the prediction at manufacturing scale, the upper prediction limit over that NOR is 17,143 ng/mg on all runs, above the criterion. The Protein A report PCR-005 Version 2.0 therefore narrows the NOR of protein load at its high end, from 20–40 g/L resin to 20–39 g/L resin. Over the narrowed NOR, that limit is 16,763 ng/mg on all runs, and the model is qualified. On the planned runs alone it is 18,786 ng/mg, and the model would not be qualified. The further runs therefore made the qualification possible. The decision to make them was taken after the result on the planned runs was known. The qualification therefore rests on runs added after a result was seen, and this is a limitation of it.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c)</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b)</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c)</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an adequate model.</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3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because the prediction within the NOR was no worse than the platform value. For 2 of them the single-batch bound was also better than the platform value, on an adequate model, and the criteria upstream were recalculated with the bound. For the increase of acidic variants at low-pH viral inactivation the bound was also better, but the acidic-variant results of that design have no scatter. The model fits them exactly, so the lack-of-fit test and the model F-test cannot be applied, and the platform value stands.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lowest clearance the model predicts is 44.9-fold, and the single-batch bound is 36.7-fold.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4.27-fold, which is better than the platform value of 4.00-fold. The anion exchange model passes the adequacy tests, so this bound replaced the platform value. The anion exchange bound widened the cation exchange criterion for host cell protein from 400 to 427 ng/mg. Carried back through the platform value at cation exchange and this bound at anion exchange, the Protein A criterion for host cell protein was widened from 16,000 to 17,069 ng/mg. The Protein A criterion is also wider than the Version 1.0 limit of 10,724 ng/mg, which was never an approved criterion (finding F1). In all, 3 criteria were widened, for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lowest fold clearance the response surface model of this campaign predicts is 1.58, and the single-batch bound is 1.40. The aggregate criteria upstream of cation exchange were recalculated with the bound, and the 2 aggregate criteria at the production bioreactor and low-pH viral inactivation steps were tightened. At the bioreactor the same criterion was also widened, because the single-batch bound of the aggregate increase at low-pH viral inactivation, 0.56 percentage points, is smaller than the platform value of 0.70. The platform value is an increase over a hold of 180 min. The A-Mab value is an increase within the NOR as characterized, where the hold lasts at most 120 min. For aggregate, the largest increase measured at the edges of the range studied, which include a hold of 180 min, is 0.84 points, above the platform value. That criterion therefore moved because the A-Mab hold is shorter, not because A-Mab is more stable at low pH. The criterion is still right, because routine manufacture does not hold longer than the NOR. The acidic-variant increase at low-pH viral inactivation, 0.40 points, is also below its platform value of 1.00, but its model fits exactly, so the bioreactor criterion for acidic variants stays at its a priori value.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CO2 partial pressure (pCO2) rises, in this campaign’s response surface model and in the response surface estimates of the published A-Mab case study</w:t>
      </w:r>
      <w:r>
        <w:t xml:space="preserve"> </w:t>
      </w:r>
      <w:r>
        <w:t xml:space="preserve">(CMC Biotech Working Group 2009, Table 3.16)</w:t>
      </w:r>
      <w:r>
        <w:t xml:space="preserve">. For CO2 partial pressure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CO2 partial pressure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CO2 partial pressure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CO2 partial pressure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6.46</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427</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at the Protein A and low-pH viral inactivation steps and set-points at low-pH viral inactivation, which PCR-005 and PCR-006 Version 2.0 change (§2,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2026-10-10T09:59:08Z</dcterms:created>
  <dcterms:modified xsi:type="dcterms:W3CDTF">2026-10-10T09:59:08Z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