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Plan</w:t>
      </w:r>
    </w:p>
    <w:p>
      <w:pPr>
        <w:pStyle w:val="Subtitle"/>
      </w:pPr>
      <w:r>
        <w:t xml:space="preserve">A-Mab Drug Substance — Harvest and Clarification (Step 4) — PCP-004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PCP-004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Plan: Harvest and Clarification (Step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Purification Process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CPP, critical process parameter · CQA, critical quality attribute · DNA,</w:t>
      </w:r>
      <w:r>
        <w:t xml:space="preserve"> </w:t>
      </w:r>
      <w:r>
        <w:t xml:space="preserve">deoxyribonucleic acid · DS, drug substance · GPP, general process parameter · HCP,</w:t>
      </w:r>
      <w:r>
        <w:t xml:space="preserve"> </w:t>
      </w:r>
      <w:r>
        <w:t xml:space="preserve">host-cell protein · ICH, International Council for Harmonisation · IPC, in-process</w:t>
      </w:r>
      <w:r>
        <w:t xml:space="preserve"> </w:t>
      </w:r>
      <w:r>
        <w:t xml:space="preserve">control · KPP, key process parameter · MSAT, Manufacturing Science and Technology ·</w:t>
      </w:r>
      <w:r>
        <w:t xml:space="preserve"> </w:t>
      </w:r>
      <w:r>
        <w:t xml:space="preserve">NOR, normal operating range · NTU, nephelometric turbidity unit · PAR, proven</w:t>
      </w:r>
      <w:r>
        <w:t xml:space="preserve"> </w:t>
      </w:r>
      <w:r>
        <w:t xml:space="preserve">acceptable range · PPQ, process performance qualification · QbD, Quality by Design ·</w:t>
      </w:r>
      <w:r>
        <w:t xml:space="preserve"> </w:t>
      </w:r>
      <w:r>
        <w:t xml:space="preserve">rcf, relative centrifugal force · SDM, scale-down model · SEC, size-exclusion</w:t>
      </w:r>
      <w:r>
        <w:t xml:space="preserve"> </w:t>
      </w:r>
      <w:r>
        <w:t xml:space="preserve">chromatography.</w:t>
      </w:r>
    </w:p>
    <w:p>
      <w:r>
        <w:br w:type="page"/>
      </w:r>
    </w:p>
    <w:bookmarkEnd w:id="11"/>
    <w:bookmarkStart w:id="12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Process Characterization Plan (</w:t>
      </w:r>
      <w:r>
        <w:rPr>
          <w:b/>
          <w:bCs/>
        </w:rPr>
        <w:t xml:space="preserve">PCP-004</w:t>
      </w:r>
      <w:r>
        <w:t xml:space="preserve">) defines the Stage 1 (Process</w:t>
      </w:r>
      <w:r>
        <w:t xml:space="preserve"> </w:t>
      </w:r>
      <w:r>
        <w:t xml:space="preserve">Design) characterization of the A-Mab harvest and clarification operation (Step 4),</w:t>
      </w:r>
      <w:r>
        <w:t xml:space="preserve"> </w:t>
      </w:r>
      <w:r>
        <w:t xml:space="preserve">the unit operation that separates the antibody-containing supernatant from the cells</w:t>
      </w:r>
      <w:r>
        <w:t xml:space="preserve"> </w:t>
      </w:r>
      <w:r>
        <w:t xml:space="preserve">and cell debris of the production culture and delivers a clarified feed to the</w:t>
      </w:r>
      <w:r>
        <w:t xml:space="preserve"> </w:t>
      </w:r>
      <w:r>
        <w:t xml:space="preserve">Protein A capture step. The plan specifies the objectives, the process-performance</w:t>
      </w:r>
      <w:r>
        <w:t xml:space="preserve"> </w:t>
      </w:r>
      <w:r>
        <w:t xml:space="preserve">measures in scope, the process parameters and ranges to be characterized, the</w:t>
      </w:r>
      <w:r>
        <w:t xml:space="preserve"> </w:t>
      </w:r>
      <w:r>
        <w:t xml:space="preserve">analytical methods, the sampling plan, the analysis approach, and the acceptance and</w:t>
      </w:r>
      <w:r>
        <w:t xml:space="preserve"> </w:t>
      </w:r>
      <w:r>
        <w:t xml:space="preserve">decision criteria by which each parameter will be classified.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primary recovery train — continuous disk-stack centrifugation</w:t>
      </w:r>
      <w:r>
        <w:t xml:space="preserve"> </w:t>
      </w:r>
      <w:r>
        <w:t xml:space="preserve">followed by depth and sterile (bioburden-reduction) filtration — that clarifies the</w:t>
      </w:r>
      <w:r>
        <w:t xml:space="preserve"> </w:t>
      </w:r>
      <w:r>
        <w:t xml:space="preserve">15,000-L production-bioreactor harvest, evaluated</w:t>
      </w:r>
      <w:r>
        <w:t xml:space="preserve"> </w:t>
      </w:r>
      <w:r>
        <w:t xml:space="preserve">on a qualified bench-scale clarification model. The production bioreactor (Step 3)</w:t>
      </w:r>
      <w:r>
        <w:t xml:space="preserve"> </w:t>
      </w:r>
      <w:r>
        <w:t xml:space="preserve">and the Protein A capture step (Step 5) are addressed only where they define the feed</w:t>
      </w:r>
      <w:r>
        <w:t xml:space="preserve"> </w:t>
      </w:r>
      <w:r>
        <w:t xml:space="preserve">to, or the feed from, this operation; their characterization is out of scope. This</w:t>
      </w:r>
      <w:r>
        <w:t xml:space="preserve"> </w:t>
      </w:r>
      <w:r>
        <w:t xml:space="preserve">plan governs execution only — the results are reported in the paired Process</w:t>
      </w:r>
      <w:r>
        <w:t xml:space="preserve"> </w:t>
      </w:r>
      <w:r>
        <w:t xml:space="preserve">Characterization Report (</w:t>
      </w:r>
      <w:r>
        <w:rPr>
          <w:b/>
          <w:bCs/>
        </w:rPr>
        <w:t xml:space="preserve">PCR-004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Basis.</w:t>
      </w:r>
      <w:r>
        <w:t xml:space="preserve"> </w:t>
      </w:r>
      <w:r>
        <w:t xml:space="preserve">In the A-Mab case study, harvest and clarification has no product-quality</w:t>
      </w:r>
      <w:r>
        <w:t xml:space="preserve"> </w:t>
      </w:r>
      <w:r>
        <w:t xml:space="preserve">impact: it defines the feed to Protein A and is characterized as a process-performance</w:t>
      </w:r>
      <w:r>
        <w:t xml:space="preserve"> </w:t>
      </w:r>
      <w:r>
        <w:t xml:space="preserve">operation rather than a quality-forming one</w:t>
      </w:r>
      <w:r>
        <w:t xml:space="preserve"> </w:t>
      </w:r>
      <w:r>
        <w:t xml:space="preserve">(CMC Biotech Working Group 2009)</w:t>
      </w:r>
      <w:r>
        <w:t xml:space="preserve">. The Stage 1 approach and</w:t>
      </w:r>
      <w:r>
        <w:t xml:space="preserve"> </w:t>
      </w:r>
      <w:r>
        <w:t xml:space="preserve">report structure follow PDA TR 60</w:t>
      </w:r>
      <w:r>
        <w:t xml:space="preserve"> </w:t>
      </w:r>
      <w:r>
        <w:t xml:space="preserve">(Parenteral Drug Association 2013)</w:t>
      </w:r>
      <w:r>
        <w:t xml:space="preserve"> </w:t>
      </w:r>
      <w:r>
        <w:t xml:space="preserve">and the ISPE Good Practice Guide</w:t>
      </w:r>
      <w:r>
        <w:t xml:space="preserve"> </w:t>
      </w:r>
      <w:r>
        <w:t xml:space="preserve">(International Society for Pharmaceutical Engineering 2023)</w:t>
      </w:r>
      <w:r>
        <w:t xml:space="preserve">; the QbD framework follows ICH Q8, Q9 and Q11</w:t>
      </w:r>
      <w:r>
        <w:t xml:space="preserve"> </w:t>
      </w:r>
      <w:r>
        <w:t xml:space="preserve">(International Council for Harmonisation 2009, 2023, 2012)</w:t>
      </w:r>
      <w:r>
        <w:t xml:space="preserve"> </w:t>
      </w:r>
      <w:r>
        <w:t xml:space="preserve">and the lifecycle approach of the FDA 2011 guidance</w:t>
      </w:r>
      <w:r>
        <w:t xml:space="preserve"> </w:t>
      </w:r>
      <w:r>
        <w:t xml:space="preserve">(U.S. Food and Drug Administration 2011)</w:t>
      </w:r>
      <w:r>
        <w:t xml:space="preserve">.</w:t>
      </w:r>
    </w:p>
    <w:bookmarkEnd w:id="12"/>
    <w:bookmarkStart w:id="13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characterization will:</w:t>
      </w:r>
    </w:p>
    <w:p>
      <w:pPr>
        <w:pStyle w:val="Compact"/>
        <w:numPr>
          <w:ilvl w:val="0"/>
          <w:numId w:val="1001"/>
        </w:numPr>
      </w:pPr>
      <w:r>
        <w:t xml:space="preserve">confirm that harvest and clarification has</w:t>
      </w:r>
      <w:r>
        <w:t xml:space="preserve"> </w:t>
      </w:r>
      <w:r>
        <w:rPr>
          <w:b/>
          <w:bCs/>
        </w:rPr>
        <w:t xml:space="preserve">no impact on the product-quality</w:t>
      </w:r>
      <w:r>
        <w:rPr>
          <w:b/>
          <w:bCs/>
        </w:rPr>
        <w:t xml:space="preserve"> </w:t>
      </w:r>
      <w:r>
        <w:rPr>
          <w:b/>
          <w:bCs/>
        </w:rPr>
        <w:t xml:space="preserve">CQAs</w:t>
      </w:r>
      <w:r>
        <w:t xml:space="preserve">, which pass through the operation unchanged;</w:t>
      </w:r>
    </w:p>
    <w:p>
      <w:pPr>
        <w:pStyle w:val="Compact"/>
        <w:numPr>
          <w:ilvl w:val="0"/>
          <w:numId w:val="1001"/>
        </w:numPr>
      </w:pPr>
      <w:r>
        <w:t xml:space="preserve">establish the effect of the operating parameters on the process-performance</w:t>
      </w:r>
      <w:r>
        <w:t xml:space="preserve"> </w:t>
      </w:r>
      <w:r>
        <w:t xml:space="preserve">measures — product (step) yield, post-clarification turbidity, and depth-filter</w:t>
      </w:r>
      <w:r>
        <w:t xml:space="preserve"> </w:t>
      </w:r>
      <w:r>
        <w:t xml:space="preserve">throughput;</w:t>
      </w:r>
    </w:p>
    <w:p>
      <w:pPr>
        <w:pStyle w:val="Compact"/>
        <w:numPr>
          <w:ilvl w:val="0"/>
          <w:numId w:val="1001"/>
        </w:numPr>
      </w:pPr>
      <w:r>
        <w:t xml:space="preserve">confirm that a clarified feed of consistent quality (turbidity and impurity load)</w:t>
      </w:r>
      <w:r>
        <w:t xml:space="preserve"> </w:t>
      </w:r>
      <w:r>
        <w:t xml:space="preserve">is delivered to the Protein A capture step across the operating ranges;</w:t>
      </w:r>
    </w:p>
    <w:p>
      <w:pPr>
        <w:pStyle w:val="Compact"/>
        <w:numPr>
          <w:ilvl w:val="0"/>
          <w:numId w:val="1001"/>
        </w:numPr>
      </w:pPr>
      <w:r>
        <w:t xml:space="preserve">establish proven acceptable ranges (PARs) and confirm normal operating ranges</w:t>
      </w:r>
      <w:r>
        <w:t xml:space="preserve"> </w:t>
      </w:r>
      <w:r>
        <w:t xml:space="preserve">(NORs) for each parameter; and</w:t>
      </w:r>
    </w:p>
    <w:p>
      <w:pPr>
        <w:pStyle w:val="Compact"/>
        <w:numPr>
          <w:ilvl w:val="0"/>
          <w:numId w:val="1001"/>
        </w:numPr>
      </w:pPr>
      <w:r>
        <w:t xml:space="preserve">classify each parameter for its risk of impact to CQAs and to process performance</w:t>
      </w:r>
      <w:r>
        <w:t xml:space="preserve"> </w:t>
      </w:r>
      <w:r>
        <w:t xml:space="preserve">(CPP / KPP / GPP) and provide the ranges that support the Stage 2 operating</w:t>
      </w:r>
      <w:r>
        <w:t xml:space="preserve"> </w:t>
      </w:r>
      <w:r>
        <w:t xml:space="preserve">conditions and the drug-substance control strategy.</w:t>
      </w:r>
    </w:p>
    <w:bookmarkEnd w:id="13"/>
    <w:bookmarkStart w:id="16" w:name="related-documents"/>
    <w:p>
      <w:pPr>
        <w:pStyle w:val="Heading1"/>
      </w:pPr>
      <w:r>
        <w:t xml:space="preserve">3. Related documents</w:t>
      </w:r>
    </w:p>
    <w:p>
      <w:pPr>
        <w:pStyle w:val="FirstParagraph"/>
      </w:pPr>
      <w:r>
        <w:t xml:space="preserve">This plan is executed under the master documents below and is paired with its</w:t>
      </w:r>
      <w:r>
        <w:t xml:space="preserve"> </w:t>
      </w:r>
      <w:r>
        <w:t xml:space="preserve">report; the full package is cross-referenced for traceability.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r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Related documents in the A-Mab process-characterization package.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73"/>
              <w:gridCol w:w="4544"/>
              <w:gridCol w:w="240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Relationship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transfer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Pre-Characterization Process Risk Assessment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risk basis for study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master plan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 (Harvest and Clarification (Step 4))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Sibling — paired document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Rolls up into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t xml:space="preserve">The governing procedures and validated analytical methods referenced by this plan</w:t>
      </w:r>
      <w:r>
        <w:t xml:space="preserve"> </w:t>
      </w:r>
      <w:r>
        <w:t xml:space="preserve">are listed in</w:t>
      </w:r>
      <w:r>
        <w:t xml:space="preserve"> </w:t>
      </w:r>
      <w:hyperlink w:anchor="tbl-sop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(numbers are placeholders in this synthetic set).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s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Referenced standard operating procedures and analytical method validations.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50"/>
              <w:gridCol w:w="5333"/>
              <w:gridCol w:w="153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Qualification of Scale-Down 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by Continuous Disk-Stack Centrifugation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Clarification by Depth and Sterile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SOP-4001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Process-Parameter Classification and Control-Strategy Definition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Turbidity by Nephelometry (NTU)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15"/>
          <w:p/>
        </w:tc>
      </w:tr>
    </w:tbl>
    <w:bookmarkEnd w:id="16"/>
    <w:bookmarkStart w:id="21" w:name="prior-knowledge-and-quality-risk-basis"/>
    <w:p>
      <w:pPr>
        <w:pStyle w:val="Heading1"/>
      </w:pPr>
      <w:r>
        <w:t xml:space="preserve">4. Prior knowledge and quality risk basis</w:t>
      </w:r>
    </w:p>
    <w:bookmarkStart w:id="17" w:name="Xfc9d08e28ad3e20206826e1b5e1507b6461f659"/>
    <w:p>
      <w:pPr>
        <w:pStyle w:val="Heading2"/>
      </w:pPr>
      <w:r>
        <w:t xml:space="preserve">4.1 Unit-operation description and prior knowledge</w:t>
      </w:r>
    </w:p>
    <w:p>
      <w:pPr>
        <w:pStyle w:val="FirstParagraph"/>
      </w:pPr>
      <w:r>
        <w:t xml:space="preserve">Harvest and clarification separates the antibody-containing supernatant from cells</w:t>
      </w:r>
      <w:r>
        <w:t xml:space="preserve"> </w:t>
      </w:r>
      <w:r>
        <w:t xml:space="preserve">and cell debris and defines the feed to Protein A. In the A-Mab platform the</w:t>
      </w:r>
      <w:r>
        <w:t xml:space="preserve"> </w:t>
      </w:r>
      <w:r>
        <w:t xml:space="preserve">operation is a continuous disk-stack centrifugation followed by depth-filter and</w:t>
      </w:r>
      <w:r>
        <w:t xml:space="preserve"> </w:t>
      </w:r>
      <w:r>
        <w:t xml:space="preserve">sterile-filter clarification; it removes cells and particulates but does not form,</w:t>
      </w:r>
      <w:r>
        <w:t xml:space="preserve"> </w:t>
      </w:r>
      <w:r>
        <w:t xml:space="preserve">remove or modify any product-quality attribute</w:t>
      </w:r>
      <w:r>
        <w:t xml:space="preserve"> </w:t>
      </w:r>
      <w:r>
        <w:t xml:space="preserve">(CMC Biotech Working Group 2009)</w:t>
      </w:r>
      <w:r>
        <w:t xml:space="preserve">. Platform knowledge from</w:t>
      </w:r>
      <w:r>
        <w:t xml:space="preserve"> </w:t>
      </w:r>
      <w:r>
        <w:t xml:space="preserve">related humanized IgG1 antibodies established that the glycan, charge-variant and</w:t>
      </w:r>
      <w:r>
        <w:t xml:space="preserve"> </w:t>
      </w:r>
      <w:r>
        <w:t xml:space="preserve">aggregate attributes are set upstream in cell culture and that the host-cell protein</w:t>
      </w:r>
      <w:r>
        <w:t xml:space="preserve"> </w:t>
      </w:r>
      <w:r>
        <w:t xml:space="preserve">(HCP) and DNA burden generated in culture is presented to, and cleared by, the</w:t>
      </w:r>
      <w:r>
        <w:t xml:space="preserve"> </w:t>
      </w:r>
      <w:r>
        <w:t xml:space="preserve">purification train; harvest neither sets nor clears these attributes. This knowledge</w:t>
      </w:r>
      <w:r>
        <w:t xml:space="preserve"> </w:t>
      </w:r>
      <w:r>
        <w:t xml:space="preserve">frames the process-performance measures in scope and the prioritization of parameters</w:t>
      </w:r>
      <w:r>
        <w:t xml:space="preserve"> </w:t>
      </w:r>
      <w:r>
        <w:t xml:space="preserve">for characterization.</w:t>
      </w:r>
    </w:p>
    <w:bookmarkEnd w:id="17"/>
    <w:bookmarkStart w:id="19" w:name="X691cbf76c2291c519056583d65ff05b507644cc"/>
    <w:p>
      <w:pPr>
        <w:pStyle w:val="Heading2"/>
      </w:pPr>
      <w:r>
        <w:t xml:space="preserve">4.2 Quality attributes and process-performance measures</w:t>
      </w:r>
    </w:p>
    <w:p>
      <w:pPr>
        <w:pStyle w:val="FirstParagraph"/>
      </w:pPr>
      <w:r>
        <w:t xml:space="preserve">Harvest and clarification</w:t>
      </w:r>
      <w:r>
        <w:t xml:space="preserve"> </w:t>
      </w:r>
      <w:r>
        <w:rPr>
          <w:b/>
          <w:bCs/>
        </w:rPr>
        <w:t xml:space="preserve">sets or modifies no product-quality CQA</w:t>
      </w:r>
      <w:r>
        <w:t xml:space="preserve">; the CQAs</w:t>
      </w:r>
      <w:r>
        <w:t xml:space="preserve"> </w:t>
      </w:r>
      <w:r>
        <w:t xml:space="preserve">established in the production bioreactor pass through the operation unchanged. The</w:t>
      </w:r>
      <w:r>
        <w:t xml:space="preserve"> </w:t>
      </w:r>
      <w:r>
        <w:t xml:space="preserve">operation is therefore characterized against the process-performance measures it</w:t>
      </w:r>
      <w:r>
        <w:t xml:space="preserve"> </w:t>
      </w:r>
      <w:r>
        <w:t xml:space="preserve">governs (</w:t>
      </w:r>
      <w:hyperlink w:anchor="tbl-perf">
        <w:r>
          <w:rPr>
            <w:rStyle w:val="Hyperlink"/>
          </w:rPr>
          <w:t xml:space="preserve">Table 4</w:t>
        </w:r>
      </w:hyperlink>
      <w:r>
        <w:t xml:space="preserve">): the product (step) yield, the post-clarification turbidity that</w:t>
      </w:r>
      <w:r>
        <w:t xml:space="preserve"> </w:t>
      </w:r>
      <w:r>
        <w:t xml:space="preserve">defines feed clarity to Protein A, and the depth-filter throughput that governs filter</w:t>
      </w:r>
      <w:r>
        <w:t xml:space="preserve"> </w:t>
      </w:r>
      <w:r>
        <w:t xml:space="preserve">sizing and capacity. The impurity load presented to Protein A — the harvest HCP and</w:t>
      </w:r>
      <w:r>
        <w:t xml:space="preserve"> </w:t>
      </w:r>
      <w:r>
        <w:t xml:space="preserve">residual DNA formed upstream — is monitored to confirm feed consistency but is not an</w:t>
      </w:r>
      <w:r>
        <w:t xml:space="preserve"> </w:t>
      </w:r>
      <w:r>
        <w:t xml:space="preserve">attribute this step controls.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perf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Process-performance measures for the harvest and clarification characterization (no product-quality CQA is set by this step).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Process-performance measure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governs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Basis of the criterion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 (step) yield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Antibody recovery across primary recovery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Mass balance; platform target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Feed clarity presented to Protein 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 1–10 NTU (</w:t>
                  </w:r>
                  <w:hyperlink w:anchor="tbl-param">
                    <w:r>
                      <w:rPr>
                        <w:rStyle w:val="Hyperlink"/>
                      </w:rPr>
                      <w:t xml:space="preserve">Table 6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Depth-filter throughput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Filter capacity / sizing and filtrate clarity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Depth-filter load range (</w:t>
                  </w:r>
                  <w:hyperlink w:anchor="tbl-param">
                    <w:r>
                      <w:rPr>
                        <w:rStyle w:val="Hyperlink"/>
                      </w:rPr>
                      <w:t xml:space="preserve">Table 6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Harvest HCP / residual-DNA load (monitored)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Consistency of feed to Protein 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Formed upstream; cleared downstream</w:t>
                  </w:r>
                </w:p>
              </w:tc>
            </w:tr>
          </w:tbl>
          <w:bookmarkEnd w:id="18"/>
          <w:p/>
        </w:tc>
      </w:tr>
    </w:tbl>
    <w:bookmarkEnd w:id="19"/>
    <w:bookmarkStart w:id="20" w:name="risk-based-prioritization-of-parameters"/>
    <w:p>
      <w:pPr>
        <w:pStyle w:val="Heading2"/>
      </w:pPr>
      <w:r>
        <w:t xml:space="preserve">4.3 Risk-based prioritization of parameters</w:t>
      </w:r>
    </w:p>
    <w:p>
      <w:pPr>
        <w:pStyle w:val="FirstParagraph"/>
      </w:pPr>
      <w:r>
        <w:t xml:space="preserve">Consistent with the A-Mab lifecycle of iterative risk assessments, the study scope is</w:t>
      </w:r>
      <w:r>
        <w:t xml:space="preserve"> </w:t>
      </w:r>
      <w:r>
        <w:t xml:space="preserve">set by the Pre-Characterization Process Risk Assessment (</w:t>
      </w:r>
      <w:r>
        <w:rPr>
          <w:b/>
          <w:bCs/>
        </w:rPr>
        <w:t xml:space="preserve">RA-001</w:t>
      </w:r>
      <w:r>
        <w:t xml:space="preserve">). Because harvest</w:t>
      </w:r>
      <w:r>
        <w:t xml:space="preserve"> </w:t>
      </w:r>
      <w:r>
        <w:t xml:space="preserve">and clarification carries no credible risk of impact to a product-quality CQA, none of</w:t>
      </w:r>
      <w:r>
        <w:t xml:space="preserve"> </w:t>
      </w:r>
      <w:r>
        <w:t xml:space="preserve">its parameters was assigned to a multivariate design of experiments; each parameter is</w:t>
      </w:r>
      <w:r>
        <w:t xml:space="preserve"> </w:t>
      </w:r>
      <w:r>
        <w:t xml:space="preserve">studied</w:t>
      </w:r>
      <w:r>
        <w:t xml:space="preserve"> </w:t>
      </w:r>
      <w:r>
        <w:rPr>
          <w:b/>
          <w:bCs/>
        </w:rPr>
        <w:t xml:space="preserve">one factor at a time</w:t>
      </w:r>
      <w:r>
        <w:t xml:space="preserve"> </w:t>
      </w:r>
      <w:r>
        <w:t xml:space="preserve">across its characterization range for its effect on</w:t>
      </w:r>
      <w:r>
        <w:t xml:space="preserve"> </w:t>
      </w:r>
      <w:r>
        <w:t xml:space="preserve">the process-performance measures. The resulting parameter set and study-type</w:t>
      </w:r>
      <w:r>
        <w:t xml:space="preserve"> </w:t>
      </w:r>
      <w:r>
        <w:t xml:space="preserve">assignment are given in</w:t>
      </w:r>
      <w:r>
        <w:t xml:space="preserve"> </w:t>
      </w:r>
      <w:hyperlink w:anchor="tbl-param">
        <w:r>
          <w:rPr>
            <w:rStyle w:val="Hyperlink"/>
          </w:rPr>
          <w:t xml:space="preserve">Table 6</w:t>
        </w:r>
      </w:hyperlink>
      <w:r>
        <w:t xml:space="preserve">.</w:t>
      </w:r>
    </w:p>
    <w:bookmarkEnd w:id="20"/>
    <w:bookmarkEnd w:id="21"/>
    <w:bookmarkStart w:id="28" w:name="materials-and-methods"/>
    <w:p>
      <w:pPr>
        <w:pStyle w:val="Heading1"/>
      </w:pPr>
      <w:r>
        <w:t xml:space="preserve">5. Materials and methods</w:t>
      </w:r>
    </w:p>
    <w:bookmarkStart w:id="22" w:name="scale-down-model-and-its-qualification"/>
    <w:p>
      <w:pPr>
        <w:pStyle w:val="Heading2"/>
      </w:pPr>
      <w:r>
        <w:t xml:space="preserve">5.1 Scale-down model and its qualification</w:t>
      </w:r>
    </w:p>
    <w:p>
      <w:pPr>
        <w:pStyle w:val="FirstParagraph"/>
      </w:pPr>
      <w:r>
        <w:t xml:space="preserve">Characterization will be performed on a qualified bench-scale clarification model that</w:t>
      </w:r>
      <w:r>
        <w:t xml:space="preserve"> </w:t>
      </w:r>
      <w:r>
        <w:t xml:space="preserve">represents the commercial primary-recovery train — a laboratory disk-stack (or</w:t>
      </w:r>
      <w:r>
        <w:t xml:space="preserve"> </w:t>
      </w:r>
      <w:r>
        <w:t xml:space="preserve">equivalent bench) centrifuge operated at the commercial equivalent relative</w:t>
      </w:r>
      <w:r>
        <w:t xml:space="preserve"> </w:t>
      </w:r>
      <w:r>
        <w:t xml:space="preserve">centrifugal force and feed-solids loading, followed by scaled-down depth and sterile</w:t>
      </w:r>
      <w:r>
        <w:t xml:space="preserve"> </w:t>
      </w:r>
      <w:r>
        <w:t xml:space="preserve">filters of the platform media at the commercial area-normalized load (</w:t>
      </w:r>
      <w:r>
        <w:rPr>
          <w:b/>
          <w:bCs/>
        </w:rPr>
        <w:t xml:space="preserve">SOP-2005</w:t>
      </w:r>
      <w:r>
        <w:t xml:space="preserve">,</w:t>
      </w:r>
      <w:r>
        <w:t xml:space="preserve"> </w:t>
      </w:r>
      <w:r>
        <w:rPr>
          <w:b/>
          <w:bCs/>
        </w:rPr>
        <w:t xml:space="preserve">SOP-2006</w:t>
      </w:r>
      <w:r>
        <w:t xml:space="preserve">). Prior to characterization the model will be qualified against at-scale</w:t>
      </w:r>
      <w:r>
        <w:t xml:space="preserve"> </w:t>
      </w:r>
      <w:r>
        <w:t xml:space="preserve">reference data (</w:t>
      </w:r>
      <w:r>
        <w:rPr>
          <w:b/>
          <w:bCs/>
        </w:rPr>
        <w:t xml:space="preserve">SOP-1001</w:t>
      </w:r>
      <w:r>
        <w:t xml:space="preserve">) by comparing centrate and filtrate turbidity, product</w:t>
      </w:r>
      <w:r>
        <w:t xml:space="preserve"> </w:t>
      </w:r>
      <w:r>
        <w:t xml:space="preserve">yield and the HCP/DNA load presented to Protein A, confirming the model is</w:t>
      </w:r>
      <w:r>
        <w:t xml:space="preserve"> </w:t>
      </w:r>
      <w:r>
        <w:t xml:space="preserve">representative and suitable to support the parameter ranges</w:t>
      </w:r>
      <w:r>
        <w:t xml:space="preserve"> </w:t>
      </w:r>
      <w:r>
        <w:t xml:space="preserve">(Parenteral Drug Association 2013)</w:t>
      </w:r>
      <w:r>
        <w:t xml:space="preserve">.</w:t>
      </w:r>
    </w:p>
    <w:bookmarkEnd w:id="22"/>
    <w:bookmarkStart w:id="23" w:name="operation"/>
    <w:p>
      <w:pPr>
        <w:pStyle w:val="Heading2"/>
      </w:pPr>
      <w:r>
        <w:t xml:space="preserve">5.2 Operation</w:t>
      </w:r>
    </w:p>
    <w:p>
      <w:pPr>
        <w:pStyle w:val="FirstParagraph"/>
      </w:pPr>
      <w:r>
        <w:t xml:space="preserve">Harvest is initiated on the nominal duration criterion of the production culture. The</w:t>
      </w:r>
      <w:r>
        <w:t xml:space="preserve"> </w:t>
      </w:r>
      <w:r>
        <w:t xml:space="preserve">culture is clarified by continuous centrifugation to remove cells and large debris,</w:t>
      </w:r>
      <w:r>
        <w:t xml:space="preserve"> </w:t>
      </w:r>
      <w:r>
        <w:t xml:space="preserve">and the centrate is passed through a depth filter and a sterile</w:t>
      </w:r>
      <w:r>
        <w:t xml:space="preserve"> </w:t>
      </w:r>
      <w:r>
        <w:t xml:space="preserve">(bioburden-reduction) filter to remove residual particulates before capture. The</w:t>
      </w:r>
      <w:r>
        <w:t xml:space="preserve"> </w:t>
      </w:r>
      <w:r>
        <w:t xml:space="preserve">relative centrifugal force, the area-normalized depth-filter load and the resulting</w:t>
      </w:r>
      <w:r>
        <w:t xml:space="preserve"> </w:t>
      </w:r>
      <w:r>
        <w:t xml:space="preserve">post-clarification turbidity are the operating variables; feed solids and culture</w:t>
      </w:r>
      <w:r>
        <w:t xml:space="preserve"> </w:t>
      </w:r>
      <w:r>
        <w:t xml:space="preserve">duration are inputs governed by the upstream operation. Buffers, filters and media</w:t>
      </w:r>
      <w:r>
        <w:t xml:space="preserve"> </w:t>
      </w:r>
      <w:r>
        <w:t xml:space="preserve">are controlled to platform specifications and are treated as identity/quality-</w:t>
      </w:r>
      <w:r>
        <w:t xml:space="preserve"> </w:t>
      </w:r>
      <w:r>
        <w:t xml:space="preserve">controlled inputs rather than characterized variables</w:t>
      </w:r>
      <w:r>
        <w:t xml:space="preserve"> </w:t>
      </w:r>
      <w:r>
        <w:t xml:space="preserve">(CMC Biotech Working Group 2009)</w:t>
      </w:r>
      <w:r>
        <w:t xml:space="preserve">.</w:t>
      </w:r>
    </w:p>
    <w:bookmarkEnd w:id="23"/>
    <w:bookmarkStart w:id="25" w:name="analytical-methods"/>
    <w:p>
      <w:pPr>
        <w:pStyle w:val="Heading2"/>
      </w:pPr>
      <w:r>
        <w:t xml:space="preserve">5.3 Analytical methods</w:t>
      </w:r>
    </w:p>
    <w:p>
      <w:pPr>
        <w:pStyle w:val="FirstParagraph"/>
      </w:pPr>
      <w:r>
        <w:t xml:space="preserve">Feed clarity and the feed impurity load will be measured by the validated methods in</w:t>
      </w:r>
      <w:r>
        <w:t xml:space="preserve"> </w:t>
      </w:r>
      <w:hyperlink w:anchor="tbl-methods">
        <w:r>
          <w:rPr>
            <w:rStyle w:val="Hyperlink"/>
          </w:rPr>
          <w:t xml:space="preserve">Table 5</w:t>
        </w:r>
      </w:hyperlink>
      <w:r>
        <w:t xml:space="preserve">; method performance characteristics are per the cited validation</w:t>
      </w:r>
      <w:r>
        <w:t xml:space="preserve"> </w:t>
      </w:r>
      <w:r>
        <w:t xml:space="preserve">reports.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meth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Validated analytical methods for the characterization.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Turbidity by Nephelometry (NTU)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24"/>
          <w:p/>
        </w:tc>
      </w:tr>
    </w:tbl>
    <w:bookmarkEnd w:id="25"/>
    <w:bookmarkStart w:id="26" w:name="sampling-plan"/>
    <w:p>
      <w:pPr>
        <w:pStyle w:val="Heading2"/>
      </w:pPr>
      <w:r>
        <w:t xml:space="preserve">5.4 Sampling plan</w:t>
      </w:r>
    </w:p>
    <w:p>
      <w:pPr>
        <w:pStyle w:val="FirstParagraph"/>
      </w:pPr>
      <w:r>
        <w:t xml:space="preserve">Each characterization run will be sampled at the clarified-pool stage for</w:t>
      </w:r>
      <w:r>
        <w:t xml:space="preserve"> </w:t>
      </w:r>
      <w:r>
        <w:t xml:space="preserve">post-clarification turbidity and for the harvest HCP and residual-DNA load, and the</w:t>
      </w:r>
      <w:r>
        <w:t xml:space="preserve"> </w:t>
      </w:r>
      <w:r>
        <w:t xml:space="preserve">product mass across the operation will be recorded for the step-yield calculation.</w:t>
      </w:r>
      <w:r>
        <w:t xml:space="preserve"> </w:t>
      </w:r>
      <w:r>
        <w:t xml:space="preserve">The pressure/throughput profile of the depth filter will be recorded to confirm filter</w:t>
      </w:r>
      <w:r>
        <w:t xml:space="preserve"> </w:t>
      </w:r>
      <w:r>
        <w:t xml:space="preserve">capacity. Runs at the parameter set-points will be replicated to quantify the</w:t>
      </w:r>
      <w:r>
        <w:t xml:space="preserve"> </w:t>
      </w:r>
      <w:r>
        <w:t xml:space="preserve">reproducibility of yield and turbidity.</w:t>
      </w:r>
    </w:p>
    <w:bookmarkEnd w:id="26"/>
    <w:bookmarkStart w:id="27" w:name="statistical-and-analysis-methods"/>
    <w:p>
      <w:pPr>
        <w:pStyle w:val="Heading2"/>
      </w:pPr>
      <w:r>
        <w:t xml:space="preserve">5.5 Statistical and analysis methods</w:t>
      </w:r>
    </w:p>
    <w:p>
      <w:pPr>
        <w:pStyle w:val="FirstParagraph"/>
      </w:pPr>
      <w:r>
        <w:t xml:space="preserve">Because no product-quality CQA is affected, the operation is characterized</w:t>
      </w:r>
      <w:r>
        <w:t xml:space="preserve"> </w:t>
      </w:r>
      <w:r>
        <w:t xml:space="preserve">univariately rather than by a designed experiment (</w:t>
      </w:r>
      <w:r>
        <w:rPr>
          <w:b/>
          <w:bCs/>
        </w:rPr>
        <w:t xml:space="preserve">SOP-1002</w:t>
      </w:r>
      <w:r>
        <w:t xml:space="preserve"> </w:t>
      </w:r>
      <w:r>
        <w:t xml:space="preserve">is not invoked for a</w:t>
      </w:r>
      <w:r>
        <w:t xml:space="preserve"> </w:t>
      </w:r>
      <w:r>
        <w:t xml:space="preserve">multivariate design here). Each parameter will be varied one factor at a time across</w:t>
      </w:r>
      <w:r>
        <w:t xml:space="preserve"> </w:t>
      </w:r>
      <w:r>
        <w:t xml:space="preserve">its characterization range, holding the others at their set-points, and the</w:t>
      </w:r>
      <w:r>
        <w:t xml:space="preserve"> </w:t>
      </w:r>
      <w:r>
        <w:t xml:space="preserve">process-performance measures — step yield, post-clarification turbidity and</w:t>
      </w:r>
      <w:r>
        <w:t xml:space="preserve"> </w:t>
      </w:r>
      <w:r>
        <w:t xml:space="preserve">depth-filter throughput — will be summarized against the parameter level. Reproducibility</w:t>
      </w:r>
      <w:r>
        <w:t xml:space="preserve"> </w:t>
      </w:r>
      <w:r>
        <w:t xml:space="preserve">of yield and turbidity will be estimated from the replicated set-point runs. Parameter</w:t>
      </w:r>
      <w:r>
        <w:t xml:space="preserve"> </w:t>
      </w:r>
      <w:r>
        <w:t xml:space="preserve">ranges will be judged acceptable where the performance measures remain within their</w:t>
      </w:r>
      <w:r>
        <w:t xml:space="preserve"> </w:t>
      </w:r>
      <w:r>
        <w:t xml:space="preserve">platform targets and the product-quality CQAs are unchanged.</w:t>
      </w:r>
    </w:p>
    <w:bookmarkEnd w:id="27"/>
    <w:bookmarkEnd w:id="28"/>
    <w:bookmarkStart w:id="32" w:name="study-design"/>
    <w:p>
      <w:pPr>
        <w:pStyle w:val="Heading1"/>
      </w:pPr>
      <w:r>
        <w:t xml:space="preserve">6. Study design</w:t>
      </w:r>
    </w:p>
    <w:bookmarkStart w:id="30" w:name="parameters-ranges-and-study-type"/>
    <w:p>
      <w:pPr>
        <w:pStyle w:val="Heading2"/>
      </w:pPr>
      <w:r>
        <w:t xml:space="preserve">6.1 Parameters, ranges and study type</w:t>
      </w:r>
    </w:p>
    <w:p>
      <w:pPr>
        <w:pStyle w:val="FirstParagraph"/>
      </w:pPr>
      <w:r>
        <w:t xml:space="preserve">3 parameters are in scope (</w:t>
      </w:r>
      <w:hyperlink w:anchor="tbl-param">
        <w:r>
          <w:rPr>
            <w:rStyle w:val="Hyperlink"/>
          </w:rPr>
          <w:t xml:space="preserve">Table 6</w:t>
        </w:r>
      </w:hyperlink>
      <w:r>
        <w:t xml:space="preserve">). The characterization range</w:t>
      </w:r>
      <w:r>
        <w:t xml:space="preserve"> </w:t>
      </w:r>
      <w:r>
        <w:t xml:space="preserve">of each parameter (</w:t>
      </w:r>
      <w:r>
        <w:t xml:space="preserve">“Range studied”</w:t>
      </w:r>
      <w:r>
        <w:t xml:space="preserve">) defines the edges of the explored knowledge space</w:t>
      </w:r>
      <w:r>
        <w:t xml:space="preserve"> </w:t>
      </w:r>
      <w:r>
        <w:t xml:space="preserve">and the basis of the PAR; the NOR is the tighter routine-control range. Classification</w:t>
      </w:r>
      <w:r>
        <w:t xml:space="preserve"> </w:t>
      </w:r>
      <w:r>
        <w:t xml:space="preserve">is an output of the study and is reported in PCR-004.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para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Harvest / clarification parameters, set-points, characterization ranges and planned study type.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27"/>
              <w:gridCol w:w="674"/>
              <w:gridCol w:w="1095"/>
              <w:gridCol w:w="1432"/>
              <w:gridCol w:w="1011"/>
              <w:gridCol w:w="11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Range studied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(rcf)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9e+03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6000–12000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8000–10000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L/m2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100–140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NTU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univariate-ranging"/>
    <w:p>
      <w:pPr>
        <w:pStyle w:val="Heading2"/>
      </w:pPr>
      <w:r>
        <w:t xml:space="preserve">6.2 Univariate ranging</w:t>
      </w:r>
    </w:p>
    <w:p>
      <w:pPr>
        <w:pStyle w:val="FirstParagraph"/>
      </w:pPr>
      <w:r>
        <w:t xml:space="preserve">Each parameter will be evaluated one factor at a time across its characterization</w:t>
      </w:r>
      <w:r>
        <w:t xml:space="preserve"> </w:t>
      </w:r>
      <w:r>
        <w:t xml:space="preserve">range: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Centrifugation (relative centrifugal force)</w:t>
      </w:r>
      <w:r>
        <w:t xml:space="preserve"> </w:t>
      </w:r>
      <w:r>
        <w:t xml:space="preserve">— evaluated across its range for its</w:t>
      </w:r>
      <w:r>
        <w:t xml:space="preserve"> </w:t>
      </w:r>
      <w:r>
        <w:t xml:space="preserve">effect on centrate clarity and product yield. Higher force clears the centrate more</w:t>
      </w:r>
      <w:r>
        <w:t xml:space="preserve"> </w:t>
      </w:r>
      <w:r>
        <w:t xml:space="preserve">completely but increases the shear/lysis burden and the debris fines that load the</w:t>
      </w:r>
      <w:r>
        <w:t xml:space="preserve"> </w:t>
      </w:r>
      <w:r>
        <w:t xml:space="preserve">depth filter; the range is bounded to protect both yield and feed clarity.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Depth-filter load (area-normalized)</w:t>
      </w:r>
      <w:r>
        <w:t xml:space="preserve"> </w:t>
      </w:r>
      <w:r>
        <w:t xml:space="preserve">— evaluated across its range for its effect</w:t>
      </w:r>
      <w:r>
        <w:t xml:space="preserve"> </w:t>
      </w:r>
      <w:r>
        <w:t xml:space="preserve">on filtrate turbidity, filter capacity and yield. Higher load reduces filter area</w:t>
      </w:r>
      <w:r>
        <w:t xml:space="preserve"> </w:t>
      </w:r>
      <w:r>
        <w:t xml:space="preserve">and cost but risks particulate breakthrough (higher turbidity) and pressure-driven</w:t>
      </w:r>
      <w:r>
        <w:t xml:space="preserve"> </w:t>
      </w:r>
      <w:r>
        <w:t xml:space="preserve">yield loss near capacity.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Post-clarification turbidity</w:t>
      </w:r>
      <w:r>
        <w:t xml:space="preserve"> </w:t>
      </w:r>
      <w:r>
        <w:t xml:space="preserve">— evaluated as the controlled output attribute of</w:t>
      </w:r>
      <w:r>
        <w:t xml:space="preserve"> </w:t>
      </w:r>
      <w:r>
        <w:t xml:space="preserve">the operation, confirming that the filtrate clarity presented to Protein A remains</w:t>
      </w:r>
      <w:r>
        <w:t xml:space="preserve"> </w:t>
      </w:r>
      <w:r>
        <w:t xml:space="preserve">within its normal operating range across the operating conditions.</w:t>
      </w:r>
    </w:p>
    <w:p>
      <w:pPr>
        <w:pStyle w:val="FirstParagraph"/>
      </w:pPr>
      <w:r>
        <w:t xml:space="preserve">The product-quality CQAs will be confirmed unchanged across the ranging to demonstrate</w:t>
      </w:r>
      <w:r>
        <w:t xml:space="preserve"> </w:t>
      </w:r>
      <w:r>
        <w:t xml:space="preserve">the absence of a product-quality impact.</w:t>
      </w:r>
    </w:p>
    <w:bookmarkEnd w:id="31"/>
    <w:bookmarkEnd w:id="32"/>
    <w:bookmarkStart w:id="33" w:name="acceptance-and-decision-criteria"/>
    <w:p>
      <w:pPr>
        <w:pStyle w:val="Heading1"/>
      </w:pPr>
      <w:r>
        <w:t xml:space="preserve">7. Acceptance and decision criteria</w:t>
      </w:r>
    </w:p>
    <w:p>
      <w:pPr>
        <w:pStyle w:val="FirstParagraph"/>
      </w:pPr>
      <w:r>
        <w:t xml:space="preserve">The study is acceptable when:</w:t>
      </w:r>
    </w:p>
    <w:p>
      <w:pPr>
        <w:pStyle w:val="Compact"/>
        <w:numPr>
          <w:ilvl w:val="0"/>
          <w:numId w:val="1003"/>
        </w:numPr>
      </w:pPr>
      <w:r>
        <w:t xml:space="preserve">the scale-down clarification model qualification confirms representativeness of the</w:t>
      </w:r>
      <w:r>
        <w:t xml:space="preserve"> </w:t>
      </w:r>
      <w:r>
        <w:t xml:space="preserve">commercial primary-recovery train (</w:t>
      </w:r>
      <w:r>
        <w:rPr>
          <w:b/>
          <w:bCs/>
        </w:rPr>
        <w:t xml:space="preserve">SOP-1001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the product-quality CQAs are demonstrated to be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across the operation</w:t>
      </w:r>
      <w:r>
        <w:t xml:space="preserve"> </w:t>
      </w:r>
      <w:r>
        <w:t xml:space="preserve">and across each parameter’s characterization range; and</w:t>
      </w:r>
    </w:p>
    <w:p>
      <w:pPr>
        <w:pStyle w:val="Compact"/>
        <w:numPr>
          <w:ilvl w:val="0"/>
          <w:numId w:val="1003"/>
        </w:numPr>
      </w:pPr>
      <w:r>
        <w:t xml:space="preserve">product yield, post-clarification turbidity and depth-filter throughput remain</w:t>
      </w:r>
      <w:r>
        <w:t xml:space="preserve"> </w:t>
      </w:r>
      <w:r>
        <w:t xml:space="preserve">within their platform targets across each parameter’s normal operating range, with</w:t>
      </w:r>
      <w:r>
        <w:t xml:space="preserve"> </w:t>
      </w:r>
      <w:r>
        <w:t xml:space="preserve">reproducibility at the set-point sufficient to assure a consistent feed to Protein A.</w:t>
      </w:r>
    </w:p>
    <w:p>
      <w:pPr>
        <w:pStyle w:val="FirstParagraph"/>
      </w:pPr>
      <w:r>
        <w:t xml:space="preserve">Each parameter will then be classified per the A-Mab continuum</w:t>
      </w:r>
      <w:r>
        <w:t xml:space="preserve"> </w:t>
      </w:r>
      <w:r>
        <w:t xml:space="preserve">(CMC Biotech Working Group 2009)</w:t>
      </w:r>
      <w:r>
        <w:t xml:space="preserve">: a</w:t>
      </w:r>
      <w:r>
        <w:t xml:space="preserve"> </w:t>
      </w:r>
      <w:r>
        <w:t xml:space="preserve">parameter that does not significantly impact a CQA but affects process performance or</w:t>
      </w:r>
      <w:r>
        <w:t xml:space="preserve"> </w:t>
      </w:r>
      <w:r>
        <w:t xml:space="preserve">consistency is a</w:t>
      </w:r>
      <w:r>
        <w:t xml:space="preserve"> </w:t>
      </w:r>
      <w:r>
        <w:rPr>
          <w:b/>
          <w:bCs/>
        </w:rPr>
        <w:t xml:space="preserve">KPP</w:t>
      </w:r>
      <w:r>
        <w:t xml:space="preserve">; a parameter with no meaningful impact on CQAs or performance</w:t>
      </w:r>
      <w:r>
        <w:t xml:space="preserve"> </w:t>
      </w:r>
      <w:r>
        <w:t xml:space="preserve">over a wide range is a</w:t>
      </w:r>
      <w:r>
        <w:t xml:space="preserve"> </w:t>
      </w:r>
      <w:r>
        <w:rPr>
          <w:b/>
          <w:bCs/>
        </w:rPr>
        <w:t xml:space="preserve">GPP</w:t>
      </w:r>
      <w:r>
        <w:t xml:space="preserve">. No harvest parameter is expected to be a CPP because</w:t>
      </w:r>
      <w:r>
        <w:t xml:space="preserve"> </w:t>
      </w:r>
      <w:r>
        <w:t xml:space="preserve">the operation forms no CQA.</w:t>
      </w:r>
    </w:p>
    <w:bookmarkEnd w:id="33"/>
    <w:bookmarkStart w:id="34" w:name="data-management-and-integrity"/>
    <w:p>
      <w:pPr>
        <w:pStyle w:val="Heading1"/>
      </w:pPr>
      <w:r>
        <w:t xml:space="preserve">8. Data management and integrity</w:t>
      </w:r>
    </w:p>
    <w:p>
      <w:pPr>
        <w:pStyle w:val="FirstParagraph"/>
      </w:pPr>
      <w:r>
        <w:t xml:space="preserve">All raw data, analytical results and analyses will be recorded and retained under the</w:t>
      </w:r>
      <w:r>
        <w:t xml:space="preserve"> </w:t>
      </w:r>
      <w:r>
        <w:t xml:space="preserve">site data-integrity procedures (ALCOA+). Analyses will be performed with</w:t>
      </w:r>
      <w:r>
        <w:t xml:space="preserve"> </w:t>
      </w:r>
      <w:r>
        <w:t xml:space="preserve">version-controlled scripts and reviewed by a second analyst, and the ranging results</w:t>
      </w:r>
      <w:r>
        <w:t xml:space="preserve"> </w:t>
      </w:r>
      <w:r>
        <w:t xml:space="preserve">will be archived with the report. Any deviation from this plan will be documented and</w:t>
      </w:r>
      <w:r>
        <w:t xml:space="preserve"> </w:t>
      </w:r>
      <w:r>
        <w:t xml:space="preserve">assessed for impact in PCR-004.</w:t>
      </w:r>
    </w:p>
    <w:bookmarkEnd w:id="34"/>
    <w:bookmarkStart w:id="36" w:name="roles-and-responsibilities"/>
    <w:p>
      <w:pPr>
        <w:pStyle w:val="Heading1"/>
      </w:pPr>
      <w:r>
        <w:t xml:space="preserve">9. Roles and responsibilities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ro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Roles and responsibilities.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Responsibility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 the plan; design, execute and analyze the ranging study; author PCR-004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Perform turbidity, HCP and DNA testing under the referenced AMV methods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Qualify the scale-down clarification model; confirm representativeness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Purification Process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Confirm feed acceptability to Protein A capture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 the plan and the report; confirm parameter classifications</w:t>
                  </w:r>
                </w:p>
              </w:tc>
            </w:tr>
          </w:tbl>
          <w:bookmarkEnd w:id="35"/>
          <w:p/>
        </w:tc>
      </w:tr>
    </w:tbl>
    <w:bookmarkEnd w:id="36"/>
    <w:bookmarkStart w:id="37" w:name="deliverables-and-schedule"/>
    <w:p>
      <w:pPr>
        <w:pStyle w:val="Heading1"/>
      </w:pPr>
      <w:r>
        <w:t xml:space="preserve">10. Deliverables and schedule</w:t>
      </w:r>
    </w:p>
    <w:p>
      <w:pPr>
        <w:pStyle w:val="FirstParagraph"/>
      </w:pPr>
      <w:r>
        <w:t xml:space="preserve">The deliverable of this plan is the Process Characterization Report (</w:t>
      </w:r>
      <w:r>
        <w:rPr>
          <w:b/>
          <w:bCs/>
        </w:rPr>
        <w:t xml:space="preserve">PCR-004</w:t>
      </w:r>
      <w:r>
        <w:t xml:space="preserve">),</w:t>
      </w:r>
      <w:r>
        <w:t xml:space="preserve"> </w:t>
      </w:r>
      <w:r>
        <w:t xml:space="preserve">reporting the executed ranging, the parameter classification and the confirmation that</w:t>
      </w:r>
      <w:r>
        <w:t xml:space="preserve"> </w:t>
      </w:r>
      <w:r>
        <w:t xml:space="preserve">the operation has no product-quality impact. PCR-004 rolls up into the Process</w:t>
      </w:r>
      <w:r>
        <w:t xml:space="preserve"> </w:t>
      </w:r>
      <w:r>
        <w:t xml:space="preserve">Characterization Master Report (</w:t>
      </w:r>
      <w:r>
        <w:rPr>
          <w:b/>
          <w:bCs/>
        </w:rPr>
        <w:t xml:space="preserve">PCMR-001</w:t>
      </w:r>
      <w:r>
        <w:t xml:space="preserve">) and provides the parameter risk basis</w:t>
      </w:r>
      <w:r>
        <w:t xml:space="preserve"> </w:t>
      </w:r>
      <w:r>
        <w:t xml:space="preserve">for the post-characterization process risk assessment. Execution follows scale-down</w:t>
      </w:r>
      <w:r>
        <w:t xml:space="preserve"> </w:t>
      </w:r>
      <w:r>
        <w:t xml:space="preserve">model qualification and precedes the Stage 2 PPQ campaign.</w:t>
      </w:r>
    </w:p>
    <w:bookmarkEnd w:id="37"/>
    <w:bookmarkStart w:id="38" w:name="risks-and-assumptions"/>
    <w:p>
      <w:pPr>
        <w:pStyle w:val="Heading1"/>
      </w:pPr>
      <w:r>
        <w:t xml:space="preserve">11. Risks and assumptions</w:t>
      </w:r>
    </w:p>
    <w:p>
      <w:pPr>
        <w:pStyle w:val="FirstParagraph"/>
      </w:pPr>
      <w:r>
        <w:t xml:space="preserve">The plan assumes the scale-down clarification model is representative of the commercial</w:t>
      </w:r>
      <w:r>
        <w:t xml:space="preserve"> </w:t>
      </w:r>
      <w:r>
        <w:t xml:space="preserve">primary-recovery train (confirmed by qualification) and that the platform analytical</w:t>
      </w:r>
      <w:r>
        <w:t xml:space="preserve"> </w:t>
      </w:r>
      <w:r>
        <w:t xml:space="preserve">methods are validated and in control. The principal risk is that the harvest impurity</w:t>
      </w:r>
      <w:r>
        <w:t xml:space="preserve"> </w:t>
      </w:r>
      <w:r>
        <w:t xml:space="preserve">load or centrate/filtrate clarity shifts at commercial scale; this is mitigated by</w:t>
      </w:r>
      <w:r>
        <w:t xml:space="preserve"> </w:t>
      </w:r>
      <w:r>
        <w:t xml:space="preserve">confirming the model at scale in Stage 2 and by carrying the KPP ranges forward with</w:t>
      </w:r>
      <w:r>
        <w:t xml:space="preserve"> </w:t>
      </w:r>
      <w:r>
        <w:t xml:space="preserve">in-process monitoring of turbidity and the feed impurity load.</w:t>
      </w:r>
    </w:p>
    <w:bookmarkEnd w:id="38"/>
    <w:bookmarkStart w:id="39" w:name="approvals-1"/>
    <w:p>
      <w:pPr>
        <w:pStyle w:val="Heading1"/>
      </w:pPr>
      <w:r>
        <w:t xml:space="preserve">12. Approvals</w:t>
      </w:r>
    </w:p>
    <w:p>
      <w:pPr>
        <w:pStyle w:val="FirstParagraph"/>
      </w:pPr>
      <w:r>
        <w:t xml:space="preserve">Approval of this plan authorizes execution of the characterization described herein.</w:t>
      </w:r>
      <w:r>
        <w:t xml:space="preserve"> </w:t>
      </w:r>
      <w:r>
        <w:t xml:space="preserve">Signatures are recorded in</w:t>
      </w:r>
      <w:r>
        <w:t xml:space="preserve"> </w:t>
      </w:r>
      <w:hyperlink w:anchor="tbl-appr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39"/>
    <w:bookmarkStart w:id="48" w:name="references"/>
    <w:p>
      <w:pPr>
        <w:pStyle w:val="Heading1"/>
      </w:pPr>
      <w:r>
        <w:t xml:space="preserve">References</w:t>
      </w:r>
    </w:p>
    <w:bookmarkStart w:id="47" w:name="refs"/>
    <w:bookmarkStart w:id="40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40"/>
    <w:bookmarkStart w:id="41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41"/>
    <w:bookmarkStart w:id="42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42"/>
    <w:bookmarkStart w:id="43" w:name="ref-ichq9"/>
    <w:p>
      <w:pPr>
        <w:pStyle w:val="Bibliography"/>
      </w:pPr>
      <w:r>
        <w:t xml:space="preserve">International Council for Harmonisation. 2023.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43"/>
    <w:bookmarkStart w:id="44" w:name="ref-ispegpg2023"/>
    <w:p>
      <w:pPr>
        <w:pStyle w:val="Bibliography"/>
      </w:pPr>
      <w:r>
        <w:t xml:space="preserve">International Society for Pharmaceutical Engineering. 2023.</w:t>
      </w:r>
      <w:r>
        <w:t xml:space="preserve"> </w:t>
      </w:r>
      <w:r>
        <w:rPr>
          <w:i/>
          <w:iCs/>
        </w:rPr>
        <w:t xml:space="preserve">Good Practice Guide: Practical Implementation of the Lifecycle Approach to Process Validation</w:t>
      </w:r>
      <w:r>
        <w:t xml:space="preserve">. ISPE.</w:t>
      </w:r>
    </w:p>
    <w:bookmarkEnd w:id="44"/>
    <w:bookmarkStart w:id="45" w:name="ref-pdatr60"/>
    <w:p>
      <w:pPr>
        <w:pStyle w:val="Bibliography"/>
      </w:pPr>
      <w:r>
        <w:t xml:space="preserve">Parenteral Drug Association. 2013.</w:t>
      </w:r>
      <w:r>
        <w:t xml:space="preserve"> </w:t>
      </w:r>
      <w:r>
        <w:rPr>
          <w:i/>
          <w:iCs/>
        </w:rPr>
        <w:t xml:space="preserve">Technical Report No. 60: Process Validation — a Lifecycle Approach</w:t>
      </w:r>
      <w:r>
        <w:t xml:space="preserve">. PDA.</w:t>
      </w:r>
    </w:p>
    <w:bookmarkEnd w:id="45"/>
    <w:bookmarkStart w:id="46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46"/>
    <w:bookmarkEnd w:id="47"/>
    <w:p>
      <w:r>
        <w:br w:type="page"/>
      </w:r>
    </w:p>
    <w:bookmarkEnd w:id="48"/>
    <w:bookmarkStart w:id="50" w:name="appendix-a-planned-univariate-ranging"/>
    <w:p>
      <w:pPr>
        <w:pStyle w:val="Heading1"/>
      </w:pPr>
      <w:r>
        <w:t xml:space="preserve">Appendix A — Planned univariate ranging</w:t>
      </w:r>
    </w:p>
    <w:p>
      <w:pPr>
        <w:pStyle w:val="FirstParagraph"/>
      </w:pPr>
      <w:r>
        <w:t xml:space="preserve">Each parameter is varied one factor at a time across its characterization range</w:t>
      </w:r>
      <w:r>
        <w:t xml:space="preserve"> </w:t>
      </w:r>
      <w:r>
        <w:t xml:space="preserve">(</w:t>
      </w:r>
      <w:hyperlink w:anchor="tbl-param">
        <w:r>
          <w:rPr>
            <w:rStyle w:val="Hyperlink"/>
          </w:rPr>
          <w:t xml:space="preserve">Table 6</w:t>
        </w:r>
      </w:hyperlink>
      <w:r>
        <w:t xml:space="preserve">) with the remaining parameters held at their set-points; the</w:t>
      </w:r>
      <w:r>
        <w:t xml:space="preserve"> </w:t>
      </w:r>
      <w:r>
        <w:t xml:space="preserve">process-performance measures are recorded at each level.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app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Appendix A — planned one-factor-at-a-time ranging design.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09"/>
              <w:gridCol w:w="740"/>
              <w:gridCol w:w="968"/>
              <w:gridCol w:w="683"/>
              <w:gridCol w:w="381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Range studied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Performance measures recorded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(rcf)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9e+03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6000–12000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8000–10000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yield, post-clarification turbidity, depth-filter throughput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100–140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yield, post-clarification turbidity, depth-filter throughput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yield, post-clarification turbidity, depth-filter throughput</w:t>
                  </w:r>
                </w:p>
              </w:tc>
            </w:tr>
          </w:tbl>
          <w:bookmarkEnd w:id="49"/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Plan</dc:title>
  <dc:creator>Process Development / Manufacturing Science &amp; Technology (MSAT)</dc:creator>
  <cp:keywords/>
  <dcterms:created xsi:type="dcterms:W3CDTF">2026-07-25T10:59:08Z</dcterms:created>
  <dcterms:modified xsi:type="dcterms:W3CDTF">2026-07-25T10:59:08Z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pyter">
    <vt:lpwstr>python3</vt:lpwstr>
  </property>
  <property fmtid="{D5CDD505-2E9C-101B-9397-08002B2CF9AE}" pid="12" name="labels">
    <vt:lpwstr/>
  </property>
  <property fmtid="{D5CDD505-2E9C-101B-9397-08002B2CF9AE}" pid="13" name="subtitle">
    <vt:lpwstr>A-Mab Drug Substance — Harvest and Clarification (Step 4) — PCP-004</vt:lpwstr>
  </property>
  <property fmtid="{D5CDD505-2E9C-101B-9397-08002B2CF9AE}" pid="14" name="tbl-cap-location">
    <vt:lpwstr>top</vt:lpwstr>
  </property>
  <property fmtid="{D5CDD505-2E9C-101B-9397-08002B2CF9AE}" pid="15" name="toc-title">
    <vt:lpwstr>Table of contents</vt:lpwstr>
  </property>
</Properties>
</file>