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Process Characterization Plan</w:t>
      </w:r>
    </w:p>
    <w:p>
      <w:pPr>
        <w:pStyle w:val="Subtitle"/>
      </w:pPr>
      <w:r>
        <w:t xml:space="preserve">A-Mab Drug Substance — Small-Virus Retentive Filtration (Step 9) — PCP-009</w:t>
      </w:r>
    </w:p>
    <w:p>
      <w:pPr>
        <w:pStyle w:val="Author"/>
      </w:pPr>
      <w:r>
        <w:t xml:space="preserve">Process Development / Manufacturing Science &amp; Technology (MSAT)</w:t>
      </w:r>
    </w:p>
    <w:p>
      <w:pPr>
        <w:pStyle w:val="Date"/>
      </w:pPr>
      <w:r>
        <w:t xml:space="preserve">2026-07-24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5"/>
        <w:gridCol w:w="69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PCP-009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Plan: Small-Virus Retentive Filtration (Step 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A-Mab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(synthetic)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Science &amp; Technology (MSAT)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/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Novacyte Biologics; Novacyte Biologics — Cambridge, MA (Development) → Novacyte Biologics — Grafton, WI (Commercial DS)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SYNTHETIC DOCUMENT — NOT A REAL RECORD.</w:t>
      </w:r>
      <w:r>
        <w:t xml:space="preserve"> </w:t>
      </w:r>
      <w:r>
        <w:t xml:space="preserve">Illustrative content generated from a seeded model of the</w:t>
      </w:r>
      <w:r>
        <w:t xml:space="preserve"> </w:t>
      </w:r>
      <w:r>
        <w:rPr>
          <w:i/>
          <w:iCs/>
        </w:rPr>
        <w:t xml:space="preserve">A-Mab</w:t>
      </w:r>
      <w:r>
        <w:t xml:space="preserve"> </w:t>
      </w:r>
      <w:r>
        <w:t xml:space="preserve">case study (CMC Biotech Working Group, 2009). Novacyte Biologics and all sites, SOP/AMV numbers and signatories are fictional. For NLP corpus development only; not for any regulated use.</w:t>
      </w:r>
    </w:p>
    <w:bookmarkStart w:id="10" w:name="approvals"/>
    <w:p>
      <w:pPr>
        <w:pStyle w:val="Heading2"/>
      </w:pPr>
      <w:r>
        <w:t xml:space="preserve">Approvals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app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Approval record (synthetic; signatures not applied).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 (synthetic)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Signature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 Development / MSAT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 / Virology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Manufacturing Science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9"/>
          <w:p/>
        </w:tc>
      </w:tr>
    </w:tbl>
    <w:bookmarkEnd w:id="10"/>
    <w:bookmarkStart w:id="11" w:name="abbreviations"/>
    <w:p>
      <w:pPr>
        <w:pStyle w:val="Heading2"/>
      </w:pPr>
      <w:r>
        <w:t xml:space="preserve">Abbreviations</w:t>
      </w:r>
    </w:p>
    <w:p>
      <w:pPr>
        <w:pStyle w:val="FirstParagraph"/>
      </w:pPr>
      <w:r>
        <w:t xml:space="preserve">ANOVA, analysis of variance · CCD, central-composite design · CPP, critical process</w:t>
      </w:r>
      <w:r>
        <w:t xml:space="preserve"> </w:t>
      </w:r>
      <w:r>
        <w:t xml:space="preserve">parameter · CQA, critical quality attribute · DoE, design of experiments · DS, drug</w:t>
      </w:r>
      <w:r>
        <w:t xml:space="preserve"> </w:t>
      </w:r>
      <w:r>
        <w:t xml:space="preserve">substance · GPP, general process parameter · ICH, International Council for Harmonisation ·</w:t>
      </w:r>
      <w:r>
        <w:t xml:space="preserve"> </w:t>
      </w:r>
      <w:r>
        <w:t xml:space="preserve">KPP, key process parameter · LRF, log-reduction factor · LRV, log-reduction value · MSAT,</w:t>
      </w:r>
      <w:r>
        <w:t xml:space="preserve"> </w:t>
      </w:r>
      <w:r>
        <w:t xml:space="preserve">Manufacturing Science and Technology · MVM, minute virus of mice (a parvovirus) · NOR,</w:t>
      </w:r>
      <w:r>
        <w:t xml:space="preserve"> </w:t>
      </w:r>
      <w:r>
        <w:t xml:space="preserve">normal operating range · PAR, proven acceptable range · PPQ, process performance</w:t>
      </w:r>
      <w:r>
        <w:t xml:space="preserve"> </w:t>
      </w:r>
      <w:r>
        <w:t xml:space="preserve">qualification · QbD, Quality by Design · RRF, risk ranking and filtering · RSM,</w:t>
      </w:r>
      <w:r>
        <w:t xml:space="preserve"> </w:t>
      </w:r>
      <w:r>
        <w:t xml:space="preserve">response-surface methodology · SDM, scale-down model · TCID₅₀, 50 % tissue-culture</w:t>
      </w:r>
      <w:r>
        <w:t xml:space="preserve"> </w:t>
      </w:r>
      <w:r>
        <w:t xml:space="preserve">infectious dose · WC-CPP, well-controlled CPP · XMuLV, xenotropic murine leukaemia virus</w:t>
      </w:r>
      <w:r>
        <w:t xml:space="preserve"> </w:t>
      </w:r>
      <w:r>
        <w:t xml:space="preserve">(an enveloped retrovirus).</w:t>
      </w:r>
    </w:p>
    <w:p>
      <w:r>
        <w:br w:type="page"/>
      </w:r>
    </w:p>
    <w:bookmarkEnd w:id="11"/>
    <w:bookmarkStart w:id="12" w:name="purpose-and-scope"/>
    <w:p>
      <w:pPr>
        <w:pStyle w:val="Heading1"/>
      </w:pPr>
      <w:r>
        <w:t xml:space="preserve">1. Purpose and scope</w:t>
      </w:r>
    </w:p>
    <w:p>
      <w:pPr>
        <w:pStyle w:val="FirstParagraph"/>
      </w:pPr>
      <w:r>
        <w:t xml:space="preserve">This Process Characterization Plan (</w:t>
      </w:r>
      <w:r>
        <w:rPr>
          <w:b/>
          <w:bCs/>
        </w:rPr>
        <w:t xml:space="preserve">PCP-009</w:t>
      </w:r>
      <w:r>
        <w:t xml:space="preserve">) defines the Stage 1 (Process Design)</w:t>
      </w:r>
      <w:r>
        <w:t xml:space="preserve"> </w:t>
      </w:r>
      <w:r>
        <w:t xml:space="preserve">characterization of the A-Mab small-virus retentive filtration step (Step 9), the dedicated</w:t>
      </w:r>
      <w:r>
        <w:t xml:space="preserve"> </w:t>
      </w:r>
      <w:r>
        <w:t xml:space="preserve">size-based virus-removal operation that follows the anion-exchange polish and precedes final</w:t>
      </w:r>
      <w:r>
        <w:t xml:space="preserve"> </w:t>
      </w:r>
      <w:r>
        <w:t xml:space="preserve">ultrafiltration / diafiltration. Virus filtration removes small non-enveloped virus by a</w:t>
      </w:r>
      <w:r>
        <w:t xml:space="preserve"> </w:t>
      </w:r>
      <w:r>
        <w:rPr>
          <w:b/>
          <w:bCs/>
        </w:rPr>
        <w:t xml:space="preserve">mechanistic, size-exclusion mechanism that is orthogonal</w:t>
      </w:r>
      <w:r>
        <w:t xml:space="preserve"> </w:t>
      </w:r>
      <w:r>
        <w:t xml:space="preserve">to the low-pH inactivation</w:t>
      </w:r>
      <w:r>
        <w:t xml:space="preserve"> </w:t>
      </w:r>
      <w:r>
        <w:t xml:space="preserve">(Step 6) and the charge-based anion-exchange clearance (Step 8); it is the</w:t>
      </w:r>
      <w:r>
        <w:t xml:space="preserve"> </w:t>
      </w:r>
      <w:r>
        <w:rPr>
          <w:b/>
          <w:bCs/>
        </w:rPr>
        <w:t xml:space="preserve">principal</w:t>
      </w:r>
      <w:r>
        <w:rPr>
          <w:b/>
          <w:bCs/>
        </w:rPr>
        <w:t xml:space="preserve"> </w:t>
      </w:r>
      <w:r>
        <w:rPr>
          <w:b/>
          <w:bCs/>
        </w:rPr>
        <w:t xml:space="preserve">contributor to the cumulative MVM (parvovirus) log-reduction</w:t>
      </w:r>
      <w:r>
        <w:t xml:space="preserve"> </w:t>
      </w:r>
      <w:r>
        <w:t xml:space="preserve">and a major contributor to</w:t>
      </w:r>
      <w:r>
        <w:t xml:space="preserve"> </w:t>
      </w:r>
      <w:r>
        <w:t xml:space="preserve">the enveloped-virus (XMuLV) log-reduction. The plan specifies the objectives, the attributes</w:t>
      </w:r>
      <w:r>
        <w:t xml:space="preserve"> </w:t>
      </w:r>
      <w:r>
        <w:t xml:space="preserve">in scope, the process parameters and ranges to be characterized, the experimental designs,</w:t>
      </w:r>
      <w:r>
        <w:t xml:space="preserve"> </w:t>
      </w:r>
      <w:r>
        <w:t xml:space="preserve">the analytical (virus-spiking) methods, the sampling plan, the statistical-analysis</w:t>
      </w:r>
      <w:r>
        <w:t xml:space="preserve"> </w:t>
      </w:r>
      <w:r>
        <w:t xml:space="preserve">approach, and the acceptance and decision criteria by which each parameter will be classified</w:t>
      </w:r>
      <w:r>
        <w:t xml:space="preserve"> </w:t>
      </w:r>
      <w:r>
        <w:t xml:space="preserve">and the volumetric-load limit established.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The commercial-scale small-virus retentive filtration step, characterized on a</w:t>
      </w:r>
      <w:r>
        <w:t xml:space="preserve"> </w:t>
      </w:r>
      <w:r>
        <w:t xml:space="preserve">qualified scale-down filtration model with validated live-virus spiking studies. The upstream</w:t>
      </w:r>
      <w:r>
        <w:t xml:space="preserve"> </w:t>
      </w:r>
      <w:r>
        <w:t xml:space="preserve">anion-exchange step (Step 8), which defines the feed to this step, and the downstream UF/DF</w:t>
      </w:r>
      <w:r>
        <w:t xml:space="preserve"> </w:t>
      </w:r>
      <w:r>
        <w:t xml:space="preserve">step (Step 10) are addressed only where they define the feed to, or the feed from, this</w:t>
      </w:r>
      <w:r>
        <w:t xml:space="preserve"> </w:t>
      </w:r>
      <w:r>
        <w:t xml:space="preserve">operation; their characterization is out of scope. This plan governs execution only — the</w:t>
      </w:r>
      <w:r>
        <w:t xml:space="preserve"> </w:t>
      </w:r>
      <w:r>
        <w:t xml:space="preserve">results are reported in the paired Process Characterization Report (</w:t>
      </w:r>
      <w:r>
        <w:rPr>
          <w:b/>
          <w:bCs/>
        </w:rPr>
        <w:t xml:space="preserve">PCR-009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Basis.</w:t>
      </w:r>
      <w:r>
        <w:t xml:space="preserve"> </w:t>
      </w:r>
      <w:r>
        <w:t xml:space="preserve">The unit-operation model, quality-attribute framework and risk methodology follow</w:t>
      </w:r>
      <w:r>
        <w:t xml:space="preserve"> </w:t>
      </w:r>
      <w:r>
        <w:t xml:space="preserve">the A-Mab case study</w:t>
      </w:r>
      <w:r>
        <w:t xml:space="preserve"> </w:t>
      </w:r>
      <w:r>
        <w:t xml:space="preserve">(CMC Biotech Working Group 2009)</w:t>
      </w:r>
      <w:r>
        <w:t xml:space="preserve">; viral clearance is evaluated and credited per ICH Q5A(R2)</w:t>
      </w:r>
      <w:r>
        <w:t xml:space="preserve"> </w:t>
      </w:r>
      <w:r>
        <w:t xml:space="preserve">(International Council for Harmonisation 2023a)</w:t>
      </w:r>
      <w:r>
        <w:t xml:space="preserve">, including orthogonal (modular) clearance and worst-case substantiation; the Stage 1</w:t>
      </w:r>
      <w:r>
        <w:t xml:space="preserve"> </w:t>
      </w:r>
      <w:r>
        <w:t xml:space="preserve">approach and report structure follow PDA TR 60</w:t>
      </w:r>
      <w:r>
        <w:t xml:space="preserve"> </w:t>
      </w:r>
      <w:r>
        <w:t xml:space="preserve">(Parenteral Drug Association 2013)</w:t>
      </w:r>
      <w:r>
        <w:t xml:space="preserve"> </w:t>
      </w:r>
      <w:r>
        <w:t xml:space="preserve">and the ISPE Good Practice Guide</w:t>
      </w:r>
      <w:r>
        <w:t xml:space="preserve"> </w:t>
      </w:r>
      <w:r>
        <w:t xml:space="preserve">(International Society for Pharmaceutical Engineering 2023)</w:t>
      </w:r>
      <w:r>
        <w:t xml:space="preserve">; the QbD framework follows ICH Q8, Q9 and Q11</w:t>
      </w:r>
      <w:r>
        <w:t xml:space="preserve"> </w:t>
      </w:r>
      <w:r>
        <w:t xml:space="preserve">(International Council for Harmonisation 2009, 2023b, 2012)</w:t>
      </w:r>
      <w:r>
        <w:t xml:space="preserve"> </w:t>
      </w:r>
      <w:r>
        <w:t xml:space="preserve">and</w:t>
      </w:r>
      <w:r>
        <w:t xml:space="preserve"> </w:t>
      </w:r>
      <w:r>
        <w:t xml:space="preserve">the lifecycle approach of the FDA 2011 guidance</w:t>
      </w:r>
      <w:r>
        <w:t xml:space="preserve"> </w:t>
      </w:r>
      <w:r>
        <w:t xml:space="preserve">(U.S. Food and Drug Administration 2011)</w:t>
      </w:r>
      <w:r>
        <w:t xml:space="preserve">.</w:t>
      </w:r>
    </w:p>
    <w:bookmarkEnd w:id="12"/>
    <w:bookmarkStart w:id="13" w:name="objectives"/>
    <w:p>
      <w:pPr>
        <w:pStyle w:val="Heading1"/>
      </w:pPr>
      <w:r>
        <w:t xml:space="preserve">2. Objectives</w:t>
      </w:r>
    </w:p>
    <w:p>
      <w:pPr>
        <w:pStyle w:val="FirstParagraph"/>
      </w:pPr>
      <w:r>
        <w:t xml:space="preserve">The characterization will:</w:t>
      </w:r>
    </w:p>
    <w:p>
      <w:pPr>
        <w:pStyle w:val="Compact"/>
        <w:numPr>
          <w:ilvl w:val="0"/>
          <w:numId w:val="1001"/>
        </w:numPr>
      </w:pPr>
      <w:r>
        <w:t xml:space="preserve">establish the quantitative relationship between the filtration parameters (volumetric</w:t>
      </w:r>
      <w:r>
        <w:t xml:space="preserve"> </w:t>
      </w:r>
      <w:r>
        <w:t xml:space="preserve">load and pressure) and the MVM and XMuLV log-reduction and the step yield;</w:t>
      </w:r>
    </w:p>
    <w:p>
      <w:pPr>
        <w:pStyle w:val="Compact"/>
        <w:numPr>
          <w:ilvl w:val="0"/>
          <w:numId w:val="1001"/>
        </w:numPr>
      </w:pPr>
      <w:r>
        <w:t xml:space="preserve">identify the significant main effects, interaction and curvature, including the</w:t>
      </w:r>
      <w:r>
        <w:t xml:space="preserve"> </w:t>
      </w:r>
      <w:r>
        <w:t xml:space="preserve">anticipated decline of the MVM log-reduction with volumetric load;</w:t>
      </w:r>
    </w:p>
    <w:p>
      <w:pPr>
        <w:pStyle w:val="Compact"/>
        <w:numPr>
          <w:ilvl w:val="0"/>
          <w:numId w:val="1001"/>
        </w:numPr>
      </w:pPr>
      <w:r>
        <w:t xml:space="preserve">establish the volumetric-load limit over which the credited small-virus log-reduction is</w:t>
      </w:r>
      <w:r>
        <w:t xml:space="preserve"> </w:t>
      </w:r>
      <w:r>
        <w:t xml:space="preserve">preserved, and substantiate the credited clearance at the worst-case (maximum-load)</w:t>
      </w:r>
      <w:r>
        <w:t xml:space="preserve"> </w:t>
      </w:r>
      <w:r>
        <w:t xml:space="preserve">condition per ICH Q5A(R2);</w:t>
      </w:r>
    </w:p>
    <w:p>
      <w:pPr>
        <w:pStyle w:val="Compact"/>
        <w:numPr>
          <w:ilvl w:val="0"/>
          <w:numId w:val="1001"/>
        </w:numPr>
      </w:pPr>
      <w:r>
        <w:t xml:space="preserve">establish proven acceptable ranges (PARs) and confirm normal operating ranges (NORs) for</w:t>
      </w:r>
      <w:r>
        <w:t xml:space="preserve"> </w:t>
      </w:r>
      <w:r>
        <w:t xml:space="preserve">each parameter;</w:t>
      </w:r>
    </w:p>
    <w:p>
      <w:pPr>
        <w:pStyle w:val="Compact"/>
        <w:numPr>
          <w:ilvl w:val="0"/>
          <w:numId w:val="1001"/>
        </w:numPr>
      </w:pPr>
      <w:r>
        <w:t xml:space="preserve">classify each parameter for its risk of impact to the credited viral clearance and to</w:t>
      </w:r>
      <w:r>
        <w:t xml:space="preserve"> </w:t>
      </w:r>
      <w:r>
        <w:t xml:space="preserve">process performance (CPP / WC-CPP / KPP / GPP); and</w:t>
      </w:r>
    </w:p>
    <w:p>
      <w:pPr>
        <w:pStyle w:val="Compact"/>
        <w:numPr>
          <w:ilvl w:val="0"/>
          <w:numId w:val="1001"/>
        </w:numPr>
      </w:pPr>
      <w:r>
        <w:t xml:space="preserve">provide the process understanding and ranges that justify the Stage 2 operating conditions</w:t>
      </w:r>
      <w:r>
        <w:t xml:space="preserve"> </w:t>
      </w:r>
      <w:r>
        <w:t xml:space="preserve">and the drug-substance viral-safety control strategy.</w:t>
      </w:r>
    </w:p>
    <w:bookmarkEnd w:id="13"/>
    <w:bookmarkStart w:id="16" w:name="related-documents"/>
    <w:p>
      <w:pPr>
        <w:pStyle w:val="Heading1"/>
      </w:pPr>
      <w:r>
        <w:t xml:space="preserve">3. Related documents</w:t>
      </w:r>
    </w:p>
    <w:p>
      <w:pPr>
        <w:pStyle w:val="FirstParagraph"/>
      </w:pPr>
      <w:r>
        <w:t xml:space="preserve">This plan is executed under the master documents below and is paired with its report; the</w:t>
      </w:r>
      <w:r>
        <w:t xml:space="preserve"> </w:t>
      </w:r>
      <w:r>
        <w:t xml:space="preserve">full package is cross-referenced for traceability.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re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Related documents in the A-Mab process-characterization package.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20"/>
              <w:gridCol w:w="4727"/>
              <w:gridCol w:w="227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Document 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Relationship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PTP-001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Transfer Plan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transfer scope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Pre-Characterization Process Risk Assessment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risk basis for study scope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Plan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master plan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 (Small-Virus Retentive Filtration (Step 9))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Sibling — paired document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PCMR-001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Report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Rolls up into</w:t>
                  </w:r>
                </w:p>
              </w:tc>
            </w:tr>
          </w:tbl>
          <w:bookmarkEnd w:id="14"/>
          <w:p/>
        </w:tc>
      </w:tr>
    </w:tbl>
    <w:p>
      <w:pPr>
        <w:pStyle w:val="BodyText"/>
      </w:pPr>
      <w:r>
        <w:t xml:space="preserve">The governing procedures and validated analytical methods referenced by this plan are listed</w:t>
      </w:r>
      <w:r>
        <w:t xml:space="preserve"> </w:t>
      </w:r>
      <w:r>
        <w:t xml:space="preserve">in</w:t>
      </w:r>
      <w:r>
        <w:t xml:space="preserve"> </w:t>
      </w:r>
      <w:hyperlink w:anchor="tbl-sop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(numbers are placeholders in this synthetic set).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so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Referenced standard operating procedures and analytical method validations.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65"/>
              <w:gridCol w:w="5790"/>
              <w:gridCol w:w="126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SOP-1001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Qualification of Scale-Down Models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SOP-1002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Design, Execution and Statistical Analysis of DoE Studies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Operation and Post-Use Integrity Testing of the Small-Virus Retentive Filtration 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SOP-4001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Process-Parameter Classification and Control-Strategy Definition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MVM Infectivity Titre (TCID50/qPCR)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XMuLV Infectivity Titre (TCID50)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</w:tbl>
          <w:bookmarkEnd w:id="15"/>
          <w:p/>
        </w:tc>
      </w:tr>
    </w:tbl>
    <w:bookmarkEnd w:id="16"/>
    <w:bookmarkStart w:id="21" w:name="prior-knowledge-and-quality-risk-basis"/>
    <w:p>
      <w:pPr>
        <w:pStyle w:val="Heading1"/>
      </w:pPr>
      <w:r>
        <w:t xml:space="preserve">4. Prior knowledge and quality risk basis</w:t>
      </w:r>
    </w:p>
    <w:bookmarkStart w:id="17" w:name="Xfc9d08e28ad3e20206826e1b5e1507b6461f659"/>
    <w:p>
      <w:pPr>
        <w:pStyle w:val="Heading2"/>
      </w:pPr>
      <w:r>
        <w:t xml:space="preserve">4.1 Unit-operation description and prior knowledge</w:t>
      </w:r>
    </w:p>
    <w:p>
      <w:pPr>
        <w:pStyle w:val="FirstParagraph"/>
      </w:pPr>
      <w:r>
        <w:t xml:space="preserve">Small-virus retentive filtration is the dedicated virus-removal step of the A-Mab</w:t>
      </w:r>
      <w:r>
        <w:t xml:space="preserve"> </w:t>
      </w:r>
      <w:r>
        <w:t xml:space="preserve">purification train: the anion-exchange flow-through pool is passed through a small-virus</w:t>
      </w:r>
      <w:r>
        <w:t xml:space="preserve"> </w:t>
      </w:r>
      <w:r>
        <w:t xml:space="preserve">retentive (nanometre-rated) filter under controlled pressure, so that virus particles larger</w:t>
      </w:r>
      <w:r>
        <w:t xml:space="preserve"> </w:t>
      </w:r>
      <w:r>
        <w:t xml:space="preserve">than the membrane rating are retained by size exclusion while the antibody monomer transmits</w:t>
      </w:r>
      <w:r>
        <w:t xml:space="preserve"> </w:t>
      </w:r>
      <w:r>
        <w:t xml:space="preserve">(CMC Biotech Working Group 2009)</w:t>
      </w:r>
      <w:r>
        <w:t xml:space="preserve">. Unlike the upstream operations it forms no new product-quality CQA; its role in</w:t>
      </w:r>
      <w:r>
        <w:t xml:space="preserve"> </w:t>
      </w:r>
      <w:r>
        <w:t xml:space="preserve">the control strategy is to provide</w:t>
      </w:r>
      <w:r>
        <w:t xml:space="preserve"> </w:t>
      </w:r>
      <w:r>
        <w:rPr>
          <w:b/>
          <w:bCs/>
        </w:rPr>
        <w:t xml:space="preserve">robust, size-based removal of small non-enveloped virus</w:t>
      </w:r>
      <w:r>
        <w:rPr>
          <w:b/>
          <w:bCs/>
        </w:rPr>
        <w:t xml:space="preserve"> </w:t>
      </w:r>
      <w:r>
        <w:rPr>
          <w:b/>
          <w:bCs/>
        </w:rPr>
        <w:t xml:space="preserve">(MVM)</w:t>
      </w:r>
      <w:r>
        <w:t xml:space="preserve"> </w:t>
      </w:r>
      <w:r>
        <w:t xml:space="preserve">together with substantial removal of larger enveloped virus (XMuLV), as an orthogonal</w:t>
      </w:r>
      <w:r>
        <w:t xml:space="preserve"> </w:t>
      </w:r>
      <w:r>
        <w:t xml:space="preserve">contribution to viral safety. Platform knowledge established that removal is governed by size</w:t>
      </w:r>
      <w:r>
        <w:t xml:space="preserve"> </w:t>
      </w:r>
      <w:r>
        <w:t xml:space="preserve">exclusion at the membrane rating: the larger enveloped XMuLV is retained essentially</w:t>
      </w:r>
      <w:r>
        <w:t xml:space="preserve"> </w:t>
      </w:r>
      <w:r>
        <w:t xml:space="preserve">completely and robustly, whereas the small parvovirus MVM — whose size is closer to the</w:t>
      </w:r>
      <w:r>
        <w:t xml:space="preserve"> </w:t>
      </w:r>
      <w:r>
        <w:t xml:space="preserve">membrane rating — is retained with a log-reduction that is high but declines as the membrane</w:t>
      </w:r>
      <w:r>
        <w:t xml:space="preserve"> </w:t>
      </w:r>
      <w:r>
        <w:t xml:space="preserve">is progressively loaded, so the credited MVM clearance is a function of the volumetric load;</w:t>
      </w:r>
      <w:r>
        <w:t xml:space="preserve"> </w:t>
      </w:r>
      <w:r>
        <w:t xml:space="preserve">and that filtration pressure, within a controlled range, does not materially change retention</w:t>
      </w:r>
      <w:r>
        <w:t xml:space="preserve"> </w:t>
      </w:r>
      <w:r>
        <w:t xml:space="preserve">but must be controlled to preserve filter performance and integrity. This knowledge frames</w:t>
      </w:r>
      <w:r>
        <w:t xml:space="preserve"> </w:t>
      </w:r>
      <w:r>
        <w:t xml:space="preserve">the attributes in scope and the prioritization of parameters for characterization.</w:t>
      </w:r>
    </w:p>
    <w:bookmarkEnd w:id="17"/>
    <w:bookmarkStart w:id="19" w:name="quality-attributes-in-scope"/>
    <w:p>
      <w:pPr>
        <w:pStyle w:val="Heading2"/>
      </w:pPr>
      <w:r>
        <w:t xml:space="preserve">4.2 Quality attributes in scope</w:t>
      </w:r>
    </w:p>
    <w:p>
      <w:pPr>
        <w:pStyle w:val="FirstParagraph"/>
      </w:pPr>
      <w:r>
        <w:t xml:space="preserve">Virus filtration introduces no CQA. It is a principal clearance step for the two model</w:t>
      </w:r>
      <w:r>
        <w:t xml:space="preserve"> </w:t>
      </w:r>
      <w:r>
        <w:t xml:space="preserve">viruses whose cumulative, cross-step log-reduction is specified at the drug substance</w:t>
      </w:r>
      <w:r>
        <w:t xml:space="preserve"> </w:t>
      </w:r>
      <w:r>
        <w:t xml:space="preserve">(</w:t>
      </w:r>
      <w:hyperlink w:anchor="tbl-cqa">
        <w:r>
          <w:rPr>
            <w:rStyle w:val="Hyperlink"/>
          </w:rPr>
          <w:t xml:space="preserve">Table 4</w:t>
        </w:r>
      </w:hyperlink>
      <w:r>
        <w:t xml:space="preserve">): the enveloped retrovirus XMuLV and the small non-enveloped parvovirus MVM.</w:t>
      </w:r>
      <w:r>
        <w:t xml:space="preserve"> </w:t>
      </w:r>
      <w:r>
        <w:t xml:space="preserve">Criticality is scored on the A-Mab continuum using Tool #1 (Risk Score = Impact ×</w:t>
      </w:r>
      <w:r>
        <w:t xml:space="preserve"> </w:t>
      </w:r>
      <w:r>
        <w:t xml:space="preserve">Uncertainty); both viral-clearance attributes are rated Very High (VH) and treated as</w:t>
      </w:r>
      <w:r>
        <w:t xml:space="preserve"> </w:t>
      </w:r>
      <w:r>
        <w:rPr>
          <w:i/>
          <w:iCs/>
        </w:rPr>
        <w:t xml:space="preserve">Critical</w:t>
      </w:r>
      <w:r>
        <w:t xml:space="preserve"> </w:t>
      </w:r>
      <w:r>
        <w:t xml:space="preserve">(CMC Biotech Working Group 2009; International Council for Harmonisation 2023a)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cq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Viral-clearance CQAs to which the virus-filtration step contributes (expressed as the cumulative, cross-step log-reduction), with acceptance criterion and criticality (Tool #1 = Impact × Uncertainty).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790"/>
              <w:gridCol w:w="1056"/>
              <w:gridCol w:w="2112"/>
              <w:gridCol w:w="1131"/>
              <w:gridCol w:w="82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Acceptance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Criticality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Tool #1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MVM (parvovirus)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safety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8.6–20 log10 (cumulative)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XMuLV (enveloped)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safety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16.7–30 log10 (cumulative)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per-step MVM and XMuLV log-reductions are not themselves released specifications; they</w:t>
      </w:r>
      <w:r>
        <w:t xml:space="preserve"> </w:t>
      </w:r>
      <w:r>
        <w:t xml:space="preserve">are the modular contributions whose sum, across the low-pH inactivation, anion-exchange and</w:t>
      </w:r>
      <w:r>
        <w:t xml:space="preserve"> </w:t>
      </w:r>
      <w:r>
        <w:t xml:space="preserve">virus-filtration steps, must meet the cumulative log-reduction requirements at the drug</w:t>
      </w:r>
      <w:r>
        <w:t xml:space="preserve"> </w:t>
      </w:r>
      <w:r>
        <w:t xml:space="preserve">substance. Because virus filtration is the principal MVM-removal mechanism, the study is</w:t>
      </w:r>
      <w:r>
        <w:t xml:space="preserve"> </w:t>
      </w:r>
      <w:r>
        <w:t xml:space="preserve">designed to demonstrate the MVM-clearance capacity of the step at and beyond the maximum</w:t>
      </w:r>
      <w:r>
        <w:t xml:space="preserve"> </w:t>
      </w:r>
      <w:r>
        <w:t xml:space="preserve">routine load; the MVM log-reduction is the primary response of the study.</w:t>
      </w:r>
    </w:p>
    <w:bookmarkEnd w:id="19"/>
    <w:bookmarkStart w:id="20" w:name="risk-based-prioritization-of-parameters"/>
    <w:p>
      <w:pPr>
        <w:pStyle w:val="Heading2"/>
      </w:pPr>
      <w:r>
        <w:t xml:space="preserve">4.3 Risk-based prioritization of parameters</w:t>
      </w:r>
    </w:p>
    <w:p>
      <w:pPr>
        <w:pStyle w:val="FirstParagraph"/>
      </w:pPr>
      <w:r>
        <w:t xml:space="preserve">Consistent with the A-Mab lifecycle of iterative risk assessments and the risk flow of</w:t>
      </w:r>
      <w:r>
        <w:t xml:space="preserve"> </w:t>
      </w:r>
      <w:r>
        <w:t xml:space="preserve">PDA TR 60, the study scope is set by the Pre-Characterization Process Risk Assessment</w:t>
      </w:r>
      <w:r>
        <w:t xml:space="preserve"> </w:t>
      </w:r>
      <w:r>
        <w:t xml:space="preserve">(</w:t>
      </w:r>
      <w:r>
        <w:rPr>
          <w:b/>
          <w:bCs/>
        </w:rPr>
        <w:t xml:space="preserve">RA-001</w:t>
      </w:r>
      <w:r>
        <w:t xml:space="preserve">). A risk-ranking-and-filtering (RRF) screen scores each parameter for its</w:t>
      </w:r>
      <w:r>
        <w:t xml:space="preserve"> </w:t>
      </w:r>
      <w:r>
        <w:t xml:space="preserve">potential impact and assigns the study type accordingly: the volumetric load and the</w:t>
      </w:r>
      <w:r>
        <w:t xml:space="preserve"> </w:t>
      </w:r>
      <w:r>
        <w:t xml:space="preserve">filtration pressure — which carry a credible risk to the credited viral log-reduction or must</w:t>
      </w:r>
      <w:r>
        <w:t xml:space="preserve"> </w:t>
      </w:r>
      <w:r>
        <w:t xml:space="preserve">be controlled to preserve filter performance — are both studied in the multivariate DoE; no</w:t>
      </w:r>
      <w:r>
        <w:t xml:space="preserve"> </w:t>
      </w:r>
      <w:r>
        <w:t xml:space="preserve">parameter at this step is assigned to univariate assessment</w:t>
      </w:r>
      <w:r>
        <w:t xml:space="preserve"> </w:t>
      </w:r>
      <w:r>
        <w:t xml:space="preserve">(CMC Biotech Working Group 2009)</w:t>
      </w:r>
      <w:r>
        <w:t xml:space="preserve">. The resulting</w:t>
      </w:r>
      <w:r>
        <w:t xml:space="preserve"> </w:t>
      </w:r>
      <w:r>
        <w:t xml:space="preserve">parameter set and study-type assignment are given in</w:t>
      </w:r>
      <w:r>
        <w:t xml:space="preserve"> </w:t>
      </w:r>
      <w:hyperlink w:anchor="tbl-param">
        <w:r>
          <w:rPr>
            <w:rStyle w:val="Hyperlink"/>
          </w:rPr>
          <w:t xml:space="preserve">Table 6</w:t>
        </w:r>
      </w:hyperlink>
      <w:r>
        <w:t xml:space="preserve">.</w:t>
      </w:r>
    </w:p>
    <w:bookmarkEnd w:id="20"/>
    <w:bookmarkEnd w:id="21"/>
    <w:bookmarkStart w:id="28" w:name="materials-and-methods"/>
    <w:p>
      <w:pPr>
        <w:pStyle w:val="Heading1"/>
      </w:pPr>
      <w:r>
        <w:t xml:space="preserve">5. Materials and methods</w:t>
      </w:r>
    </w:p>
    <w:bookmarkStart w:id="22" w:name="scale-down-model-and-its-qualification"/>
    <w:p>
      <w:pPr>
        <w:pStyle w:val="Heading2"/>
      </w:pPr>
      <w:r>
        <w:t xml:space="preserve">5.1 Scale-down model and its qualification</w:t>
      </w:r>
    </w:p>
    <w:p>
      <w:pPr>
        <w:pStyle w:val="FirstParagraph"/>
      </w:pPr>
      <w:r>
        <w:t xml:space="preserve">Characterization will be performed on a scale-down virus-filtration model operated at the</w:t>
      </w:r>
      <w:r>
        <w:t xml:space="preserve"> </w:t>
      </w:r>
      <w:r>
        <w:t xml:space="preserve">commercial-process equivalents for membrane type and rating, area-normalized load, filtration</w:t>
      </w:r>
      <w:r>
        <w:t xml:space="preserve"> </w:t>
      </w:r>
      <w:r>
        <w:t xml:space="preserve">pressure, buffer matrix and product concentration (</w:t>
      </w:r>
      <w:r>
        <w:rPr>
          <w:b/>
          <w:bCs/>
        </w:rPr>
        <w:t xml:space="preserve">SOP-2012</w:t>
      </w:r>
      <w:r>
        <w:t xml:space="preserve">). Prior to characterization</w:t>
      </w:r>
      <w:r>
        <w:t xml:space="preserve"> </w:t>
      </w:r>
      <w:r>
        <w:t xml:space="preserve">the SDM will be qualified against at-scale reference data (</w:t>
      </w:r>
      <w:r>
        <w:rPr>
          <w:b/>
          <w:bCs/>
        </w:rPr>
        <w:t xml:space="preserve">SOP-1001</w:t>
      </w:r>
      <w:r>
        <w:t xml:space="preserve">) by comparing the</w:t>
      </w:r>
      <w:r>
        <w:t xml:space="preserve"> </w:t>
      </w:r>
      <w:r>
        <w:t xml:space="preserve">operational parameters and, critically, the input and output attributes — volumetric</w:t>
      </w:r>
      <w:r>
        <w:t xml:space="preserve"> </w:t>
      </w:r>
      <w:r>
        <w:t xml:space="preserve">throughput, MVM and XMuLV log-reduction and step yield — to confirm the model is</w:t>
      </w:r>
      <w:r>
        <w:t xml:space="preserve"> </w:t>
      </w:r>
      <w:r>
        <w:t xml:space="preserve">representative and suitable to support the load limit and PAR claims</w:t>
      </w:r>
      <w:r>
        <w:t xml:space="preserve"> </w:t>
      </w:r>
      <w:r>
        <w:t xml:space="preserve">(Parenteral Drug Association 2013; International Council for Harmonisation 2023a)</w:t>
      </w:r>
      <w:r>
        <w:t xml:space="preserve">.</w:t>
      </w:r>
      <w:r>
        <w:t xml:space="preserve"> </w:t>
      </w:r>
      <w:r>
        <w:t xml:space="preserve">Viral log-reduction will be determined by validated live-virus spiking studies on the</w:t>
      </w:r>
      <w:r>
        <w:t xml:space="preserve"> </w:t>
      </w:r>
      <w:r>
        <w:t xml:space="preserve">qualified SDM. The centre-point replicates of each design provide an in-study estimate of</w:t>
      </w:r>
      <w:r>
        <w:t xml:space="preserve"> </w:t>
      </w:r>
      <w:r>
        <w:t xml:space="preserve">model reproducibility (pure error) used in the lack-of-fit assessment.</w:t>
      </w:r>
    </w:p>
    <w:bookmarkEnd w:id="22"/>
    <w:bookmarkStart w:id="23" w:name="operation"/>
    <w:p>
      <w:pPr>
        <w:pStyle w:val="Heading2"/>
      </w:pPr>
      <w:r>
        <w:t xml:space="preserve">5.2 Operation</w:t>
      </w:r>
    </w:p>
    <w:p>
      <w:pPr>
        <w:pStyle w:val="FirstParagraph"/>
      </w:pPr>
      <w:r>
        <w:t xml:space="preserve">The anion-exchange flow-through pool is filtered through a small-virus retentive membrane of</w:t>
      </w:r>
      <w:r>
        <w:t xml:space="preserve"> </w:t>
      </w:r>
      <w:r>
        <w:t xml:space="preserve">the platform type and rating under controlled filtration pressure, to a defined</w:t>
      </w:r>
      <w:r>
        <w:t xml:space="preserve"> </w:t>
      </w:r>
      <w:r>
        <w:t xml:space="preserve">area-normalized volumetric load, with the filtrate collected as the virus-filtration pool.</w:t>
      </w:r>
      <w:r>
        <w:t xml:space="preserve"> </w:t>
      </w:r>
      <w:r>
        <w:t xml:space="preserve">Product transmits through the membrane while virus larger than the membrane rating is</w:t>
      </w:r>
      <w:r>
        <w:t xml:space="preserve"> </w:t>
      </w:r>
      <w:r>
        <w:t xml:space="preserve">retained by size exclusion. Membrane lot, pre-use flush and buffer matrix are controlled to</w:t>
      </w:r>
      <w:r>
        <w:t xml:space="preserve"> </w:t>
      </w:r>
      <w:r>
        <w:t xml:space="preserve">platform specifications and treated as identity/quality-controlled inputs rather than</w:t>
      </w:r>
      <w:r>
        <w:t xml:space="preserve"> </w:t>
      </w:r>
      <w:r>
        <w:t xml:space="preserve">characterized variables</w:t>
      </w:r>
      <w:r>
        <w:t xml:space="preserve"> </w:t>
      </w:r>
      <w:r>
        <w:t xml:space="preserve">(CMC Biotech Working Group 2009)</w:t>
      </w:r>
      <w:r>
        <w:t xml:space="preserve">. A post-use filter-integrity test (</w:t>
      </w:r>
      <w:r>
        <w:rPr>
          <w:b/>
          <w:bCs/>
        </w:rPr>
        <w:t xml:space="preserve">SOP-2012</w:t>
      </w:r>
      <w:r>
        <w:t xml:space="preserve">) confirms</w:t>
      </w:r>
      <w:r>
        <w:t xml:space="preserve"> </w:t>
      </w:r>
      <w:r>
        <w:t xml:space="preserve">membrane integrity after each run and is a release-linked control for the credited retention.</w:t>
      </w:r>
    </w:p>
    <w:bookmarkEnd w:id="23"/>
    <w:bookmarkStart w:id="25" w:name="analytical-methods"/>
    <w:p>
      <w:pPr>
        <w:pStyle w:val="Heading2"/>
      </w:pPr>
      <w:r>
        <w:t xml:space="preserve">5.3 Analytical methods</w:t>
      </w:r>
    </w:p>
    <w:p>
      <w:pPr>
        <w:pStyle w:val="FirstParagraph"/>
      </w:pPr>
      <w:r>
        <w:t xml:space="preserve">The step responses will be measured by the validated methods in</w:t>
      </w:r>
      <w:r>
        <w:t xml:space="preserve"> </w:t>
      </w:r>
      <w:hyperlink w:anchor="tbl-methods">
        <w:r>
          <w:rPr>
            <w:rStyle w:val="Hyperlink"/>
          </w:rPr>
          <w:t xml:space="preserve">Table 5</w:t>
        </w:r>
      </w:hyperlink>
      <w:r>
        <w:t xml:space="preserve">; method</w:t>
      </w:r>
      <w:r>
        <w:t xml:space="preserve"> </w:t>
      </w:r>
      <w:r>
        <w:t xml:space="preserve">performance characteristics are per the cited validation reports. The MVM and XMuLV</w:t>
      </w:r>
      <w:r>
        <w:t xml:space="preserve"> </w:t>
      </w:r>
      <w:r>
        <w:t xml:space="preserve">log-reduction are derived from the infectious titre of the filter load and filtrate in</w:t>
      </w:r>
      <w:r>
        <w:t xml:space="preserve"> </w:t>
      </w:r>
      <w:r>
        <w:t xml:space="preserve">validated live-virus spiking studies.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metho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Validated analytical methods for the characterization.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492"/>
              <w:gridCol w:w="4246"/>
              <w:gridCol w:w="21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MVM Infectivity Titre (TCID50/qPCR)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XMuLV Infectivity Titre (TCID50)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</w:tbl>
          <w:bookmarkEnd w:id="24"/>
          <w:p/>
        </w:tc>
      </w:tr>
    </w:tbl>
    <w:bookmarkEnd w:id="25"/>
    <w:bookmarkStart w:id="26" w:name="sampling-plan"/>
    <w:p>
      <w:pPr>
        <w:pStyle w:val="Heading2"/>
      </w:pPr>
      <w:r>
        <w:t xml:space="preserve">5.4 Sampling plan</w:t>
      </w:r>
    </w:p>
    <w:p>
      <w:pPr>
        <w:pStyle w:val="FirstParagraph"/>
      </w:pPr>
      <w:r>
        <w:t xml:space="preserve">Each DoE run will be sampled at the filter load and the virus-filtration pool for the MVM and</w:t>
      </w:r>
      <w:r>
        <w:t xml:space="preserve"> </w:t>
      </w:r>
      <w:r>
        <w:t xml:space="preserve">XMuLV infectious titre (spiking studies) and for the step-yield determination; in-process</w:t>
      </w:r>
      <w:r>
        <w:t xml:space="preserve"> </w:t>
      </w:r>
      <w:r>
        <w:t xml:space="preserve">readings (pressure, flux/throughput and the post-use integrity result) will confirm the</w:t>
      </w:r>
      <w:r>
        <w:t xml:space="preserve"> </w:t>
      </w:r>
      <w:r>
        <w:t xml:space="preserve">filtration profile and membrane integrity. Centre-point runs are replicated within each</w:t>
      </w:r>
      <w:r>
        <w:t xml:space="preserve"> </w:t>
      </w:r>
      <w:r>
        <w:t xml:space="preserve">design (three in screening, four in the response-surface design) to quantify reproducibility</w:t>
      </w:r>
      <w:r>
        <w:t xml:space="preserve"> </w:t>
      </w:r>
      <w:r>
        <w:t xml:space="preserve">and pure error.</w:t>
      </w:r>
    </w:p>
    <w:bookmarkEnd w:id="26"/>
    <w:bookmarkStart w:id="27" w:name="statistical-methods"/>
    <w:p>
      <w:pPr>
        <w:pStyle w:val="Heading2"/>
      </w:pPr>
      <w:r>
        <w:t xml:space="preserve">5.5 Statistical methods</w:t>
      </w:r>
    </w:p>
    <w:p>
      <w:pPr>
        <w:pStyle w:val="FirstParagraph"/>
      </w:pPr>
      <w:r>
        <w:t xml:space="preserve">Designs will be constructed and analyzed in coded factors, with each parameter’s</w:t>
      </w:r>
      <w:r>
        <w:t xml:space="preserve"> </w:t>
      </w:r>
      <w:r>
        <w:t xml:space="preserve">characterization range mapped so that the set-point is 0 and the range edges are</w:t>
      </w:r>
      <w:r>
        <w:t xml:space="preserve"> </w:t>
      </w:r>
      <w:r>
        <w:t xml:space="preserve">±1 (</w:t>
      </w:r>
      <w:r>
        <w:rPr>
          <w:b/>
          <w:bCs/>
        </w:rPr>
        <w:t xml:space="preserve">SOP-1002</w:t>
      </w:r>
      <w:r>
        <w:t xml:space="preserve">). Screening data will be analyzed by ordinary-least-squares regression of</w:t>
      </w:r>
      <w:r>
        <w:t xml:space="preserve"> </w:t>
      </w:r>
      <w:r>
        <w:t xml:space="preserve">each response on the main effects and the two-factor interaction; factor effects are reported</w:t>
      </w:r>
      <w:r>
        <w:t xml:space="preserve"> </w:t>
      </w:r>
      <w:r>
        <w:t xml:space="preserve">as twice the coded coefficient. Response-surface data will be analyzed with the full quadratic</w:t>
      </w:r>
      <w:r>
        <w:t xml:space="preserve"> </w:t>
      </w:r>
      <w:r>
        <w:t xml:space="preserve">model. Significance will be assessed at α = 0.05. Model adequacy will be judged by R²,</w:t>
      </w:r>
      <w:r>
        <w:t xml:space="preserve"> </w:t>
      </w:r>
      <w:r>
        <w:t xml:space="preserve">adjusted R², predicted R² (from the PRESS statistic), the overall model F-test, and an ANOVA</w:t>
      </w:r>
      <w:r>
        <w:t xml:space="preserve"> </w:t>
      </w:r>
      <w:r>
        <w:t xml:space="preserve">lack-of-fit test against the centre-point pure error; a response with no significant parameter</w:t>
      </w:r>
      <w:r>
        <w:t xml:space="preserve"> </w:t>
      </w:r>
      <w:r>
        <w:t xml:space="preserve">effect will be reported as robust rather than modelled predictively. The volumetric-load limit</w:t>
      </w:r>
      <w:r>
        <w:t xml:space="preserve"> </w:t>
      </w:r>
      <w:r>
        <w:t xml:space="preserve">will be established from the MVM response and the credited clearance substantiated</w:t>
      </w:r>
      <w:r>
        <w:t xml:space="preserve"> </w:t>
      </w:r>
      <w:r>
        <w:t xml:space="preserve">conservatively at the worst-case (maximum-load) condition per ICH Q5A(R2). Commercial-scale</w:t>
      </w:r>
      <w:r>
        <w:t xml:space="preserve"> </w:t>
      </w:r>
      <w:r>
        <w:t xml:space="preserve">capability of the cumulative viral-clearance CQAs to which the step contributes will be</w:t>
      </w:r>
      <w:r>
        <w:t xml:space="preserve"> </w:t>
      </w:r>
      <w:r>
        <w:t xml:space="preserve">estimated by Monte-Carlo simulation with each parameter varied within its NOR.</w:t>
      </w:r>
    </w:p>
    <w:bookmarkEnd w:id="27"/>
    <w:bookmarkEnd w:id="28"/>
    <w:bookmarkStart w:id="35" w:name="study-design"/>
    <w:p>
      <w:pPr>
        <w:pStyle w:val="Heading1"/>
      </w:pPr>
      <w:r>
        <w:t xml:space="preserve">6. Study design</w:t>
      </w:r>
    </w:p>
    <w:bookmarkStart w:id="31" w:name="factors-ranges-and-study-type"/>
    <w:p>
      <w:pPr>
        <w:pStyle w:val="Heading2"/>
      </w:pPr>
      <w:r>
        <w:t xml:space="preserve">6.1 Factors, ranges and study type</w:t>
      </w:r>
    </w:p>
    <w:p>
      <w:pPr>
        <w:pStyle w:val="FirstParagraph"/>
      </w:pPr>
      <w:r>
        <w:t xml:space="preserve">Two parameters are in scope (</w:t>
      </w:r>
      <w:hyperlink w:anchor="tbl-param">
        <w:r>
          <w:rPr>
            <w:rStyle w:val="Hyperlink"/>
          </w:rPr>
          <w:t xml:space="preserve">Table 6</w:t>
        </w:r>
      </w:hyperlink>
      <w:r>
        <w:t xml:space="preserve">). The characterization range of each factor (</w:t>
      </w:r>
      <w:r>
        <w:t xml:space="preserve">“Range</w:t>
      </w:r>
      <w:r>
        <w:t xml:space="preserve"> </w:t>
      </w:r>
      <w:r>
        <w:t xml:space="preserve">studied”</w:t>
      </w:r>
      <w:r>
        <w:t xml:space="preserve">) defines the edges of the explored knowledge space and the basis of the PAR; the NOR</w:t>
      </w:r>
      <w:r>
        <w:t xml:space="preserve"> </w:t>
      </w:r>
      <w:r>
        <w:t xml:space="preserve">is the tighter routine-control range. Classification is an output of the study and is reported</w:t>
      </w:r>
      <w:r>
        <w:t xml:space="preserve"> </w:t>
      </w:r>
      <w:r>
        <w:t xml:space="preserve">in PCR-009. The DoE factor coding is given in</w:t>
      </w:r>
      <w:r>
        <w:t xml:space="preserve"> </w:t>
      </w:r>
      <w:hyperlink w:anchor="tbl-legend">
        <w:r>
          <w:rPr>
            <w:rStyle w:val="Hyperlink"/>
          </w:rPr>
          <w:t xml:space="preserve">Table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para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Virus-filtration parameters, set-points, characterization ranges and planned study type.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94"/>
              <w:gridCol w:w="736"/>
              <w:gridCol w:w="1197"/>
              <w:gridCol w:w="1565"/>
              <w:gridCol w:w="736"/>
              <w:gridCol w:w="128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Range studied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Filtration volume (load)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L/m2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50–140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50–105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Filtration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8–30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lege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Design-of-experiments factor legend (coded A–B).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Studied 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Filtration volume (load)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L/m2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Filtration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creening-design"/>
    <w:p>
      <w:pPr>
        <w:pStyle w:val="Heading2"/>
      </w:pPr>
      <w:r>
        <w:t xml:space="preserve">6.2 Screening design</w:t>
      </w:r>
    </w:p>
    <w:p>
      <w:pPr>
        <w:pStyle w:val="FirstParagraph"/>
      </w:pPr>
      <w:r>
        <w:t xml:space="preserve">Factor screening will use a two-level full factorial in the two factors (A = volumetric load,</w:t>
      </w:r>
      <w:r>
        <w:t xml:space="preserve"> </w:t>
      </w:r>
      <w:r>
        <w:t xml:space="preserve">B = filtration pressure) with three centre-point replicates, 7 runs in total.</w:t>
      </w:r>
      <w:r>
        <w:t xml:space="preserve"> </w:t>
      </w:r>
      <w:r>
        <w:t xml:space="preserve">The full factorial estimates both main effects and the two-factor interaction without</w:t>
      </w:r>
      <w:r>
        <w:t xml:space="preserve"> </w:t>
      </w:r>
      <w:r>
        <w:t xml:space="preserve">confounding. Three responses will be recorded for each run (MVM log-reduction, XMuLV</w:t>
      </w:r>
      <w:r>
        <w:t xml:space="preserve"> </w:t>
      </w:r>
      <w:r>
        <w:t xml:space="preserve">log-reduction and step yield). The planned coded design is given in Appendix A.</w:t>
      </w:r>
    </w:p>
    <w:bookmarkEnd w:id="32"/>
    <w:bookmarkStart w:id="33" w:name="response-surface-design"/>
    <w:p>
      <w:pPr>
        <w:pStyle w:val="Heading2"/>
      </w:pPr>
      <w:r>
        <w:t xml:space="preserve">6.3 Response-surface design</w:t>
      </w:r>
    </w:p>
    <w:p>
      <w:pPr>
        <w:pStyle w:val="FirstParagraph"/>
      </w:pPr>
      <w:r>
        <w:t xml:space="preserve">The two factors will be carried into a face-centred central-composite design with four</w:t>
      </w:r>
      <w:r>
        <w:t xml:space="preserve"> </w:t>
      </w:r>
      <w:r>
        <w:t xml:space="preserve">centre-point replicates, 12 runs in total, enabling estimation of curvature in</w:t>
      </w:r>
      <w:r>
        <w:t xml:space="preserve"> </w:t>
      </w:r>
      <w:r>
        <w:t xml:space="preserve">addition to the main effects and interaction. The planned coded design is given in Appendix B.</w:t>
      </w:r>
    </w:p>
    <w:bookmarkEnd w:id="33"/>
    <w:bookmarkStart w:id="34" w:name="univariate-assessment"/>
    <w:p>
      <w:pPr>
        <w:pStyle w:val="Heading2"/>
      </w:pPr>
      <w:r>
        <w:t xml:space="preserve">6.4 Univariate assessment</w:t>
      </w:r>
    </w:p>
    <w:p>
      <w:pPr>
        <w:pStyle w:val="FirstParagraph"/>
      </w:pPr>
      <w:r>
        <w:t xml:space="preserve">No parameter at this step is assigned to univariate assessment: both the volumetric load and</w:t>
      </w:r>
      <w:r>
        <w:t xml:space="preserve"> </w:t>
      </w:r>
      <w:r>
        <w:t xml:space="preserve">the filtration pressure are carried into the multivariate design, the load because it governs</w:t>
      </w:r>
      <w:r>
        <w:t xml:space="preserve"> </w:t>
      </w:r>
      <w:r>
        <w:t xml:space="preserve">the credited MVM clearance and the pressure so that its (expected small) effect on retention</w:t>
      </w:r>
      <w:r>
        <w:t xml:space="preserve"> </w:t>
      </w:r>
      <w:r>
        <w:t xml:space="preserve">is quantified jointly with the load rather than assumed.</w:t>
      </w:r>
    </w:p>
    <w:bookmarkEnd w:id="34"/>
    <w:bookmarkEnd w:id="35"/>
    <w:bookmarkStart w:id="36" w:name="acceptance-and-decision-criteria"/>
    <w:p>
      <w:pPr>
        <w:pStyle w:val="Heading1"/>
      </w:pPr>
      <w:r>
        <w:t xml:space="preserve">7. Acceptance and decision criteria</w:t>
      </w:r>
    </w:p>
    <w:p>
      <w:pPr>
        <w:pStyle w:val="FirstParagraph"/>
      </w:pPr>
      <w:r>
        <w:t xml:space="preserve">The study is acceptable when:</w:t>
      </w:r>
    </w:p>
    <w:p>
      <w:pPr>
        <w:pStyle w:val="Compact"/>
        <w:numPr>
          <w:ilvl w:val="0"/>
          <w:numId w:val="1002"/>
        </w:numPr>
      </w:pPr>
      <w:r>
        <w:t xml:space="preserve">the SDM qualification confirms representativeness of commercial scale (</w:t>
      </w:r>
      <w:r>
        <w:rPr>
          <w:b/>
          <w:bCs/>
        </w:rPr>
        <w:t xml:space="preserve">SOP-1001</w:t>
      </w:r>
      <w:r>
        <w:t xml:space="preserve">) and</w:t>
      </w:r>
      <w:r>
        <w:t xml:space="preserve"> </w:t>
      </w:r>
      <w:r>
        <w:t xml:space="preserve">the spiking studies meet their validity criteria (ICH Q5A(R2));</w:t>
      </w:r>
    </w:p>
    <w:p>
      <w:pPr>
        <w:pStyle w:val="Compact"/>
        <w:numPr>
          <w:ilvl w:val="0"/>
          <w:numId w:val="1002"/>
        </w:numPr>
      </w:pPr>
      <w:r>
        <w:t xml:space="preserve">the fitted response-surface model for the MVM log-reduction is adequate — no significant</w:t>
      </w:r>
      <w:r>
        <w:t xml:space="preserve"> </w:t>
      </w:r>
      <w:r>
        <w:t xml:space="preserve">lack of fit (p &gt; 0.05 against the centre-point pure error) and residual diagnostics</w:t>
      </w:r>
      <w:r>
        <w:t xml:space="preserve"> </w:t>
      </w:r>
      <w:r>
        <w:t xml:space="preserve">without systematic structure — and resolves the volumetric-load dependence (a response</w:t>
      </w:r>
      <w:r>
        <w:t xml:space="preserve"> </w:t>
      </w:r>
      <w:r>
        <w:t xml:space="preserve">with no significant factor effect is reported as robust); and</w:t>
      </w:r>
    </w:p>
    <w:p>
      <w:pPr>
        <w:pStyle w:val="Compact"/>
        <w:numPr>
          <w:ilvl w:val="0"/>
          <w:numId w:val="1002"/>
        </w:numPr>
      </w:pPr>
      <w:r>
        <w:t xml:space="preserve">a volumetric-load limit exists at or below which the credited MVM log-reduction is</w:t>
      </w:r>
      <w:r>
        <w:t xml:space="preserve"> </w:t>
      </w:r>
      <w:r>
        <w:t xml:space="preserve">preserved with margin at the worst-case condition, with the XMuLV log-reduction and step</w:t>
      </w:r>
      <w:r>
        <w:t xml:space="preserve"> </w:t>
      </w:r>
      <w:r>
        <w:t xml:space="preserve">yield robust across the NORs.</w:t>
      </w:r>
    </w:p>
    <w:p>
      <w:pPr>
        <w:pStyle w:val="FirstParagraph"/>
      </w:pPr>
      <w:r>
        <w:t xml:space="preserve">Each parameter will then be classified per the A-Mab continuum</w:t>
      </w:r>
      <w:r>
        <w:t xml:space="preserve"> </w:t>
      </w:r>
      <w:r>
        <w:t xml:space="preserve">(CMC Biotech Working Group 2009)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a parameter whose variability significantly impacts the credited viral clearance is a</w:t>
      </w:r>
      <w:r>
        <w:t xml:space="preserve"> </w:t>
      </w:r>
      <w:r>
        <w:rPr>
          <w:b/>
          <w:bCs/>
        </w:rPr>
        <w:t xml:space="preserve">CPP</w:t>
      </w:r>
      <w:r>
        <w:t xml:space="preserve">; where the impact is reliably controlled within the operating region the parameter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well-controlled CPP (WC-CPP)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 parameter that does not significantly impact the credited clearance but affects process</w:t>
      </w:r>
      <w:r>
        <w:t xml:space="preserve"> </w:t>
      </w:r>
      <w:r>
        <w:t xml:space="preserve">performance or is controlled to protect it is a</w:t>
      </w:r>
      <w:r>
        <w:t xml:space="preserve"> </w:t>
      </w:r>
      <w:r>
        <w:rPr>
          <w:b/>
          <w:bCs/>
        </w:rPr>
        <w:t xml:space="preserve">KPP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WC-CPP</w:t>
      </w:r>
      <w:r>
        <w:t xml:space="preserve"> </w:t>
      </w:r>
      <w:r>
        <w:t xml:space="preserve">as appropriate;</w:t>
      </w:r>
      <w:r>
        <w:t xml:space="preserve"> </w:t>
      </w:r>
      <w:r>
        <w:t xml:space="preserve">otherwise it is a</w:t>
      </w:r>
      <w:r>
        <w:t xml:space="preserve"> </w:t>
      </w:r>
      <w:r>
        <w:rPr>
          <w:b/>
          <w:bCs/>
        </w:rPr>
        <w:t xml:space="preserve">GPP</w:t>
      </w:r>
      <w:r>
        <w:t xml:space="preserve">.</w:t>
      </w:r>
    </w:p>
    <w:p>
      <w:pPr>
        <w:pStyle w:val="FirstParagraph"/>
      </w:pPr>
      <w:r>
        <w:t xml:space="preserve">The load limit, classifications and PARs established here will justify the Stage 2 operating</w:t>
      </w:r>
      <w:r>
        <w:t xml:space="preserve"> </w:t>
      </w:r>
      <w:r>
        <w:t xml:space="preserve">ranges and feed the drug-substance viral-safety control strategy.</w:t>
      </w:r>
    </w:p>
    <w:bookmarkEnd w:id="36"/>
    <w:bookmarkStart w:id="37" w:name="data-management-and-integrity"/>
    <w:p>
      <w:pPr>
        <w:pStyle w:val="Heading1"/>
      </w:pPr>
      <w:r>
        <w:t xml:space="preserve">8. Data management and integrity</w:t>
      </w:r>
    </w:p>
    <w:p>
      <w:pPr>
        <w:pStyle w:val="FirstParagraph"/>
      </w:pPr>
      <w:r>
        <w:t xml:space="preserve">All raw data, DoE designs, spiking-study results and statistical analyses will be recorded and</w:t>
      </w:r>
      <w:r>
        <w:t xml:space="preserve"> </w:t>
      </w:r>
      <w:r>
        <w:t xml:space="preserve">retained under the site data-integrity procedures (ALCOA+). Analyses will be performed with</w:t>
      </w:r>
      <w:r>
        <w:t xml:space="preserve"> </w:t>
      </w:r>
      <w:r>
        <w:t xml:space="preserve">version-controlled scripts and reviewed by a second analyst; designs, models and the derived</w:t>
      </w:r>
      <w:r>
        <w:t xml:space="preserve"> </w:t>
      </w:r>
      <w:r>
        <w:t xml:space="preserve">load limit will be archived with the report. Any deviation from this plan will be documented</w:t>
      </w:r>
      <w:r>
        <w:t xml:space="preserve"> </w:t>
      </w:r>
      <w:r>
        <w:t xml:space="preserve">and assessed for impact in PCR-009.</w:t>
      </w:r>
    </w:p>
    <w:bookmarkEnd w:id="37"/>
    <w:bookmarkStart w:id="39" w:name="roles-and-responsibilities"/>
    <w:p>
      <w:pPr>
        <w:pStyle w:val="Heading1"/>
      </w:pPr>
      <w:r>
        <w:t xml:space="preserve">9. Roles and responsibilities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ro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Roles and responsibilities.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Responsibility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 Development / MSAT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 the plan; design, execute and analyze the DoE; author PCR-009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 / Virology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Perform the validated virus-spiking (infectivity) assays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Manufacturing Science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Qualify the scale-down filtration model; confirm commercial-scale representativeness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 the design, the statistical analysis and the load-limit 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 the plan and the report; confirm parameter classifications</w:t>
                  </w:r>
                </w:p>
              </w:tc>
            </w:tr>
          </w:tbl>
          <w:bookmarkEnd w:id="38"/>
          <w:p/>
        </w:tc>
      </w:tr>
    </w:tbl>
    <w:bookmarkEnd w:id="39"/>
    <w:bookmarkStart w:id="40" w:name="deliverables-and-schedule"/>
    <w:p>
      <w:pPr>
        <w:pStyle w:val="Heading1"/>
      </w:pPr>
      <w:r>
        <w:t xml:space="preserve">10. Deliverables and schedule</w:t>
      </w:r>
    </w:p>
    <w:p>
      <w:pPr>
        <w:pStyle w:val="FirstParagraph"/>
      </w:pPr>
      <w:r>
        <w:t xml:space="preserve">The deliverable of this plan is the Process Characterization Report (</w:t>
      </w:r>
      <w:r>
        <w:rPr>
          <w:b/>
          <w:bCs/>
        </w:rPr>
        <w:t xml:space="preserve">PCR-009</w:t>
      </w:r>
      <w:r>
        <w:t xml:space="preserve">), reporting</w:t>
      </w:r>
      <w:r>
        <w:t xml:space="preserve"> </w:t>
      </w:r>
      <w:r>
        <w:t xml:space="preserve">the executed designs, the significant effects, the volumetric-load limit, the parameter</w:t>
      </w:r>
      <w:r>
        <w:t xml:space="preserve"> </w:t>
      </w:r>
      <w:r>
        <w:t xml:space="preserve">classification and the viral-clearance outcomes. PCR-009 rolls up into the Process</w:t>
      </w:r>
      <w:r>
        <w:t xml:space="preserve"> </w:t>
      </w:r>
      <w:r>
        <w:t xml:space="preserve">Characterization Master Report (</w:t>
      </w:r>
      <w:r>
        <w:rPr>
          <w:b/>
          <w:bCs/>
        </w:rPr>
        <w:t xml:space="preserve">PCMR-001</w:t>
      </w:r>
      <w:r>
        <w:t xml:space="preserve">) and provides the parameter risk basis for the</w:t>
      </w:r>
      <w:r>
        <w:t xml:space="preserve"> </w:t>
      </w:r>
      <w:r>
        <w:t xml:space="preserve">post-characterization process risk assessment. Execution follows SDM qualification and</w:t>
      </w:r>
      <w:r>
        <w:t xml:space="preserve"> </w:t>
      </w:r>
      <w:r>
        <w:t xml:space="preserve">precedes the Stage 2 PPQ campaign.</w:t>
      </w:r>
    </w:p>
    <w:bookmarkEnd w:id="40"/>
    <w:bookmarkStart w:id="41" w:name="risks-and-assumptions"/>
    <w:p>
      <w:pPr>
        <w:pStyle w:val="Heading1"/>
      </w:pPr>
      <w:r>
        <w:t xml:space="preserve">11. Risks and assumptions</w:t>
      </w:r>
    </w:p>
    <w:p>
      <w:pPr>
        <w:pStyle w:val="FirstParagraph"/>
      </w:pPr>
      <w:r>
        <w:t xml:space="preserve">The plan assumes the SDM is representative of commercial scale (confirmed by qualification)</w:t>
      </w:r>
      <w:r>
        <w:t xml:space="preserve"> </w:t>
      </w:r>
      <w:r>
        <w:t xml:space="preserve">and that the spiking assays are validated and in control. The principal risk is that the</w:t>
      </w:r>
      <w:r>
        <w:t xml:space="preserve"> </w:t>
      </w:r>
      <w:r>
        <w:t xml:space="preserve">absolute log-reduction or throughput shifts at commercial scale or across membrane lots, or</w:t>
      </w:r>
      <w:r>
        <w:t xml:space="preserve"> </w:t>
      </w:r>
      <w:r>
        <w:t xml:space="preserve">that the load presented to the filter is higher than characterized; this is mitigated by</w:t>
      </w:r>
      <w:r>
        <w:t xml:space="preserve"> </w:t>
      </w:r>
      <w:r>
        <w:t xml:space="preserve">defining the load limit on the qualified SDM, substantiating the credited clearance at the</w:t>
      </w:r>
      <w:r>
        <w:t xml:space="preserve"> </w:t>
      </w:r>
      <w:r>
        <w:t xml:space="preserve">worst-case load, confirming the limit at scale in Stage 2, and carrying the WC-CPP ranges</w:t>
      </w:r>
      <w:r>
        <w:t xml:space="preserve"> </w:t>
      </w:r>
      <w:r>
        <w:t xml:space="preserve">forward with the load limit, pressure control and the post-use filter-integrity test.</w:t>
      </w:r>
    </w:p>
    <w:bookmarkEnd w:id="41"/>
    <w:bookmarkStart w:id="42" w:name="approvals-1"/>
    <w:p>
      <w:pPr>
        <w:pStyle w:val="Heading1"/>
      </w:pPr>
      <w:r>
        <w:t xml:space="preserve">12. Approvals</w:t>
      </w:r>
    </w:p>
    <w:p>
      <w:pPr>
        <w:pStyle w:val="FirstParagraph"/>
      </w:pPr>
      <w:r>
        <w:t xml:space="preserve">Approval of this plan authorizes execution of the characterization described herein.</w:t>
      </w:r>
      <w:r>
        <w:t xml:space="preserve"> </w:t>
      </w:r>
      <w:r>
        <w:t xml:space="preserve">Signatures are recorded in</w:t>
      </w:r>
      <w:r>
        <w:t xml:space="preserve"> </w:t>
      </w:r>
      <w:hyperlink w:anchor="tbl-appr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2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3" w:name="ref-amab2009"/>
    <w:p>
      <w:pPr>
        <w:pStyle w:val="Bibliography"/>
      </w:pPr>
      <w:r>
        <w:t xml:space="preserve">CMC Biotech Working Group. 2009.</w:t>
      </w:r>
      <w:r>
        <w:t xml:space="preserve"> </w:t>
      </w:r>
      <w:r>
        <w:rPr>
          <w:i/>
          <w:iCs/>
        </w:rPr>
        <w:t xml:space="preserve">A-Mab: A Case Study in Bioprocess Development</w:t>
      </w:r>
      <w:r>
        <w:t xml:space="preserve">. CASSS.</w:t>
      </w:r>
    </w:p>
    <w:bookmarkEnd w:id="43"/>
    <w:bookmarkStart w:id="44" w:name="ref-ichq8"/>
    <w:p>
      <w:pPr>
        <w:pStyle w:val="Bibliography"/>
      </w:pPr>
      <w:r>
        <w:t xml:space="preserve">International Council for Harmonisation. 2009.</w:t>
      </w:r>
      <w:r>
        <w:t xml:space="preserve"> </w:t>
      </w:r>
      <w:r>
        <w:rPr>
          <w:i/>
          <w:iCs/>
        </w:rPr>
        <w:t xml:space="preserve">ICH Q8(R2): Pharmaceutical Development</w:t>
      </w:r>
      <w:r>
        <w:t xml:space="preserve">. ICH.</w:t>
      </w:r>
    </w:p>
    <w:bookmarkEnd w:id="44"/>
    <w:bookmarkStart w:id="45" w:name="ref-ichq11"/>
    <w:p>
      <w:pPr>
        <w:pStyle w:val="Bibliography"/>
      </w:pPr>
      <w:r>
        <w:t xml:space="preserve">International Council for Harmonisation. 2012.</w:t>
      </w:r>
      <w:r>
        <w:t xml:space="preserve"> </w:t>
      </w:r>
      <w:r>
        <w:rPr>
          <w:i/>
          <w:iCs/>
        </w:rPr>
        <w:t xml:space="preserve">ICH Q11: Development and Manufacture of Drug Substances</w:t>
      </w:r>
      <w:r>
        <w:t xml:space="preserve">. ICH.</w:t>
      </w:r>
    </w:p>
    <w:bookmarkEnd w:id="45"/>
    <w:bookmarkStart w:id="46" w:name="ref-ichq5a"/>
    <w:p>
      <w:pPr>
        <w:pStyle w:val="Bibliography"/>
      </w:pPr>
      <w:r>
        <w:t xml:space="preserve">International Council for Harmonisation. 2023a.</w:t>
      </w:r>
      <w:r>
        <w:t xml:space="preserve"> </w:t>
      </w:r>
      <w:r>
        <w:rPr>
          <w:i/>
          <w:iCs/>
        </w:rPr>
        <w:t xml:space="preserve">ICH Q5A(R2): Viral Safety Evaluation of Biotechnology Products Derived from Cell Lines of Human or Animal Origin</w:t>
      </w:r>
      <w:r>
        <w:t xml:space="preserve">. ICH.</w:t>
      </w:r>
    </w:p>
    <w:bookmarkEnd w:id="46"/>
    <w:bookmarkStart w:id="47" w:name="ref-ichq9"/>
    <w:p>
      <w:pPr>
        <w:pStyle w:val="Bibliography"/>
      </w:pPr>
      <w:r>
        <w:t xml:space="preserve">International Council for Harmonisation. 2023b.</w:t>
      </w:r>
      <w:r>
        <w:t xml:space="preserve"> </w:t>
      </w:r>
      <w:r>
        <w:rPr>
          <w:i/>
          <w:iCs/>
        </w:rPr>
        <w:t xml:space="preserve">ICH Q9(R1): Quality Risk Management</w:t>
      </w:r>
      <w:r>
        <w:t xml:space="preserve">. ICH.</w:t>
      </w:r>
    </w:p>
    <w:bookmarkEnd w:id="47"/>
    <w:bookmarkStart w:id="48" w:name="ref-ispegpg2023"/>
    <w:p>
      <w:pPr>
        <w:pStyle w:val="Bibliography"/>
      </w:pPr>
      <w:r>
        <w:t xml:space="preserve">International Society for Pharmaceutical Engineering. 2023.</w:t>
      </w:r>
      <w:r>
        <w:t xml:space="preserve"> </w:t>
      </w:r>
      <w:r>
        <w:rPr>
          <w:i/>
          <w:iCs/>
        </w:rPr>
        <w:t xml:space="preserve">Good Practice Guide: Practical Implementation of the Lifecycle Approach to Process Validation</w:t>
      </w:r>
      <w:r>
        <w:t xml:space="preserve">. ISPE.</w:t>
      </w:r>
    </w:p>
    <w:bookmarkEnd w:id="48"/>
    <w:bookmarkStart w:id="49" w:name="ref-pdatr60"/>
    <w:p>
      <w:pPr>
        <w:pStyle w:val="Bibliography"/>
      </w:pPr>
      <w:r>
        <w:t xml:space="preserve">Parenteral Drug Association. 2013.</w:t>
      </w:r>
      <w:r>
        <w:t xml:space="preserve"> </w:t>
      </w:r>
      <w:r>
        <w:rPr>
          <w:i/>
          <w:iCs/>
        </w:rPr>
        <w:t xml:space="preserve">Technical Report No. 60: Process Validation — a Lifecycle Approach</w:t>
      </w:r>
      <w:r>
        <w:t xml:space="preserve">. PDA.</w:t>
      </w:r>
    </w:p>
    <w:bookmarkEnd w:id="49"/>
    <w:bookmarkStart w:id="50" w:name="ref-fda2011"/>
    <w:p>
      <w:pPr>
        <w:pStyle w:val="Bibliography"/>
      </w:pPr>
      <w:r>
        <w:t xml:space="preserve">U.S. Food and Drug Administration. 2011.</w:t>
      </w:r>
      <w:r>
        <w:t xml:space="preserve"> </w:t>
      </w:r>
      <w:r>
        <w:rPr>
          <w:i/>
          <w:iCs/>
        </w:rPr>
        <w:t xml:space="preserve">Guidance for Industry: Process Validation — General Principles and Practices</w:t>
      </w:r>
      <w:r>
        <w:t xml:space="preserve">. FDA.</w:t>
      </w:r>
    </w:p>
    <w:bookmarkEnd w:id="50"/>
    <w:bookmarkEnd w:id="51"/>
    <w:p>
      <w:r>
        <w:br w:type="page"/>
      </w:r>
    </w:p>
    <w:bookmarkEnd w:id="52"/>
    <w:bookmarkStart w:id="54" w:name="appendix-a-planned-screening-design"/>
    <w:p>
      <w:pPr>
        <w:pStyle w:val="Heading1"/>
      </w:pPr>
      <w:r>
        <w:t xml:space="preserve">Appendix A — Planned screening design</w:t>
      </w:r>
    </w:p>
    <w:p>
      <w:pPr>
        <w:pStyle w:val="FirstParagraph"/>
      </w:pPr>
      <w:r>
        <w:t xml:space="preserve">Coded two-level full-factorial design (factors A–B per</w:t>
      </w:r>
      <w:r>
        <w:t xml:space="preserve"> </w:t>
      </w:r>
      <w:hyperlink w:anchor="tbl-legend">
        <w:r>
          <w:rPr>
            <w:rStyle w:val="Hyperlink"/>
          </w:rPr>
          <w:t xml:space="preserve">Table 7</w:t>
        </w:r>
      </w:hyperlink>
      <w:r>
        <w:t xml:space="preserve">; coded levels −1/0/+1).</w:t>
      </w:r>
      <w:r>
        <w:t xml:space="preserve"> </w:t>
      </w:r>
      <w:r>
        <w:t xml:space="preserve">Responses will be recorded at execution and reported in PCR-009.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app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Appendix A — planned screening design (coded factor settings).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53"/>
          <w:p/>
        </w:tc>
      </w:tr>
    </w:tbl>
    <w:p>
      <w:r>
        <w:br w:type="page"/>
      </w:r>
    </w:p>
    <w:bookmarkEnd w:id="54"/>
    <w:bookmarkStart w:id="56" w:name="X3978fd0e1f4921f866c945eb6c5168c0afc9cb9"/>
    <w:p>
      <w:pPr>
        <w:pStyle w:val="Heading1"/>
      </w:pPr>
      <w:r>
        <w:t xml:space="preserve">Appendix B — Planned response-surface design</w:t>
      </w:r>
    </w:p>
    <w:p>
      <w:pPr>
        <w:pStyle w:val="FirstParagraph"/>
      </w:pPr>
      <w:r>
        <w:t xml:space="preserve">Coded face-centred central-composite design (factors A–B; coded levels −1/0/+1).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app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 Appendix B — planned response-surface design (coded factor settings).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55"/>
          <w:p/>
        </w:tc>
      </w:tr>
    </w:tbl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Characterization Plan</dc:title>
  <dc:creator>Process Development / Manufacturing Science &amp; Technology (MSAT)</dc:creator>
  <cp:keywords/>
  <dcterms:created xsi:type="dcterms:W3CDTF">2026-07-25T11:00:33Z</dcterms:created>
  <dcterms:modified xsi:type="dcterms:W3CDTF">2026-07-25T11:00:33Z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2026-07-24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pyter">
    <vt:lpwstr>python3</vt:lpwstr>
  </property>
  <property fmtid="{D5CDD505-2E9C-101B-9397-08002B2CF9AE}" pid="12" name="labels">
    <vt:lpwstr/>
  </property>
  <property fmtid="{D5CDD505-2E9C-101B-9397-08002B2CF9AE}" pid="13" name="subtitle">
    <vt:lpwstr>A-Mab Drug Substance — Small-Virus Retentive Filtration (Step 9) — PCP-009</vt:lpwstr>
  </property>
  <property fmtid="{D5CDD505-2E9C-101B-9397-08002B2CF9AE}" pid="14" name="tbl-cap-location">
    <vt:lpwstr>top</vt:lpwstr>
  </property>
  <property fmtid="{D5CDD505-2E9C-101B-9397-08002B2CF9AE}" pid="15" name="toc-title">
    <vt:lpwstr>Table of contents</vt:lpwstr>
  </property>
</Properties>
</file>