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Characterization Report</w:t>
      </w:r>
    </w:p>
    <w:p>
      <w:pPr>
        <w:pStyle w:val="Subtitle"/>
      </w:pPr>
      <w:r>
        <w:t xml:space="preserve">A-Mab Drug Substance — Ultrafiltration / Diafiltration (Step 10) — PCR-010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PCR-010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Report: Ultrafiltration / Diafiltration (Step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Formulation / Drug Product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BLA, Biologics License Application · CPP, critical process parameter · CQA, critical</w:t>
      </w:r>
      <w:r>
        <w:t xml:space="preserve"> </w:t>
      </w:r>
      <w:r>
        <w:t xml:space="preserve">quality attribute · DF, diafiltration · DP, drug product · DS, drug substance · DV,</w:t>
      </w:r>
      <w:r>
        <w:t xml:space="preserve"> </w:t>
      </w:r>
      <w:r>
        <w:t xml:space="preserve">diavolume · GPP, general process parameter · ICH, International Council for Harmonisation ·</w:t>
      </w:r>
      <w:r>
        <w:t xml:space="preserve"> </w:t>
      </w:r>
      <w:r>
        <w:t xml:space="preserve">KPP, key process parameter · MSAT, Manufacturing Science and Technology · NOR, normal</w:t>
      </w:r>
      <w:r>
        <w:t xml:space="preserve"> </w:t>
      </w:r>
      <w:r>
        <w:t xml:space="preserve">operating range · PAR, proven acceptable range · PPQ, process performance qualification ·</w:t>
      </w:r>
      <w:r>
        <w:t xml:space="preserve"> </w:t>
      </w:r>
      <w:r>
        <w:t xml:space="preserve">QbD, Quality by Design · TFF, tangential-flow filtration · TMP, transmembrane pressure ·</w:t>
      </w:r>
      <w:r>
        <w:t xml:space="preserve"> </w:t>
      </w:r>
      <w:r>
        <w:t xml:space="preserve">UF, ultrafiltration · UF/DF, ultrafiltration / diafiltration.</w:t>
      </w:r>
    </w:p>
    <w:p>
      <w:r>
        <w:br w:type="page"/>
      </w:r>
    </w:p>
    <w:bookmarkEnd w:id="11"/>
    <w:bookmarkStart w:id="1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report documents the Stage 1 (Process Design) evaluation of the A-Mab final</w:t>
      </w:r>
      <w:r>
        <w:t xml:space="preserve"> </w:t>
      </w:r>
      <w:r>
        <w:t xml:space="preserve">ultrafiltration / diafiltration (UF/DF) operation (Step 10), the tangential-flow-filtration</w:t>
      </w:r>
      <w:r>
        <w:t xml:space="preserve"> </w:t>
      </w:r>
      <w:r>
        <w:t xml:space="preserve">step that concentrates the virus-filtration pool and buffer-exchanges it into the final</w:t>
      </w:r>
      <w:r>
        <w:t xml:space="preserve"> </w:t>
      </w:r>
      <w:r>
        <w:t xml:space="preserve">formulation buffer to deliver the drug substance at its target concentration. In the A-Mab</w:t>
      </w:r>
      <w:r>
        <w:t xml:space="preserve"> </w:t>
      </w:r>
      <w:r>
        <w:t xml:space="preserve">case study this operation has</w:t>
      </w:r>
      <w:r>
        <w:t xml:space="preserve"> </w:t>
      </w:r>
      <w:r>
        <w:rPr>
          <w:b/>
          <w:bCs/>
        </w:rPr>
        <w:t xml:space="preserve">no drug-substance product-quality impact</w:t>
      </w:r>
      <w:r>
        <w:t xml:space="preserve">: it is a</w:t>
      </w:r>
      <w:r>
        <w:t xml:space="preserve"> </w:t>
      </w:r>
      <w:r>
        <w:t xml:space="preserve">formulation / mass-balance operation, and the</w:t>
      </w:r>
      <w:r>
        <w:t xml:space="preserve"> </w:t>
      </w:r>
      <w:r>
        <w:rPr>
          <w:b/>
          <w:bCs/>
        </w:rPr>
        <w:t xml:space="preserve">formulation characterization</w:t>
      </w:r>
      <w:r>
        <w:t xml:space="preserve"> </w:t>
      </w:r>
      <w:r>
        <w:t xml:space="preserve">(excipient</w:t>
      </w:r>
      <w:r>
        <w:t xml:space="preserve"> </w:t>
      </w:r>
      <w:r>
        <w:t xml:space="preserve">levels, pH, osmolality and stability) is conducted and reported under the drug-product</w:t>
      </w:r>
      <w:r>
        <w:t xml:space="preserve"> </w:t>
      </w:r>
      <w:r>
        <w:t xml:space="preserve">development program rather than in this drug-substance characterization campaign. The</w:t>
      </w:r>
      <w:r>
        <w:t xml:space="preserve"> </w:t>
      </w:r>
      <w:r>
        <w:t xml:space="preserve">operation was therefore evaluated on a qualified bench-scale UF/DF model against its</w:t>
      </w:r>
      <w:r>
        <w:t xml:space="preserve"> </w:t>
      </w:r>
      <w:r>
        <w:t xml:space="preserve">process-performance measures, following the lifecycle approach to process validation</w:t>
      </w:r>
      <w:r>
        <w:t xml:space="preserve"> </w:t>
      </w:r>
      <w:r>
        <w:t xml:space="preserve">(U.S. Food and Drug Administration 2011; Parenteral Drug Association 2013; International Society for Pharmaceutical Engineering 2023)</w:t>
      </w:r>
      <w:r>
        <w:t xml:space="preserve"> </w:t>
      </w:r>
      <w:r>
        <w:t xml:space="preserve">and the Quality-by-Design principles of ICH Q8, Q9 and</w:t>
      </w:r>
      <w:r>
        <w:t xml:space="preserve"> </w:t>
      </w:r>
      <w:r>
        <w:t xml:space="preserve">Q11</w:t>
      </w:r>
      <w:r>
        <w:t xml:space="preserve"> </w:t>
      </w:r>
      <w:r>
        <w:t xml:space="preserve">(International Council for Harmonisation 2009, 2023, 2012)</w:t>
      </w:r>
      <w:r>
        <w:t xml:space="preserve">, with the process model of the A-Mab case study</w:t>
      </w:r>
      <w:r>
        <w:t xml:space="preserve"> </w:t>
      </w:r>
      <w:r>
        <w:t xml:space="preserve">(CMC Biotech Working Group 2009)</w:t>
      </w:r>
      <w:r>
        <w:t xml:space="preserve">.</w:t>
      </w:r>
    </w:p>
    <w:p>
      <w:pPr>
        <w:pStyle w:val="BodyText"/>
      </w:pPr>
      <w:r>
        <w:t xml:space="preserve">3 process parameters were evaluated one factor at a time. The evaluation</w:t>
      </w:r>
      <w:r>
        <w:t xml:space="preserve"> </w:t>
      </w:r>
      <w:r>
        <w:t xml:space="preserve">confirms that UF/DF</w:t>
      </w:r>
      <w:r>
        <w:t xml:space="preserve"> </w:t>
      </w:r>
      <w:r>
        <w:rPr>
          <w:b/>
          <w:bCs/>
        </w:rPr>
        <w:t xml:space="preserve">forms or modifies no drug-substance product-quality CQA</w:t>
      </w:r>
      <w:r>
        <w:t xml:space="preserve"> </w:t>
      </w:r>
      <w:r>
        <w:t xml:space="preserve">and that it</w:t>
      </w:r>
      <w:r>
        <w:t xml:space="preserve"> </w:t>
      </w:r>
      <w:r>
        <w:t xml:space="preserve">robustly concentrates and buffer-exchanges the pool to the drug-substance target.</w:t>
      </w:r>
    </w:p>
    <w:p>
      <w:pPr>
        <w:pStyle w:val="BodyText"/>
      </w:pPr>
      <w:r>
        <w:rPr>
          <w:b/>
          <w:bCs/>
        </w:rPr>
        <w:t xml:space="preserve">Key outcomes</w:t>
      </w:r>
    </w:p>
    <w:p>
      <w:pPr>
        <w:pStyle w:val="Compact"/>
        <w:numPr>
          <w:ilvl w:val="0"/>
          <w:numId w:val="1001"/>
        </w:numPr>
      </w:pPr>
      <w:r>
        <w:t xml:space="preserve">No drug-substance product-quality CQA is set or modified by UF/DF; the glycan,</w:t>
      </w:r>
      <w:r>
        <w:t xml:space="preserve"> </w:t>
      </w:r>
      <w:r>
        <w:t xml:space="preserve">charge-variant, aggregate and impurity attributes are established and cleared upstream and</w:t>
      </w:r>
      <w:r>
        <w:t xml:space="preserve"> </w:t>
      </w:r>
      <w:r>
        <w:t xml:space="preserve">pass through the operation unchanged. Formulation attributes are characterized under the</w:t>
      </w:r>
      <w:r>
        <w:t xml:space="preserve"> </w:t>
      </w:r>
      <w:r>
        <w:t xml:space="preserve">drug-product program and are out of scope here.</w:t>
      </w:r>
    </w:p>
    <w:p>
      <w:pPr>
        <w:pStyle w:val="Compact"/>
        <w:numPr>
          <w:ilvl w:val="0"/>
          <w:numId w:val="1001"/>
        </w:numPr>
      </w:pPr>
      <w:r>
        <w:t xml:space="preserve">The UF/DF step yield is</w:t>
      </w:r>
      <w:r>
        <w:t xml:space="preserve"> </w:t>
      </w:r>
      <w:r>
        <w:rPr>
          <w:b/>
          <w:bCs/>
        </w:rPr>
        <w:t xml:space="preserve">97.1%</w:t>
      </w:r>
      <w:r>
        <w:t xml:space="preserve"> </w:t>
      </w:r>
      <w:r>
        <w:t xml:space="preserve">at the nominal condition</w:t>
      </w:r>
      <w:r>
        <w:t xml:space="preserve"> </w:t>
      </w:r>
      <w:r>
        <w:t xml:space="preserve">(56,232 g product mass in, 54,588 g out), completing the purification train at</w:t>
      </w:r>
      <w:r>
        <w:t xml:space="preserve"> </w:t>
      </w:r>
      <w:r>
        <w:t xml:space="preserve">an overall process yield of</w:t>
      </w:r>
      <w:r>
        <w:t xml:space="preserve"> </w:t>
      </w:r>
      <w:r>
        <w:rPr>
          <w:b/>
          <w:bCs/>
        </w:rPr>
        <w:t xml:space="preserve">83.2%</w:t>
      </w:r>
      <w:r>
        <w:t xml:space="preserve"> </w:t>
      </w:r>
      <w:r>
        <w:t xml:space="preserve">and delivering</w:t>
      </w:r>
      <w:r>
        <w:t xml:space="preserve"> </w:t>
      </w:r>
      <w:r>
        <w:rPr>
          <w:b/>
          <w:bCs/>
        </w:rPr>
        <w:t xml:space="preserve">54.6 kg</w:t>
      </w:r>
      <w:r>
        <w:t xml:space="preserve"> </w:t>
      </w:r>
      <w:r>
        <w:t xml:space="preserve">of drug substance.</w:t>
      </w:r>
    </w:p>
    <w:p>
      <w:pPr>
        <w:pStyle w:val="Compact"/>
        <w:numPr>
          <w:ilvl w:val="0"/>
          <w:numId w:val="1001"/>
        </w:numPr>
      </w:pPr>
      <w:r>
        <w:t xml:space="preserve">The operation delivers the drug substance at its target concentration of</w:t>
      </w:r>
      <w:r>
        <w:t xml:space="preserve"> </w:t>
      </w:r>
      <w:r>
        <w:rPr>
          <w:b/>
          <w:bCs/>
        </w:rPr>
        <w:t xml:space="preserve">75 g/L</w:t>
      </w:r>
      <w:r>
        <w:t xml:space="preserve"> </w:t>
      </w:r>
      <w:r>
        <w:t xml:space="preserve">(final-concentration NOR 70–80 g/L), with diafiltration completing the</w:t>
      </w:r>
      <w:r>
        <w:t xml:space="preserve"> </w:t>
      </w:r>
      <w:r>
        <w:t xml:space="preserve">exchange into the final formulation buffer.</w:t>
      </w:r>
    </w:p>
    <w:p>
      <w:pPr>
        <w:pStyle w:val="Compact"/>
        <w:numPr>
          <w:ilvl w:val="0"/>
          <w:numId w:val="1001"/>
        </w:numPr>
      </w:pPr>
      <w:r>
        <w:t xml:space="preserve">The number of diavolumes, the transmembrane pressure and the final DS concentration are all</w:t>
      </w:r>
      <w:r>
        <w:t xml:space="preserve"> </w:t>
      </w:r>
      <w:r>
        <w:t xml:space="preserve">classified</w:t>
      </w:r>
      <w:r>
        <w:t xml:space="preserve"> </w:t>
      </w:r>
      <w:r>
        <w:rPr>
          <w:b/>
          <w:bCs/>
        </w:rPr>
        <w:t xml:space="preserve">KPP</w:t>
      </w:r>
      <w:r>
        <w:t xml:space="preserve"> </w:t>
      </w:r>
      <w:r>
        <w:t xml:space="preserve">(they govern buffer-exchange completeness, process flux/time and the</w:t>
      </w:r>
      <w:r>
        <w:t xml:space="preserve"> </w:t>
      </w:r>
      <w:r>
        <w:t xml:space="preserve">final concentration — process performance — without a DS CQA impact). No parameter is a CPP.</w:t>
      </w:r>
    </w:p>
    <w:p>
      <w:pPr>
        <w:pStyle w:val="FirstParagraph"/>
      </w:pPr>
      <w:r>
        <w:t xml:space="preserve">The UF/DF operation is demonstrated to be well understood and robust as a formulation /</w:t>
      </w:r>
      <w:r>
        <w:t xml:space="preserve"> </w:t>
      </w:r>
      <w:r>
        <w:t xml:space="preserve">mass-balance step. Because it forms no drug-substance product-quality attribute, its</w:t>
      </w:r>
      <w:r>
        <w:t xml:space="preserve"> </w:t>
      </w:r>
      <w:r>
        <w:t xml:space="preserve">parameter ranges and control are justified on process-performance grounds, and this report</w:t>
      </w:r>
      <w:r>
        <w:t xml:space="preserve"> </w:t>
      </w:r>
      <w:r>
        <w:t xml:space="preserve">rolls up into the Process Characterization Master Report (</w:t>
      </w:r>
      <w:r>
        <w:rPr>
          <w:b/>
          <w:bCs/>
        </w:rPr>
        <w:t xml:space="preserve">PCMR-001</w:t>
      </w:r>
      <w:r>
        <w:t xml:space="preserve">).</w:t>
      </w:r>
    </w:p>
    <w:bookmarkEnd w:id="12"/>
    <w:bookmarkStart w:id="16" w:name="introduction"/>
    <w:p>
      <w:pPr>
        <w:pStyle w:val="Heading1"/>
      </w:pPr>
      <w:r>
        <w:t xml:space="preserve">1. Introduction</w:t>
      </w:r>
    </w:p>
    <w:bookmarkStart w:id="13" w:name="product-and-unit-operation"/>
    <w:p>
      <w:pPr>
        <w:pStyle w:val="Heading2"/>
      </w:pPr>
      <w:r>
        <w:t xml:space="preserve">1.1 Product and unit operation</w:t>
      </w:r>
    </w:p>
    <w:p>
      <w:pPr>
        <w:pStyle w:val="FirstParagraph"/>
      </w:pPr>
      <w:r>
        <w:t xml:space="preserve">A-Mab is a humanized IgG1 monoclonal antibody whose product-quality attributes — Fc</w:t>
      </w:r>
      <w:r>
        <w:t xml:space="preserve"> </w:t>
      </w:r>
      <w:r>
        <w:t xml:space="preserve">N-glycosylation, charge variants, aggregate and the process-related impurities — are</w:t>
      </w:r>
      <w:r>
        <w:t xml:space="preserve"> </w:t>
      </w:r>
      <w:r>
        <w:t xml:space="preserve">established in the production bioreactor and controlled (formed and cleared) through the</w:t>
      </w:r>
      <w:r>
        <w:t xml:space="preserve"> </w:t>
      </w:r>
      <w:r>
        <w:t xml:space="preserve">purification train</w:t>
      </w:r>
      <w:r>
        <w:t xml:space="preserve"> </w:t>
      </w:r>
      <w:r>
        <w:t xml:space="preserve">(CMC Biotech Working Group 2009)</w:t>
      </w:r>
      <w:r>
        <w:t xml:space="preserve">. Ultrafiltration / diafiltration is the final drug-substance</w:t>
      </w:r>
      <w:r>
        <w:t xml:space="preserve"> </w:t>
      </w:r>
      <w:r>
        <w:t xml:space="preserve">operation: a tangential-flow-filtration step in which ultrafiltration concentrates the</w:t>
      </w:r>
      <w:r>
        <w:t xml:space="preserve"> </w:t>
      </w:r>
      <w:r>
        <w:t xml:space="preserve">virus-filtration pool and diafiltration exchanges it into the final formulation buffer,</w:t>
      </w:r>
      <w:r>
        <w:t xml:space="preserve"> </w:t>
      </w:r>
      <w:r>
        <w:t xml:space="preserve">delivering the drug substance at its target concentration. The operation removes water and</w:t>
      </w:r>
      <w:r>
        <w:t xml:space="preserve"> </w:t>
      </w:r>
      <w:r>
        <w:t xml:space="preserve">exchanges buffer; it does not form, remove or modify any drug-substance product-quality</w:t>
      </w:r>
      <w:r>
        <w:t xml:space="preserve"> </w:t>
      </w:r>
      <w:r>
        <w:t xml:space="preserve">attribute, and is therefore evaluated here as a process-performance / mass-balance operation.</w:t>
      </w:r>
      <w:r>
        <w:t xml:space="preserve"> </w:t>
      </w:r>
      <w:r>
        <w:t xml:space="preserve">The formulation characterization proper — excipient levels, pH, osmolality and stability — is</w:t>
      </w:r>
      <w:r>
        <w:t xml:space="preserve"> </w:t>
      </w:r>
      <w:r>
        <w:t xml:space="preserve">conducted and reported under the drug-product development program.</w:t>
      </w:r>
    </w:p>
    <w:bookmarkEnd w:id="13"/>
    <w:bookmarkStart w:id="14" w:name="objectives"/>
    <w:p>
      <w:pPr>
        <w:pStyle w:val="Heading2"/>
      </w:pPr>
      <w:r>
        <w:t xml:space="preserve">1.2 Objectives</w:t>
      </w:r>
    </w:p>
    <w:p>
      <w:pPr>
        <w:pStyle w:val="FirstParagraph"/>
      </w:pPr>
      <w:r>
        <w:t xml:space="preserve">The objectives of the evaluation were to (i) confirm that UF/DF has no impact on the</w:t>
      </w:r>
      <w:r>
        <w:t xml:space="preserve"> </w:t>
      </w:r>
      <w:r>
        <w:t xml:space="preserve">drug-substance product-quality CQAs; (ii) establish the effect of the operating parameters on</w:t>
      </w:r>
      <w:r>
        <w:t xml:space="preserve"> </w:t>
      </w:r>
      <w:r>
        <w:t xml:space="preserve">the process-performance measures — step yield, buffer-exchange completeness and the final DS</w:t>
      </w:r>
      <w:r>
        <w:t xml:space="preserve"> </w:t>
      </w:r>
      <w:r>
        <w:t xml:space="preserve">concentration; (iii) confirm that the drug substance is delivered at its target concentration</w:t>
      </w:r>
      <w:r>
        <w:t xml:space="preserve"> </w:t>
      </w:r>
      <w:r>
        <w:t xml:space="preserve">and buffer composition across the operating ranges; (iv) establish proven acceptable ranges</w:t>
      </w:r>
      <w:r>
        <w:t xml:space="preserve"> </w:t>
      </w:r>
      <w:r>
        <w:t xml:space="preserve">(PARs) and normal operating ranges (NORs) for each parameter; and (v) classify each parameter</w:t>
      </w:r>
      <w:r>
        <w:t xml:space="preserve"> </w:t>
      </w:r>
      <w:r>
        <w:t xml:space="preserve">and provide the ranges that justify the Stage 2 operating conditions and the control strategy.</w:t>
      </w:r>
    </w:p>
    <w:bookmarkEnd w:id="14"/>
    <w:bookmarkStart w:id="15" w:name="regulatory-and-scientific-basis"/>
    <w:p>
      <w:pPr>
        <w:pStyle w:val="Heading2"/>
      </w:pPr>
      <w:r>
        <w:t xml:space="preserve">1.3 Regulatory and scientific basis</w:t>
      </w:r>
    </w:p>
    <w:p>
      <w:pPr>
        <w:pStyle w:val="FirstParagraph"/>
      </w:pPr>
      <w:r>
        <w:t xml:space="preserve">The work follows the lifecycle approach to process validation of the FDA 2011 guidance</w:t>
      </w:r>
      <w:r>
        <w:t xml:space="preserve"> </w:t>
      </w:r>
      <w:r>
        <w:t xml:space="preserve">(U.S. Food and Drug Administration 2011)</w:t>
      </w:r>
      <w:r>
        <w:t xml:space="preserve">, PDA Technical Report 60</w:t>
      </w:r>
      <w:r>
        <w:t xml:space="preserve"> </w:t>
      </w:r>
      <w:r>
        <w:t xml:space="preserve">(Parenteral Drug Association 2013)</w:t>
      </w:r>
      <w:r>
        <w:t xml:space="preserve"> </w:t>
      </w:r>
      <w:r>
        <w:t xml:space="preserve">and the ISPE Good Practice Guide</w:t>
      </w:r>
      <w:r>
        <w:t xml:space="preserve"> </w:t>
      </w:r>
      <w:r>
        <w:t xml:space="preserve">(International Society for Pharmaceutical Engineering 2023)</w:t>
      </w:r>
      <w:r>
        <w:t xml:space="preserve">, and applies the enhanced (QbD) development approach of ICH Q8, Q9 and Q11</w:t>
      </w:r>
      <w:r>
        <w:t xml:space="preserve"> </w:t>
      </w:r>
      <w:r>
        <w:t xml:space="preserve">(International Council for Harmonisation 2009, 2023, 2012)</w:t>
      </w:r>
      <w:r>
        <w:t xml:space="preserve">. Criticality is treated as a continuum (ICH Q9). The report</w:t>
      </w:r>
      <w:r>
        <w:t xml:space="preserve"> </w:t>
      </w:r>
      <w:r>
        <w:t xml:space="preserve">structure corresponds to the Stage 1 Process Design Report of PDA TR 60 §3.11 and provides</w:t>
      </w:r>
      <w:r>
        <w:t xml:space="preserve"> </w:t>
      </w:r>
      <w:r>
        <w:t xml:space="preserve">development-report content suitable to support a Biologics License Application; it is</w:t>
      </w:r>
      <w:r>
        <w:t xml:space="preserve"> </w:t>
      </w:r>
      <w:r>
        <w:t xml:space="preserve">correspondingly focused, because the operation forms no drug-substance CQA and the</w:t>
      </w:r>
      <w:r>
        <w:t xml:space="preserve"> </w:t>
      </w:r>
      <w:r>
        <w:t xml:space="preserve">formulation characterization is reported with the drug product.</w:t>
      </w:r>
    </w:p>
    <w:bookmarkEnd w:id="15"/>
    <w:bookmarkEnd w:id="16"/>
    <w:bookmarkStart w:id="21" w:name="prior-knowledge-and-quality-risk-basis"/>
    <w:p>
      <w:pPr>
        <w:pStyle w:val="Heading1"/>
      </w:pPr>
      <w:r>
        <w:t xml:space="preserve">2. Prior knowledge and quality risk basis</w:t>
      </w:r>
    </w:p>
    <w:bookmarkStart w:id="17" w:name="platform-and-prior-product-knowledge"/>
    <w:p>
      <w:pPr>
        <w:pStyle w:val="Heading2"/>
      </w:pPr>
      <w:r>
        <w:t xml:space="preserve">2.1 Platform and prior-product knowledge</w:t>
      </w:r>
    </w:p>
    <w:p>
      <w:pPr>
        <w:pStyle w:val="FirstParagraph"/>
      </w:pPr>
      <w:r>
        <w:t xml:space="preserve">The characterization ranges and set-points are supported by platform knowledge from related</w:t>
      </w:r>
      <w:r>
        <w:t xml:space="preserve"> </w:t>
      </w:r>
      <w:r>
        <w:t xml:space="preserve">humanized IgG1 antibodies and by A-Mab development and engineering experience</w:t>
      </w:r>
      <w:r>
        <w:t xml:space="preserve"> </w:t>
      </w:r>
      <w:r>
        <w:t xml:space="preserve">(CMC Biotech Working Group 2009)</w:t>
      </w:r>
      <w:r>
        <w:t xml:space="preserve">.</w:t>
      </w:r>
      <w:r>
        <w:t xml:space="preserve"> </w:t>
      </w:r>
      <w:r>
        <w:t xml:space="preserve">Prior knowledge established that the glycan, charge-variant and aggregate CQAs are set in cell</w:t>
      </w:r>
      <w:r>
        <w:t xml:space="preserve"> </w:t>
      </w:r>
      <w:r>
        <w:t xml:space="preserve">culture and cleared through the purification train, and that a well-controlled UF/DF step</w:t>
      </w:r>
      <w:r>
        <w:t xml:space="preserve"> </w:t>
      </w:r>
      <w:r>
        <w:t xml:space="preserve">concentrates and buffer-exchanges the pool without altering these attributes: the antibody is</w:t>
      </w:r>
      <w:r>
        <w:t xml:space="preserve"> </w:t>
      </w:r>
      <w:r>
        <w:t xml:space="preserve">retained by the ultrafiltration membrane while water and small solutes permeate, so the</w:t>
      </w:r>
      <w:r>
        <w:t xml:space="preserve"> </w:t>
      </w:r>
      <w:r>
        <w:t xml:space="preserve">product-quality attributes are unchanged by the operation. This knowledge framed the</w:t>
      </w:r>
      <w:r>
        <w:t xml:space="preserve"> </w:t>
      </w:r>
      <w:r>
        <w:t xml:space="preserve">process-performance measures in scope and the decision to evaluate the operation univariately.</w:t>
      </w:r>
    </w:p>
    <w:bookmarkEnd w:id="17"/>
    <w:bookmarkStart w:id="19" w:name="X691cbf76c2291c519056583d65ff05b507644cc"/>
    <w:p>
      <w:pPr>
        <w:pStyle w:val="Heading2"/>
      </w:pPr>
      <w:r>
        <w:t xml:space="preserve">2.2 Quality attributes and process-performance measures</w:t>
      </w:r>
    </w:p>
    <w:p>
      <w:pPr>
        <w:pStyle w:val="FirstParagraph"/>
      </w:pPr>
      <w:r>
        <w:t xml:space="preserve">UF/DF</w:t>
      </w:r>
      <w:r>
        <w:t xml:space="preserve"> </w:t>
      </w:r>
      <w:r>
        <w:rPr>
          <w:b/>
          <w:bCs/>
        </w:rPr>
        <w:t xml:space="preserve">sets or modifies no drug-substance product-quality CQA</w:t>
      </w:r>
      <w:r>
        <w:t xml:space="preserve">; the CQAs established</w:t>
      </w:r>
      <w:r>
        <w:t xml:space="preserve"> </w:t>
      </w:r>
      <w:r>
        <w:t xml:space="preserve">upstream pass through the operation unchanged. The operation was therefore evaluated against</w:t>
      </w:r>
      <w:r>
        <w:t xml:space="preserve"> </w:t>
      </w:r>
      <w:r>
        <w:t xml:space="preserve">the process-performance measures it governs (</w:t>
      </w:r>
      <w:hyperlink w:anchor="tbl-perf">
        <w:r>
          <w:rPr>
            <w:rStyle w:val="Hyperlink"/>
          </w:rPr>
          <w:t xml:space="preserve">Table 2</w:t>
        </w:r>
      </w:hyperlink>
      <w:r>
        <w:t xml:space="preserve">): the product (step) yield, the</w:t>
      </w:r>
      <w:r>
        <w:t xml:space="preserve"> </w:t>
      </w:r>
      <w:r>
        <w:t xml:space="preserve">buffer-exchange completeness delivered by the diafiltration, and the final DS concentration.</w:t>
      </w:r>
      <w:r>
        <w:t xml:space="preserve"> </w:t>
      </w:r>
      <w:r>
        <w:t xml:space="preserve">Formulation attributes (excipient concentrations, pH, osmolality) are drug-product</w:t>
      </w:r>
      <w:r>
        <w:t xml:space="preserve"> </w:t>
      </w:r>
      <w:r>
        <w:t xml:space="preserve">characterization endpoints and are addressed under the drug-product program, not 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perf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Process-performance measures evaluated for the UF/DF operation (no drug-substance product-quality CQA is set by this step).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11"/>
              <w:gridCol w:w="2211"/>
              <w:gridCol w:w="349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Process-performance measure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Result at nominal condition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Basis / criterion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UF/DF step yield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97.1%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Mass balance across the final operation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Final DS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75 g/L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Within NOR 70–80 g/L (</w:t>
                  </w:r>
                  <w:hyperlink w:anchor="tbl-param">
                    <w:r>
                      <w:rPr>
                        <w:rStyle w:val="Hyperlink"/>
                      </w:rPr>
                      <w:t xml:space="preserve">Table 4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Buffer-exchange completeness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Within target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Diavolumes / residual old-buffer target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Product-quality CQAs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Unchanged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 and cleared upstream; not modified by UF/DF</w:t>
                  </w:r>
                </w:p>
              </w:tc>
            </w:tr>
          </w:tbl>
          <w:bookmarkEnd w:id="18"/>
          <w:p/>
        </w:tc>
      </w:tr>
    </w:tbl>
    <w:bookmarkEnd w:id="19"/>
    <w:bookmarkStart w:id="20" w:name="X8e350aaf11e00001962f0e94cfe08bc5c1a6d7b"/>
    <w:p>
      <w:pPr>
        <w:pStyle w:val="Heading2"/>
      </w:pPr>
      <w:r>
        <w:t xml:space="preserve">2.3 Risk-based prioritization and parameter selection</w:t>
      </w:r>
    </w:p>
    <w:p>
      <w:pPr>
        <w:pStyle w:val="FirstParagraph"/>
      </w:pPr>
      <w:r>
        <w:t xml:space="preserve">Consistent with the A-Mab lifecycle of iterative risk assessments, the evaluation scope was</w:t>
      </w:r>
      <w:r>
        <w:t xml:space="preserve"> </w:t>
      </w:r>
      <w:r>
        <w:t xml:space="preserve">set by the Pre-Characterization Process Risk Assessment (</w:t>
      </w:r>
      <w:r>
        <w:rPr>
          <w:b/>
          <w:bCs/>
        </w:rPr>
        <w:t xml:space="preserve">RA-001</w:t>
      </w:r>
      <w:r>
        <w:t xml:space="preserve">). Because UF/DF carries no</w:t>
      </w:r>
      <w:r>
        <w:t xml:space="preserve"> </w:t>
      </w:r>
      <w:r>
        <w:t xml:space="preserve">credible risk of impact to a drug-substance product-quality CQA, none of its parameters was</w:t>
      </w:r>
      <w:r>
        <w:t xml:space="preserve"> </w:t>
      </w:r>
      <w:r>
        <w:t xml:space="preserve">assigned to a multivariate design of experiments; each parameter was evaluated one factor at a</w:t>
      </w:r>
      <w:r>
        <w:t xml:space="preserve"> </w:t>
      </w:r>
      <w:r>
        <w:t xml:space="preserve">time across its characterization range for its effect on the process-performance measures. The</w:t>
      </w:r>
      <w:r>
        <w:t xml:space="preserve"> </w:t>
      </w:r>
      <w:r>
        <w:t xml:space="preserve">parameters and ranges carried into this evaluation are given in</w:t>
      </w:r>
      <w:r>
        <w:t xml:space="preserve"> </w:t>
      </w:r>
      <w:hyperlink w:anchor="tbl-param">
        <w:r>
          <w:rPr>
            <w:rStyle w:val="Hyperlink"/>
          </w:rPr>
          <w:t xml:space="preserve">Table 4</w:t>
        </w:r>
      </w:hyperlink>
      <w:r>
        <w:t xml:space="preserve">.</w:t>
      </w:r>
    </w:p>
    <w:bookmarkEnd w:id="20"/>
    <w:bookmarkEnd w:id="21"/>
    <w:bookmarkStart w:id="28" w:name="materials-and-methods"/>
    <w:p>
      <w:pPr>
        <w:pStyle w:val="Heading1"/>
      </w:pPr>
      <w:r>
        <w:t xml:space="preserve">3. Materials and methods</w:t>
      </w:r>
    </w:p>
    <w:bookmarkStart w:id="22" w:name="scale-down-model-and-its-qualification"/>
    <w:p>
      <w:pPr>
        <w:pStyle w:val="Heading2"/>
      </w:pPr>
      <w:r>
        <w:t xml:space="preserve">3.1 Scale-down model and its qualification</w:t>
      </w:r>
    </w:p>
    <w:p>
      <w:pPr>
        <w:pStyle w:val="FirstParagraph"/>
      </w:pPr>
      <w:r>
        <w:t xml:space="preserve">All runs were performed on a qualified bench-scale UF/DF (tangential-flow-filtration) model</w:t>
      </w:r>
      <w:r>
        <w:t xml:space="preserve"> </w:t>
      </w:r>
      <w:r>
        <w:t xml:space="preserve">representing the commercial operation — the platform membrane chemistry and molecular-weight</w:t>
      </w:r>
      <w:r>
        <w:t xml:space="preserve"> </w:t>
      </w:r>
      <w:r>
        <w:t xml:space="preserve">cut-off, operated at the commercial-equivalent membrane loading, transmembrane pressure and</w:t>
      </w:r>
      <w:r>
        <w:t xml:space="preserve"> </w:t>
      </w:r>
      <w:r>
        <w:t xml:space="preserve">cross-flow, with the same ultrafiltration-concentration and diafiltration-exchange sequence</w:t>
      </w:r>
      <w:r>
        <w:t xml:space="preserve"> </w:t>
      </w:r>
      <w:r>
        <w:t xml:space="preserve">(</w:t>
      </w:r>
      <w:r>
        <w:rPr>
          <w:b/>
          <w:bCs/>
        </w:rPr>
        <w:t xml:space="preserve">SOP-2013</w:t>
      </w:r>
      <w:r>
        <w:t xml:space="preserve">). The model was qualified against at-scale reference data (</w:t>
      </w:r>
      <w:r>
        <w:rPr>
          <w:b/>
          <w:bCs/>
        </w:rPr>
        <w:t xml:space="preserve">SOP-1001</w:t>
      </w:r>
      <w:r>
        <w:t xml:space="preserve">) by</w:t>
      </w:r>
      <w:r>
        <w:t xml:space="preserve"> </w:t>
      </w:r>
      <w:r>
        <w:t xml:space="preserve">comparing step yield, the final concentration and the buffer-exchange completeness, confirming</w:t>
      </w:r>
      <w:r>
        <w:t xml:space="preserve"> </w:t>
      </w:r>
      <w:r>
        <w:t xml:space="preserve">that the model is representative and suitable to support the parameter ranges</w:t>
      </w:r>
      <w:r>
        <w:t xml:space="preserve"> </w:t>
      </w:r>
      <w:r>
        <w:t xml:space="preserve">(Parenteral Drug Association 2013)</w:t>
      </w:r>
      <w:r>
        <w:t xml:space="preserve">.</w:t>
      </w:r>
    </w:p>
    <w:bookmarkEnd w:id="22"/>
    <w:bookmarkStart w:id="23" w:name="operation"/>
    <w:p>
      <w:pPr>
        <w:pStyle w:val="Heading2"/>
      </w:pPr>
      <w:r>
        <w:t xml:space="preserve">3.2 Operation</w:t>
      </w:r>
    </w:p>
    <w:p>
      <w:pPr>
        <w:pStyle w:val="FirstParagraph"/>
      </w:pPr>
      <w:r>
        <w:t xml:space="preserve">The virus-filtration pool is concentrated by ultrafiltration, diafiltered against the final</w:t>
      </w:r>
      <w:r>
        <w:t xml:space="preserve"> </w:t>
      </w:r>
      <w:r>
        <w:t xml:space="preserve">formulation buffer for the target number of diavolumes, and further concentrated to the final</w:t>
      </w:r>
      <w:r>
        <w:t xml:space="preserve"> </w:t>
      </w:r>
      <w:r>
        <w:t xml:space="preserve">drug-substance target, with the transmembrane pressure and cross-flow controlled through the</w:t>
      </w:r>
      <w:r>
        <w:t xml:space="preserve"> </w:t>
      </w:r>
      <w:r>
        <w:t xml:space="preserve">operation. The number of diavolumes, the transmembrane pressure and the final DS concentration</w:t>
      </w:r>
      <w:r>
        <w:t xml:space="preserve"> </w:t>
      </w:r>
      <w:r>
        <w:t xml:space="preserve">are the operating variables; membrane lot and buffer composition are controlled to platform</w:t>
      </w:r>
      <w:r>
        <w:t xml:space="preserve"> </w:t>
      </w:r>
      <w:r>
        <w:t xml:space="preserve">specifications and treated as identity/quality-controlled inputs rather than characterized</w:t>
      </w:r>
      <w:r>
        <w:t xml:space="preserve"> </w:t>
      </w:r>
      <w:r>
        <w:t xml:space="preserve">variables</w:t>
      </w:r>
      <w:r>
        <w:t xml:space="preserve"> </w:t>
      </w:r>
      <w:r>
        <w:t xml:space="preserve">(CMC Biotech Working Group 2009)</w:t>
      </w:r>
      <w:r>
        <w:t xml:space="preserve">.</w:t>
      </w:r>
    </w:p>
    <w:bookmarkEnd w:id="23"/>
    <w:bookmarkStart w:id="25" w:name="analytical-methods"/>
    <w:p>
      <w:pPr>
        <w:pStyle w:val="Heading2"/>
      </w:pPr>
      <w:r>
        <w:t xml:space="preserve">3.3 Analytical methods</w:t>
      </w:r>
    </w:p>
    <w:p>
      <w:pPr>
        <w:pStyle w:val="FirstParagraph"/>
      </w:pPr>
      <w:r>
        <w:t xml:space="preserve">Product concentration and the product-quality attributes were measured by validated methods</w:t>
      </w:r>
      <w:r>
        <w:t xml:space="preserve"> </w:t>
      </w:r>
      <w:r>
        <w:t xml:space="preserve">(</w:t>
      </w:r>
      <w:hyperlink w:anchor="tbl-methods">
        <w:r>
          <w:rPr>
            <w:rStyle w:val="Hyperlink"/>
          </w:rPr>
          <w:t xml:space="preserve">Table 3</w:t>
        </w:r>
      </w:hyperlink>
      <w:r>
        <w:t xml:space="preserve">). The DS concentration was determined by protein A₂₈₀ (</w:t>
      </w:r>
      <w:r>
        <w:rPr>
          <w:b/>
          <w:bCs/>
        </w:rPr>
        <w:t xml:space="preserve">AMV-3019</w:t>
      </w:r>
      <w:r>
        <w:t xml:space="preserve">); size</w:t>
      </w:r>
      <w:r>
        <w:t xml:space="preserve"> </w:t>
      </w:r>
      <w:r>
        <w:t xml:space="preserve">variants (aggregate/HMW) by SEC-HPLC (</w:t>
      </w:r>
      <w:r>
        <w:rPr>
          <w:b/>
          <w:bCs/>
        </w:rPr>
        <w:t xml:space="preserve">AMV-3011</w:t>
      </w:r>
      <w:r>
        <w:t xml:space="preserve">) and charge variants by icIEF</w:t>
      </w:r>
      <w:r>
        <w:t xml:space="preserve"> </w:t>
      </w:r>
      <w:r>
        <w:t xml:space="preserve">(</w:t>
      </w:r>
      <w:r>
        <w:rPr>
          <w:b/>
          <w:bCs/>
        </w:rPr>
        <w:t xml:space="preserve">AMV-3013</w:t>
      </w:r>
      <w:r>
        <w:t xml:space="preserve">) to confirm the attributes are unchanged across the operation. Method</w:t>
      </w:r>
      <w:r>
        <w:t xml:space="preserve"> </w:t>
      </w:r>
      <w:r>
        <w:t xml:space="preserve">performance characteristics are summarized in Appendix 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meth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Validated analytical methods used in the evaluation.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Concentration by A280 (UV)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 Variants (icIEF)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24"/>
          <w:p/>
        </w:tc>
      </w:tr>
    </w:tbl>
    <w:bookmarkEnd w:id="25"/>
    <w:bookmarkStart w:id="26" w:name="sampling-plan"/>
    <w:p>
      <w:pPr>
        <w:pStyle w:val="Heading2"/>
      </w:pPr>
      <w:r>
        <w:t xml:space="preserve">3.4 Sampling plan</w:t>
      </w:r>
    </w:p>
    <w:p>
      <w:pPr>
        <w:pStyle w:val="FirstParagraph"/>
      </w:pPr>
      <w:r>
        <w:t xml:space="preserve">Each run was sampled at the final drug-substance pool for concentration and for the size- and</w:t>
      </w:r>
      <w:r>
        <w:t xml:space="preserve"> </w:t>
      </w:r>
      <w:r>
        <w:t xml:space="preserve">charge-variant attributes, and the product mass across the operation was recorded for the</w:t>
      </w:r>
      <w:r>
        <w:t xml:space="preserve"> </w:t>
      </w:r>
      <w:r>
        <w:t xml:space="preserve">step-yield calculation; the diafiltration exchange was monitored to confirm buffer-exchange</w:t>
      </w:r>
      <w:r>
        <w:t xml:space="preserve"> </w:t>
      </w:r>
      <w:r>
        <w:t xml:space="preserve">completeness. Runs at the parameter set-points were replicated to quantify the reproducibility</w:t>
      </w:r>
      <w:r>
        <w:t xml:space="preserve"> </w:t>
      </w:r>
      <w:r>
        <w:t xml:space="preserve">of yield and final concentration.</w:t>
      </w:r>
    </w:p>
    <w:bookmarkEnd w:id="26"/>
    <w:bookmarkStart w:id="27" w:name="statistical-methods"/>
    <w:p>
      <w:pPr>
        <w:pStyle w:val="Heading2"/>
      </w:pPr>
      <w:r>
        <w:t xml:space="preserve">3.5 Statistical methods</w:t>
      </w:r>
    </w:p>
    <w:p>
      <w:pPr>
        <w:pStyle w:val="FirstParagraph"/>
      </w:pPr>
      <w:r>
        <w:t xml:space="preserve">Because no drug-substance product-quality CQA is affected, the operation was evaluated</w:t>
      </w:r>
      <w:r>
        <w:t xml:space="preserve"> </w:t>
      </w:r>
      <w:r>
        <w:t xml:space="preserve">univariately rather than by a designed experiment. Each parameter was varied one factor at a</w:t>
      </w:r>
      <w:r>
        <w:t xml:space="preserve"> </w:t>
      </w:r>
      <w:r>
        <w:t xml:space="preserve">time across its characterization range, holding the others at their set-points, and the</w:t>
      </w:r>
      <w:r>
        <w:t xml:space="preserve"> </w:t>
      </w:r>
      <w:r>
        <w:t xml:space="preserve">process-performance measures — step yield, buffer-exchange completeness and final DS</w:t>
      </w:r>
      <w:r>
        <w:t xml:space="preserve"> </w:t>
      </w:r>
      <w:r>
        <w:t xml:space="preserve">concentration — were summarized against the parameter level. Reproducibility of yield and</w:t>
      </w:r>
      <w:r>
        <w:t xml:space="preserve"> </w:t>
      </w:r>
      <w:r>
        <w:t xml:space="preserve">final concentration was estimated from the replicated set-point runs. Parameter ranges were</w:t>
      </w:r>
      <w:r>
        <w:t xml:space="preserve"> </w:t>
      </w:r>
      <w:r>
        <w:t xml:space="preserve">judged acceptable where the performance measures remained within their platform targets and</w:t>
      </w:r>
      <w:r>
        <w:t xml:space="preserve"> </w:t>
      </w:r>
      <w:r>
        <w:t xml:space="preserve">the product-quality CQAs were unchanged.</w:t>
      </w:r>
    </w:p>
    <w:bookmarkEnd w:id="27"/>
    <w:bookmarkEnd w:id="28"/>
    <w:bookmarkStart w:id="32" w:name="study-design"/>
    <w:p>
      <w:pPr>
        <w:pStyle w:val="Heading1"/>
      </w:pPr>
      <w:r>
        <w:t xml:space="preserve">4. Study design</w:t>
      </w:r>
    </w:p>
    <w:bookmarkStart w:id="30" w:name="Xf1c3c0d05c16969c14f9b52ebf870d135fc1ba2"/>
    <w:p>
      <w:pPr>
        <w:pStyle w:val="Heading2"/>
      </w:pPr>
      <w:r>
        <w:t xml:space="preserve">4.1 Parameters, ranges and the knowledge space</w:t>
      </w:r>
    </w:p>
    <w:p>
      <w:pPr>
        <w:pStyle w:val="FirstParagraph"/>
      </w:pPr>
      <w:r>
        <w:t xml:space="preserve">3 parameters were evaluated (</w:t>
      </w:r>
      <w:hyperlink w:anchor="tbl-param">
        <w:r>
          <w:rPr>
            <w:rStyle w:val="Hyperlink"/>
          </w:rPr>
          <w:t xml:space="preserve">Table 4</w:t>
        </w:r>
      </w:hyperlink>
      <w:r>
        <w:t xml:space="preserve">). The characterization range of each</w:t>
      </w:r>
      <w:r>
        <w:t xml:space="preserve"> </w:t>
      </w:r>
      <w:r>
        <w:t xml:space="preserve">parameter (</w:t>
      </w:r>
      <w:r>
        <w:t xml:space="preserve">“PAR”</w:t>
      </w:r>
      <w:r>
        <w:t xml:space="preserve"> </w:t>
      </w:r>
      <w:r>
        <w:t xml:space="preserve">column) defines the edges of the explored knowledge space and the basis of</w:t>
      </w:r>
      <w:r>
        <w:t xml:space="preserve"> </w:t>
      </w:r>
      <w:r>
        <w:t xml:space="preserve">the proven acceptable range; the NOR is the tighter range at which the parameter is controlled</w:t>
      </w:r>
      <w:r>
        <w:t xml:space="preserve"> </w:t>
      </w:r>
      <w:r>
        <w:t xml:space="preserve">routinely. Classification is an output of the evaluation (§8).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para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UF/DF process parameters, set-points, ranges and post-characterization classification.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76"/>
              <w:gridCol w:w="792"/>
              <w:gridCol w:w="1287"/>
              <w:gridCol w:w="693"/>
              <w:gridCol w:w="693"/>
              <w:gridCol w:w="891"/>
              <w:gridCol w:w="118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Number of diavolumes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7–9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7–10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Transmembrane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Final DS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70–80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65–85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univariate-ranging"/>
    <w:p>
      <w:pPr>
        <w:pStyle w:val="Heading2"/>
      </w:pPr>
      <w:r>
        <w:t xml:space="preserve">4.2 Univariate ranging</w:t>
      </w:r>
    </w:p>
    <w:p>
      <w:pPr>
        <w:pStyle w:val="FirstParagraph"/>
      </w:pPr>
      <w:r>
        <w:t xml:space="preserve">Each parameter was evaluated one factor at a time across its characterization range; none was</w:t>
      </w:r>
      <w:r>
        <w:t xml:space="preserve"> </w:t>
      </w:r>
      <w:r>
        <w:t xml:space="preserve">carried into a multivariate design because prior knowledge and the Pre-Characterization Risk</w:t>
      </w:r>
      <w:r>
        <w:t xml:space="preserve"> </w:t>
      </w:r>
      <w:r>
        <w:t xml:space="preserve">Assessment indicated no credible drug-substance CQA impact. The product-quality CQAs were</w:t>
      </w:r>
      <w:r>
        <w:t xml:space="preserve"> </w:t>
      </w:r>
      <w:r>
        <w:t xml:space="preserve">confirmed unchanged across the ranging.</w:t>
      </w:r>
    </w:p>
    <w:bookmarkEnd w:id="31"/>
    <w:bookmarkEnd w:id="32"/>
    <w:bookmarkStart w:id="36" w:name="results"/>
    <w:p>
      <w:pPr>
        <w:pStyle w:val="Heading1"/>
      </w:pPr>
      <w:r>
        <w:t xml:space="preserve">5. Results</w:t>
      </w:r>
    </w:p>
    <w:bookmarkStart w:id="33" w:name="process-performance-and-reproducibility"/>
    <w:p>
      <w:pPr>
        <w:pStyle w:val="Heading2"/>
      </w:pPr>
      <w:r>
        <w:t xml:space="preserve">5.1 Process performance and reproducibility</w:t>
      </w:r>
    </w:p>
    <w:p>
      <w:pPr>
        <w:pStyle w:val="FirstParagraph"/>
      </w:pPr>
      <w:r>
        <w:t xml:space="preserve">At the nominal (set-point) condition the operation recovered antibody with a UF/DF step yield</w:t>
      </w:r>
      <w:r>
        <w:t xml:space="preserve"> </w:t>
      </w:r>
      <w:r>
        <w:t xml:space="preserve">of 97.1% (56,232 g product mass in,</w:t>
      </w:r>
      <w:r>
        <w:t xml:space="preserve"> </w:t>
      </w:r>
      <w:r>
        <w:t xml:space="preserve">54,588 g out), completing the purification train at an overall process</w:t>
      </w:r>
      <w:r>
        <w:t xml:space="preserve"> </w:t>
      </w:r>
      <w:r>
        <w:t xml:space="preserve">yield of 83.2% and delivering 54.6 kg of drug</w:t>
      </w:r>
      <w:r>
        <w:t xml:space="preserve"> </w:t>
      </w:r>
      <w:r>
        <w:t xml:space="preserve">substance at the target concentration of 75 g/L. The set-point</w:t>
      </w:r>
      <w:r>
        <w:t xml:space="preserve"> </w:t>
      </w:r>
      <w:r>
        <w:t xml:space="preserve">replicates confirmed that step yield and final concentration are reproducible, establishing</w:t>
      </w:r>
      <w:r>
        <w:t xml:space="preserve"> </w:t>
      </w:r>
      <w:r>
        <w:t xml:space="preserve">that the operation delivers drug substance of consistent concentration and buffer composition.</w:t>
      </w:r>
    </w:p>
    <w:bookmarkEnd w:id="33"/>
    <w:bookmarkStart w:id="34" w:name="X5d5c8c8e74357d2be3bcd0cdc2c5ffe9cac5cfa"/>
    <w:p>
      <w:pPr>
        <w:pStyle w:val="Heading2"/>
      </w:pPr>
      <w:r>
        <w:t xml:space="preserve">5.2 Univariate ranging of the operating parameters</w:t>
      </w:r>
    </w:p>
    <w:p>
      <w:pPr>
        <w:pStyle w:val="FirstParagraph"/>
      </w:pPr>
      <w:r>
        <w:t xml:space="preserve">Across the characterization range of each parameter, the process-performance measures remained</w:t>
      </w:r>
      <w:r>
        <w:t xml:space="preserve"> </w:t>
      </w:r>
      <w:r>
        <w:t xml:space="preserve">within their platform targets and the product-quality CQAs were unchanged: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Number of diavolumes.</w:t>
      </w:r>
      <w:r>
        <w:t xml:space="preserve"> </w:t>
      </w:r>
      <w:r>
        <w:t xml:space="preserve">Increasing the number of diavolumes improves the completeness of</w:t>
      </w:r>
      <w:r>
        <w:t xml:space="preserve"> </w:t>
      </w:r>
      <w:r>
        <w:t xml:space="preserve">the buffer exchange (lowering residual old-buffer components) at the cost of longer process</w:t>
      </w:r>
      <w:r>
        <w:t xml:space="preserve"> </w:t>
      </w:r>
      <w:r>
        <w:t xml:space="preserve">time; buffer-exchange completeness and yield remained acceptable across the range, and the</w:t>
      </w:r>
      <w:r>
        <w:t xml:space="preserve"> </w:t>
      </w:r>
      <w:r>
        <w:t xml:space="preserve">NOR was confirmed as the window that assures complete exchange without unnecessary process</w:t>
      </w:r>
      <w:r>
        <w:t xml:space="preserve"> </w:t>
      </w:r>
      <w:r>
        <w:t xml:space="preserve">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Transmembrane pressure.</w:t>
      </w:r>
      <w:r>
        <w:t xml:space="preserve"> </w:t>
      </w:r>
      <w:r>
        <w:t xml:space="preserve">Increasing the transmembrane pressure raises the permeate flux</w:t>
      </w:r>
      <w:r>
        <w:t xml:space="preserve"> </w:t>
      </w:r>
      <w:r>
        <w:t xml:space="preserve">and shortens process time but, above the range, risks membrane fouling and concentration</w:t>
      </w:r>
      <w:r>
        <w:t xml:space="preserve"> </w:t>
      </w:r>
      <w:r>
        <w:t xml:space="preserve">polarization; flux and yield remained within target across the range, and the NOR was</w:t>
      </w:r>
      <w:r>
        <w:t xml:space="preserve"> </w:t>
      </w:r>
      <w:r>
        <w:t xml:space="preserve">confirmed as the window that balances throughput against fouling.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 DS concentration.</w:t>
      </w:r>
      <w:r>
        <w:t xml:space="preserve"> </w:t>
      </w:r>
      <w:r>
        <w:t xml:space="preserve">As the controlled output attribute of the operation, the final</w:t>
      </w:r>
      <w:r>
        <w:t xml:space="preserve"> </w:t>
      </w:r>
      <w:r>
        <w:t xml:space="preserve">DS concentration was delivered on target across the operating conditions, confirming a</w:t>
      </w:r>
      <w:r>
        <w:t xml:space="preserve"> </w:t>
      </w:r>
      <w:r>
        <w:t xml:space="preserve">consistent drug-substance concentration.</w:t>
      </w:r>
    </w:p>
    <w:bookmarkEnd w:id="34"/>
    <w:bookmarkStart w:id="35" w:name="no-product-quality-impact"/>
    <w:p>
      <w:pPr>
        <w:pStyle w:val="Heading2"/>
      </w:pPr>
      <w:r>
        <w:t xml:space="preserve">5.3 No product-quality impact</w:t>
      </w:r>
    </w:p>
    <w:p>
      <w:pPr>
        <w:pStyle w:val="FirstParagraph"/>
      </w:pPr>
      <w:r>
        <w:t xml:space="preserve">The size-variant (aggregate) and charge-variant results confirmed that these attributes are</w:t>
      </w:r>
      <w:r>
        <w:t xml:space="preserve"> </w:t>
      </w:r>
      <w:r>
        <w:t xml:space="preserve">unchanged across the operation, and the glycan attributes — set in cell culture — are not</w:t>
      </w:r>
      <w:r>
        <w:t xml:space="preserve"> </w:t>
      </w:r>
      <w:r>
        <w:t xml:space="preserve">modified by concentration or buffer exchange. The evaluation therefore confirms that UF/DF has</w:t>
      </w:r>
      <w:r>
        <w:t xml:space="preserve"> </w:t>
      </w:r>
      <w:r>
        <w:t xml:space="preserve">no drug-substance product-quality impact, consistent with the A-Mab case study, in which the</w:t>
      </w:r>
      <w:r>
        <w:t xml:space="preserve"> </w:t>
      </w:r>
      <w:r>
        <w:t xml:space="preserve">operation is a formulation / mass-balance step and the formulation characterization is reported</w:t>
      </w:r>
      <w:r>
        <w:t xml:space="preserve"> </w:t>
      </w:r>
      <w:r>
        <w:t xml:space="preserve">with the drug product</w:t>
      </w:r>
      <w:r>
        <w:t xml:space="preserve"> </w:t>
      </w:r>
      <w:r>
        <w:t xml:space="preserve">(CMC Biotech Working Group 2009)</w:t>
      </w:r>
      <w:r>
        <w:t xml:space="preserve">.</w:t>
      </w:r>
    </w:p>
    <w:bookmarkEnd w:id="35"/>
    <w:bookmarkEnd w:id="36"/>
    <w:bookmarkStart w:id="37" w:name="process-performance-and-consistency"/>
    <w:p>
      <w:pPr>
        <w:pStyle w:val="Heading1"/>
      </w:pPr>
      <w:r>
        <w:t xml:space="preserve">6. Process performance and consistency</w:t>
      </w:r>
    </w:p>
    <w:p>
      <w:pPr>
        <w:pStyle w:val="FirstParagraph"/>
      </w:pPr>
      <w:r>
        <w:t xml:space="preserve">Because the operation forms no drug-substance product-quality CQA, its robustness is expressed</w:t>
      </w:r>
      <w:r>
        <w:t xml:space="preserve"> </w:t>
      </w:r>
      <w:r>
        <w:t xml:space="preserve">as the consistency of its process-performance measures rather than as a multivariate design</w:t>
      </w:r>
      <w:r>
        <w:t xml:space="preserve"> </w:t>
      </w:r>
      <w:r>
        <w:t xml:space="preserve">space or a CQA capability index. The UF/DF yield of 97.1% and the delivery</w:t>
      </w:r>
      <w:r>
        <w:t xml:space="preserve"> </w:t>
      </w:r>
      <w:r>
        <w:t xml:space="preserve">of drug substance at the 75 g/L target, both reproducible at the</w:t>
      </w:r>
      <w:r>
        <w:t xml:space="preserve"> </w:t>
      </w:r>
      <w:r>
        <w:t xml:space="preserve">set-point and stable across the parameter ranges, establish that the operation reliably</w:t>
      </w:r>
      <w:r>
        <w:t xml:space="preserve"> </w:t>
      </w:r>
      <w:r>
        <w:t xml:space="preserve">delivers drug substance of consistent concentration and buffer composition at commercial scale.</w:t>
      </w:r>
      <w:r>
        <w:t xml:space="preserve"> </w:t>
      </w:r>
      <w:r>
        <w:t xml:space="preserve">The commercial-scale CQA capability is reported for the CQA-forming and CQA-clearing unit</w:t>
      </w:r>
      <w:r>
        <w:t xml:space="preserve"> </w:t>
      </w:r>
      <w:r>
        <w:t xml:space="preserve">operations in their respective reports and consolidated in</w:t>
      </w:r>
      <w:r>
        <w:t xml:space="preserve"> </w:t>
      </w:r>
      <w:r>
        <w:rPr>
          <w:b/>
          <w:bCs/>
        </w:rPr>
        <w:t xml:space="preserve">PCMR-001</w:t>
      </w:r>
      <w:r>
        <w:t xml:space="preserve">; UF/DF contributes to it</w:t>
      </w:r>
      <w:r>
        <w:t xml:space="preserve"> </w:t>
      </w:r>
      <w:r>
        <w:t xml:space="preserve">only by preserving yield and delivering the drug substance on target.</w:t>
      </w:r>
    </w:p>
    <w:bookmarkEnd w:id="37"/>
    <w:bookmarkStart w:id="39" w:name="parameter-classification"/>
    <w:p>
      <w:pPr>
        <w:pStyle w:val="Heading1"/>
      </w:pPr>
      <w:r>
        <w:t xml:space="preserve">7. Parameter classification</w:t>
      </w:r>
    </w:p>
    <w:p>
      <w:pPr>
        <w:pStyle w:val="FirstParagraph"/>
      </w:pPr>
      <w:r>
        <w:t xml:space="preserve">Each parameter was classified on the A-Mab continuum from the demonstrated effects on process</w:t>
      </w:r>
      <w:r>
        <w:t xml:space="preserve"> </w:t>
      </w:r>
      <w:r>
        <w:t xml:space="preserve">performance and the absence of a drug-substance CQA impact (</w:t>
      </w:r>
      <w:hyperlink w:anchor="tbl-class">
        <w:r>
          <w:rPr>
            <w:rStyle w:val="Hyperlink"/>
          </w:rPr>
          <w:t xml:space="preserve">Table 5</w:t>
        </w:r>
      </w:hyperlink>
      <w:r>
        <w:t xml:space="preserve">). The rationale is as</w:t>
      </w:r>
      <w:r>
        <w:t xml:space="preserve"> </w:t>
      </w:r>
      <w:r>
        <w:t xml:space="preserve">follows.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Number of diavolumes, transmembrane pressure, final DS concentration — KPP.</w:t>
      </w:r>
      <w:r>
        <w:t xml:space="preserve"> </w:t>
      </w:r>
      <w:r>
        <w:t xml:space="preserve">Each governs</w:t>
      </w:r>
      <w:r>
        <w:t xml:space="preserve"> </w:t>
      </w:r>
      <w:r>
        <w:t xml:space="preserve">process performance — buffer-exchange completeness, permeate flux and process time, and the</w:t>
      </w:r>
      <w:r>
        <w:t xml:space="preserve"> </w:t>
      </w:r>
      <w:r>
        <w:t xml:space="preserve">final concentration delivered — but none significantly impacts any drug-substance CQA; they</w:t>
      </w:r>
      <w:r>
        <w:t xml:space="preserve"> </w:t>
      </w:r>
      <w:r>
        <w:t xml:space="preserve">are controlled for process performance and to deliver the drug substance on target.</w:t>
      </w:r>
    </w:p>
    <w:p>
      <w:pPr>
        <w:pStyle w:val="FirstParagraph"/>
      </w:pPr>
      <w:r>
        <w:t xml:space="preserve">No UF/DF parameter is a CPP, because the operation forms no drug-substance product-quality</w:t>
      </w:r>
      <w:r>
        <w:t xml:space="preserve"> </w:t>
      </w:r>
      <w:r>
        <w:t xml:space="preserve">attribute; formulation-related criticality, where applicable, is assessed under the</w:t>
      </w:r>
      <w:r>
        <w:t xml:space="preserve"> </w:t>
      </w:r>
      <w:r>
        <w:t xml:space="preserve">drug-product program.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clas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Post-characterization parameter classification.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Number of diavolumes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Transmembrane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Final DS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38"/>
          <w:p/>
        </w:tc>
      </w:tr>
    </w:tbl>
    <w:bookmarkEnd w:id="39"/>
    <w:bookmarkStart w:id="40" w:name="contribution-to-the-control-strategy"/>
    <w:p>
      <w:pPr>
        <w:pStyle w:val="Heading1"/>
      </w:pPr>
      <w:r>
        <w:t xml:space="preserve">8. Contribution to the control strategy</w:t>
      </w:r>
    </w:p>
    <w:p>
      <w:pPr>
        <w:pStyle w:val="FirstParagraph"/>
      </w:pPr>
      <w:r>
        <w:t xml:space="preserve">UF/DF is not a control point for any drug-substance product-quality CQA; its contribution to</w:t>
      </w:r>
      <w:r>
        <w:t xml:space="preserve"> </w:t>
      </w:r>
      <w:r>
        <w:t xml:space="preserve">the overall control strategy is to complete the purification train at consistent yield and to</w:t>
      </w:r>
      <w:r>
        <w:t xml:space="preserve"> </w:t>
      </w:r>
      <w:r>
        <w:t xml:space="preserve">deliver the drug substance at its target concentration and buffer composition. That</w:t>
      </w:r>
      <w:r>
        <w:t xml:space="preserve"> </w:t>
      </w:r>
      <w:r>
        <w:t xml:space="preserve">contribution comprises: control of the number of diavolumes, the transmembrane pressure and the</w:t>
      </w:r>
      <w:r>
        <w:t xml:space="preserve"> </w:t>
      </w:r>
      <w:r>
        <w:t xml:space="preserve">final DS concentration to their NORs for reproducible buffer exchange, throughput and</w:t>
      </w:r>
      <w:r>
        <w:t xml:space="preserve"> </w:t>
      </w:r>
      <w:r>
        <w:t xml:space="preserve">concentration; in-process monitoring of the final concentration and buffer-exchange</w:t>
      </w:r>
      <w:r>
        <w:t xml:space="preserve"> </w:t>
      </w:r>
      <w:r>
        <w:t xml:space="preserve">completeness; and membrane life-cycle control. The drug-substance product-quality CQAs are set</w:t>
      </w:r>
      <w:r>
        <w:t xml:space="preserve"> </w:t>
      </w:r>
      <w:r>
        <w:t xml:space="preserve">and cleared upstream (reported in the paired unit-operation reports and consolidated in</w:t>
      </w:r>
      <w:r>
        <w:t xml:space="preserve"> </w:t>
      </w:r>
      <w:r>
        <w:rPr>
          <w:b/>
          <w:bCs/>
        </w:rPr>
        <w:t xml:space="preserve">PCMR-001</w:t>
      </w:r>
      <w:r>
        <w:t xml:space="preserve">), and the formulation control strategy is established under the drug-product</w:t>
      </w:r>
      <w:r>
        <w:t xml:space="preserve"> </w:t>
      </w:r>
      <w:r>
        <w:t xml:space="preserve">program.</w:t>
      </w:r>
    </w:p>
    <w:bookmarkEnd w:id="40"/>
    <w:bookmarkStart w:id="41" w:name="discussion"/>
    <w:p>
      <w:pPr>
        <w:pStyle w:val="Heading1"/>
      </w:pPr>
      <w:r>
        <w:t xml:space="preserve">9. Discussion</w:t>
      </w:r>
    </w:p>
    <w:p>
      <w:pPr>
        <w:pStyle w:val="FirstParagraph"/>
      </w:pPr>
      <w:r>
        <w:t xml:space="preserve">The evaluation confirms the expected role of UF/DF: a formulation / mass-balance operation that</w:t>
      </w:r>
      <w:r>
        <w:t xml:space="preserve"> </w:t>
      </w:r>
      <w:r>
        <w:t xml:space="preserve">concentrates and buffer-exchanges the pool to the drug-substance target without forming or</w:t>
      </w:r>
      <w:r>
        <w:t xml:space="preserve"> </w:t>
      </w:r>
      <w:r>
        <w:t xml:space="preserve">modifying any drug-substance product-quality attribute. The operating parameters influence</w:t>
      </w:r>
      <w:r>
        <w:t xml:space="preserve"> </w:t>
      </w:r>
      <w:r>
        <w:t xml:space="preserve">buffer-exchange completeness, throughput and the final concentration in the directions</w:t>
      </w:r>
      <w:r>
        <w:t xml:space="preserve"> </w:t>
      </w:r>
      <w:r>
        <w:t xml:space="preserve">established by platform knowledge, and their ranges are justified on process-performance</w:t>
      </w:r>
      <w:r>
        <w:t xml:space="preserve"> </w:t>
      </w:r>
      <w:r>
        <w:t xml:space="preserve">grounds. The principal limitation is inherent to scale-down evaluation: absolute yield, flux and</w:t>
      </w:r>
      <w:r>
        <w:t xml:space="preserve"> </w:t>
      </w:r>
      <w:r>
        <w:t xml:space="preserve">buffer-exchange kinetics may shift modestly at commercial scale, which is why the model is</w:t>
      </w:r>
      <w:r>
        <w:t xml:space="preserve"> </w:t>
      </w:r>
      <w:r>
        <w:t xml:space="preserve">confirmed at scale during Stage 2 and the KPP ranges are carried forward with in-process</w:t>
      </w:r>
      <w:r>
        <w:t xml:space="preserve"> </w:t>
      </w:r>
      <w:r>
        <w:t xml:space="preserve">monitoring of the final concentration and buffer exchange. The evaluation did not identify any</w:t>
      </w:r>
      <w:r>
        <w:t xml:space="preserve"> </w:t>
      </w:r>
      <w:r>
        <w:t xml:space="preserve">parameter requiring critical (CPP) control within the studied ranges; formulation</w:t>
      </w:r>
      <w:r>
        <w:t xml:space="preserve"> </w:t>
      </w:r>
      <w:r>
        <w:t xml:space="preserve">characterization is addressed under the drug-product program.</w:t>
      </w:r>
    </w:p>
    <w:bookmarkEnd w:id="41"/>
    <w:bookmarkStart w:id="42" w:name="conclusions"/>
    <w:p>
      <w:pPr>
        <w:pStyle w:val="Heading1"/>
      </w:pPr>
      <w:r>
        <w:t xml:space="preserve">10. Conclusions</w:t>
      </w:r>
    </w:p>
    <w:p>
      <w:pPr>
        <w:pStyle w:val="FirstParagraph"/>
      </w:pPr>
      <w:r>
        <w:t xml:space="preserve">The A-Mab UF/DF operation is well understood and robust as a formulation / mass-balance step.</w:t>
      </w:r>
      <w:r>
        <w:t xml:space="preserve"> </w:t>
      </w:r>
      <w:r>
        <w:t xml:space="preserve">It sets or modifies no drug-substance product-quality CQA; it recovers antibody at a step yield</w:t>
      </w:r>
      <w:r>
        <w:t xml:space="preserve"> </w:t>
      </w:r>
      <w:r>
        <w:t xml:space="preserve">of 97.1%, completes the process at an overall yield of</w:t>
      </w:r>
      <w:r>
        <w:t xml:space="preserve"> </w:t>
      </w:r>
      <w:r>
        <w:t xml:space="preserve">83.2%, and delivers 54.6 kg of drug substance at</w:t>
      </w:r>
      <w:r>
        <w:t xml:space="preserve"> </w:t>
      </w:r>
      <w:r>
        <w:t xml:space="preserve">the 75 g/L target; and its parameters are classified KPP with a</w:t>
      </w:r>
      <w:r>
        <w:t xml:space="preserve"> </w:t>
      </w:r>
      <w:r>
        <w:t xml:space="preserve">data-supported rationale. The parameter ranges and classifications provide the basis for the</w:t>
      </w:r>
      <w:r>
        <w:t xml:space="preserve"> </w:t>
      </w:r>
      <w:r>
        <w:t xml:space="preserve">Stage 2 operating ranges and the process-performance elements of the drug-substance control</w:t>
      </w:r>
      <w:r>
        <w:t xml:space="preserve"> </w:t>
      </w:r>
      <w:r>
        <w:t xml:space="preserve">strategy; the formulation characterization is reported with the drug product. This report rolls</w:t>
      </w:r>
      <w:r>
        <w:t xml:space="preserve"> </w:t>
      </w:r>
      <w:r>
        <w:t xml:space="preserve">up into the Process Characterization Master Report (</w:t>
      </w:r>
      <w:r>
        <w:rPr>
          <w:b/>
          <w:bCs/>
        </w:rPr>
        <w:t xml:space="preserve">PCMR-001</w:t>
      </w:r>
      <w:r>
        <w:t xml:space="preserve">) and provides the parameter</w:t>
      </w:r>
      <w:r>
        <w:t xml:space="preserve"> </w:t>
      </w:r>
      <w:r>
        <w:t xml:space="preserve">risk basis for the post-characterization process risk assessment.</w:t>
      </w:r>
    </w:p>
    <w:bookmarkEnd w:id="42"/>
    <w:bookmarkStart w:id="43" w:name="deviations-from-the-plan"/>
    <w:p>
      <w:pPr>
        <w:pStyle w:val="Heading1"/>
      </w:pPr>
      <w:r>
        <w:t xml:space="preserve">Deviations from the plan</w:t>
      </w:r>
    </w:p>
    <w:p>
      <w:pPr>
        <w:pStyle w:val="FirstParagraph"/>
      </w:pPr>
      <w:r>
        <w:t xml:space="preserve">No deviations from</w:t>
      </w:r>
      <w:r>
        <w:t xml:space="preserve"> </w:t>
      </w:r>
      <w:r>
        <w:rPr>
          <w:b/>
          <w:bCs/>
        </w:rPr>
        <w:t xml:space="preserve">PCP-010</w:t>
      </w:r>
      <w:r>
        <w:t xml:space="preserve"> </w:t>
      </w:r>
      <w:r>
        <w:t xml:space="preserve">were recorded. All planned ranging runs were executed and all</w:t>
      </w:r>
      <w:r>
        <w:t xml:space="preserve"> </w:t>
      </w:r>
      <w:r>
        <w:t xml:space="preserve">planned measures were recorded on the qualified scale-down UF/DF model.</w:t>
      </w:r>
    </w:p>
    <w:bookmarkEnd w:id="43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4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44"/>
    <w:bookmarkStart w:id="45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45"/>
    <w:bookmarkStart w:id="46" w:name="ref-ichq11"/>
    <w:p>
      <w:pPr>
        <w:pStyle w:val="Bibliography"/>
      </w:pPr>
      <w:r>
        <w:t xml:space="preserve">International Council for Harmonisation. 2012.</w:t>
      </w:r>
      <w:r>
        <w:t xml:space="preserve"> </w:t>
      </w:r>
      <w:r>
        <w:rPr>
          <w:i/>
          <w:iCs/>
        </w:rPr>
        <w:t xml:space="preserve">ICH Q11: Development and Manufacture of Drug Substances</w:t>
      </w:r>
      <w:r>
        <w:t xml:space="preserve">. ICH.</w:t>
      </w:r>
    </w:p>
    <w:bookmarkEnd w:id="46"/>
    <w:bookmarkStart w:id="47" w:name="ref-ichq9"/>
    <w:p>
      <w:pPr>
        <w:pStyle w:val="Bibliography"/>
      </w:pPr>
      <w:r>
        <w:t xml:space="preserve">International Council for Harmonisation. 2023.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47"/>
    <w:bookmarkStart w:id="48" w:name="ref-ispegpg2023"/>
    <w:p>
      <w:pPr>
        <w:pStyle w:val="Bibliography"/>
      </w:pPr>
      <w:r>
        <w:t xml:space="preserve">International Society for Pharmaceutical Engineering. 2023.</w:t>
      </w:r>
      <w:r>
        <w:t xml:space="preserve"> </w:t>
      </w:r>
      <w:r>
        <w:rPr>
          <w:i/>
          <w:iCs/>
        </w:rPr>
        <w:t xml:space="preserve">Good Practice Guide: Practical Implementation of the Lifecycle Approach to Process Validation</w:t>
      </w:r>
      <w:r>
        <w:t xml:space="preserve">. ISPE.</w:t>
      </w:r>
    </w:p>
    <w:bookmarkEnd w:id="48"/>
    <w:bookmarkStart w:id="49" w:name="ref-pdatr60"/>
    <w:p>
      <w:pPr>
        <w:pStyle w:val="Bibliography"/>
      </w:pPr>
      <w:r>
        <w:t xml:space="preserve">Parenteral Drug Association. 2013.</w:t>
      </w:r>
      <w:r>
        <w:t xml:space="preserve"> </w:t>
      </w:r>
      <w:r>
        <w:rPr>
          <w:i/>
          <w:iCs/>
        </w:rPr>
        <w:t xml:space="preserve">Technical Report No. 60: Process Validation — a Lifecycle Approach</w:t>
      </w:r>
      <w:r>
        <w:t xml:space="preserve">. PDA.</w:t>
      </w:r>
    </w:p>
    <w:bookmarkEnd w:id="49"/>
    <w:bookmarkStart w:id="50" w:name="ref-fda2011"/>
    <w:p>
      <w:pPr>
        <w:pStyle w:val="Bibliography"/>
      </w:pPr>
      <w:r>
        <w:t xml:space="preserve">U.S. Food and Drug Administration. 2011.</w:t>
      </w:r>
      <w:r>
        <w:t xml:space="preserve"> </w:t>
      </w:r>
      <w:r>
        <w:rPr>
          <w:i/>
          <w:iCs/>
        </w:rPr>
        <w:t xml:space="preserve">Guidance for Industry: Process Validation — General Principles and Practices</w:t>
      </w:r>
      <w:r>
        <w:t xml:space="preserve">. FDA.</w:t>
      </w:r>
    </w:p>
    <w:bookmarkEnd w:id="50"/>
    <w:bookmarkEnd w:id="51"/>
    <w:p>
      <w:r>
        <w:br w:type="page"/>
      </w:r>
    </w:p>
    <w:bookmarkEnd w:id="52"/>
    <w:bookmarkStart w:id="54" w:name="appendix-a-univariate-ranging-summary"/>
    <w:p>
      <w:pPr>
        <w:pStyle w:val="Heading1"/>
      </w:pPr>
      <w:r>
        <w:t xml:space="preserve">Appendix A — Univariate ranging summary</w:t>
      </w:r>
    </w:p>
    <w:p>
      <w:pPr>
        <w:pStyle w:val="FirstParagraph"/>
      </w:pPr>
      <w:r>
        <w:t xml:space="preserve">The parameters, characterization ranges and the process-performance measures recorded at each</w:t>
      </w:r>
      <w:r>
        <w:t xml:space="preserve"> </w:t>
      </w:r>
      <w:r>
        <w:t xml:space="preserve">level. Each parameter was varied one factor at a time with the remaining parameters held at</w:t>
      </w:r>
      <w:r>
        <w:t xml:space="preserve"> </w:t>
      </w:r>
      <w:r>
        <w:t xml:space="preserve">their set-points.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app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Appendix A — one-factor-at-a-time ranging summary.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08"/>
              <w:gridCol w:w="817"/>
              <w:gridCol w:w="440"/>
              <w:gridCol w:w="440"/>
              <w:gridCol w:w="565"/>
              <w:gridCol w:w="414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Performance measures recorded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Number of diavolumes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7–10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7–9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yield, buffer-exchange completeness, final DS concentration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Transmembrane 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yield, buffer-exchange completeness, final DS concentration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Final DS concentration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65–85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70–80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yield, buffer-exchange completeness, final DS concentration</w:t>
                  </w:r>
                </w:p>
              </w:tc>
            </w:tr>
          </w:tbl>
          <w:bookmarkEnd w:id="53"/>
          <w:p/>
        </w:tc>
      </w:tr>
    </w:tbl>
    <w:p>
      <w:r>
        <w:br w:type="page"/>
      </w:r>
    </w:p>
    <w:bookmarkEnd w:id="54"/>
    <w:bookmarkStart w:id="56" w:name="appendix-b-analytical-methods-summary"/>
    <w:p>
      <w:pPr>
        <w:pStyle w:val="Heading1"/>
      </w:pPr>
      <w:r>
        <w:t xml:space="preserve">Appendix B — Analytical methods summary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app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Analytical methods, techniques and validation references (performance characteristics per the cited method validation reports).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Technique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Analytes / measures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Validation ref.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Reportable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Protein concentration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A280 (UV)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DS concentration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g/L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variants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SEC-HPLC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Aggregate (HMW), monomer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% HMW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Charge variants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icIEF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Acidic / main / basic variants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%</w:t>
                  </w:r>
                </w:p>
              </w:tc>
            </w:tr>
          </w:tbl>
          <w:bookmarkEnd w:id="55"/>
          <w:p/>
        </w:tc>
      </w:tr>
    </w:tbl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Characterization Report</dc:title>
  <dc:creator>Process Development / Manufacturing Science &amp; Technology (MSAT)</dc:creator>
  <cp:keywords/>
  <dcterms:created xsi:type="dcterms:W3CDTF">2026-07-25T11:03:38Z</dcterms:created>
  <dcterms:modified xsi:type="dcterms:W3CDTF">2026-07-25T11:03:38Z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fig-cap-location">
    <vt:lpwstr>bottom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pyter">
    <vt:lpwstr>python3</vt:lpwstr>
  </property>
  <property fmtid="{D5CDD505-2E9C-101B-9397-08002B2CF9AE}" pid="13" name="labels">
    <vt:lpwstr/>
  </property>
  <property fmtid="{D5CDD505-2E9C-101B-9397-08002B2CF9AE}" pid="14" name="subtitle">
    <vt:lpwstr>A-Mab Drug Substance — Ultrafiltration / Diafiltration (Step 10) — PCR-010</vt:lpwstr>
  </property>
  <property fmtid="{D5CDD505-2E9C-101B-9397-08002B2CF9AE}" pid="15" name="tbl-cap-location">
    <vt:lpwstr>top</vt:lpwstr>
  </property>
  <property fmtid="{D5CDD505-2E9C-101B-9397-08002B2CF9AE}" pid="16" name="toc-title">
    <vt:lpwstr>Table of contents</vt:lpwstr>
  </property>
</Properties>
</file>