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Transfer Plan</w:t>
      </w:r>
    </w:p>
    <w:p>
      <w:pPr>
        <w:pStyle w:val="Subtitle"/>
      </w:pPr>
      <w:r>
        <w:t xml:space="preserve">A-Mab Drug Substance — Cambridge (Development) → Grafton (Commercial DS) — PTP-001</w:t>
      </w:r>
    </w:p>
    <w:p>
      <w:pPr>
        <w:pStyle w:val="Author"/>
      </w:pPr>
      <w:r>
        <w:t xml:space="preserve">Manufacturing Science &amp; Technology (MSAT) / Technology Transfer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Transfer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Transfer Plan — A-Mab Drug Substance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Technology Transfer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Sending site — Process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Receiving site — Manufacturing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 / QC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 (both sites)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AMV, analytical-method validation · BLA, Biologics License Application · CPP, critical</w:t>
      </w:r>
      <w:r>
        <w:t xml:space="preserve"> </w:t>
      </w:r>
      <w:r>
        <w:t xml:space="preserve">process parameter · CQA, critical quality attribute · DP, drug product · DS, drug substance ·</w:t>
      </w:r>
      <w:r>
        <w:t xml:space="preserve"> </w:t>
      </w:r>
      <w:r>
        <w:t xml:space="preserve">GPP, general process parameter · ICH, International Council for Harmonisation · IPC,</w:t>
      </w:r>
      <w:r>
        <w:t xml:space="preserve"> </w:t>
      </w:r>
      <w:r>
        <w:t xml:space="preserve">in-process control · KPP, key process parameter · LRV, log-reduction value · MSAT,</w:t>
      </w:r>
      <w:r>
        <w:t xml:space="preserve"> </w:t>
      </w:r>
      <w:r>
        <w:t xml:space="preserve">Manufacturing Science and Technology · NOR, normal operating range · PAR, proven acceptable</w:t>
      </w:r>
      <w:r>
        <w:t xml:space="preserve"> </w:t>
      </w:r>
      <w:r>
        <w:t xml:space="preserve">range · PC, process characterization · PPQ, process performance qualification · QbD, Quality</w:t>
      </w:r>
      <w:r>
        <w:t xml:space="preserve"> </w:t>
      </w:r>
      <w:r>
        <w:t xml:space="preserve">by Design · SDM, scale-down model · WC-CPP, well-controlled CPP.</w:t>
      </w:r>
    </w:p>
    <w:p>
      <w:r>
        <w:br w:type="page"/>
      </w:r>
    </w:p>
    <w:bookmarkEnd w:id="11"/>
    <w:bookmarkStart w:id="1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Process Transfer Plan (</w:t>
      </w:r>
      <w:r>
        <w:rPr>
          <w:b/>
          <w:bCs/>
        </w:rPr>
        <w:t xml:space="preserve">PTP-001</w:t>
      </w:r>
      <w:r>
        <w:t xml:space="preserve">) defines the strategy and scope for transferring the</w:t>
      </w:r>
      <w:r>
        <w:t xml:space="preserve"> </w:t>
      </w:r>
      <w:r>
        <w:t xml:space="preserve">A-Mab drug-substance (DS) manufacturing process from the</w:t>
      </w:r>
      <w:r>
        <w:t xml:space="preserve"> </w:t>
      </w:r>
      <w:r>
        <w:rPr>
          <w:b/>
          <w:bCs/>
        </w:rPr>
        <w:t xml:space="preserve">sending site</w:t>
      </w:r>
      <w:r>
        <w:t xml:space="preserve"> </w:t>
      </w:r>
      <w:r>
        <w:t xml:space="preserve">(Novacyte Biologics — Cambridge, MA (Development)) to the</w:t>
      </w:r>
      <w:r>
        <w:t xml:space="preserve"> </w:t>
      </w:r>
      <w:r>
        <w:rPr>
          <w:b/>
          <w:bCs/>
        </w:rPr>
        <w:t xml:space="preserve">receiving site</w:t>
      </w:r>
      <w:r>
        <w:t xml:space="preserve"> </w:t>
      </w:r>
      <w:r>
        <w:t xml:space="preserve">(Novacyte Biologics — Grafton, WI (Commercial DS)). It</w:t>
      </w:r>
      <w:r>
        <w:t xml:space="preserve"> </w:t>
      </w:r>
      <w:r>
        <w:t xml:space="preserve">transfers the process knowledge developed and characterized during Stage 1 (Process Design)</w:t>
      </w:r>
      <w:r>
        <w:t xml:space="preserve"> </w:t>
      </w:r>
      <w:r>
        <w:t xml:space="preserve">— the parameter classifications, proven acceptable ranges, multivariate design spaces and</w:t>
      </w:r>
      <w:r>
        <w:t xml:space="preserve"> </w:t>
      </w:r>
      <w:r>
        <w:t xml:space="preserve">per-CQA control strategy captured in the process-characterization package — to the</w:t>
      </w:r>
      <w:r>
        <w:t xml:space="preserve"> </w:t>
      </w:r>
      <w:r>
        <w:t xml:space="preserve">commercial DS facility, and defines the site-equivalency analysis, the scale-down-model and</w:t>
      </w:r>
      <w:r>
        <w:t xml:space="preserve"> </w:t>
      </w:r>
      <w:r>
        <w:t xml:space="preserve">comparability strategy, the transfer of the manufacturing process, analytical methods and</w:t>
      </w:r>
      <w:r>
        <w:t xml:space="preserve"> </w:t>
      </w:r>
      <w:r>
        <w:t xml:space="preserve">control strategy, the PPQ / batch strategy, and the gap analysis that governs execution.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8-step commercial-scale A-Mab DS process (production</w:t>
      </w:r>
      <w:r>
        <w:t xml:space="preserve"> </w:t>
      </w:r>
      <w:r>
        <w:t xml:space="preserve">bioreactor through final UF/DF) at the 15,000-L commercial scale,</w:t>
      </w:r>
      <w:r>
        <w:t xml:space="preserve"> </w:t>
      </w:r>
      <w:r>
        <w:t xml:space="preserve">including the transfer of the validated analytical methods and the control strategy. Drug-</w:t>
      </w:r>
      <w:r>
        <w:t xml:space="preserve"> </w:t>
      </w:r>
      <w:r>
        <w:t xml:space="preserve">product (fill/finish) transfer and the formulation characterization are addressed under the</w:t>
      </w:r>
      <w:r>
        <w:t xml:space="preserve"> </w:t>
      </w:r>
      <w:r>
        <w:t xml:space="preserve">drug-product program and are out of scope. This plan governs the transfer strategy; the</w:t>
      </w:r>
      <w:r>
        <w:t xml:space="preserve"> </w:t>
      </w:r>
      <w:r>
        <w:t xml:space="preserve">receiving-site validation (PPQ) is executed under the site validation plan and confirmed in</w:t>
      </w:r>
      <w:r>
        <w:t xml:space="preserve"> </w:t>
      </w:r>
      <w:r>
        <w:t xml:space="preserve">the Process Characterization Master Report (</w:t>
      </w:r>
      <w:r>
        <w:rPr>
          <w:b/>
          <w:bCs/>
        </w:rPr>
        <w:t xml:space="preserve">PCMR-001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Basis.</w:t>
      </w:r>
      <w:r>
        <w:t xml:space="preserve"> </w:t>
      </w:r>
      <w:r>
        <w:t xml:space="preserve">The transfer follows the technology-transfer good practices of the ISPE Technology</w:t>
      </w:r>
      <w:r>
        <w:t xml:space="preserve"> </w:t>
      </w:r>
      <w:r>
        <w:t xml:space="preserve">Transfer guide</w:t>
      </w:r>
      <w:r>
        <w:t xml:space="preserve"> </w:t>
      </w:r>
      <w:r>
        <w:t xml:space="preserve">(International Society for Pharmaceutical Engineering 2023b)</w:t>
      </w:r>
      <w:r>
        <w:t xml:space="preserve"> </w:t>
      </w:r>
      <w:r>
        <w:t xml:space="preserve">and the lifecycle transfer strategy of PDA TR 60 §6 and the ISPE</w:t>
      </w:r>
      <w:r>
        <w:t xml:space="preserve"> </w:t>
      </w:r>
      <w:r>
        <w:t xml:space="preserve">PV guide</w:t>
      </w:r>
      <w:r>
        <w:t xml:space="preserve"> </w:t>
      </w:r>
      <w:r>
        <w:t xml:space="preserve">(Parenteral Drug Association 2013; International Society for Pharmaceutical Engineering 2023a)</w:t>
      </w:r>
      <w:r>
        <w:t xml:space="preserve">, within the QbD framework of ICH Q8, Q9, Q10 and Q11</w:t>
      </w:r>
      <w:r>
        <w:t xml:space="preserve"> </w:t>
      </w:r>
      <w:r>
        <w:t xml:space="preserve">(International Council for Harmonisation 2009, 2023, 2008, 2012)</w:t>
      </w:r>
      <w:r>
        <w:t xml:space="preserve"> </w:t>
      </w:r>
      <w:r>
        <w:t xml:space="preserve">and the process model and control-strategy framework of</w:t>
      </w:r>
      <w:r>
        <w:t xml:space="preserve"> </w:t>
      </w:r>
      <w:r>
        <w:t xml:space="preserve">the A-Mab case study</w:t>
      </w:r>
      <w:r>
        <w:t xml:space="preserve"> </w:t>
      </w:r>
      <w:r>
        <w:t xml:space="preserve">(CMC Biotech Working Group 2009)</w:t>
      </w:r>
      <w:r>
        <w:t xml:space="preserve">. The process knowledge transferred is that established in the</w:t>
      </w:r>
      <w:r>
        <w:t xml:space="preserve"> </w:t>
      </w:r>
      <w:r>
        <w:t xml:space="preserve">per-unit-operation characterization plans and reports and consolidated in the Process</w:t>
      </w:r>
      <w:r>
        <w:t xml:space="preserve"> </w:t>
      </w:r>
      <w:r>
        <w:t xml:space="preserve">Characterization Master Plan (</w:t>
      </w:r>
      <w:r>
        <w:rPr>
          <w:b/>
          <w:bCs/>
        </w:rPr>
        <w:t xml:space="preserve">PCMP-001</w:t>
      </w:r>
      <w:r>
        <w:t xml:space="preserve">) and Master Report (</w:t>
      </w:r>
      <w:r>
        <w:rPr>
          <w:b/>
          <w:bCs/>
        </w:rPr>
        <w:t xml:space="preserve">PCMR-001</w:t>
      </w:r>
      <w:r>
        <w:t xml:space="preserve">).</w:t>
      </w:r>
    </w:p>
    <w:bookmarkEnd w:id="12"/>
    <w:bookmarkStart w:id="14" w:name="related-documents"/>
    <w:p>
      <w:pPr>
        <w:pStyle w:val="Heading1"/>
      </w:pPr>
      <w:r>
        <w:t xml:space="preserve">2. Related documents</w:t>
      </w:r>
    </w:p>
    <w:p>
      <w:pPr>
        <w:pStyle w:val="FirstParagraph"/>
      </w:pPr>
      <w:r>
        <w:t xml:space="preserve">This plan is the parent transfer document for the A-Mab DS process-characterization package;</w:t>
      </w:r>
      <w:r>
        <w:t xml:space="preserve"> </w:t>
      </w:r>
      <w:r>
        <w:t xml:space="preserve">the full package is cross-referenced for traceability.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r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The A-Mab drug-substance document package referenced by this transfer plan.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42"/>
              <w:gridCol w:w="3503"/>
              <w:gridCol w:w="327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Subject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Drug Substance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Drug Substance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 (Step 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 (Step 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 (Step 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 (Step 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 (Step 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 (Step 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 (Step 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 (Step 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 (Step 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 (Step 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 (Step 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 (Step 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 (Step 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 (Step 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 (Step 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 (Step 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Drug Substance</w:t>
                  </w:r>
                </w:p>
              </w:tc>
            </w:tr>
          </w:tbl>
          <w:bookmarkEnd w:id="13"/>
          <w:p/>
        </w:tc>
      </w:tr>
    </w:tbl>
    <w:bookmarkEnd w:id="14"/>
    <w:bookmarkStart w:id="15" w:name="transfer-strategy"/>
    <w:p>
      <w:pPr>
        <w:pStyle w:val="Heading1"/>
      </w:pPr>
      <w:r>
        <w:t xml:space="preserve">3. Transfer strategy</w:t>
      </w:r>
    </w:p>
    <w:p>
      <w:pPr>
        <w:pStyle w:val="FirstParagraph"/>
      </w:pPr>
      <w:r>
        <w:t xml:space="preserve">The transfer applies the enhanced (QbD) approach: because the process was developed and</w:t>
      </w:r>
      <w:r>
        <w:t xml:space="preserve"> </w:t>
      </w:r>
      <w:r>
        <w:t xml:space="preserve">characterized against a defined set of CQAs with multivariate design spaces and a per-CQA</w:t>
      </w:r>
      <w:r>
        <w:t xml:space="preserve"> </w:t>
      </w:r>
      <w:r>
        <w:t xml:space="preserve">control strategy, the transfer is a</w:t>
      </w:r>
      <w:r>
        <w:t xml:space="preserve"> </w:t>
      </w:r>
      <w:r>
        <w:rPr>
          <w:b/>
          <w:bCs/>
        </w:rPr>
        <w:t xml:space="preserve">knowledge transfer</w:t>
      </w:r>
      <w:r>
        <w:t xml:space="preserve"> </w:t>
      </w:r>
      <w:r>
        <w:t xml:space="preserve">of that understanding to the</w:t>
      </w:r>
      <w:r>
        <w:t xml:space="preserve"> </w:t>
      </w:r>
      <w:r>
        <w:t xml:space="preserve">receiving site, confirmed by site-equivalency analysis, engineering runs and a commercial-scale</w:t>
      </w:r>
      <w:r>
        <w:t xml:space="preserve"> </w:t>
      </w:r>
      <w:r>
        <w:t xml:space="preserve">PPQ campaign rather than by re-development. The strategy comprises, consistent with PDA TR 60 §6</w:t>
      </w:r>
      <w:r>
        <w:t xml:space="preserve"> </w:t>
      </w:r>
      <w:r>
        <w:t xml:space="preserve">(Parenteral Drug Association 2013)</w:t>
      </w:r>
      <w:r>
        <w:t xml:space="preserve">: (i) a product and process description carried from the characterization package;</w:t>
      </w:r>
      <w:r>
        <w:t xml:space="preserve"> </w:t>
      </w:r>
      <w:r>
        <w:t xml:space="preserve">(ii) a site-equivalency analysis comparing the sending and receiving equipment, facilities and</w:t>
      </w:r>
      <w:r>
        <w:t xml:space="preserve"> </w:t>
      </w:r>
      <w:r>
        <w:t xml:space="preserve">utilities; (iii) a scale-down-model and comparability strategy that bridges development and</w:t>
      </w:r>
      <w:r>
        <w:t xml:space="preserve"> </w:t>
      </w:r>
      <w:r>
        <w:t xml:space="preserve">commercial scale; (iv) transfer of the manufacturing process, the analytical methods and the</w:t>
      </w:r>
      <w:r>
        <w:t xml:space="preserve"> </w:t>
      </w:r>
      <w:r>
        <w:t xml:space="preserve">control strategy; (v) a PPQ / batch strategy that confirms the CPPs, the design spaces and the</w:t>
      </w:r>
      <w:r>
        <w:t xml:space="preserve"> </w:t>
      </w:r>
      <w:r>
        <w:t xml:space="preserve">cumulative viral clearance at commercial scale; and (vi) a gap analysis with mitigations. The</w:t>
      </w:r>
      <w:r>
        <w:t xml:space="preserve"> </w:t>
      </w:r>
      <w:r>
        <w:t xml:space="preserve">criticality analysis and risk assessments are confirmed at the receiving site (</w:t>
      </w:r>
      <w:r>
        <w:rPr>
          <w:b/>
          <w:bCs/>
        </w:rPr>
        <w:t xml:space="preserve">RA-001</w:t>
      </w:r>
      <w:r>
        <w:t xml:space="preserve">,</w:t>
      </w:r>
      <w:r>
        <w:t xml:space="preserve"> </w:t>
      </w:r>
      <w:r>
        <w:rPr>
          <w:b/>
          <w:bCs/>
        </w:rPr>
        <w:t xml:space="preserve">PCMP-001</w:t>
      </w:r>
      <w:r>
        <w:t xml:space="preserve">).</w:t>
      </w:r>
    </w:p>
    <w:bookmarkEnd w:id="15"/>
    <w:bookmarkStart w:id="18" w:name="product-and-process-description"/>
    <w:p>
      <w:pPr>
        <w:pStyle w:val="Heading1"/>
      </w:pPr>
      <w:r>
        <w:t xml:space="preserve">4. Product and process description</w:t>
      </w:r>
    </w:p>
    <w:p>
      <w:pPr>
        <w:pStyle w:val="FirstParagraph"/>
      </w:pPr>
      <w:r>
        <w:t xml:space="preserve">A-Mab is a humanized IgG1 monoclonal antibody produced by fed-batch cell culture and purified</w:t>
      </w:r>
      <w:r>
        <w:t xml:space="preserve"> </w:t>
      </w:r>
      <w:r>
        <w:t xml:space="preserve">by a platform train. The commercial process operates at 15,000 L with a</w:t>
      </w:r>
      <w:r>
        <w:t xml:space="preserve"> </w:t>
      </w:r>
      <w:r>
        <w:t xml:space="preserve">nominal titre of 4.37 g/L and an overall DS yield of</w:t>
      </w:r>
      <w:r>
        <w:t xml:space="preserve"> </w:t>
      </w:r>
      <w:r>
        <w:t xml:space="preserve">83.2%, delivering approximately 54.6 kg of</w:t>
      </w:r>
      <w:r>
        <w:t xml:space="preserve"> </w:t>
      </w:r>
      <w:r>
        <w:t xml:space="preserve">drug substance at 75 g/L. The 8 unit operations, and</w:t>
      </w:r>
      <w:r>
        <w:t xml:space="preserve"> </w:t>
      </w:r>
      <w:r>
        <w:t xml:space="preserve">each step’s principal role in the control strategy, are summarized in</w:t>
      </w:r>
      <w:r>
        <w:t xml:space="preserve"> </w:t>
      </w:r>
      <w:hyperlink w:anchor="tbl-steps">
        <w:r>
          <w:rPr>
            <w:rStyle w:val="Hyperlink"/>
          </w:rPr>
          <w:t xml:space="preserve">Table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te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The A-Mab drug-substance process train (Steps 3–10) and each step’s principal role in the control strategy.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28"/>
              <w:gridCol w:w="2244"/>
              <w:gridCol w:w="51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Principal role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Forms the glycan, charge-variant and aggregate CQAs (design-space step)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recovery and clarification; forms no product-quality CQA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Capture; sets leached Protein A; principal HCP and DNA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hold; sets the cumulative XMuLV (enveloped)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Polish; principal aggregate reduction; major HCP/DNA/leached-PA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Flow-through polish; sets the cumulative MVM clearance; clears XMuLV/HCP/DNA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Dedicated small-virus removal; principal MVM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Formulation / mass balance; delivers drug substance at target concentration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process controls 10 drug-substance CQAs. Their acceptance criteria and</w:t>
      </w:r>
      <w:r>
        <w:t xml:space="preserve"> </w:t>
      </w:r>
      <w:r>
        <w:t xml:space="preserve">criticality, established in the characterization package, are the quality targets the transfer</w:t>
      </w:r>
      <w:r>
        <w:t xml:space="preserve"> </w:t>
      </w:r>
      <w:r>
        <w:t xml:space="preserve">must preserve; the integrated control strategy delivers them with a minimum commercial-scale</w:t>
      </w:r>
      <w:r>
        <w:t xml:space="preserve"> </w:t>
      </w:r>
      <w:r>
        <w:t xml:space="preserve">capability of</w:t>
      </w:r>
      <w:r>
        <w:t xml:space="preserve"> </w:t>
      </w:r>
      <w:r>
        <w:rPr>
          <w:b/>
          <w:bCs/>
        </w:rPr>
        <w:t xml:space="preserve">Cpk = 1.51</w:t>
      </w:r>
      <w:r>
        <w:t xml:space="preserve"> </w:t>
      </w:r>
      <w:r>
        <w:t xml:space="preserve">and cumulative viral clearance of</w:t>
      </w:r>
      <w:r>
        <w:t xml:space="preserve"> </w:t>
      </w:r>
      <w:r>
        <w:t xml:space="preserve">18.87 log₁₀ (XMuLV) and 10.03 log₁₀ (MVM).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Drug-substance CQAs, acceptance criteria and criticality (Tool #1 = Impact × Uncertainty) preserved across the transfer.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36"/>
              <w:gridCol w:w="1296"/>
              <w:gridCol w:w="2015"/>
              <w:gridCol w:w="1080"/>
              <w:gridCol w:w="7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10–40 % (G1+G2 equiv.)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18–40 % (CEX/icIEF)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8.6–20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</w:tbl>
          <w:bookmarkEnd w:id="17"/>
          <w:p/>
        </w:tc>
      </w:tr>
    </w:tbl>
    <w:bookmarkEnd w:id="18"/>
    <w:bookmarkStart w:id="20" w:name="sending-and-receiving-sites"/>
    <w:p>
      <w:pPr>
        <w:pStyle w:val="Heading1"/>
      </w:pPr>
      <w:r>
        <w:t xml:space="preserve">5. Sending and receiving sites</w:t>
      </w:r>
    </w:p>
    <w:p>
      <w:pPr>
        <w:pStyle w:val="FirstParagraph"/>
      </w:pPr>
      <w:r>
        <w:t xml:space="preserve">The transfer moves the process from the development site, where it was characterized on</w:t>
      </w:r>
      <w:r>
        <w:t xml:space="preserve"> </w:t>
      </w:r>
      <w:r>
        <w:t xml:space="preserve">qualified scale-down models, to the commercial DS facility (</w:t>
      </w:r>
      <w:hyperlink w:anchor="tbl-sites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si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Sending and receiving sites for the A-Mab drug-substance transfer.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50"/>
              <w:gridCol w:w="2657"/>
              <w:gridCol w:w="797"/>
              <w:gridCol w:w="361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Function in the transfer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Sending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Novacyte Biologics — Cambridge, MA (Development)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Cambridge, 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Development; Stage-1 process characterization on scale-down models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Receiving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Novacyte Biologics — Grafton, WI (Commercial DS)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Grafton, WI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Commercial drug-substance manufacture; Stage-2 PPQ</w:t>
                  </w:r>
                </w:p>
              </w:tc>
            </w:tr>
          </w:tbl>
          <w:bookmarkEnd w:id="19"/>
          <w:p/>
        </w:tc>
      </w:tr>
    </w:tbl>
    <w:bookmarkEnd w:id="20"/>
    <w:bookmarkStart w:id="21" w:name="site-equivalency-analysis"/>
    <w:p>
      <w:pPr>
        <w:pStyle w:val="Heading1"/>
      </w:pPr>
      <w:r>
        <w:t xml:space="preserve">6. Site-equivalency analysis</w:t>
      </w:r>
    </w:p>
    <w:p>
      <w:pPr>
        <w:pStyle w:val="FirstParagraph"/>
      </w:pPr>
      <w:r>
        <w:t xml:space="preserve">A site-equivalency analysis compares the receiving-site equipment train, facilities and</w:t>
      </w:r>
      <w:r>
        <w:t xml:space="preserve"> </w:t>
      </w:r>
      <w:r>
        <w:t xml:space="preserve">utilities against the sending-site (and scale-down) reference to assure they are equivalent and</w:t>
      </w:r>
      <w:r>
        <w:t xml:space="preserve"> </w:t>
      </w:r>
      <w:r>
        <w:t xml:space="preserve">qualified for commercial manufacture</w:t>
      </w:r>
      <w:r>
        <w:t xml:space="preserve"> </w:t>
      </w:r>
      <w:r>
        <w:t xml:space="preserve">(Parenteral Drug Association 2013; International Society for Pharmaceutical Engineering 2023b)</w:t>
      </w:r>
      <w:r>
        <w:t xml:space="preserve">. The analysis covers, for each unit</w:t>
      </w:r>
      <w:r>
        <w:t xml:space="preserve"> </w:t>
      </w:r>
      <w:r>
        <w:t xml:space="preserve">operation: the equipment make, operating principle and qualification status; the operating</w:t>
      </w:r>
      <w:r>
        <w:t xml:space="preserve"> </w:t>
      </w:r>
      <w:r>
        <w:t xml:space="preserve">ranges for the CPPs and WC-CPPs at the new scale; the buffer, media and consumable supply; the</w:t>
      </w:r>
      <w:r>
        <w:t xml:space="preserve"> </w:t>
      </w:r>
      <w:r>
        <w:t xml:space="preserve">automation and control system; and the personnel qualification and training. Any</w:t>
      </w:r>
      <w:r>
        <w:t xml:space="preserve"> </w:t>
      </w:r>
      <w:r>
        <w:t xml:space="preserve">non-equivalence is captured as a transfer gap (§11) with a mitigation and is resolved before the</w:t>
      </w:r>
      <w:r>
        <w:t xml:space="preserve"> </w:t>
      </w:r>
      <w:r>
        <w:t xml:space="preserve">PPQ campaign. Equivalency is confirmed by engineering runs at commercial scale prior to PPQ.</w:t>
      </w:r>
    </w:p>
    <w:bookmarkEnd w:id="21"/>
    <w:bookmarkStart w:id="22" w:name="Xda6c0e177276543d07db4d8b8a4a28714e3ed7b"/>
    <w:p>
      <w:pPr>
        <w:pStyle w:val="Heading1"/>
      </w:pPr>
      <w:r>
        <w:t xml:space="preserve">7. Scale-down model and comparability strategy</w:t>
      </w:r>
    </w:p>
    <w:p>
      <w:pPr>
        <w:pStyle w:val="FirstParagraph"/>
      </w:pPr>
      <w:r>
        <w:t xml:space="preserve">The commercial-scale process is bridged to the characterization data by the</w:t>
      </w:r>
      <w:r>
        <w:t xml:space="preserve"> </w:t>
      </w:r>
      <w:r>
        <w:rPr>
          <w:b/>
          <w:bCs/>
        </w:rPr>
        <w:t xml:space="preserve">qualified</w:t>
      </w:r>
      <w:r>
        <w:rPr>
          <w:b/>
          <w:bCs/>
        </w:rPr>
        <w:t xml:space="preserve"> </w:t>
      </w:r>
      <w:r>
        <w:rPr>
          <w:b/>
          <w:bCs/>
        </w:rPr>
        <w:t xml:space="preserve">scale-down models</w:t>
      </w:r>
      <w:r>
        <w:t xml:space="preserve"> </w:t>
      </w:r>
      <w:r>
        <w:t xml:space="preserve">on which the design spaces and control strategy were established. The</w:t>
      </w:r>
      <w:r>
        <w:t xml:space="preserve"> </w:t>
      </w:r>
      <w:r>
        <w:t xml:space="preserve">comparability strategy compares, between the scale-down model and commercial scale: the step</w:t>
      </w:r>
      <w:r>
        <w:t xml:space="preserve"> </w:t>
      </w:r>
      <w:r>
        <w:t xml:space="preserve">yields; the CQA outcomes (glycans, charge variants, aggregate, HCP, residual DNA, leached</w:t>
      </w:r>
      <w:r>
        <w:t xml:space="preserve"> </w:t>
      </w:r>
      <w:r>
        <w:t xml:space="preserve">Protein A); and the modular viral clearance. A comparability plan describes the actions to be</w:t>
      </w:r>
      <w:r>
        <w:t xml:space="preserve"> </w:t>
      </w:r>
      <w:r>
        <w:t xml:space="preserve">taken in the event of a significant process difference at scale, including the testing program</w:t>
      </w:r>
      <w:r>
        <w:t xml:space="preserve"> </w:t>
      </w:r>
      <w:r>
        <w:t xml:space="preserve">used to demonstrate comparability between the characterized and the commercial processes</w:t>
      </w:r>
      <w:r>
        <w:t xml:space="preserve"> </w:t>
      </w:r>
      <w:r>
        <w:t xml:space="preserve">(Parenteral Drug Association 2013)</w:t>
      </w:r>
      <w:r>
        <w:t xml:space="preserve">. Confirmation at commercial scale is provided by the PPQ campaign and reported in</w:t>
      </w:r>
      <w:r>
        <w:t xml:space="preserve"> </w:t>
      </w:r>
      <w:r>
        <w:rPr>
          <w:b/>
          <w:bCs/>
        </w:rPr>
        <w:t xml:space="preserve">PCMR-001</w:t>
      </w:r>
      <w:r>
        <w:t xml:space="preserve">.</w:t>
      </w:r>
    </w:p>
    <w:bookmarkEnd w:id="22"/>
    <w:bookmarkStart w:id="24" w:name="transfer-of-the-manufacturing-process"/>
    <w:p>
      <w:pPr>
        <w:pStyle w:val="Heading1"/>
      </w:pPr>
      <w:r>
        <w:t xml:space="preserve">8. Transfer of the manufacturing process</w:t>
      </w:r>
    </w:p>
    <w:p>
      <w:pPr>
        <w:pStyle w:val="FirstParagraph"/>
      </w:pPr>
      <w:r>
        <w:t xml:space="preserve">The manufacturing process is transferred by carrying the characterized set-points, normal</w:t>
      </w:r>
      <w:r>
        <w:t xml:space="preserve"> </w:t>
      </w:r>
      <w:r>
        <w:t xml:space="preserve">operating ranges (NORs) and proven acceptable ranges (PARs) into the receiving-site master</w:t>
      </w:r>
      <w:r>
        <w:t xml:space="preserve"> </w:t>
      </w:r>
      <w:r>
        <w:t xml:space="preserve">batch records, and by confirming the CPP and WC-CPP ranges at commercial scale in engineering</w:t>
      </w:r>
      <w:r>
        <w:t xml:space="preserve"> </w:t>
      </w:r>
      <w:r>
        <w:t xml:space="preserve">and PPQ batches. Of the 37 process parameters characterized across the train,</w:t>
      </w:r>
      <w:r>
        <w:t xml:space="preserve"> </w:t>
      </w:r>
      <w:r>
        <w:t xml:space="preserve">21 are critical (1 CPP and 20 WC-CPP), and are</w:t>
      </w:r>
      <w:r>
        <w:t xml:space="preserve"> </w:t>
      </w:r>
      <w:r>
        <w:t xml:space="preserve">the parameters whose commercial-scale control the transfer must confirm; the remaining</w:t>
      </w:r>
      <w:r>
        <w:t xml:space="preserve"> </w:t>
      </w:r>
      <w:r>
        <w:t xml:space="preserve">10 KPP and 6 GPP are transferred as</w:t>
      </w:r>
      <w:r>
        <w:t xml:space="preserve"> </w:t>
      </w:r>
      <w:r>
        <w:t xml:space="preserve">process-performance and general controls. The critical parameters and their NORs are summarized</w:t>
      </w:r>
      <w:r>
        <w:t xml:space="preserve"> </w:t>
      </w:r>
      <w:r>
        <w:t xml:space="preserve">in</w:t>
      </w:r>
      <w:r>
        <w:t xml:space="preserve"> </w:t>
      </w:r>
      <w:hyperlink w:anchor="tbl-cpp">
        <w:r>
          <w:rPr>
            <w:rStyle w:val="Hyperlink"/>
          </w:rPr>
          <w:t xml:space="preserve">Table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cp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Critical process parameters (CPP / WC-CPP) and their normal operating ranges, confirmed at commercial scale during the transfer.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64"/>
              <w:gridCol w:w="2036"/>
              <w:gridCol w:w="829"/>
              <w:gridCol w:w="980"/>
              <w:gridCol w:w="829"/>
              <w:gridCol w:w="67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6.75–6.95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34.5–35.5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70–130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mOsm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375–425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16–18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60–120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19–23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5.85–6.15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 desc.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0.7–1.3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7.35–7.65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2.1–3.1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120–280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200–400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 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volume (load)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L/m2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50–105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 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</w:tbl>
          <w:bookmarkEnd w:id="23"/>
          <w:p/>
        </w:tc>
      </w:tr>
    </w:tbl>
    <w:bookmarkEnd w:id="24"/>
    <w:bookmarkStart w:id="25" w:name="transfer-of-analytical-methods"/>
    <w:p>
      <w:pPr>
        <w:pStyle w:val="Heading1"/>
      </w:pPr>
      <w:r>
        <w:t xml:space="preserve">9. Transfer of analytical methods</w:t>
      </w:r>
    </w:p>
    <w:p>
      <w:pPr>
        <w:pStyle w:val="FirstParagraph"/>
      </w:pPr>
      <w:r>
        <w:t xml:space="preserve">The validated release, in-process and characterization methods are transferred to the receiving-</w:t>
      </w:r>
      <w:r>
        <w:t xml:space="preserve"> </w:t>
      </w:r>
      <w:r>
        <w:t xml:space="preserve">site QC laboratory under method-transfer protocols with cross-site precision and accuracy</w:t>
      </w:r>
      <w:r>
        <w:t xml:space="preserve"> </w:t>
      </w:r>
      <w:r>
        <w:t xml:space="preserve">acceptance criteria, and co-validated before the PPQ campaign. The methods include the glycan</w:t>
      </w:r>
      <w:r>
        <w:t xml:space="preserve"> </w:t>
      </w:r>
      <w:r>
        <w:t xml:space="preserve">map, size-variant (SEC), charge-variant (icIEF), HCP, residual-DNA, leached-Protein-A and the</w:t>
      </w:r>
      <w:r>
        <w:t xml:space="preserve"> </w:t>
      </w:r>
      <w:r>
        <w:t xml:space="preserve">XMuLV/MVM infectivity assays that measure the CQAs across the train. Method equivalence between</w:t>
      </w:r>
      <w:r>
        <w:t xml:space="preserve"> </w:t>
      </w:r>
      <w:r>
        <w:t xml:space="preserve">sites is a prerequisite for the comparability and PPQ assessments; any method gap is captured in</w:t>
      </w:r>
      <w:r>
        <w:t xml:space="preserve"> </w:t>
      </w:r>
      <w:r>
        <w:t xml:space="preserve">§11.</w:t>
      </w:r>
    </w:p>
    <w:bookmarkEnd w:id="25"/>
    <w:bookmarkStart w:id="26" w:name="transfer-of-the-control-strategy"/>
    <w:p>
      <w:pPr>
        <w:pStyle w:val="Heading1"/>
      </w:pPr>
      <w:r>
        <w:t xml:space="preserve">10. Transfer of the control strategy</w:t>
      </w:r>
    </w:p>
    <w:p>
      <w:pPr>
        <w:pStyle w:val="FirstParagraph"/>
      </w:pPr>
      <w:r>
        <w:t xml:space="preserve">The per-CQA control strategy defined during characterization — input-material controls,</w:t>
      </w:r>
      <w:r>
        <w:t xml:space="preserve"> </w:t>
      </w:r>
      <w:r>
        <w:t xml:space="preserve">procedural controls, process-parameter controls (CPP/WC-CPP NORs), in-process controls, and</w:t>
      </w:r>
      <w:r>
        <w:t xml:space="preserve"> </w:t>
      </w:r>
      <w:r>
        <w:t xml:space="preserve">release and characterization testing — is transferred by mapping every control element into the</w:t>
      </w:r>
      <w:r>
        <w:t xml:space="preserve"> </w:t>
      </w:r>
      <w:r>
        <w:t xml:space="preserve">receiving-site master batch records and in-process-control plan, and confirmed in PPQ. The</w:t>
      </w:r>
      <w:r>
        <w:t xml:space="preserve"> </w:t>
      </w:r>
      <w:r>
        <w:t xml:space="preserve">control strategy assures the 10 CQAs at commercial scale, with the tightest</w:t>
      </w:r>
      <w:r>
        <w:t xml:space="preserve"> </w:t>
      </w:r>
      <w:r>
        <w:t xml:space="preserve">capability at the cumulative viral-clearance CQA (Cpk = 1.51); the</w:t>
      </w:r>
      <w:r>
        <w:t xml:space="preserve"> </w:t>
      </w:r>
      <w:r>
        <w:t xml:space="preserve">one true CPP of the process (the low-pH viral-inactivation pH) and the</w:t>
      </w:r>
      <w:r>
        <w:t xml:space="preserve"> </w:t>
      </w:r>
      <w:r>
        <w:t xml:space="preserve">20 WC-CPPs receive enhanced control. The overall control strategy is consolidated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PCMR-001</w:t>
      </w:r>
      <w:r>
        <w:t xml:space="preserve">.</w:t>
      </w:r>
    </w:p>
    <w:bookmarkEnd w:id="26"/>
    <w:bookmarkStart w:id="27" w:name="ppq-and-batch-strategy"/>
    <w:p>
      <w:pPr>
        <w:pStyle w:val="Heading1"/>
      </w:pPr>
      <w:r>
        <w:t xml:space="preserve">11. PPQ and batch strategy</w:t>
      </w:r>
    </w:p>
    <w:p>
      <w:pPr>
        <w:pStyle w:val="FirstParagraph"/>
      </w:pPr>
      <w:r>
        <w:t xml:space="preserve">Commercial-scale confirmation is provided by a Stage-2 process performance qualification (PPQ)</w:t>
      </w:r>
      <w:r>
        <w:t xml:space="preserve"> </w:t>
      </w:r>
      <w:r>
        <w:t xml:space="preserve">campaign at the receiving site. The PPQ batches reproduce the manufacturing process, components</w:t>
      </w:r>
      <w:r>
        <w:t xml:space="preserve"> </w:t>
      </w:r>
      <w:r>
        <w:t xml:space="preserve">and composition at commercial scale and confirm the CPP ranges, the multivariate design spaces</w:t>
      </w:r>
      <w:r>
        <w:t xml:space="preserve"> </w:t>
      </w:r>
      <w:r>
        <w:t xml:space="preserve">and the cumulative viral clearance</w:t>
      </w:r>
      <w:r>
        <w:t xml:space="preserve"> </w:t>
      </w:r>
      <w:r>
        <w:t xml:space="preserve">(Parenteral Drug Association 2013)</w:t>
      </w:r>
      <w:r>
        <w:t xml:space="preserve">. The number of PPQ batches is set by the</w:t>
      </w:r>
      <w:r>
        <w:t xml:space="preserve"> </w:t>
      </w:r>
      <w:r>
        <w:t xml:space="preserve">receiving-site validation plan (the characterization capability model uses</w:t>
      </w:r>
      <w:r>
        <w:t xml:space="preserve"> </w:t>
      </w:r>
      <w:r>
        <w:t xml:space="preserve">5 qualification batches at NOR-distributed set-points as the basis for the</w:t>
      </w:r>
      <w:r>
        <w:t xml:space="preserve"> </w:t>
      </w:r>
      <w:r>
        <w:t xml:space="preserve">commercial-scale capability estimate); the PPQ acceptance criteria are the CQA acceptance</w:t>
      </w:r>
      <w:r>
        <w:t xml:space="preserve"> </w:t>
      </w:r>
      <w:r>
        <w:t xml:space="preserve">criteria and the confirmed CPP ranges. PPQ results are reported in</w:t>
      </w:r>
      <w:r>
        <w:t xml:space="preserve"> </w:t>
      </w:r>
      <w:r>
        <w:rPr>
          <w:b/>
          <w:bCs/>
        </w:rPr>
        <w:t xml:space="preserve">PCMR-001</w:t>
      </w:r>
      <w:r>
        <w:t xml:space="preserve">.</w:t>
      </w:r>
    </w:p>
    <w:bookmarkEnd w:id="27"/>
    <w:bookmarkStart w:id="30" w:name="gap-analysis"/>
    <w:p>
      <w:pPr>
        <w:pStyle w:val="Heading1"/>
      </w:pPr>
      <w:r>
        <w:t xml:space="preserve">12. Gap analysis</w:t>
      </w:r>
    </w:p>
    <w:p>
      <w:pPr>
        <w:pStyle w:val="FirstParagraph"/>
      </w:pPr>
      <w:r>
        <w:t xml:space="preserve">The gap analysis compares the sending and receiving sites and identifies the differences that</w:t>
      </w:r>
      <w:r>
        <w:t xml:space="preserve"> </w:t>
      </w:r>
      <w:r>
        <w:t xml:space="preserve">must be resolved before or during the transfer, each with an impact assessment, a mitigation and</w:t>
      </w:r>
      <w:r>
        <w:t xml:space="preserve"> </w:t>
      </w:r>
      <w:r>
        <w:t xml:space="preserve">a status (</w:t>
      </w:r>
      <w:hyperlink w:anchor="tbl-gaps">
        <w:r>
          <w:rPr>
            <w:rStyle w:val="Hyperlink"/>
          </w:rPr>
          <w:t xml:space="preserve">Table 7</w:t>
        </w:r>
      </w:hyperlink>
      <w:r>
        <w:t xml:space="preserve">). Open gaps are resolved before the PPQ campaign; their closure is tracked in</w:t>
      </w:r>
      <w:r>
        <w:t xml:space="preserve"> </w:t>
      </w:r>
      <w:r>
        <w:t xml:space="preserve">the transfer record.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ga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Transfer gap analysis (summary; full impact and mitigation in</w:t>
            </w:r>
            <w:r>
              <w:t xml:space="preserve"> </w:t>
            </w:r>
            <w:hyperlink w:anchor="tbl-gaps-detail">
              <w:r>
                <w:rPr>
                  <w:rStyle w:val="Hyperlink"/>
                </w:rPr>
                <w:t xml:space="preserve">Table 8</w:t>
              </w:r>
            </w:hyperlink>
            <w:r>
              <w:t xml:space="preserve">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21"/>
              <w:gridCol w:w="763"/>
              <w:gridCol w:w="6311"/>
              <w:gridCol w:w="5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Area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Equipment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commercial-scale chromatography skids and production bioreactor at the receiving site differ in make and control system from the development equipment.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Analytical 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validated release and characterization methods must be transferred and co-validated at the receiving-site QC laboratory.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 progress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Grafton commercial drug-substance facility and its utilities require qualification for A-Mab manufacture.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Materials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resin, virus-retentive membrane, depth-filter media and cell-culture media/feed lots at commercial scale differ from the development lots.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characterized CPPs, WC-CPPs and the multivariate design spaces must be confirmed at commercial scale.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Control strategy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per-CQA control strategy defined during characterization must be implemented in the receiving-site master batch records and in-process-control plan.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 progress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gaps-detai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Transfer gap analysis — impact and mitigation.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7"/>
              <w:gridCol w:w="2905"/>
              <w:gridCol w:w="478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Impact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Mitigation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ranges and control response may differ at commercial scale.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Engineering runs and equipment qualification confirm that the CPP and WC-CPP ranges transfer; the qualified scale-down models bridge development and commercial scale.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bias between sites could confound the comparability assessment.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Method-transfer protocols with cross-site precision and accuracy acceptance criteria are executed before the PPQ campaign.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Facility fit, segregation and environmental controls must be demonstrated for the process.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Facility, utility and equipment qualification is completed before the engineering and PPQ batches.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Raw-material and consumable lot-to-lot variability could affect clearance, yield or product quality.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Raw-material and consumable lot bridging with incoming specifications and resin/membrane life-cycle control is applied.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 effects on the design space and on the cumulative viral clearance must be verified.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Stage-2 PPQ campaign confirms the CPP ranges, the design spaces and the cumulative viral clearance at commercial scale.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GAP-06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Incomplete transfer of in-process controls and limits could weaken the control of a CQA.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control strategy is transferred by mapping every in-process control and limit into the master batch records and confirming them in PPQ.</w:t>
                  </w:r>
                </w:p>
              </w:tc>
            </w:tr>
          </w:tbl>
          <w:bookmarkEnd w:id="29"/>
          <w:p/>
        </w:tc>
      </w:tr>
    </w:tbl>
    <w:bookmarkEnd w:id="30"/>
    <w:bookmarkStart w:id="32" w:name="roles-and-responsibilities"/>
    <w:p>
      <w:pPr>
        <w:pStyle w:val="Heading1"/>
      </w:pPr>
      <w:r>
        <w:t xml:space="preserve">13. Roles and responsibilities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ro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Roles and responsibilities for the transfer.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Responsibility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Technology Transfer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 and own the transfer plan; coordinate the transfer and gap closure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Sending site — Process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Provide the characterized process knowledge, ranges and scale-down-model data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Receiving site — Manufacturing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Execute engineering and PPQ batches; implement the master batch records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 / QC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Transfer and co-validate the analytical methods; support comparability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 (both sites)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 the plan; confirm the risk assessments and control strategy; release PPQ</w:t>
                  </w:r>
                </w:p>
              </w:tc>
            </w:tr>
          </w:tbl>
          <w:bookmarkEnd w:id="31"/>
          <w:p/>
        </w:tc>
      </w:tr>
    </w:tbl>
    <w:bookmarkEnd w:id="32"/>
    <w:bookmarkStart w:id="33" w:name="schedule"/>
    <w:p>
      <w:pPr>
        <w:pStyle w:val="Heading1"/>
      </w:pPr>
      <w:r>
        <w:t xml:space="preserve">14. Schedule</w:t>
      </w:r>
    </w:p>
    <w:p>
      <w:pPr>
        <w:pStyle w:val="FirstParagraph"/>
      </w:pPr>
      <w:r>
        <w:t xml:space="preserve">The transfer proceeds in sequence: (1) site-equivalency analysis and facility/equipment</w:t>
      </w:r>
      <w:r>
        <w:t xml:space="preserve"> </w:t>
      </w:r>
      <w:r>
        <w:t xml:space="preserve">qualification; (2) analytical-method transfer and co-validation; (3) engineering runs confirming</w:t>
      </w:r>
      <w:r>
        <w:t xml:space="preserve"> </w:t>
      </w:r>
      <w:r>
        <w:t xml:space="preserve">the CPP ranges and scale-down-model comparability; (4) the Stage-2 PPQ campaign; and (5) the</w:t>
      </w:r>
      <w:r>
        <w:t xml:space="preserve"> </w:t>
      </w:r>
      <w:r>
        <w:t xml:space="preserve">Process Characterization Master Report (</w:t>
      </w:r>
      <w:r>
        <w:rPr>
          <w:b/>
          <w:bCs/>
        </w:rPr>
        <w:t xml:space="preserve">PCMR-001</w:t>
      </w:r>
      <w:r>
        <w:t xml:space="preserve">) confirming the transfer and commercial-</w:t>
      </w:r>
      <w:r>
        <w:t xml:space="preserve"> </w:t>
      </w:r>
      <w:r>
        <w:t xml:space="preserve">scale control strategy. Gap closure (§11) gates entry into the PPQ campaign.</w:t>
      </w:r>
    </w:p>
    <w:bookmarkEnd w:id="33"/>
    <w:bookmarkStart w:id="34" w:name="risks-and-assumptions"/>
    <w:p>
      <w:pPr>
        <w:pStyle w:val="Heading1"/>
      </w:pPr>
      <w:r>
        <w:t xml:space="preserve">15. Risks and assumptions</w:t>
      </w:r>
    </w:p>
    <w:p>
      <w:pPr>
        <w:pStyle w:val="FirstParagraph"/>
      </w:pPr>
      <w:r>
        <w:t xml:space="preserve">The plan assumes the receiving-site facility, utilities and equipment are qualified for A-Mab</w:t>
      </w:r>
      <w:r>
        <w:t xml:space="preserve"> </w:t>
      </w:r>
      <w:r>
        <w:t xml:space="preserve">manufacture and that the analytical methods transfer with acceptable cross-site equivalence. The</w:t>
      </w:r>
      <w:r>
        <w:t xml:space="preserve"> </w:t>
      </w:r>
      <w:r>
        <w:t xml:space="preserve">principal risk is that scale effects shift a CPP range, a design space or the cumulative viral</w:t>
      </w:r>
      <w:r>
        <w:t xml:space="preserve"> </w:t>
      </w:r>
      <w:r>
        <w:t xml:space="preserve">clearance at commercial scale; this is mitigated by the scale-down-model bridge, the</w:t>
      </w:r>
      <w:r>
        <w:t xml:space="preserve"> </w:t>
      </w:r>
      <w:r>
        <w:t xml:space="preserve">site-equivalency analysis, the engineering runs and the PPQ confirmation, with the gap analysis</w:t>
      </w:r>
      <w:r>
        <w:t xml:space="preserve"> </w:t>
      </w:r>
      <w:r>
        <w:t xml:space="preserve">(§11) tracking every non-equivalence to closure before PPQ.</w:t>
      </w:r>
    </w:p>
    <w:bookmarkEnd w:id="34"/>
    <w:bookmarkStart w:id="35" w:name="approvals-1"/>
    <w:p>
      <w:pPr>
        <w:pStyle w:val="Heading1"/>
      </w:pPr>
      <w:r>
        <w:t xml:space="preserve">16. Approvals</w:t>
      </w:r>
    </w:p>
    <w:p>
      <w:pPr>
        <w:pStyle w:val="FirstParagraph"/>
      </w:pPr>
      <w:r>
        <w:t xml:space="preserve">Approval of this plan authorizes the transfer of the A-Mab drug-substance process described</w:t>
      </w:r>
      <w:r>
        <w:t xml:space="preserve"> </w:t>
      </w:r>
      <w:r>
        <w:t xml:space="preserve">herein. Signatures are recorded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35"/>
    <w:bookmarkStart w:id="45" w:name="references"/>
    <w:p>
      <w:pPr>
        <w:pStyle w:val="Heading1"/>
      </w:pPr>
      <w:r>
        <w:t xml:space="preserve">References</w:t>
      </w:r>
    </w:p>
    <w:bookmarkStart w:id="44" w:name="refs"/>
    <w:bookmarkStart w:id="36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36"/>
    <w:bookmarkStart w:id="37" w:name="ref-ichq10"/>
    <w:p>
      <w:pPr>
        <w:pStyle w:val="Bibliography"/>
      </w:pPr>
      <w:r>
        <w:t xml:space="preserve">International Council for Harmonisation. 2008.</w:t>
      </w:r>
      <w:r>
        <w:t xml:space="preserve"> </w:t>
      </w:r>
      <w:r>
        <w:rPr>
          <w:i/>
          <w:iCs/>
        </w:rPr>
        <w:t xml:space="preserve">ICH Q10: Pharmaceutical Quality System</w:t>
      </w:r>
      <w:r>
        <w:t xml:space="preserve">. ICH.</w:t>
      </w:r>
    </w:p>
    <w:bookmarkEnd w:id="37"/>
    <w:bookmarkStart w:id="38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38"/>
    <w:bookmarkStart w:id="39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39"/>
    <w:bookmarkStart w:id="40" w:name="ref-ichq9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40"/>
    <w:bookmarkStart w:id="41" w:name="ref-ispegpg2023"/>
    <w:p>
      <w:pPr>
        <w:pStyle w:val="Bibliography"/>
      </w:pPr>
      <w:r>
        <w:t xml:space="preserve">International Society for Pharmaceutical Engineering. 2023a.</w:t>
      </w:r>
      <w:r>
        <w:t xml:space="preserve"> </w:t>
      </w:r>
      <w:r>
        <w:rPr>
          <w:i/>
          <w:iCs/>
        </w:rPr>
        <w:t xml:space="preserve">Good Practice Guide: Practical Implementation of the Lifecycle Approach to Process Validation</w:t>
      </w:r>
      <w:r>
        <w:t xml:space="preserve">. ISPE.</w:t>
      </w:r>
    </w:p>
    <w:bookmarkEnd w:id="41"/>
    <w:bookmarkStart w:id="42" w:name="ref-ispett2023"/>
    <w:p>
      <w:pPr>
        <w:pStyle w:val="Bibliography"/>
      </w:pPr>
      <w:r>
        <w:t xml:space="preserve">International Society for Pharmaceutical Engineering. 2023b.</w:t>
      </w:r>
      <w:r>
        <w:t xml:space="preserve"> </w:t>
      </w:r>
      <w:r>
        <w:rPr>
          <w:i/>
          <w:iCs/>
        </w:rPr>
        <w:t xml:space="preserve">Good Practice Guide: Technology Transfer (Third Edition)</w:t>
      </w:r>
      <w:r>
        <w:t xml:space="preserve">. ISPE.</w:t>
      </w:r>
    </w:p>
    <w:bookmarkEnd w:id="42"/>
    <w:bookmarkStart w:id="43" w:name="ref-pdatr60"/>
    <w:p>
      <w:pPr>
        <w:pStyle w:val="Bibliography"/>
      </w:pPr>
      <w:r>
        <w:t xml:space="preserve">Parenteral Drug Association. 2013.</w:t>
      </w:r>
      <w:r>
        <w:t xml:space="preserve"> </w:t>
      </w:r>
      <w:r>
        <w:rPr>
          <w:i/>
          <w:iCs/>
        </w:rPr>
        <w:t xml:space="preserve">Technical Report No. 60: Process Validation — a Lifecycle Approach</w:t>
      </w:r>
      <w:r>
        <w:t xml:space="preserve">. PDA.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Transfer Plan</dc:title>
  <dc:creator>Manufacturing Science &amp; Technology (MSAT) / Technology Transfer</dc:creator>
  <cp:keywords/>
  <dcterms:created xsi:type="dcterms:W3CDTF">2026-07-25T10:58:06Z</dcterms:created>
  <dcterms:modified xsi:type="dcterms:W3CDTF">2026-07-25T10:58:06Z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pyter">
    <vt:lpwstr>python3</vt:lpwstr>
  </property>
  <property fmtid="{D5CDD505-2E9C-101B-9397-08002B2CF9AE}" pid="12" name="labels">
    <vt:lpwstr/>
  </property>
  <property fmtid="{D5CDD505-2E9C-101B-9397-08002B2CF9AE}" pid="13" name="subtitle">
    <vt:lpwstr>A-Mab Drug Substance — Cambridge (Development) → Grafton (Commercial DS) — PTP-001</vt:lpwstr>
  </property>
  <property fmtid="{D5CDD505-2E9C-101B-9397-08002B2CF9AE}" pid="14" name="tbl-cap-location">
    <vt:lpwstr>top</vt:lpwstr>
  </property>
  <property fmtid="{D5CDD505-2E9C-101B-9397-08002B2CF9AE}" pid="15" name="toc-title">
    <vt:lpwstr>Table of contents</vt:lpwstr>
  </property>
</Properties>
</file>