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residuals on the predicted values and on run order, and a cut-off on the Cook’s distance of a single run.</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The revision history now gives the approval date of this plan (INV-001 finding 5).</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The Version 1.0 limit was never an approved criterion, because it was applied in the report at analysis and appeared in no approved plan. For XMuLV clearance, Version 1.0 subtracted the nominal clearance of the other steps in this campaign from the cumulative requirement. Version 2.0 holds the step to its platform claim, which is the stricter criterion.</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and to test each model against the adequacy criteria of PCMP-001 §7.2.</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three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and the verification of the platform worst cases (</w:t>
      </w:r>
      <w:hyperlink w:anchor="sec-verification">
        <w:r>
          <w:rPr>
            <w:rStyle w:val="Hyperlink"/>
          </w:rPr>
          <w:t xml:space="preserve">Section 7.4</w:t>
        </w:r>
      </w:hyperlink>
      <w:r>
        <w:t xml:space="preserve">).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7"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No run has a Cook’s distance above 4/n, where n is the number of runs in the fit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7.02 % HMW. Cation exchange is the only step after this one that is credited with removing aggregate, so the criterion is the drug substance criterion multiplied by the cation exchange clearance factor.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The a priori criterion of 10.0 % HMW tightened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meets the adequacy criteria of</w:t>
      </w:r>
      <w:r>
        <w:t xml:space="preserve"> </w:t>
      </w:r>
      <w:hyperlink w:anchor="sec-crit-models">
        <w:r>
          <w:rPr>
            <w:rStyle w:val="Hyperlink"/>
          </w:rPr>
          <w:t xml:space="preserve">Section 7.1</w:t>
        </w:r>
      </w:hyperlink>
      <w:r>
        <w:t xml:space="preserve">, the bound replaces the platform value.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End w:id="57"/>
    <w:bookmarkStart w:id="58"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8"/>
    <w:bookmarkStart w:id="59"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59"/>
    <w:bookmarkStart w:id="61"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2"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5"/>
    <w:bookmarkStart w:id="67"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6"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6"/>
          <w:p/>
        </w:tc>
      </w:tr>
    </w:tbl>
    <w:bookmarkEnd w:id="67"/>
    <w:bookmarkStart w:id="69"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8"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8"/>
          <w:p/>
        </w:tc>
      </w:tr>
    </w:tbl>
    <w:bookmarkEnd w:id="69"/>
    <w:bookmarkStart w:id="77" w:name="references"/>
    <w:p>
      <w:pPr>
        <w:pStyle w:val="Heading1"/>
      </w:pPr>
      <w:r>
        <w:t xml:space="preserve">References</w:t>
      </w:r>
    </w:p>
    <w:bookmarkStart w:id="76"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Start w:id="71"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1"/>
    <w:bookmarkStart w:id="72"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2"/>
    <w:bookmarkStart w:id="73" w:name="ref-ichq9"/>
    <w:p>
      <w:pPr>
        <w:pStyle w:val="Bibliography"/>
      </w:pPr>
      <w:r>
        <w:t xml:space="preserve">———. 2023b.</w:t>
      </w:r>
      <w:r>
        <w:t xml:space="preserve"> </w:t>
      </w:r>
      <w:r>
        <w:t xml:space="preserve">“ICH Q9(R1): Quality Risk Management.”</w:t>
      </w:r>
      <w:r>
        <w:t xml:space="preserve"> </w:t>
      </w:r>
      <w:r>
        <w:t xml:space="preserve">ICH.</w:t>
      </w:r>
    </w:p>
    <w:bookmarkEnd w:id="73"/>
    <w:bookmarkStart w:id="74"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4"/>
    <w:bookmarkStart w:id="7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2026-10-10T07:09:41Z</dcterms:created>
  <dcterms:modified xsi:type="dcterms:W3CDTF">2026-10-10T07:09:41Z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