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Plan</w:t>
      </w:r>
    </w:p>
    <w:p>
      <w:pPr>
        <w:pStyle w:val="Subtitle"/>
      </w:pPr>
      <w:r>
        <w:t xml:space="preserve">A-Mab Drug Substance — Stage 1 Process Characterization — PCMP-001</w:t>
      </w:r>
    </w:p>
    <w:p>
      <w:pPr>
        <w:pStyle w:val="Author"/>
      </w:pPr>
      <w:r>
        <w:t xml:space="preserve">Manufacturing Science &amp; Technology (MSAT) / Process Development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 —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CCD, central-composite design · CPP, critical process parameter · CQA, critical quality</w:t>
      </w:r>
      <w:r>
        <w:t xml:space="preserve"> </w:t>
      </w:r>
      <w:r>
        <w:t xml:space="preserve">attribute · DoE, design of experiments · DS, drug substance · GPP, general process parameter ·</w:t>
      </w:r>
      <w:r>
        <w:t xml:space="preserve"> </w:t>
      </w:r>
      <w:r>
        <w:t xml:space="preserve">ICH, International Council for Harmonisation · KPP, key process parameter · MSAT,</w:t>
      </w:r>
      <w:r>
        <w:t xml:space="preserve"> </w:t>
      </w:r>
      <w:r>
        <w:t xml:space="preserve">Manufacturing Science and Technology · NOR, normal operating range · PAR, proven acceptable</w:t>
      </w:r>
      <w:r>
        <w:t xml:space="preserve"> </w:t>
      </w:r>
      <w:r>
        <w:t xml:space="preserve">range · PC, process characterization · PPQ, process performance qualification · QbD, Quality</w:t>
      </w:r>
      <w:r>
        <w:t xml:space="preserve"> </w:t>
      </w:r>
      <w:r>
        <w:t xml:space="preserve">by Design · RSM, response-surface methodology · SDM, scale-down model · WC-CPP,</w:t>
      </w:r>
      <w:r>
        <w:t xml:space="preserve"> </w:t>
      </w:r>
      <w:r>
        <w:t xml:space="preserve">well-controlled CPP.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Master Plan (</w:t>
      </w:r>
      <w:r>
        <w:rPr>
          <w:b/>
          <w:bCs/>
        </w:rPr>
        <w:t xml:space="preserve">PCMP-001</w:t>
      </w:r>
      <w:r>
        <w:t xml:space="preserve">) is the umbrella plan governing the</w:t>
      </w:r>
      <w:r>
        <w:t xml:space="preserve"> </w:t>
      </w:r>
      <w:r>
        <w:t xml:space="preserve">Stage 1 (Process Design) process characterization of the A-Mab drug-substance (DS) process. It</w:t>
      </w:r>
      <w:r>
        <w:t xml:space="preserve"> </w:t>
      </w:r>
      <w:r>
        <w:t xml:space="preserve">defines the overall characterization strategy and scope across all unit operations, the CQA</w:t>
      </w:r>
      <w:r>
        <w:t xml:space="preserve"> </w:t>
      </w:r>
      <w:r>
        <w:t xml:space="preserve">framework, the risk-based prioritization that sets the study scope, the common scale-down-model</w:t>
      </w:r>
      <w:r>
        <w:t xml:space="preserve"> </w:t>
      </w:r>
      <w:r>
        <w:t xml:space="preserve">and statistical approach, the acceptance-criteria framework, and the register of</w:t>
      </w:r>
      <w:r>
        <w:t xml:space="preserve"> </w:t>
      </w:r>
      <w:r>
        <w:t xml:space="preserve">per-unit-operation Process Characterization Plans (</w:t>
      </w:r>
      <w:r>
        <w:rPr>
          <w:b/>
          <w:bCs/>
        </w:rPr>
        <w:t xml:space="preserve">PCP-003 … PCP-010</w:t>
      </w:r>
      <w:r>
        <w:t xml:space="preserve">) it governs. Each</w:t>
      </w:r>
      <w:r>
        <w:t xml:space="preserve"> </w:t>
      </w:r>
      <w:r>
        <w:t xml:space="preserve">per-unit-operation plan specifies the detailed designs, ranges and criteria for its step within</w:t>
      </w:r>
      <w:r>
        <w:t xml:space="preserve"> </w:t>
      </w:r>
      <w:r>
        <w:t xml:space="preserve">this common framework; the executed studies are reported in the paired reports and consolidated</w:t>
      </w:r>
      <w:r>
        <w:t xml:space="preserve"> </w:t>
      </w:r>
      <w:r>
        <w:t xml:space="preserve">in 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8-step commercial-scale A-Mab DS process (production bioreactor</w:t>
      </w:r>
      <w:r>
        <w:t xml:space="preserve"> </w:t>
      </w:r>
      <w:r>
        <w:t xml:space="preserve">through final UF/DF) at the 15,000-L scale, characterized on qualified</w:t>
      </w:r>
      <w:r>
        <w:t xml:space="preserve"> </w:t>
      </w:r>
      <w:r>
        <w:t xml:space="preserve">scale-down models. The scope comprises the characterization of 37 process</w:t>
      </w:r>
      <w:r>
        <w:t xml:space="preserve"> </w:t>
      </w:r>
      <w:r>
        <w:t xml:space="preserve">parameters against 10 drug-substance CQAs. Drug-product and formulation</w:t>
      </w:r>
      <w:r>
        <w:t xml:space="preserve"> </w:t>
      </w:r>
      <w:r>
        <w:t xml:space="preserve">characterization are addressed under the drug-product program and are out of scope.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The master plan applies the lifecycle approach to 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 </w:t>
      </w:r>
      <w:r>
        <w:t xml:space="preserve">and the enhanced (QbD) development approach of ICH Q8, Q9,</w:t>
      </w:r>
      <w:r>
        <w:t xml:space="preserve"> </w:t>
      </w:r>
      <w:r>
        <w:t xml:space="preserve">Q10 and Q11</w:t>
      </w:r>
      <w:r>
        <w:t xml:space="preserve"> </w:t>
      </w:r>
      <w:r>
        <w:t xml:space="preserve">(International Council for Harmonisation 2009, 2023, 2008, 2012)</w:t>
      </w:r>
      <w:r>
        <w:t xml:space="preserve">, with the process model, quality-attribute</w:t>
      </w:r>
      <w:r>
        <w:t xml:space="preserve"> </w:t>
      </w:r>
      <w:r>
        <w:t xml:space="preserve">framework and risk methodology of the A-Mab case study</w:t>
      </w:r>
      <w:r>
        <w:t xml:space="preserve"> </w:t>
      </w:r>
      <w:r>
        <w:t xml:space="preserve">(CMC Biotech Working Group 2009)</w:t>
      </w:r>
      <w:r>
        <w:t xml:space="preserve">. The characterization scope</w:t>
      </w:r>
      <w:r>
        <w:t xml:space="preserve"> </w:t>
      </w:r>
      <w:r>
        <w:t xml:space="preserve">and study-type assignment are set by the Pre-Characterization Process Risk Assessment</w:t>
      </w:r>
      <w:r>
        <w:t xml:space="preserve"> </w:t>
      </w:r>
      <w:r>
        <w:t xml:space="preserve">(</w:t>
      </w:r>
      <w:r>
        <w:rPr>
          <w:b/>
          <w:bCs/>
        </w:rPr>
        <w:t xml:space="preserve">RA-001</w:t>
      </w:r>
      <w:r>
        <w:t xml:space="preserve">), which derives from the Process Transfer Plan (</w:t>
      </w:r>
      <w:r>
        <w:rPr>
          <w:b/>
          <w:bCs/>
        </w:rPr>
        <w:t xml:space="preserve">PTP-001</w:t>
      </w:r>
      <w:r>
        <w:t xml:space="preserve">).</w:t>
      </w:r>
    </w:p>
    <w:bookmarkEnd w:id="12"/>
    <w:bookmarkStart w:id="14" w:name="related-documents"/>
    <w:p>
      <w:pPr>
        <w:pStyle w:val="Heading1"/>
      </w:pPr>
      <w:r>
        <w:t xml:space="preserve">2. Related documents</w:t>
      </w:r>
    </w:p>
    <w:p>
      <w:pPr>
        <w:pStyle w:val="FirstParagraph"/>
      </w:pPr>
      <w:r>
        <w:t xml:space="preserve">This master plan governs the per-unit-operation plans and is cross-referenced with the full</w:t>
      </w:r>
      <w:r>
        <w:t xml:space="preserve"> </w:t>
      </w:r>
      <w:r>
        <w:t xml:space="preserve">package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document package governed by this master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3"/>
          <w:p/>
        </w:tc>
      </w:tr>
    </w:tbl>
    <w:bookmarkEnd w:id="14"/>
    <w:bookmarkStart w:id="16" w:name="overall-characterization-strategy"/>
    <w:p>
      <w:pPr>
        <w:pStyle w:val="Heading1"/>
      </w:pPr>
      <w:r>
        <w:t xml:space="preserve">3. Overall characterization strategy</w:t>
      </w:r>
    </w:p>
    <w:p>
      <w:pPr>
        <w:pStyle w:val="FirstParagraph"/>
      </w:pPr>
      <w:r>
        <w:t xml:space="preserve">The characterization follows the QbD paradigm: for each unit operation, the process parameters</w:t>
      </w:r>
      <w:r>
        <w:t xml:space="preserve"> </w:t>
      </w:r>
      <w:r>
        <w:t xml:space="preserve">are studied against the CQAs the step forms or clears, on a qualified scale-down model, to</w:t>
      </w:r>
      <w:r>
        <w:t xml:space="preserve"> </w:t>
      </w:r>
      <w:r>
        <w:t xml:space="preserve">establish the significant effects, the multivariate operating region (design space) where</w:t>
      </w:r>
      <w:r>
        <w:t xml:space="preserve"> </w:t>
      </w:r>
      <w:r>
        <w:t xml:space="preserve">applicable, the proven acceptable ranges (PARs) and normal operating ranges (NORs), and the</w:t>
      </w:r>
      <w:r>
        <w:t xml:space="preserve"> </w:t>
      </w:r>
      <w:r>
        <w:t xml:space="preserve">classification of every parameter. The unit operations and each step’s principal role in the</w:t>
      </w:r>
      <w:r>
        <w:t xml:space="preserve"> </w:t>
      </w:r>
      <w:r>
        <w:t xml:space="preserve">control strategy are given in</w:t>
      </w:r>
      <w:r>
        <w:t xml:space="preserve"> </w:t>
      </w:r>
      <w:hyperlink w:anchor="tbl-steps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te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drug-substance process train (Steps 3–10) and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characterization is CQA-centric: the production bioreactor</w:t>
      </w:r>
      <w:r>
        <w:t xml:space="preserve"> </w:t>
      </w:r>
      <w:r>
        <w:rPr>
          <w:b/>
          <w:bCs/>
        </w:rPr>
        <w:t xml:space="preserve">forms</w:t>
      </w:r>
      <w:r>
        <w:t xml:space="preserve"> </w:t>
      </w:r>
      <w:r>
        <w:t xml:space="preserve">the glycan,</w:t>
      </w:r>
      <w:r>
        <w:t xml:space="preserve"> </w:t>
      </w:r>
      <w:r>
        <w:t xml:space="preserve">charge-variant and aggregate CQAs and is characterized as the upstream design-space step; the</w:t>
      </w:r>
      <w:r>
        <w:t xml:space="preserve"> </w:t>
      </w:r>
      <w:r>
        <w:t xml:space="preserve">purification train</w:t>
      </w:r>
      <w:r>
        <w:t xml:space="preserve"> </w:t>
      </w:r>
      <w:r>
        <w:rPr>
          <w:b/>
          <w:bCs/>
        </w:rPr>
        <w:t xml:space="preserve">clears</w:t>
      </w:r>
      <w:r>
        <w:t xml:space="preserve"> </w:t>
      </w:r>
      <w:r>
        <w:t xml:space="preserve">the process-related impurities and provides the modular viral</w:t>
      </w:r>
      <w:r>
        <w:t xml:space="preserve"> </w:t>
      </w:r>
      <w:r>
        <w:t xml:space="preserve">clearance; and harvest and final UF/DF form no product-quality CQA and are characterized on</w:t>
      </w:r>
      <w:r>
        <w:t xml:space="preserve"> </w:t>
      </w:r>
      <w:r>
        <w:t xml:space="preserve">process-performance grounds.</w:t>
      </w:r>
    </w:p>
    <w:bookmarkEnd w:id="16"/>
    <w:bookmarkStart w:id="18" w:name="cqa-framework"/>
    <w:p>
      <w:pPr>
        <w:pStyle w:val="Heading1"/>
      </w:pPr>
      <w:r>
        <w:t xml:space="preserve">4. CQA framework</w:t>
      </w:r>
    </w:p>
    <w:p>
      <w:pPr>
        <w:pStyle w:val="FirstParagraph"/>
      </w:pPr>
      <w:r>
        <w:t xml:space="preserve">The 10 drug-substance CQAs, their acceptance criteria and their criticality</w:t>
      </w:r>
      <w:r>
        <w:t xml:space="preserve"> </w:t>
      </w:r>
      <w:r>
        <w:t xml:space="preserve">(Tool #1 = Impact × Uncertainty) are the quality targets against which every unit operation is</w:t>
      </w:r>
      <w:r>
        <w:t xml:space="preserve"> </w:t>
      </w:r>
      <w:r>
        <w:t xml:space="preserve">characterized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Each CQA has an individual control strategy built from the unit</w:t>
      </w:r>
      <w:r>
        <w:t xml:space="preserve"> </w:t>
      </w:r>
      <w:r>
        <w:t xml:space="preserve">operations that form and clear it; the sum of the individual strategies is the overall control</w:t>
      </w:r>
      <w:r>
        <w:t xml:space="preserve"> </w:t>
      </w:r>
      <w:r>
        <w:t xml:space="preserve">strategy, 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Drug-substance CQA framework — acceptance criteria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36"/>
              <w:gridCol w:w="1296"/>
              <w:gridCol w:w="2015"/>
              <w:gridCol w:w="1080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7"/>
          <w:p/>
        </w:tc>
      </w:tr>
    </w:tbl>
    <w:bookmarkEnd w:id="18"/>
    <w:bookmarkStart w:id="20" w:name="X332fbeb6a03583fe56f3c99e236aca55c69eb1c"/>
    <w:p>
      <w:pPr>
        <w:pStyle w:val="Heading1"/>
      </w:pPr>
      <w:r>
        <w:t xml:space="preserve">5. Risk-based prioritization and study scope</w:t>
      </w:r>
    </w:p>
    <w:p>
      <w:pPr>
        <w:pStyle w:val="FirstParagraph"/>
      </w:pPr>
      <w:r>
        <w:t xml:space="preserve">The study scope and the study-type assignment are set by the Pre-Characterization Process Risk</w:t>
      </w:r>
      <w:r>
        <w:t xml:space="preserve"> </w:t>
      </w:r>
      <w:r>
        <w:t xml:space="preserve">Assessment (</w:t>
      </w:r>
      <w:r>
        <w:rPr>
          <w:b/>
          <w:bCs/>
        </w:rPr>
        <w:t xml:space="preserve">RA-001</w:t>
      </w:r>
      <w:r>
        <w:t xml:space="preserve">), which prioritizes each parameter by its prospective risk to a CQA and</w:t>
      </w:r>
      <w:r>
        <w:t xml:space="preserve"> </w:t>
      </w:r>
      <w:r>
        <w:t xml:space="preserve">assigns the study type accordingly. Across the 37 parameters, 22</w:t>
      </w:r>
      <w:r>
        <w:t xml:space="preserve"> </w:t>
      </w:r>
      <w:r>
        <w:t xml:space="preserve">are assigned to a</w:t>
      </w:r>
      <w:r>
        <w:t xml:space="preserve"> </w:t>
      </w:r>
      <w:r>
        <w:rPr>
          <w:b/>
          <w:bCs/>
        </w:rPr>
        <w:t xml:space="preserve">multivariate DoE</w:t>
      </w:r>
      <w:r>
        <w:t xml:space="preserve">, 1 to a</w:t>
      </w:r>
      <w:r>
        <w:t xml:space="preserve"> </w:t>
      </w:r>
      <w:r>
        <w:rPr>
          <w:b/>
          <w:bCs/>
        </w:rPr>
        <w:t xml:space="preserve">justified univariate</w:t>
      </w:r>
      <w:r>
        <w:t xml:space="preserve"> </w:t>
      </w:r>
      <w:r>
        <w:t xml:space="preserve">study, and</w:t>
      </w:r>
      <w:r>
        <w:t xml:space="preserve"> </w:t>
      </w:r>
      <w:r>
        <w:t xml:space="preserve">15 to</w:t>
      </w:r>
      <w:r>
        <w:t xml:space="preserve"> </w:t>
      </w:r>
      <w:r>
        <w:rPr>
          <w:b/>
          <w:bCs/>
        </w:rPr>
        <w:t xml:space="preserve">univariate</w:t>
      </w:r>
      <w:r>
        <w:t xml:space="preserve"> </w:t>
      </w:r>
      <w:r>
        <w:t xml:space="preserve">ranging; multivariate designed experiments are therefore</w:t>
      </w:r>
      <w:r>
        <w:t xml:space="preserve"> </w:t>
      </w:r>
      <w:r>
        <w:t xml:space="preserve">conducted at 6 unit operations (</w:t>
      </w:r>
      <w:hyperlink w:anchor="tbl-scope">
        <w:r>
          <w:rPr>
            <w:rStyle w:val="Hyperlink"/>
          </w:rPr>
          <w:t xml:space="preserve">Table 5</w:t>
        </w:r>
      </w:hyperlink>
      <w:r>
        <w:t xml:space="preserve">). The remaining steps carry no</w:t>
      </w:r>
      <w:r>
        <w:t xml:space="preserve"> </w:t>
      </w:r>
      <w:r>
        <w:t xml:space="preserve">credible CQA risk and are characterized univariately.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Characterization study scope across the train (from RA-001).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66"/>
              <w:gridCol w:w="1205"/>
              <w:gridCol w:w="46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RRF basis (RA-001)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Credible main-effect and interaction risk to a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Credible CQA risk without an expected interaction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credible CQA risk; process-performance study only</w:t>
                  </w:r>
                </w:p>
              </w:tc>
            </w:tr>
          </w:tbl>
          <w:bookmarkEnd w:id="19"/>
          <w:p/>
        </w:tc>
      </w:tr>
    </w:tbl>
    <w:bookmarkEnd w:id="20"/>
    <w:bookmarkStart w:id="21" w:name="scale-down-model-strategy"/>
    <w:p>
      <w:pPr>
        <w:pStyle w:val="Heading1"/>
      </w:pPr>
      <w:r>
        <w:t xml:space="preserve">6. Scale-down-model strategy</w:t>
      </w:r>
    </w:p>
    <w:p>
      <w:pPr>
        <w:pStyle w:val="FirstParagraph"/>
      </w:pPr>
      <w:r>
        <w:t xml:space="preserve">All characterization is performed on</w:t>
      </w:r>
      <w:r>
        <w:t xml:space="preserve"> </w:t>
      </w:r>
      <w:r>
        <w:rPr>
          <w:b/>
          <w:bCs/>
        </w:rPr>
        <w:t xml:space="preserve">qualified scale-down models</w:t>
      </w:r>
      <w:r>
        <w:t xml:space="preserve"> </w:t>
      </w:r>
      <w:r>
        <w:t xml:space="preserve">operated at the</w:t>
      </w:r>
      <w:r>
        <w:t xml:space="preserve"> </w:t>
      </w:r>
      <w:r>
        <w:t xml:space="preserve">commercial-process equivalents for the step (bioreactor scale-down; bench-scale clarification;</w:t>
      </w:r>
      <w:r>
        <w:t xml:space="preserve"> </w:t>
      </w:r>
      <w:r>
        <w:t xml:space="preserve">scale-down chromatography columns; scale-down virus-filtration and UF/DF models). Prior to</w:t>
      </w:r>
      <w:r>
        <w:t xml:space="preserve"> </w:t>
      </w:r>
      <w:r>
        <w:t xml:space="preserve">characterization each model is qualified against at-scale reference data (</w:t>
      </w:r>
      <w:r>
        <w:rPr>
          <w:b/>
          <w:bCs/>
        </w:rPr>
        <w:t xml:space="preserve">SOP-1001</w:t>
      </w:r>
      <w:r>
        <w:t xml:space="preserve">) by</w:t>
      </w:r>
      <w:r>
        <w:t xml:space="preserve"> </w:t>
      </w:r>
      <w:r>
        <w:t xml:space="preserve">comparing the operational parameters and the input/output attributes, confirming it is</w:t>
      </w:r>
      <w:r>
        <w:t xml:space="preserve"> </w:t>
      </w:r>
      <w:r>
        <w:t xml:space="preserve">representative and suitable to support the operating-range and PAR claims. The centre-point (or</w:t>
      </w:r>
      <w:r>
        <w:t xml:space="preserve"> </w:t>
      </w:r>
      <w:r>
        <w:t xml:space="preserve">set-point) replicates of each study provide the in-study estimate of model reproducibility</w:t>
      </w:r>
      <w:r>
        <w:t xml:space="preserve"> </w:t>
      </w:r>
      <w:r>
        <w:t xml:space="preserve">(pure error). Commercial-scale representativeness is confirmed in Stage 2.</w:t>
      </w:r>
    </w:p>
    <w:bookmarkEnd w:id="21"/>
    <w:bookmarkStart w:id="22" w:name="common-statistical-approach"/>
    <w:p>
      <w:pPr>
        <w:pStyle w:val="Heading1"/>
      </w:pPr>
      <w:r>
        <w:t xml:space="preserve">7. Common statistical approach</w:t>
      </w:r>
    </w:p>
    <w:p>
      <w:pPr>
        <w:pStyle w:val="FirstParagraph"/>
      </w:pPr>
      <w:r>
        <w:t xml:space="preserve">The characterization applies a common statistical approach (</w:t>
      </w:r>
      <w:r>
        <w:rPr>
          <w:b/>
          <w:bCs/>
        </w:rPr>
        <w:t xml:space="preserve">SOP-1002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Designs</w:t>
      </w:r>
      <w:r>
        <w:t xml:space="preserve"> </w:t>
      </w:r>
      <w:r>
        <w:t xml:space="preserve">are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 ±1. A DoE</w:t>
      </w:r>
      <w:r>
        <w:t xml:space="preserve"> </w:t>
      </w:r>
      <w:r>
        <w:t xml:space="preserve">step uses a two-level factorial (or resolution-V fraction)</w:t>
      </w:r>
      <w:r>
        <w:t xml:space="preserve"> </w:t>
      </w:r>
      <w:r>
        <w:rPr>
          <w:b/>
          <w:bCs/>
        </w:rPr>
        <w:t xml:space="preserve">screening</w:t>
      </w:r>
      <w:r>
        <w:t xml:space="preserve"> </w:t>
      </w:r>
      <w:r>
        <w:t xml:space="preserve">design followed by a</w:t>
      </w:r>
      <w:r>
        <w:t xml:space="preserve"> </w:t>
      </w:r>
      <w:r>
        <w:t xml:space="preserve">face-centred</w:t>
      </w:r>
      <w:r>
        <w:t xml:space="preserve"> </w:t>
      </w:r>
      <w:r>
        <w:rPr>
          <w:b/>
          <w:bCs/>
        </w:rPr>
        <w:t xml:space="preserve">central-composite response-surface</w:t>
      </w:r>
      <w:r>
        <w:t xml:space="preserve"> </w:t>
      </w:r>
      <w:r>
        <w:t xml:space="preserve">design; a non-DoE step uses</w:t>
      </w:r>
      <w:r>
        <w:t xml:space="preserve"> </w:t>
      </w:r>
      <w:r>
        <w:rPr>
          <w:b/>
          <w:bCs/>
        </w:rPr>
        <w:t xml:space="preserve">univariate</w:t>
      </w:r>
      <w:r>
        <w:rPr>
          <w:b/>
          <w:bCs/>
        </w:rPr>
        <w:t xml:space="preserve"> </w:t>
      </w:r>
      <w:r>
        <w:rPr>
          <w:b/>
          <w:bCs/>
        </w:rPr>
        <w:t xml:space="preserve">ranging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Analysis.</w:t>
      </w:r>
      <w:r>
        <w:t xml:space="preserve"> </w:t>
      </w:r>
      <w:r>
        <w:t xml:space="preserve">Screening data are analyzed by ordinary-least-squares regression on the main</w:t>
      </w:r>
      <w:r>
        <w:t xml:space="preserve"> </w:t>
      </w:r>
      <w:r>
        <w:t xml:space="preserve">effects and two-factor interactions (effects reported as twice the coded coefficient);</w:t>
      </w:r>
      <w:r>
        <w:t xml:space="preserve"> </w:t>
      </w:r>
      <w:r>
        <w:t xml:space="preserve">response-surface data by the full quadratic model. Significance is assessed at α = 0.05.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 adequacy</w:t>
      </w:r>
      <w:r>
        <w:t xml:space="preserve"> </w:t>
      </w:r>
      <w:r>
        <w:t xml:space="preserve">is judged by R², adjusted R², predicted R² (PRESS), the model F-test, and</w:t>
      </w:r>
      <w:r>
        <w:t xml:space="preserve"> </w:t>
      </w:r>
      <w:r>
        <w:t xml:space="preserve">an ANOVA lack-of-fit test against the centre-point pure error; the target for a modelled</w:t>
      </w:r>
      <w:r>
        <w:t xml:space="preserve"> </w:t>
      </w:r>
      <w:r>
        <w:t xml:space="preserve">response is R² ≥ 0.90, adjusted R² ≥ 0.80 and no significant lack of fit. A response governed</w:t>
      </w:r>
      <w:r>
        <w:t xml:space="preserve"> </w:t>
      </w:r>
      <w:r>
        <w:t xml:space="preserve">by a single dominant factor or with no significant effect is reported as robust rather than as</w:t>
      </w:r>
      <w:r>
        <w:t xml:space="preserve"> </w:t>
      </w:r>
      <w:r>
        <w:t xml:space="preserve">a predictive surface.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response-surface model is the predictive / design-space model</w:t>
      </w:r>
      <w:r>
        <w:t xml:space="preserve">; the screening model</w:t>
      </w:r>
      <w:r>
        <w:t xml:space="preserve"> </w:t>
      </w:r>
      <w:r>
        <w:t xml:space="preserve">identifies effects and is not over-interpreted where it is near-saturated.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Capability.</w:t>
      </w:r>
      <w:r>
        <w:t xml:space="preserve"> </w:t>
      </w:r>
      <w:r>
        <w:t xml:space="preserve">Commercial-scale process capability for each CQA is estimated by Monte-Carlo</w:t>
      </w:r>
      <w:r>
        <w:t xml:space="preserve"> </w:t>
      </w:r>
      <w:r>
        <w:t xml:space="preserve">simulation of 2,000 batches with each parameter varied within its NOR,</w:t>
      </w:r>
      <w:r>
        <w:t xml:space="preserve"> </w:t>
      </w:r>
      <w:r>
        <w:t xml:space="preserve">reporting the one-sided or two-sided process-capability index (Cpk); the Stage-2 PPQ campaign</w:t>
      </w:r>
      <w:r>
        <w:t xml:space="preserve"> </w:t>
      </w:r>
      <w:r>
        <w:t xml:space="preserve">(5 qualification batches as the capability basis) confirms the estimates at</w:t>
      </w:r>
      <w:r>
        <w:t xml:space="preserve"> </w:t>
      </w:r>
      <w:r>
        <w:t xml:space="preserve">commercial scale.</w:t>
      </w:r>
    </w:p>
    <w:bookmarkEnd w:id="22"/>
    <w:bookmarkStart w:id="24" w:name="per-unit-operation-plans"/>
    <w:p>
      <w:pPr>
        <w:pStyle w:val="Heading1"/>
      </w:pPr>
      <w:r>
        <w:t xml:space="preserve">8. Per-unit-operation plans</w:t>
      </w:r>
    </w:p>
    <w:p>
      <w:pPr>
        <w:pStyle w:val="FirstParagraph"/>
      </w:pPr>
      <w:r>
        <w:t xml:space="preserve">The master plan governs the 8 per-unit-operation Process Characterization</w:t>
      </w:r>
      <w:r>
        <w:t xml:space="preserve"> </w:t>
      </w:r>
      <w:r>
        <w:t xml:space="preserve">Plans, each of which specifies the detailed designs, ranges and acceptance criteria for its step</w:t>
      </w:r>
      <w:r>
        <w:t xml:space="preserve"> </w:t>
      </w:r>
      <w:r>
        <w:t xml:space="preserve">within this common framework (</w:t>
      </w:r>
      <w:hyperlink w:anchor="tbl-plans">
        <w:r>
          <w:rPr>
            <w:rStyle w:val="Hyperlink"/>
          </w:rPr>
          <w:t xml:space="preserve">Table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pl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per-unit-operation Process Characterization Plans governed by this master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10"/>
              <w:gridCol w:w="720"/>
              <w:gridCol w:w="3060"/>
              <w:gridCol w:w="33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Planned characterization approach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 (screening + RSM)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ranging (no DoE)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 (screening + RSM)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 (screening + RSM)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 (screening + RSM)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 (screening + RSM)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 (screening + RSM)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ranging (no DoE)</w:t>
                  </w:r>
                </w:p>
              </w:tc>
            </w:tr>
          </w:tbl>
          <w:bookmarkEnd w:id="23"/>
          <w:p/>
        </w:tc>
      </w:tr>
    </w:tbl>
    <w:bookmarkEnd w:id="24"/>
    <w:bookmarkStart w:id="25" w:name="acceptance-criteria-framework"/>
    <w:p>
      <w:pPr>
        <w:pStyle w:val="Heading1"/>
      </w:pPr>
      <w:r>
        <w:t xml:space="preserve">9. Acceptance-criteria framework</w:t>
      </w:r>
    </w:p>
    <w:p>
      <w:pPr>
        <w:pStyle w:val="FirstParagraph"/>
      </w:pPr>
      <w:r>
        <w:t xml:space="preserve">A unit-operation characterization is acceptable when: (i) the scale-down model qualification</w:t>
      </w:r>
      <w:r>
        <w:t xml:space="preserve"> </w:t>
      </w:r>
      <w:r>
        <w:t xml:space="preserve">confirms representativeness of commercial scale; (ii) for a DoE step, the response-surface</w:t>
      </w:r>
      <w:r>
        <w:t xml:space="preserve"> </w:t>
      </w:r>
      <w:r>
        <w:t xml:space="preserve">models for the modelled responses are adequate (R² ≥ 0.90, adjusted R² ≥ 0.80, no significant</w:t>
      </w:r>
      <w:r>
        <w:t xml:space="preserve"> </w:t>
      </w:r>
      <w:r>
        <w:t xml:space="preserve">lack of fit) and a multivariate operating region exists over which the CQAs the step governs are</w:t>
      </w:r>
      <w:r>
        <w:t xml:space="preserve"> </w:t>
      </w:r>
      <w:r>
        <w:t xml:space="preserve">controlled; (iii) for a non-DoE step, the product-quality CQAs are demonstrated unchanged and</w:t>
      </w:r>
      <w:r>
        <w:t xml:space="preserve"> </w:t>
      </w:r>
      <w:r>
        <w:t xml:space="preserve">the process-performance measures remain within their platform targets; and (iv) every parameter</w:t>
      </w:r>
      <w:r>
        <w:t xml:space="preserve"> </w:t>
      </w:r>
      <w:r>
        <w:t xml:space="preserve">is classified on the A-Mab continuum (CPP / WC-CPP / KPP / GPP) with a data-supported rationale.</w:t>
      </w:r>
      <w:r>
        <w:t xml:space="preserve"> </w:t>
      </w:r>
      <w:r>
        <w:t xml:space="preserve">The commercial-scale control strategy is acceptable when every CQA meets its acceptance criterion</w:t>
      </w:r>
      <w:r>
        <w:t xml:space="preserve"> </w:t>
      </w:r>
      <w:r>
        <w:t xml:space="preserve">with adequate capability and the cumulative viral clearance meets its requirement; the outcomes</w:t>
      </w:r>
      <w:r>
        <w:t xml:space="preserve"> </w:t>
      </w:r>
      <w:r>
        <w:t xml:space="preserve">are reported in the PCRs and 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.</w:t>
      </w:r>
    </w:p>
    <w:bookmarkEnd w:id="25"/>
    <w:bookmarkStart w:id="26" w:name="data-management-and-integrity"/>
    <w:p>
      <w:pPr>
        <w:pStyle w:val="Heading1"/>
      </w:pPr>
      <w:r>
        <w:t xml:space="preserve">10. Data management and integrity</w:t>
      </w:r>
    </w:p>
    <w:p>
      <w:pPr>
        <w:pStyle w:val="FirstParagraph"/>
      </w:pPr>
      <w:r>
        <w:t xml:space="preserve">All raw data, designs, analytical results and analyses are recorded and retained under the site</w:t>
      </w:r>
      <w:r>
        <w:t xml:space="preserve"> </w:t>
      </w:r>
      <w:r>
        <w:t xml:space="preserve">data-integrity procedures (ALCOA+), analyzed with version-controlled scripts and reviewed by a</w:t>
      </w:r>
      <w:r>
        <w:t xml:space="preserve"> </w:t>
      </w:r>
      <w:r>
        <w:t xml:space="preserve">second analyst, and archived with the reports. Deviations from a plan are documented and</w:t>
      </w:r>
      <w:r>
        <w:t xml:space="preserve"> </w:t>
      </w:r>
      <w:r>
        <w:t xml:space="preserve">assessed for impact in the paired report.</w:t>
      </w:r>
    </w:p>
    <w:bookmarkEnd w:id="26"/>
    <w:bookmarkStart w:id="28" w:name="roles-and-responsibilities"/>
    <w:p>
      <w:pPr>
        <w:pStyle w:val="Heading1"/>
      </w:pPr>
      <w:r>
        <w:t xml:space="preserve">11.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 the master plan and the per-unit-operation plans; design, execute and analyze the studies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the released, in-process and characterization testing under the validated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models; confirm commercial-scale representativeness in Stage 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the designs, the statistical analyses and the design-space definitions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plans and reports; confirm the parameter classifications and control strategy</w:t>
                  </w:r>
                </w:p>
              </w:tc>
            </w:tr>
          </w:tbl>
          <w:bookmarkEnd w:id="27"/>
          <w:p/>
        </w:tc>
      </w:tr>
    </w:tbl>
    <w:bookmarkEnd w:id="28"/>
    <w:bookmarkStart w:id="29" w:name="schedule"/>
    <w:p>
      <w:pPr>
        <w:pStyle w:val="Heading1"/>
      </w:pPr>
      <w:r>
        <w:t xml:space="preserve">12. Schedule</w:t>
      </w:r>
    </w:p>
    <w:p>
      <w:pPr>
        <w:pStyle w:val="FirstParagraph"/>
      </w:pPr>
      <w:r>
        <w:t xml:space="preserve">The characterization proceeds per unit operation under the paired plans, following scale-down</w:t>
      </w:r>
      <w:r>
        <w:t xml:space="preserve"> </w:t>
      </w:r>
      <w:r>
        <w:t xml:space="preserve">model qualification and the Pre-Characterization Process Risk Assessment (</w:t>
      </w:r>
      <w:r>
        <w:rPr>
          <w:b/>
          <w:bCs/>
        </w:rPr>
        <w:t xml:space="preserve">RA-001</w:t>
      </w:r>
      <w:r>
        <w:t xml:space="preserve">), and</w:t>
      </w:r>
      <w:r>
        <w:t xml:space="preserve"> </w:t>
      </w:r>
      <w:r>
        <w:t xml:space="preserve">precedes the Stage-2 PPQ campaign at the receiving site (</w:t>
      </w:r>
      <w:r>
        <w:rPr>
          <w:b/>
          <w:bCs/>
        </w:rPr>
        <w:t xml:space="preserve">PTP-001</w:t>
      </w:r>
      <w:r>
        <w:t xml:space="preserve">). The per-unit-operation</w:t>
      </w:r>
      <w:r>
        <w:t xml:space="preserve"> </w:t>
      </w:r>
      <w:r>
        <w:t xml:space="preserve">reports (</w:t>
      </w:r>
      <w:r>
        <w:rPr>
          <w:b/>
          <w:bCs/>
        </w:rPr>
        <w:t xml:space="preserve">PCR-003 … PCR-010</w:t>
      </w:r>
      <w:r>
        <w:t xml:space="preserve">) are consolidated in the Process Characterization Master Report</w:t>
      </w:r>
      <w:r>
        <w:t xml:space="preserve"> </w:t>
      </w:r>
      <w:r>
        <w:t xml:space="preserve">(</w:t>
      </w:r>
      <w:r>
        <w:rPr>
          <w:b/>
          <w:bCs/>
        </w:rPr>
        <w:t xml:space="preserve">PCMR-001</w:t>
      </w:r>
      <w:r>
        <w:t xml:space="preserve">), which confirms the overall control strategy and Stage-2 readiness.</w:t>
      </w:r>
    </w:p>
    <w:bookmarkEnd w:id="29"/>
    <w:bookmarkStart w:id="30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Approval of this master plan authorizes the Stage 1 process characterization described herein.</w:t>
      </w:r>
      <w:r>
        <w:t xml:space="preserve"> </w:t>
      </w:r>
      <w:r>
        <w:t xml:space="preserve">Signatures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0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Start w:id="31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31"/>
    <w:bookmarkStart w:id="32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32"/>
    <w:bookmarkStart w:id="3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33"/>
    <w:bookmarkStart w:id="3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34"/>
    <w:bookmarkStart w:id="3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35"/>
    <w:bookmarkStart w:id="36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36"/>
    <w:bookmarkStart w:id="37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37"/>
    <w:bookmarkStart w:id="3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Plan</dc:title>
  <dc:creator>Manufacturing Science &amp; Technology (MSAT) / Process Development</dc:creator>
  <cp:keywords/>
  <dcterms:created xsi:type="dcterms:W3CDTF">2026-07-25T10:58:37Z</dcterms:created>
  <dcterms:modified xsi:type="dcterms:W3CDTF">2026-07-25T10:58:37Z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Stage 1 Process Characterization — PCMP-001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