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0.png" ContentType="image/png"/>
  <Override PartName="/word/media/rId54.png" ContentType="image/png"/>
  <Override PartName="/word/media/rId6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Anion Exchange Chromatography (Step 8) — PCR-008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Anion Exchange Chromatography (Step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anion-exchange chromatography · ANOVA, analysis of variance · CCD,</w:t>
      </w:r>
      <w:r>
        <w:t xml:space="preserve"> </w:t>
      </w:r>
      <w:r>
        <w:t xml:space="preserve">central-composite design · CEX, cation-exchange chromatography · CPP, critical</w:t>
      </w:r>
      <w:r>
        <w:t xml:space="preserve"> </w:t>
      </w:r>
      <w:r>
        <w:t xml:space="preserve">process parameter · CQA, critical quality attribute · CV, column volume · DoE,</w:t>
      </w:r>
      <w:r>
        <w:t xml:space="preserve"> </w:t>
      </w:r>
      <w:r>
        <w:t xml:space="preserve">design of experiments · DS, drug substance · ELISA, enzyme-linked immunosorbent</w:t>
      </w:r>
      <w:r>
        <w:t xml:space="preserve"> </w:t>
      </w:r>
      <w:r>
        <w:t xml:space="preserve">assay · FT, flow-through · GPP, general process parameter · HCP, host-cell protein ·</w:t>
      </w:r>
      <w:r>
        <w:t xml:space="preserve"> </w:t>
      </w:r>
      <w:r>
        <w:t xml:space="preserve">icIEF, imaged capillary isoelectric focusing · ICH, International Council for</w:t>
      </w:r>
      <w:r>
        <w:t xml:space="preserve"> </w:t>
      </w:r>
      <w:r>
        <w:t xml:space="preserve">Harmonisation · IPC, in-process control · KPP, key process parameter · LRF/LRV,</w:t>
      </w:r>
      <w:r>
        <w:t xml:space="preserve"> </w:t>
      </w:r>
      <w:r>
        <w:t xml:space="preserve">log-reduction factor / value · MSAT, Manufacturing Science and Technology · MVM,</w:t>
      </w:r>
      <w:r>
        <w:t xml:space="preserve"> </w:t>
      </w:r>
      <w:r>
        <w:t xml:space="preserve">minute virus of mice (parvovirus) · NOR, normal operating range · PAR, proven</w:t>
      </w:r>
      <w:r>
        <w:t xml:space="preserve"> </w:t>
      </w:r>
      <w:r>
        <w:t xml:space="preserve">acceptable range · PPQ, process performance qualification · qPCR, quantitative</w:t>
      </w:r>
      <w:r>
        <w:t xml:space="preserve"> </w:t>
      </w:r>
      <w:r>
        <w:t xml:space="preserve">polymerase chain reaction · QbD, Quality by Design · RSM, response-surface</w:t>
      </w:r>
      <w:r>
        <w:t xml:space="preserve"> </w:t>
      </w:r>
      <w:r>
        <w:t xml:space="preserve">methodology · SDM, scale-down model · TCID50, 50% tissue-culture infectious dose ·</w:t>
      </w:r>
      <w:r>
        <w:t xml:space="preserve"> </w:t>
      </w:r>
      <w:r>
        <w:t xml:space="preserve">UV, ultraviolet absorbance (280 nm) · WC-CPP, well-controlled CPP · XMuLV,</w:t>
      </w:r>
      <w:r>
        <w:t xml:space="preserve"> </w:t>
      </w:r>
      <w:r>
        <w:t xml:space="preserve">xenotropic murine leukaemia virus (enveloped model virus).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anion-exchange (AEX) polishing chromatography step (Step 8), the</w:t>
      </w:r>
      <w:r>
        <w:t xml:space="preserve"> </w:t>
      </w:r>
      <w:r>
        <w:rPr>
          <w:b/>
          <w:bCs/>
        </w:rPr>
        <w:t xml:space="preserve">flow-through</w:t>
      </w:r>
      <w:r>
        <w:t xml:space="preserve"> </w:t>
      </w:r>
      <w:r>
        <w:t xml:space="preserve">polishing</w:t>
      </w:r>
      <w:r>
        <w:t xml:space="preserve"> </w:t>
      </w:r>
      <w:r>
        <w:t xml:space="preserve">operation that follows cation-exchange polishing and is the</w:t>
      </w:r>
      <w:r>
        <w:t xml:space="preserve"> </w:t>
      </w:r>
      <w:r>
        <w:rPr>
          <w:b/>
          <w:bCs/>
        </w:rPr>
        <w:t xml:space="preserve">final chromatographic step</w:t>
      </w:r>
      <w:r>
        <w:t xml:space="preserve"> </w:t>
      </w:r>
      <w:r>
        <w:t xml:space="preserve">of the purification train. Operated in flow-through (product-transmission) mode, anion</w:t>
      </w:r>
      <w:r>
        <w:t xml:space="preserve"> </w:t>
      </w:r>
      <w:r>
        <w:t xml:space="preserve">exchange is the step at which the process</w:t>
      </w:r>
      <w:r>
        <w:t xml:space="preserve"> </w:t>
      </w:r>
      <w:r>
        <w:rPr>
          <w:b/>
          <w:bCs/>
        </w:rPr>
        <w:t xml:space="preserve">establishes the minute-virus-of-mice (MVM,</w:t>
      </w:r>
      <w:r>
        <w:rPr>
          <w:b/>
          <w:bCs/>
        </w:rPr>
        <w:t xml:space="preserve"> </w:t>
      </w:r>
      <w:r>
        <w:rPr>
          <w:b/>
          <w:bCs/>
        </w:rPr>
        <w:t xml:space="preserve">parvovirus) viral-clearance claim</w:t>
      </w:r>
      <w:r>
        <w:t xml:space="preserve"> </w:t>
      </w:r>
      <w:r>
        <w:t xml:space="preserve">— the CQA it sets — and it provides orthogonal</w:t>
      </w:r>
      <w:r>
        <w:t xml:space="preserve"> </w:t>
      </w:r>
      <w:r>
        <w:t xml:space="preserve">enveloped-virus (XMuLV) clearance and a major further reduction of host-cell protein (HCP),</w:t>
      </w:r>
      <w:r>
        <w:t xml:space="preserve"> </w:t>
      </w:r>
      <w:r>
        <w:t xml:space="preserve">with modular clearance of residual DNA and leached Protein A. The study was executed under</w:t>
      </w:r>
      <w:r>
        <w:t xml:space="preserve"> </w:t>
      </w:r>
      <w:r>
        <w:t xml:space="preserve">the Process Characterization Plan</w:t>
      </w:r>
      <w:r>
        <w:t xml:space="preserve"> </w:t>
      </w:r>
      <w:r>
        <w:rPr>
          <w:b/>
          <w:bCs/>
        </w:rPr>
        <w:t xml:space="preserve">PCP-008</w:t>
      </w:r>
      <w:r>
        <w:t xml:space="preserve"> </w:t>
      </w:r>
      <w:r>
        <w:t xml:space="preserve">on a qualified scale-down chromatography</w:t>
      </w:r>
      <w:r>
        <w:t xml:space="preserve"> </w:t>
      </w:r>
      <w:r>
        <w:t xml:space="preserve">column with a qualified small-scale viral-spiking model, following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, the Quality-by-Design principles of</w:t>
      </w:r>
      <w:r>
        <w:t xml:space="preserve"> </w:t>
      </w:r>
      <w:r>
        <w:t xml:space="preserve">ICH Q8, Q9 and Q11</w:t>
      </w:r>
      <w:r>
        <w:t xml:space="preserve"> </w:t>
      </w:r>
      <w:r>
        <w:t xml:space="preserve">(International Council for Harmonisation 2009, 2023b, 2012)</w:t>
      </w:r>
      <w:r>
        <w:t xml:space="preserve">, and the viral-safety framework of ICH Q5A(R2)</w:t>
      </w:r>
      <w:r>
        <w:t xml:space="preserve"> </w:t>
      </w:r>
      <w:r>
        <w:t xml:space="preserve">(International Council for Harmonisation 2023a)</w:t>
      </w:r>
      <w:r>
        <w:t xml:space="preserve">, with the process model, quality-attribute framework and risk methodology of the</w:t>
      </w:r>
      <w:r>
        <w:t xml:space="preserve"> </w:t>
      </w:r>
      <w:r>
        <w:t xml:space="preserve">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Five process parameters were evaluated. A 19-run two-level full factorial</w:t>
      </w:r>
      <w:r>
        <w:t xml:space="preserve"> </w:t>
      </w:r>
      <w:r>
        <w:t xml:space="preserve">screening design identified the significant factors and two-factor interactions for the</w:t>
      </w:r>
      <w:r>
        <w:t xml:space="preserve"> </w:t>
      </w:r>
      <w:r>
        <w:t xml:space="preserve">flow-through-pool HCP, the XMuLV and MVM log-reduction and the step yield; a</w:t>
      </w:r>
      <w:r>
        <w:t xml:space="preserve"> </w:t>
      </w:r>
      <w:r>
        <w:t xml:space="preserve">28-run face-centred central-composite response-surface design then quantified</w:t>
      </w:r>
      <w:r>
        <w:t xml:space="preserve"> </w:t>
      </w:r>
      <w:r>
        <w:t xml:space="preserve">main effects, interactions and curvature and defined the multivariate operating region in</w:t>
      </w:r>
      <w:r>
        <w:t xml:space="preserve"> </w:t>
      </w:r>
      <w:r>
        <w:t xml:space="preserve">the well-controlled CPPs. The flow-through-pool HCP, XMuLV-clearance and MVM-clearance</w:t>
      </w:r>
      <w:r>
        <w:t xml:space="preserve"> </w:t>
      </w:r>
      <w:r>
        <w:t xml:space="preserve">response-surface models are adequate (R² = 0.90–0.93,</w:t>
      </w:r>
      <w:r>
        <w:t xml:space="preserve"> </w:t>
      </w:r>
      <w:r>
        <w:t xml:space="preserve">adjusted R² ≥ 0.79, no significant lack of fit); the step yield</w:t>
      </w:r>
      <w:r>
        <w:t xml:space="preserve"> </w:t>
      </w:r>
      <w:r>
        <w:t xml:space="preserve">is robust across the ranges studied.</w:t>
      </w:r>
    </w:p>
    <w:p>
      <w:pPr>
        <w:pStyle w:val="BodyText"/>
      </w:pPr>
      <w:r>
        <w:rPr>
          <w:b/>
          <w:bCs/>
        </w:rPr>
        <w:t xml:space="preserve">Two deviations from PCP-008 were recorded and resolved</w:t>
      </w:r>
      <w:r>
        <w:t xml:space="preserve"> </w:t>
      </w:r>
      <w:r>
        <w:t xml:space="preserve">(§12). First, the load material</w:t>
      </w:r>
      <w:r>
        <w:t xml:space="preserve"> </w:t>
      </w:r>
      <w:r>
        <w:t xml:space="preserve">used in the initial execution of the designs was found to carry an elevated acidic</w:t>
      </w:r>
      <w:r>
        <w:t xml:space="preserve"> </w:t>
      </w:r>
      <w:r>
        <w:t xml:space="preserve">charge-variant (deamidation) burden that, through an anomalous protein-load ×</w:t>
      </w:r>
      <w:r>
        <w:t xml:space="preserve"> </w:t>
      </w:r>
      <w:r>
        <w:t xml:space="preserve">Equil/Wash-1-conductivity interaction, drove the flow-through-pool purity to unacceptable</w:t>
      </w:r>
      <w:r>
        <w:t xml:space="preserve"> </w:t>
      </w:r>
      <w:r>
        <w:t xml:space="preserve">levels; the affected designs were invalidated and re-executed in full on a requalified,</w:t>
      </w:r>
      <w:r>
        <w:t xml:space="preserve"> </w:t>
      </w:r>
      <w:r>
        <w:t xml:space="preserve">representative load — the re-executed designs are the ones reported here, and in them that</w:t>
      </w:r>
      <w:r>
        <w:t xml:space="preserve"> </w:t>
      </w:r>
      <w:r>
        <w:t xml:space="preserve">interaction is statistically absent, confirming it was an artifact of the degraded load.</w:t>
      </w:r>
      <w:r>
        <w:t xml:space="preserve"> </w:t>
      </w:r>
      <w:r>
        <w:t xml:space="preserve">Second, both executions used a trailing-edge UV pool-collection set-point that was</w:t>
      </w:r>
      <w:r>
        <w:t xml:space="preserve"> </w:t>
      </w:r>
      <w:r>
        <w:t xml:space="preserve">subsequently found to be slightly permissive; because insufficient requalified load remained</w:t>
      </w:r>
      <w:r>
        <w:t xml:space="preserve"> </w:t>
      </w:r>
      <w:r>
        <w:t xml:space="preserve">for a third design, the corrected pool-stop was determined by modelling the recorded</w:t>
      </w:r>
      <w:r>
        <w:t xml:space="preserve"> </w:t>
      </w:r>
      <w:r>
        <w:t xml:space="preserve">chromatographic data and confirmed with a justified set of verification runs. Neither</w:t>
      </w:r>
      <w:r>
        <w:t xml:space="preserve"> </w:t>
      </w:r>
      <w:r>
        <w:t xml:space="preserve">deviation altered the parameter classifications or the operating region established by the</w:t>
      </w:r>
      <w:r>
        <w:t xml:space="preserve"> </w:t>
      </w:r>
      <w:r>
        <w:t xml:space="preserve">DoE.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All four multivariate parameters significantly affect a product-quality CQA and are</w:t>
      </w:r>
      <w:r>
        <w:t xml:space="preserve"> </w:t>
      </w:r>
      <w:r>
        <w:t xml:space="preserve">classified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: load pH and the equilibration/wash-1</w:t>
      </w:r>
      <w:r>
        <w:t xml:space="preserve"> </w:t>
      </w:r>
      <w:r>
        <w:t xml:space="preserve">conductivity drive the flow-through-pool HCP through a significant load-pH × conductivity</w:t>
      </w:r>
      <w:r>
        <w:t xml:space="preserve"> </w:t>
      </w:r>
      <w:r>
        <w:t xml:space="preserve">interaction, and load pH and the load conductivity drive the XMuLV and MVM log-reduction.</w:t>
      </w:r>
      <w:r>
        <w:t xml:space="preserve"> </w:t>
      </w:r>
      <w:r>
        <w:t xml:space="preserve">The protein load has no significant effect on clearance in representative load material</w:t>
      </w:r>
      <w:r>
        <w:t xml:space="preserve"> </w:t>
      </w:r>
      <w:r>
        <w:t xml:space="preserve">and is controlled as a WC-CPP with a wide range; the operating flow rate is a WC-CPP</w:t>
      </w:r>
      <w:r>
        <w:t xml:space="preserve"> </w:t>
      </w:r>
      <w:r>
        <w:t xml:space="preserve">controlled univariately to preserve the residence time credited for viral clearance.</w:t>
      </w:r>
      <w:r>
        <w:t xml:space="preserve"> </w:t>
      </w:r>
      <w:r>
        <w:t xml:space="preserve">There are no key process parameters (KPP) at this step.</w:t>
      </w:r>
    </w:p>
    <w:p>
      <w:pPr>
        <w:pStyle w:val="Compact"/>
        <w:numPr>
          <w:ilvl w:val="0"/>
          <w:numId w:val="1001"/>
        </w:numPr>
      </w:pPr>
      <w:r>
        <w:t xml:space="preserve">Anion exchange sets the cumulative</w:t>
      </w:r>
      <w:r>
        <w:t xml:space="preserve"> </w:t>
      </w:r>
      <w:r>
        <w:rPr>
          <w:b/>
          <w:bCs/>
        </w:rPr>
        <w:t xml:space="preserve">MVM (parvovirus) clearance</w:t>
      </w:r>
      <w:r>
        <w:t xml:space="preserve"> </w:t>
      </w:r>
      <w:r>
        <w:t xml:space="preserve">claim, contributing</w:t>
      </w:r>
      <w:r>
        <w:t xml:space="preserve"> </w:t>
      </w:r>
      <w:r>
        <w:t xml:space="preserve">approximately</w:t>
      </w:r>
      <w:r>
        <w:t xml:space="preserve"> </w:t>
      </w:r>
      <w:r>
        <w:rPr>
          <w:b/>
          <w:bCs/>
        </w:rPr>
        <w:t xml:space="preserve">4.7 log₁₀</w:t>
      </w:r>
      <w:r>
        <w:t xml:space="preserve"> </w:t>
      </w:r>
      <w:r>
        <w:t xml:space="preserve">at the nominal condition — the first and principal</w:t>
      </w:r>
      <w:r>
        <w:t xml:space="preserve"> </w:t>
      </w:r>
      <w:r>
        <w:t xml:space="preserve">MVM-clearance step — so that the drug substance meets its ≥ 8.6 log₁₀</w:t>
      </w:r>
      <w:r>
        <w:t xml:space="preserve"> </w:t>
      </w:r>
      <w:r>
        <w:t xml:space="preserve">cumulative MVM requirement (achieved cumulative</w:t>
      </w:r>
      <w:r>
        <w:t xml:space="preserve"> </w:t>
      </w:r>
      <w:r>
        <w:rPr>
          <w:b/>
          <w:bCs/>
        </w:rPr>
        <w:t xml:space="preserve">10.0 log₁₀</w:t>
      </w:r>
      <w:r>
        <w:t xml:space="preserve">, Cpk =</w:t>
      </w:r>
      <w:r>
        <w:t xml:space="preserve"> </w:t>
      </w:r>
      <w:r>
        <w:t xml:space="preserve">1.51).</w:t>
      </w:r>
    </w:p>
    <w:p>
      <w:pPr>
        <w:pStyle w:val="Compact"/>
        <w:numPr>
          <w:ilvl w:val="0"/>
          <w:numId w:val="1001"/>
        </w:numPr>
      </w:pPr>
      <w:r>
        <w:t xml:space="preserve">The step contributes approximately</w:t>
      </w:r>
      <w:r>
        <w:t xml:space="preserve"> </w:t>
      </w:r>
      <w:r>
        <w:rPr>
          <w:b/>
          <w:bCs/>
        </w:rPr>
        <w:t xml:space="preserve">6.0 log₁₀</w:t>
      </w:r>
      <w:r>
        <w:t xml:space="preserve"> </w:t>
      </w:r>
      <w:r>
        <w:t xml:space="preserve">of orthogonal enveloped-virus</w:t>
      </w:r>
      <w:r>
        <w:t xml:space="preserve"> </w:t>
      </w:r>
      <w:r>
        <w:t xml:space="preserve">(XMuLV) clearance toward the ≥ 16.7 log₁₀ cumulative requirement (achieved</w:t>
      </w:r>
      <w:r>
        <w:t xml:space="preserve"> </w:t>
      </w:r>
      <w:r>
        <w:t xml:space="preserve">cumulative</w:t>
      </w:r>
      <w:r>
        <w:t xml:space="preserve"> </w:t>
      </w:r>
      <w:r>
        <w:rPr>
          <w:b/>
          <w:bCs/>
        </w:rPr>
        <w:t xml:space="preserve">18.9 log₁₀</w:t>
      </w:r>
      <w:r>
        <w:t xml:space="preserve">, Cpk = 1.53), and reduces the pool HCP by</w:t>
      </w:r>
      <w:r>
        <w:t xml:space="preserve"> </w:t>
      </w:r>
      <w:r>
        <w:t xml:space="preserve">approximately</w:t>
      </w:r>
      <w:r>
        <w:t xml:space="preserve"> </w:t>
      </w:r>
      <w:r>
        <w:rPr>
          <w:b/>
          <w:bCs/>
        </w:rPr>
        <w:t xml:space="preserve">6.2-fold</w:t>
      </w:r>
      <w:r>
        <w:t xml:space="preserve"> </w:t>
      </w:r>
      <w:r>
        <w:t xml:space="preserve">to about</w:t>
      </w:r>
      <w:r>
        <w:t xml:space="preserve"> </w:t>
      </w:r>
      <w:r>
        <w:rPr>
          <w:b/>
          <w:bCs/>
        </w:rPr>
        <w:t xml:space="preserve">19 ng/mg</w:t>
      </w:r>
      <w:r>
        <w:t xml:space="preserve">, below the ≤</w:t>
      </w:r>
      <w:r>
        <w:t xml:space="preserve"> </w:t>
      </w:r>
      <w:r>
        <w:t xml:space="preserve">100 ng/mg drug-substance limit.</w:t>
      </w:r>
    </w:p>
    <w:p>
      <w:pPr>
        <w:pStyle w:val="Compact"/>
        <w:numPr>
          <w:ilvl w:val="0"/>
          <w:numId w:val="1001"/>
        </w:numPr>
      </w:pPr>
      <w:r>
        <w:t xml:space="preserve">The nominal step recovers</w:t>
      </w:r>
      <w:r>
        <w:t xml:space="preserve"> </w:t>
      </w:r>
      <w:r>
        <w:rPr>
          <w:b/>
          <w:bCs/>
        </w:rPr>
        <w:t xml:space="preserve">97.3%</w:t>
      </w:r>
      <w:r>
        <w:t xml:space="preserve"> </w:t>
      </w:r>
      <w:r>
        <w:t xml:space="preserve">of the loaded product (flow-through, high</w:t>
      </w:r>
      <w:r>
        <w:t xml:space="preserve"> </w:t>
      </w:r>
      <w:r>
        <w:t xml:space="preserve">recovery) and the yield is robust across the ranges studied.</w:t>
      </w:r>
    </w:p>
    <w:p>
      <w:pPr>
        <w:pStyle w:val="Compact"/>
        <w:numPr>
          <w:ilvl w:val="0"/>
          <w:numId w:val="1001"/>
        </w:numPr>
      </w:pPr>
      <w:r>
        <w:t xml:space="preserve">A multivariate operating region in the four well-controlled CPPs was established over which</w:t>
      </w:r>
      <w:r>
        <w:t xml:space="preserve"> </w:t>
      </w:r>
      <w:r>
        <w:t xml:space="preserve">the flow-through-pool HCP and the credited MVM and XMuLV log-reduction are controlled so</w:t>
      </w:r>
      <w:r>
        <w:t xml:space="preserve"> </w:t>
      </w:r>
      <w:r>
        <w:t xml:space="preserve">that the integrated control strategy delivers in-specification drug substance. The MVM</w:t>
      </w:r>
      <w:r>
        <w:t xml:space="preserve"> </w:t>
      </w:r>
      <w:r>
        <w:t xml:space="preserve">clearance capability (</w:t>
      </w:r>
      <w:r>
        <w:rPr>
          <w:b/>
          <w:bCs/>
        </w:rPr>
        <w:t xml:space="preserve">Cpk = 1.51</w:t>
      </w:r>
      <w:r>
        <w:t xml:space="preserve">) is the tightest process capability of the</w:t>
      </w:r>
      <w:r>
        <w:t xml:space="preserve"> </w:t>
      </w:r>
      <w:r>
        <w:t xml:space="preserve">A-Mab drug substance, and anion exchange is its principal contributor.</w:t>
      </w:r>
    </w:p>
    <w:p>
      <w:pPr>
        <w:pStyle w:val="FirstParagraph"/>
      </w:pPr>
      <w:r>
        <w:t xml:space="preserve">The anion-exchange step is demonstrated to be well understood and robust. The operating</w:t>
      </w:r>
      <w:r>
        <w:t xml:space="preserve"> </w:t>
      </w:r>
      <w:r>
        <w:t xml:space="preserve">region, parameter classifications, proven acceptable ranges and the modular viral-clearance</w:t>
      </w:r>
      <w:r>
        <w:t xml:space="preserve"> </w:t>
      </w:r>
      <w:r>
        <w:t xml:space="preserve">credit support the Stage 2 operating ranges and the drug-substance control strategy, and this</w:t>
      </w:r>
      <w:r>
        <w:t xml:space="preserve"> </w:t>
      </w:r>
      <w:r>
        <w:t xml:space="preserve">report rolls up into 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12"/>
    <w:bookmarkStart w:id="16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purified by a platform</w:t>
      </w:r>
      <w:r>
        <w:t xml:space="preserve"> </w:t>
      </w:r>
      <w:r>
        <w:t xml:space="preserve">Protein A → low-pH viral-inactivation → cation-exchange → anion-exchange →</w:t>
      </w:r>
      <w:r>
        <w:t xml:space="preserve"> </w:t>
      </w:r>
      <w:r>
        <w:t xml:space="preserve">virus-filtration → UF/DF train</w:t>
      </w:r>
      <w:r>
        <w:t xml:space="preserve"> </w:t>
      </w:r>
      <w:r>
        <w:t xml:space="preserve">(CMC Biotech Working Group 2009)</w:t>
      </w:r>
      <w:r>
        <w:t xml:space="preserve">. Anion-exchange chromatography is the second</w:t>
      </w:r>
      <w:r>
        <w:t xml:space="preserve"> </w:t>
      </w:r>
      <w:r>
        <w:t xml:space="preserve">(final) polishing step and is operated in</w:t>
      </w:r>
      <w:r>
        <w:t xml:space="preserve"> </w:t>
      </w:r>
      <w:r>
        <w:rPr>
          <w:b/>
          <w:bCs/>
        </w:rPr>
        <w:t xml:space="preserve">flow-through</w:t>
      </w:r>
      <w:r>
        <w:t xml:space="preserve"> </w:t>
      </w:r>
      <w:r>
        <w:t xml:space="preserve">mode: the cation-exchange eluate</w:t>
      </w:r>
      <w:r>
        <w:t xml:space="preserve"> </w:t>
      </w:r>
      <w:r>
        <w:t xml:space="preserve">is conditioned to the target load pH and load conductivity and loaded onto an equilibrated</w:t>
      </w:r>
      <w:r>
        <w:t xml:space="preserve"> </w:t>
      </w:r>
      <w:r>
        <w:t xml:space="preserve">strong anion-exchange resin; at the operating pH the product antibody carries a slight net</w:t>
      </w:r>
      <w:r>
        <w:t xml:space="preserve"> </w:t>
      </w:r>
      <w:r>
        <w:t xml:space="preserve">positive charge and transmits through the column, while the more acidic process-related</w:t>
      </w:r>
      <w:r>
        <w:t xml:space="preserve"> </w:t>
      </w:r>
      <w:r>
        <w:t xml:space="preserve">impurities — host-cell protein, residual DNA and endotoxin — and the model viruses bind and</w:t>
      </w:r>
      <w:r>
        <w:t xml:space="preserve"> </w:t>
      </w:r>
      <w:r>
        <w:t xml:space="preserve">are retained. The product is recovered in the flow-through together with a post-load wash,</w:t>
      </w:r>
      <w:r>
        <w:t xml:space="preserve"> </w:t>
      </w:r>
      <w:r>
        <w:t xml:space="preserve">the pool being collected from the start of load to a defined trailing-edge UV (280 nm)</w:t>
      </w:r>
      <w:r>
        <w:t xml:space="preserve"> </w:t>
      </w:r>
      <w:r>
        <w:t xml:space="preserve">pool-stop criterion. The step forms no new size- or glycan-related CQA; its role in the</w:t>
      </w:r>
      <w:r>
        <w:t xml:space="preserve"> </w:t>
      </w:r>
      <w:r>
        <w:t xml:space="preserve">control strategy is to</w:t>
      </w:r>
      <w:r>
        <w:t xml:space="preserve"> </w:t>
      </w:r>
      <w:r>
        <w:rPr>
          <w:b/>
          <w:bCs/>
        </w:rPr>
        <w:t xml:space="preserve">credit the MVM (parvovirus) log-reduction</w:t>
      </w:r>
      <w:r>
        <w:t xml:space="preserve"> </w:t>
      </w:r>
      <w:r>
        <w:t xml:space="preserve">required for the</w:t>
      </w:r>
      <w:r>
        <w:t xml:space="preserve"> </w:t>
      </w:r>
      <w:r>
        <w:t xml:space="preserve">drug-substance viral-safety claim, to provide orthogonal enveloped-virus (XMuLV) clearance,</w:t>
      </w:r>
      <w:r>
        <w:t xml:space="preserve"> </w:t>
      </w:r>
      <w:r>
        <w:t xml:space="preserve">and to complete the reduction of HCP with modular clearance of residual DNA and leached</w:t>
      </w:r>
      <w:r>
        <w:t xml:space="preserve"> </w:t>
      </w:r>
      <w:r>
        <w:t xml:space="preserve">Protein A. This characterization quantifies how the anion-exchange parameters govern the</w:t>
      </w:r>
      <w:r>
        <w:t xml:space="preserve"> </w:t>
      </w:r>
      <w:r>
        <w:t xml:space="preserve">flow-through-pool HCP, the XMuLV and MVM log-reduction and the step yield.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establish the quantitative relationships between the</w:t>
      </w:r>
      <w:r>
        <w:t xml:space="preserve"> </w:t>
      </w:r>
      <w:r>
        <w:t xml:space="preserve">anion-exchange process parameters and the flow-through-pool HCP, the XMuLV and MVM</w:t>
      </w:r>
      <w:r>
        <w:t xml:space="preserve"> </w:t>
      </w:r>
      <w:r>
        <w:t xml:space="preserve">log-reduction and the step yield; (ii) define the multivariate operating region over which</w:t>
      </w:r>
      <w:r>
        <w:t xml:space="preserve"> </w:t>
      </w:r>
      <w:r>
        <w:t xml:space="preserve">the flow-through-pool HCP and the credited viral clearance are controlled; (iii) establish</w:t>
      </w:r>
      <w:r>
        <w:t xml:space="preserve"> </w:t>
      </w:r>
      <w:r>
        <w:t xml:space="preserve">proven acceptable ranges (PARs) and normal operating ranges (NORs) for each parameter;</w:t>
      </w:r>
      <w:r>
        <w:t xml:space="preserve"> </w:t>
      </w:r>
      <w:r>
        <w:t xml:space="preserve">(iv) classify each parameter for its risk of impact to CQAs and to process performance; and</w:t>
      </w:r>
      <w:r>
        <w:t xml:space="preserve"> </w:t>
      </w:r>
      <w:r>
        <w:t xml:space="preserve">(v) provide the process understanding and ranges that justify the Stage 2 operating</w:t>
      </w:r>
      <w:r>
        <w:t xml:space="preserve"> </w:t>
      </w:r>
      <w:r>
        <w:t xml:space="preserve">conditions, the modular viral-clearance claim and the 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 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, applies the enhanced (QbD) development approach of ICH Q8, Q9 and Q11</w:t>
      </w:r>
      <w:r>
        <w:t xml:space="preserve"> </w:t>
      </w:r>
      <w:r>
        <w:t xml:space="preserve">(International Council for Harmonisation 2009, 2023b, 2012)</w:t>
      </w:r>
      <w:r>
        <w:t xml:space="preserve">, and follows the viral-safety evaluation framework of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for the modular clearance claim. Criticality is treated as a continuum (ICH Q9).</w:t>
      </w:r>
      <w:r>
        <w:t xml:space="preserve"> </w:t>
      </w:r>
      <w:r>
        <w:t xml:space="preserve">The report structure corresponds to the Stage 1 Process Design Report of PDA TR 60 §3.11 and</w:t>
      </w:r>
      <w:r>
        <w:t xml:space="preserve"> </w:t>
      </w:r>
      <w:r>
        <w:t xml:space="preserve">provides development-report content suitable to support a Biologics License Application.</w:t>
      </w:r>
    </w:p>
    <w:bookmarkEnd w:id="15"/>
    <w:bookmarkEnd w:id="16"/>
    <w:bookmarkStart w:id="21" w:name="prior-knowledge-and-quality-risk-basis"/>
    <w:p>
      <w:pPr>
        <w:pStyle w:val="Heading1"/>
      </w:pPr>
      <w:r>
        <w:t xml:space="preserve">2. Prior knowledge and quality risk basis</w:t>
      </w:r>
    </w:p>
    <w:bookmarkStart w:id="17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Flow-through anion-exchange polishing is a platform operation whose behaviour is well</w:t>
      </w:r>
      <w:r>
        <w:t xml:space="preserve"> </w:t>
      </w:r>
      <w:r>
        <w:t xml:space="preserve">established from related humanized IgG1 antibodies (X-Mab, Y-Mab and Z-Mab) and from A-Mab</w:t>
      </w:r>
      <w:r>
        <w:t xml:space="preserve"> </w:t>
      </w:r>
      <w:r>
        <w:t xml:space="preserve">clinical and engineering experience</w:t>
      </w:r>
      <w:r>
        <w:t xml:space="preserve"> </w:t>
      </w:r>
      <w:r>
        <w:t xml:space="preserve">(CMC Biotech Working Group 2009)</w:t>
      </w:r>
      <w:r>
        <w:t xml:space="preserve">. Prior knowledge established that, in</w:t>
      </w:r>
      <w:r>
        <w:t xml:space="preserve"> </w:t>
      </w:r>
      <w:r>
        <w:t xml:space="preserve">flow-through mode, impurity and virus binding is governed by the electrostatic environment: a</w:t>
      </w:r>
      <w:r>
        <w:t xml:space="preserve"> </w:t>
      </w:r>
      <w:r>
        <w:t xml:space="preserve">higher load pH increases the net negative charge of the impurities and virus, strengthening</w:t>
      </w:r>
      <w:r>
        <w:t xml:space="preserve"> </w:t>
      </w:r>
      <w:r>
        <w:t xml:space="preserve">their retention on the resin and improving clearance (lower flow-through-pool HCP, higher</w:t>
      </w:r>
      <w:r>
        <w:t xml:space="preserve"> </w:t>
      </w:r>
      <w:r>
        <w:t xml:space="preserve">log-reduction), while a higher equilibration/wash-1 conductivity screens those electrostatic</w:t>
      </w:r>
      <w:r>
        <w:t xml:space="preserve"> </w:t>
      </w:r>
      <w:r>
        <w:t xml:space="preserve">interactions and weakens retention, reducing HCP clearance — the two acting together through</w:t>
      </w:r>
      <w:r>
        <w:t xml:space="preserve"> </w:t>
      </w:r>
      <w:r>
        <w:t xml:space="preserve">a load-pH × conductivity interaction; that viral clearance additionally requires a</w:t>
      </w:r>
      <w:r>
        <w:t xml:space="preserve"> </w:t>
      </w:r>
      <w:r>
        <w:t xml:space="preserve">sufficiently low load conductivity for the virus to bind, so that clearance falls as the load</w:t>
      </w:r>
      <w:r>
        <w:t xml:space="preserve"> </w:t>
      </w:r>
      <w:r>
        <w:t xml:space="preserve">conductivity rises; that, because the operation is flow-through with high dynamic capacity for</w:t>
      </w:r>
      <w:r>
        <w:t xml:space="preserve"> </w:t>
      </w:r>
      <w:r>
        <w:t xml:space="preserve">the product, the protein load can be run high with little effect on clearance or recovery over</w:t>
      </w:r>
      <w:r>
        <w:t xml:space="preserve"> </w:t>
      </w:r>
      <w:r>
        <w:t xml:space="preserve">the platform range provided the load is of representative charge-variant quality; and that</w:t>
      </w:r>
      <w:r>
        <w:t xml:space="preserve"> </w:t>
      </w:r>
      <w:r>
        <w:t xml:space="preserve">residence time, set by the operating flow rate, governs the contact time available for binding</w:t>
      </w:r>
      <w:r>
        <w:t xml:space="preserve"> </w:t>
      </w:r>
      <w:r>
        <w:t xml:space="preserve">and is held within a range that preserves the minimum contact time credited for the</w:t>
      </w:r>
      <w:r>
        <w:t xml:space="preserve"> </w:t>
      </w:r>
      <w:r>
        <w:t xml:space="preserve">viral-clearance claim. This knowledge framed the attributes in scope and the prioritization of</w:t>
      </w:r>
      <w:r>
        <w:t xml:space="preserve"> </w:t>
      </w:r>
      <w:r>
        <w:t xml:space="preserve">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Anion exchange</w:t>
      </w:r>
      <w:r>
        <w:t xml:space="preserve"> </w:t>
      </w:r>
      <w:r>
        <w:rPr>
          <w:b/>
          <w:bCs/>
        </w:rPr>
        <w:t xml:space="preserve">sets one CQA of its own</w:t>
      </w:r>
      <w:r>
        <w:t xml:space="preserve"> </w:t>
      </w:r>
      <w:r>
        <w:t xml:space="preserve">— the cumulative MVM (parvovirus) log-reduction,</w:t>
      </w:r>
      <w:r>
        <w:t xml:space="preserve"> </w:t>
      </w:r>
      <w:r>
        <w:t xml:space="preserve">to which it is the first and principal contributor — and is a major clearance step for the</w:t>
      </w:r>
      <w:r>
        <w:t xml:space="preserve"> </w:t>
      </w:r>
      <w:r>
        <w:t xml:space="preserve">enveloped-virus (XMuLV) log-reduction and for the process-related impurity CQAs formed</w:t>
      </w:r>
      <w:r>
        <w:t xml:space="preserve"> </w:t>
      </w:r>
      <w:r>
        <w:t xml:space="preserve">upstream and specified at the drug substance: host-cell protein, residual DNA and leached</w:t>
      </w:r>
      <w:r>
        <w:t xml:space="preserve"> </w:t>
      </w:r>
      <w:r>
        <w:t xml:space="preserve">Protein A (</w:t>
      </w:r>
      <w:hyperlink w:anchor="tbl-cqa">
        <w:r>
          <w:rPr>
            <w:rStyle w:val="Hyperlink"/>
          </w:rPr>
          <w:t xml:space="preserve">Table 2</w:t>
        </w:r>
      </w:hyperlink>
      <w:r>
        <w:t xml:space="preserve">). Criticality is scored on the A-Mab continuum using Tool #1 (Risk</w:t>
      </w:r>
      <w:r>
        <w:t xml:space="preserve"> </w:t>
      </w:r>
      <w:r>
        <w:t xml:space="preserve">Score = Impact × Uncertainty); attributes rated High 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CQAs in scope for the anion-exchange step — the MVM clearance it sets and the XMuLV clearance and impurity CQAs it controls/clears —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88"/>
              <w:gridCol w:w="1307"/>
              <w:gridCol w:w="2034"/>
              <w:gridCol w:w="1089"/>
              <w:gridCol w:w="7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MVM and XMuLV log-reductions are the</w:t>
      </w:r>
      <w:r>
        <w:t xml:space="preserve"> </w:t>
      </w:r>
      <w:r>
        <w:rPr>
          <w:b/>
          <w:bCs/>
        </w:rPr>
        <w:t xml:space="preserve">cumulative</w:t>
      </w:r>
      <w:r>
        <w:t xml:space="preserve"> </w:t>
      </w:r>
      <w:r>
        <w:t xml:space="preserve">drug-substance viral-clearance claims</w:t>
      </w:r>
      <w:r>
        <w:t xml:space="preserve"> </w:t>
      </w:r>
      <w:r>
        <w:t xml:space="preserve">(≥ 8.6 and ≥ 16.7 log₁₀ respectively), to</w:t>
      </w:r>
      <w:r>
        <w:t xml:space="preserve"> </w:t>
      </w:r>
      <w:r>
        <w:t xml:space="preserve">which the anion-exchange step contributes a modular increment quantified here; the</w:t>
      </w:r>
      <w:r>
        <w:t xml:space="preserve"> </w:t>
      </w:r>
      <w:r>
        <w:t xml:space="preserve">flow-through-pool HCP is an in-process attribute whose control at this step determines the</w:t>
      </w:r>
      <w:r>
        <w:t xml:space="preserve"> </w:t>
      </w:r>
      <w:r>
        <w:t xml:space="preserve">margin to the ≤ 100 ng/mg HCP drug-substance limit. The log-reduction</w:t>
      </w:r>
      <w:r>
        <w:t xml:space="preserve"> </w:t>
      </w:r>
      <w:r>
        <w:t xml:space="preserve">credited to the step, and the flow-through-pool HCP, are therefore the primary responses of</w:t>
      </w:r>
      <w:r>
        <w:t xml:space="preserve"> </w:t>
      </w:r>
      <w:r>
        <w:t xml:space="preserve">the study; residual DNA and leached Protein A are measured to confirm the modular clearance</w:t>
      </w:r>
      <w:r>
        <w:t xml:space="preserve"> </w:t>
      </w:r>
      <w:r>
        <w:t xml:space="preserve">credited across Protein A, cation exchange and anion exchange. The load-material acidic</w:t>
      </w:r>
      <w:r>
        <w:t xml:space="preserve"> </w:t>
      </w:r>
      <w:r>
        <w:t xml:space="preserve">charge-variant (deamidation) profile — a low-criticality attribute with a</w:t>
      </w:r>
      <w:r>
        <w:t xml:space="preserve"> </w:t>
      </w:r>
      <w:r>
        <w:t xml:space="preserve">18–40% design-space range — is a</w:t>
      </w:r>
      <w:r>
        <w:t xml:space="preserve"> </w:t>
      </w:r>
      <w:r>
        <w:t xml:space="preserve">controlled input attribute of the feed; its relevance to this step is discussed with the</w:t>
      </w:r>
      <w:r>
        <w:t xml:space="preserve"> </w:t>
      </w:r>
      <w:r>
        <w:t xml:space="preserve">deviations (§12).</w:t>
      </w:r>
    </w:p>
    <w:bookmarkEnd w:id="19"/>
    <w:bookmarkStart w:id="20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 characterization scope</w:t>
      </w:r>
      <w:r>
        <w:t xml:space="preserve"> </w:t>
      </w:r>
      <w:r>
        <w:t xml:space="preserve">was set by the Pre-Characterization Process Risk Assessment (</w:t>
      </w:r>
      <w:r>
        <w:rPr>
          <w:b/>
          <w:bCs/>
        </w:rPr>
        <w:t xml:space="preserve">RA-001</w:t>
      </w:r>
      <w:r>
        <w:t xml:space="preserve">), which used prior</w:t>
      </w:r>
      <w:r>
        <w:t xml:space="preserve"> </w:t>
      </w:r>
      <w:r>
        <w:t xml:space="preserve">knowledge and a risk-ranking-and-filtering screen to prioritize parameters and to assign the</w:t>
      </w:r>
      <w:r>
        <w:t xml:space="preserve"> </w:t>
      </w:r>
      <w:r>
        <w:t xml:space="preserve">study type. Load pH, equilibration/wash-1 conductivity, load conductivity and protein load,</w:t>
      </w:r>
      <w:r>
        <w:t xml:space="preserve"> </w:t>
      </w:r>
      <w:r>
        <w:t xml:space="preserve">which carry a credible main-effect and interaction risk to the flow-through-pool HCP or to the</w:t>
      </w:r>
      <w:r>
        <w:t xml:space="preserve"> </w:t>
      </w:r>
      <w:r>
        <w:t xml:space="preserve">viral log-reduction, were assigned to the multivariate DoE; the operating flow rate, which</w:t>
      </w:r>
      <w:r>
        <w:t xml:space="preserve"> </w:t>
      </w:r>
      <w:r>
        <w:t xml:space="preserve">acts on the viral-clearance claim through residence time rather than through the buffer/load</w:t>
      </w:r>
      <w:r>
        <w:t xml:space="preserve"> </w:t>
      </w:r>
      <w:r>
        <w:t xml:space="preserve">chemistry, was assigned to univariate assessment and controlled to protect the minimum contact</w:t>
      </w:r>
      <w:r>
        <w:t xml:space="preserve"> </w:t>
      </w:r>
      <w:r>
        <w:t xml:space="preserve">time</w:t>
      </w:r>
      <w:r>
        <w:t xml:space="preserve"> </w:t>
      </w:r>
      <w:r>
        <w:t xml:space="preserve">(CMC Biotech Working Group 2009; Parenteral Drug Association 2013)</w:t>
      </w:r>
      <w:r>
        <w:t xml:space="preserve">. The parameters and ranges carried into this study are 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(§5.1).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3. Materials and methods</w:t>
      </w:r>
    </w:p>
    <w:bookmarkStart w:id="22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scale-down anion-exchange column</w:t>
      </w:r>
      <w:r>
        <w:t xml:space="preserve"> </w:t>
      </w:r>
      <w:r>
        <w:t xml:space="preserve">operated at the commercial-process equivalents for resin, bed height, residence time, buffer</w:t>
      </w:r>
      <w:r>
        <w:t xml:space="preserve"> </w:t>
      </w:r>
      <w:r>
        <w:t xml:space="preserve">system, load ratio and pool-collection strategy (</w:t>
      </w:r>
      <w:r>
        <w:rPr>
          <w:b/>
          <w:bCs/>
        </w:rPr>
        <w:t xml:space="preserve">SOP-2011</w:t>
      </w:r>
      <w:r>
        <w:t xml:space="preserve">,</w:t>
      </w:r>
      <w:r>
        <w:t xml:space="preserve"> </w:t>
      </w:r>
      <w:r>
        <w:rPr>
          <w:b/>
          <w:bCs/>
        </w:rPr>
        <w:t xml:space="preserve">SOP-2008</w:t>
      </w:r>
      <w:r>
        <w:t xml:space="preserve">); the XMuLV and</w:t>
      </w:r>
      <w:r>
        <w:t xml:space="preserve"> </w:t>
      </w:r>
      <w:r>
        <w:t xml:space="preserve">MVM log-reduction were determined under a dedicated qualified small-scale viral-spiking study</w:t>
      </w:r>
      <w:r>
        <w:t xml:space="preserve"> </w:t>
      </w:r>
      <w:r>
        <w:t xml:space="preserve">using qualified virus stocks</w:t>
      </w:r>
      <w:r>
        <w:t xml:space="preserve"> </w:t>
      </w:r>
      <w:r>
        <w:t xml:space="preserve">(International Council for Harmonisation 2023a)</w:t>
      </w:r>
      <w:r>
        <w:t xml:space="preserve">. The SDM was qualified against at-scale reference data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 by comparing the operational parameters and, critically, the input and output</w:t>
      </w:r>
      <w:r>
        <w:t xml:space="preserve"> </w:t>
      </w:r>
      <w:r>
        <w:t xml:space="preserve">attributes — step yield, flow-through-pool HCP, residual DNA and leached Protein A, and the</w:t>
      </w:r>
      <w:r>
        <w:t xml:space="preserve"> </w:t>
      </w:r>
      <w:r>
        <w:t xml:space="preserve">XMuLV and MVM log-reduction — confirming that the model is representative and suitable to</w:t>
      </w:r>
      <w:r>
        <w:t xml:space="preserve"> </w:t>
      </w:r>
      <w:r>
        <w:t xml:space="preserve">support operating-range, PAR and viral-clearance claims</w:t>
      </w:r>
      <w:r>
        <w:t xml:space="preserve"> </w:t>
      </w:r>
      <w:r>
        <w:t xml:space="preserve">(Parenteral Drug Association 2013)</w:t>
      </w:r>
      <w:r>
        <w:t xml:space="preserve">. The between-run</w:t>
      </w:r>
      <w:r>
        <w:t xml:space="preserve"> </w:t>
      </w:r>
      <w:r>
        <w:t xml:space="preserve">reproducibility of the centre-point condition (§6.1) provides a direct estimate of model</w:t>
      </w:r>
      <w:r>
        <w:t xml:space="preserve"> </w:t>
      </w:r>
      <w:r>
        <w:t xml:space="preserve">precision and is used as the pure-error term in the lack-of-fit assessment of every</w:t>
      </w:r>
      <w:r>
        <w:t xml:space="preserve"> </w:t>
      </w:r>
      <w:r>
        <w:t xml:space="preserve">response-surface model.</w:t>
      </w:r>
    </w:p>
    <w:p>
      <w:pPr>
        <w:pStyle w:val="BodyText"/>
      </w:pPr>
      <w:r>
        <w:t xml:space="preserve">The screening and response-surface designs were</w:t>
      </w:r>
      <w:r>
        <w:t xml:space="preserve"> </w:t>
      </w:r>
      <w:r>
        <w:rPr>
          <w:b/>
          <w:bCs/>
        </w:rPr>
        <w:t xml:space="preserve">executed twice</w:t>
      </w:r>
      <w:r>
        <w:t xml:space="preserve">. As documented in §12</w:t>
      </w:r>
      <w:r>
        <w:t xml:space="preserve"> </w:t>
      </w:r>
      <w:r>
        <w:t xml:space="preserve">(Deviation DEV-01), the first execution used a load lot subsequently found to be</w:t>
      </w:r>
      <w:r>
        <w:t xml:space="preserve"> </w:t>
      </w:r>
      <w:r>
        <w:t xml:space="preserve">non-representative — it carried an elevated acidic charge-variant (deamidation) burden — and</w:t>
      </w:r>
      <w:r>
        <w:t xml:space="preserve"> </w:t>
      </w:r>
      <w:r>
        <w:t xml:space="preserve">was invalidated for operating-region definition; the designs were re-executed in full on a</w:t>
      </w:r>
      <w:r>
        <w:t xml:space="preserve"> </w:t>
      </w:r>
      <w:r>
        <w:t xml:space="preserve">requalified, representative load.</w:t>
      </w:r>
      <w:r>
        <w:t xml:space="preserve"> </w:t>
      </w:r>
      <w:r>
        <w:rPr>
          <w:b/>
          <w:bCs/>
        </w:rPr>
        <w:t xml:space="preserve">The re-executed designs are the ones analyzed and reported</w:t>
      </w:r>
      <w:r>
        <w:rPr>
          <w:b/>
          <w:bCs/>
        </w:rPr>
        <w:t xml:space="preserve"> </w:t>
      </w:r>
      <w:r>
        <w:rPr>
          <w:b/>
          <w:bCs/>
        </w:rPr>
        <w:t xml:space="preserve">here.</w:t>
      </w:r>
    </w:p>
    <w:bookmarkEnd w:id="22"/>
    <w:bookmarkStart w:id="23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cation-exchange eluate is conditioned to the target load pH and load conductivity and</w:t>
      </w:r>
      <w:r>
        <w:t xml:space="preserve"> </w:t>
      </w:r>
      <w:r>
        <w:t xml:space="preserve">loaded onto the equilibrated anion-exchange column; the product transmits in the flow-through</w:t>
      </w:r>
      <w:r>
        <w:t xml:space="preserve"> </w:t>
      </w:r>
      <w:r>
        <w:t xml:space="preserve">while impurities and virus bind; and a post-load wash is applied at the equilibration/wash-1</w:t>
      </w:r>
      <w:r>
        <w:t xml:space="preserve"> </w:t>
      </w:r>
      <w:r>
        <w:t xml:space="preserve">conductivity. The flow-through/wash pool is collected from the start of load to a defined</w:t>
      </w:r>
      <w:r>
        <w:t xml:space="preserve"> </w:t>
      </w:r>
      <w:r>
        <w:t xml:space="preserve">trailing-edge UV (280 nm) pool-stop criterion. Buffers, resin lot and column packing are</w:t>
      </w:r>
      <w:r>
        <w:t xml:space="preserve"> </w:t>
      </w:r>
      <w:r>
        <w:t xml:space="preserve">controlled to platform specifications (</w:t>
      </w:r>
      <w:r>
        <w:rPr>
          <w:b/>
          <w:bCs/>
        </w:rPr>
        <w:t xml:space="preserve">SOP-2008</w:t>
      </w:r>
      <w:r>
        <w:t xml:space="preserve">) and are treated as</w:t>
      </w:r>
      <w:r>
        <w:t xml:space="preserve"> </w:t>
      </w:r>
      <w:r>
        <w:t xml:space="preserve">identity/quality-controlled inputs rather than characterized variables</w:t>
      </w:r>
      <w:r>
        <w:t xml:space="preserve"> </w:t>
      </w:r>
      <w:r>
        <w:t xml:space="preserve">(CMC Biotech Working Group 2009)</w:t>
      </w:r>
      <w:r>
        <w:t xml:space="preserve">. The</w:t>
      </w:r>
      <w:r>
        <w:t xml:space="preserve"> </w:t>
      </w:r>
      <w:r>
        <w:t xml:space="preserve">charge-variant quality of the load material is verified prior to loading.</w:t>
      </w:r>
    </w:p>
    <w:bookmarkEnd w:id="23"/>
    <w:bookmarkStart w:id="25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step responses were measured by validated methods 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Host-cell protein was</w:t>
      </w:r>
      <w:r>
        <w:t xml:space="preserve"> </w:t>
      </w:r>
      <w:r>
        <w:t xml:space="preserve">determined by ELISA (</w:t>
      </w:r>
      <w:r>
        <w:rPr>
          <w:b/>
          <w:bCs/>
        </w:rPr>
        <w:t xml:space="preserve">AMV-3012</w:t>
      </w:r>
      <w:r>
        <w:t xml:space="preserve">); the enveloped-virus (XMuLV) and parvovirus (MVM)</w:t>
      </w:r>
      <w:r>
        <w:t xml:space="preserve"> </w:t>
      </w:r>
      <w:r>
        <w:t xml:space="preserve">log-reduction by infectivity titre from the small-scale spiking study (</w:t>
      </w:r>
      <w:r>
        <w:rPr>
          <w:b/>
          <w:bCs/>
        </w:rPr>
        <w:t xml:space="preserve">AMV-3017</w:t>
      </w:r>
      <w:r>
        <w:t xml:space="preserve">,</w:t>
      </w:r>
      <w:r>
        <w:t xml:space="preserve"> </w:t>
      </w:r>
      <w:r>
        <w:rPr>
          <w:b/>
          <w:bCs/>
        </w:rPr>
        <w:t xml:space="preserve">AMV-3018</w:t>
      </w:r>
      <w:r>
        <w:t xml:space="preserve">); residual DNA by qPCR (</w:t>
      </w:r>
      <w:r>
        <w:rPr>
          <w:b/>
          <w:bCs/>
        </w:rPr>
        <w:t xml:space="preserve">AMV-3014</w:t>
      </w:r>
      <w:r>
        <w:t xml:space="preserve">); leached Protein A by ELISA</w:t>
      </w:r>
      <w:r>
        <w:t xml:space="preserve"> </w:t>
      </w:r>
      <w:r>
        <w:t xml:space="preserve">(</w:t>
      </w:r>
      <w:r>
        <w:rPr>
          <w:b/>
          <w:bCs/>
        </w:rPr>
        <w:t xml:space="preserve">AMV-3016</w:t>
      </w:r>
      <w:r>
        <w:t xml:space="preserve">); and the load-material and pool acidic/deamidated charge-variant profile by</w:t>
      </w:r>
      <w:r>
        <w:t xml:space="preserve"> </w:t>
      </w:r>
      <w:r>
        <w:t xml:space="preserve">imaged capillary isoelectric focusing (</w:t>
      </w:r>
      <w:r>
        <w:rPr>
          <w:b/>
          <w:bCs/>
        </w:rPr>
        <w:t xml:space="preserve">AMV-3013</w:t>
      </w:r>
      <w:r>
        <w:t xml:space="preserve">). Step yield was determined from the load</w:t>
      </w:r>
      <w:r>
        <w:t xml:space="preserve"> </w:t>
      </w:r>
      <w:r>
        <w:t xml:space="preserve">and flow-through-pool product mass by A₂₈₀. Method performance characteristics are summarized</w:t>
      </w:r>
      <w:r>
        <w:t xml:space="preserve"> </w:t>
      </w:r>
      <w:r>
        <w:t xml:space="preserve">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DoE run was sampled at the flow-through pool for HCP, residual DNA and leached Protein A,</w:t>
      </w:r>
      <w:r>
        <w:t xml:space="preserve"> </w:t>
      </w:r>
      <w:r>
        <w:t xml:space="preserve">and the load and pool product mass were recorded for the step-yield determination; the paired</w:t>
      </w:r>
      <w:r>
        <w:t xml:space="preserve"> </w:t>
      </w:r>
      <w:r>
        <w:t xml:space="preserve">viral-spiking runs provided the XMuLV and MVM log-reduction, and the load-material</w:t>
      </w:r>
      <w:r>
        <w:t xml:space="preserve"> </w:t>
      </w:r>
      <w:r>
        <w:t xml:space="preserve">acidic-variant profile was recorded for each execution. In-process readings (pH, conductivity,</w:t>
      </w:r>
      <w:r>
        <w:t xml:space="preserve"> </w:t>
      </w:r>
      <w:r>
        <w:t xml:space="preserve">UV) confirmed the chromatographic profile and the pool collection window. Centre-point runs</w:t>
      </w:r>
      <w:r>
        <w:t xml:space="preserve"> </w:t>
      </w:r>
      <w:r>
        <w:t xml:space="preserve">were replicated within each design (three in screening, four in the response-surface design) to</w:t>
      </w:r>
      <w:r>
        <w:t xml:space="preserve"> </w:t>
      </w:r>
      <w:r>
        <w:t xml:space="preserve">quantify reproducibility and pure error.</w:t>
      </w:r>
    </w:p>
    <w:bookmarkEnd w:id="26"/>
    <w:bookmarkStart w:id="27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Designs were constructed and analyzed in coded factors, with each parameter’s characterization</w:t>
      </w:r>
      <w:r>
        <w:t xml:space="preserve"> </w:t>
      </w:r>
      <w:r>
        <w:t xml:space="preserve">range mapped so that the set-point is 0 and the range edges are ±1 (</w:t>
      </w:r>
      <w:r>
        <w:rPr>
          <w:b/>
          <w:bCs/>
        </w:rPr>
        <w:t xml:space="preserve">SOP-1002</w:t>
      </w:r>
      <w:r>
        <w:t xml:space="preserve">). Screening</w:t>
      </w:r>
      <w:r>
        <w:t xml:space="preserve"> </w:t>
      </w:r>
      <w:r>
        <w:t xml:space="preserve">data were analyzed by ordinary-least-squares regression of each response on the main effects</w:t>
      </w:r>
      <w:r>
        <w:t xml:space="preserve"> </w:t>
      </w:r>
      <w:r>
        <w:t xml:space="preserve">and all two-factor interactions; factor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are reported as twice the coded coefficient.</w:t>
      </w:r>
      <w:r>
        <w:t xml:space="preserve"> </w:t>
      </w:r>
      <w:r>
        <w:t xml:space="preserve">Response-surface data were analyzed with the full quadratic model (main effects, two-factor</w:t>
      </w:r>
      <w:r>
        <w:t xml:space="preserve"> </w:t>
      </w:r>
      <w:r>
        <w:t xml:space="preserve">interactions and pure-quadratic terms). Statistical significance was assessed at α = 0.05.</w:t>
      </w:r>
      <w:r>
        <w:t xml:space="preserve"> </w:t>
      </w:r>
      <w:r>
        <w:t xml:space="preserve">Model adequacy was judged by the coefficient of determination (R²), the adjusted R², the</w:t>
      </w:r>
      <w:r>
        <w:t xml:space="preserve"> </w:t>
      </w:r>
      <w:r>
        <w:t xml:space="preserve">predicted R² (computed from the PRESS statistic by leave-one-out), the overall model F-test,</w:t>
      </w:r>
      <w:r>
        <w:t xml:space="preserve"> </w:t>
      </w:r>
      <w:r>
        <w:t xml:space="preserve">and an analysis of variance partitioning the residual into lack of fit and pure error, the</w:t>
      </w:r>
      <w:r>
        <w:t xml:space="preserve"> </w:t>
      </w:r>
      <w:r>
        <w:t xml:space="preserve">latter estimated from the replicated centre points; a non-significant lack-of-fit F-test</w:t>
      </w:r>
      <w:r>
        <w:t xml:space="preserve"> </w:t>
      </w:r>
      <w:r>
        <w:t xml:space="preserve">(p &gt; 0.05) indicates an adequate model. A response governed by no active factor over the ranges</w:t>
      </w:r>
      <w:r>
        <w:t xml:space="preserve"> </w:t>
      </w:r>
      <w:r>
        <w:t xml:space="preserve">studied is treated as robust rather than as a predictive surface. The operating region was</w:t>
      </w:r>
      <w:r>
        <w:t xml:space="preserve"> </w:t>
      </w:r>
      <w:r>
        <w:t xml:space="preserve">defined as the multivariate region of the well-controlled CPPs over which the flow-through-pool</w:t>
      </w:r>
      <w:r>
        <w:t xml:space="preserve"> </w:t>
      </w:r>
      <w:r>
        <w:t xml:space="preserve">HCP and the credited MVM and XMuLV log-reduction are controlled. Commercial-scale process</w:t>
      </w:r>
      <w:r>
        <w:t xml:space="preserve"> </w:t>
      </w:r>
      <w:r>
        <w:t xml:space="preserve">capability for the drug-substance CQAs governed by the step was estimated by Monte-Carlo</w:t>
      </w:r>
      <w:r>
        <w:t xml:space="preserve"> </w:t>
      </w:r>
      <w:r>
        <w:t xml:space="preserve">simulation of 2,000 batches with each parameter varied within</w:t>
      </w:r>
      <w:r>
        <w:t xml:space="preserve"> </w:t>
      </w:r>
      <w:r>
        <w:t xml:space="preserve">its NOR, reporting the one-sided process-capability index (Cpk) — against the upper limit for</w:t>
      </w:r>
      <w:r>
        <w:t xml:space="preserve"> </w:t>
      </w:r>
      <w:r>
        <w:t xml:space="preserve">the impurity CQAs and against the lower requirement for the cumulative viral-clearance CQAs.</w:t>
      </w:r>
    </w:p>
    <w:bookmarkEnd w:id="27"/>
    <w:bookmarkEnd w:id="28"/>
    <w:bookmarkStart w:id="35" w:name="study-design"/>
    <w:p>
      <w:pPr>
        <w:pStyle w:val="Heading1"/>
      </w:pPr>
      <w:r>
        <w:t xml:space="preserve">4. Study design</w:t>
      </w:r>
    </w:p>
    <w:bookmarkStart w:id="31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Five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 of each factor (</w:t>
      </w:r>
      <w:r>
        <w:t xml:space="preserve">“PAR”</w:t>
      </w:r>
      <w:r>
        <w:t xml:space="preserve"> </w:t>
      </w:r>
      <w:r>
        <w:t xml:space="preserve">column) defines the edges of the explored knowledge space and the basis of the proven</w:t>
      </w:r>
      <w:r>
        <w:t xml:space="preserve"> </w:t>
      </w:r>
      <w:r>
        <w:t xml:space="preserve">acceptable range; the NOR is the tighter range at which the parameter is controlled routinely.</w:t>
      </w:r>
      <w:r>
        <w:t xml:space="preserve"> </w:t>
      </w:r>
      <w:r>
        <w:t xml:space="preserve">The DoE factor coding for the four multivariate factors is given in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Anion-exchange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74"/>
              <w:gridCol w:w="926"/>
              <w:gridCol w:w="1095"/>
              <w:gridCol w:w="926"/>
              <w:gridCol w:w="758"/>
              <w:gridCol w:w="758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Design-of-experiments factor legend (coded A–D).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Factor screening used a two-level full factorial in the four multivariate factors (A–D) with</w:t>
      </w:r>
      <w:r>
        <w:t xml:space="preserve"> </w:t>
      </w:r>
      <w:r>
        <w:t xml:space="preserve">three centre-point replicates, 19 runs in total. The full factorial estimates</w:t>
      </w:r>
      <w:r>
        <w:t xml:space="preserve"> </w:t>
      </w:r>
      <w:r>
        <w:t xml:space="preserve">all four main effects and all six two-factor interactions without confounding. The four</w:t>
      </w:r>
      <w:r>
        <w:t xml:space="preserve"> </w:t>
      </w:r>
      <w:r>
        <w:t xml:space="preserve">responses recorded for each run were the flow-through-pool HCP, the XMuLV log-reduction, the</w:t>
      </w:r>
      <w:r>
        <w:t xml:space="preserve"> </w:t>
      </w:r>
      <w:r>
        <w:t xml:space="preserve">MVM log-reduction and the step yield. The complete coded design matrix and run responses are</w:t>
      </w:r>
      <w:r>
        <w:t xml:space="preserve"> </w:t>
      </w:r>
      <w:r>
        <w:t xml:space="preserve">given in Appendix A.</w:t>
      </w:r>
    </w:p>
    <w:bookmarkEnd w:id="32"/>
    <w:bookmarkStart w:id="33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four multivariate factors were carried into a face-centred central-composite design (cube</w:t>
      </w:r>
      <w:r>
        <w:t xml:space="preserve"> </w:t>
      </w:r>
      <w:r>
        <w:t xml:space="preserve">points, axial points at the face centres, and four centre-point replicates),</w:t>
      </w:r>
      <w:r>
        <w:t xml:space="preserve"> </w:t>
      </w:r>
      <w:r>
        <w:t xml:space="preserve">28 runs in total, enabling estimation of curvature in addition to main effects</w:t>
      </w:r>
      <w:r>
        <w:t xml:space="preserve"> </w:t>
      </w:r>
      <w:r>
        <w:t xml:space="preserve">and interactions. The complete coded design matrix and responses are given in Appendix B.</w:t>
      </w:r>
    </w:p>
    <w:bookmarkEnd w:id="33"/>
    <w:bookmarkStart w:id="34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The operating flow rate was evaluated one factor at a time across its characterization range</w:t>
      </w:r>
      <w:r>
        <w:t xml:space="preserve"> </w:t>
      </w:r>
      <w:r>
        <w:t xml:space="preserve">for its effect on the flow-through-pool HCP, the XMuLV and MVM log-reduction and the step</w:t>
      </w:r>
      <w:r>
        <w:t xml:space="preserve"> </w:t>
      </w:r>
      <w:r>
        <w:t xml:space="preserve">yield; it was not carried into the multivariate design because it acts on viral clearance</w:t>
      </w:r>
      <w:r>
        <w:t xml:space="preserve"> </w:t>
      </w:r>
      <w:r>
        <w:t xml:space="preserve">through residence time rather than through the buffer/load chemistry and is not expected to</w:t>
      </w:r>
      <w:r>
        <w:t xml:space="preserve"> </w:t>
      </w:r>
      <w:r>
        <w:t xml:space="preserve">interact with the chromatographic factors.</w:t>
      </w:r>
    </w:p>
    <w:bookmarkEnd w:id="34"/>
    <w:bookmarkEnd w:id="35"/>
    <w:bookmarkStart w:id="68" w:name="results"/>
    <w:p>
      <w:pPr>
        <w:pStyle w:val="Heading1"/>
      </w:pPr>
      <w:r>
        <w:t xml:space="preserve">5. Results</w:t>
      </w:r>
    </w:p>
    <w:bookmarkStart w:id="37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At the nominal (centre-point) condition the step recovers 96.6% of the</w:t>
      </w:r>
      <w:r>
        <w:t xml:space="preserve"> </w:t>
      </w:r>
      <w:r>
        <w:t xml:space="preserve">loaded product and delivers a flow-through-pool HCP of approximately</w:t>
      </w:r>
      <w:r>
        <w:t xml:space="preserve"> </w:t>
      </w:r>
      <w:r>
        <w:t xml:space="preserve">14 ng/mg, an XMuLV log-reduction of approximately</w:t>
      </w:r>
      <w:r>
        <w:t xml:space="preserve"> </w:t>
      </w:r>
      <w:r>
        <w:t xml:space="preserve">6.6 log₁₀ and an MVM log-reduction of approximately</w:t>
      </w:r>
      <w:r>
        <w:t xml:space="preserve"> </w:t>
      </w:r>
      <w:r>
        <w:t xml:space="preserve">4.9 log₁₀. The between-replicate reproducibility of the centre point</w:t>
      </w:r>
      <w:r>
        <w:t xml:space="preserve"> </w:t>
      </w:r>
      <w:r>
        <w:t xml:space="preserve">(</w:t>
      </w:r>
      <w:hyperlink w:anchor="tbl-cv">
        <w:r>
          <w:rPr>
            <w:rStyle w:val="Hyperlink"/>
          </w:rPr>
          <w:t xml:space="preserve">Table 6</w:t>
        </w:r>
      </w:hyperlink>
      <w:r>
        <w:t xml:space="preserve">) is the pure-error estimate used in the lack-of-fit assessment; the coefficients of</w:t>
      </w:r>
      <w:r>
        <w:t xml:space="preserve"> </w:t>
      </w:r>
      <w:r>
        <w:t xml:space="preserve">variation reflect the combined analytical and process variability of the scale-down and</w:t>
      </w:r>
      <w:r>
        <w:t xml:space="preserve"> </w:t>
      </w:r>
      <w:r>
        <w:t xml:space="preserve">viral-spiking models, with the pool-HCP measurement the least precise of the responses.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Centre-point reproducibility (response-surface design; n = 4 replicates).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</w:tr>
          </w:tbl>
          <w:bookmarkEnd w:id="36"/>
          <w:p/>
        </w:tc>
      </w:tr>
    </w:tbl>
    <w:bookmarkEnd w:id="37"/>
    <w:bookmarkStart w:id="41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resolve the active factors and interactions for the flow-through-pool HCP</w:t>
      </w:r>
      <w:r>
        <w:t xml:space="preserve"> </w:t>
      </w:r>
      <w:r>
        <w:t xml:space="preserve">and the XMuLV and MVM log-reduction, and confirm that no factor systematically affects the step</w:t>
      </w:r>
      <w:r>
        <w:t xml:space="preserve"> </w:t>
      </w:r>
      <w:r>
        <w:t xml:space="preserve">yield over the ranges studied (</w:t>
      </w:r>
      <w:hyperlink w:anchor="tbl-scr-fit">
        <w:r>
          <w:rPr>
            <w:rStyle w:val="Hyperlink"/>
          </w:rPr>
          <w:t xml:space="preserve">Table 7</w:t>
        </w:r>
      </w:hyperlink>
      <w:r>
        <w:t xml:space="preserve">). Consistent with a screening analysis, the</w:t>
      </w:r>
      <w:r>
        <w:t xml:space="preserve"> </w:t>
      </w:r>
      <w:r>
        <w:t xml:space="preserve">magnitudes are refined by the response-surface models (§6.3).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Screening-design model summary by response (main effects + two-factor interactions).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8.55e-05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0.0126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The largest effects are tabulated for the flow-through-pool HCP (</w:t>
      </w:r>
      <w:hyperlink w:anchor="tbl-eff-hcp">
        <w:r>
          <w:rPr>
            <w:rStyle w:val="Hyperlink"/>
          </w:rPr>
          <w:t xml:space="preserve">Table 8</w:t>
        </w:r>
      </w:hyperlink>
      <w:r>
        <w:t xml:space="preserve">) and the MVM</w:t>
      </w:r>
      <w:r>
        <w:t xml:space="preserve"> </w:t>
      </w:r>
      <w:r>
        <w:t xml:space="preserve">log-reduction (</w:t>
      </w:r>
      <w:hyperlink w:anchor="tbl-eff-mvm">
        <w:r>
          <w:rPr>
            <w:rStyle w:val="Hyperlink"/>
          </w:rPr>
          <w:t xml:space="preserve">Table 9</w:t>
        </w:r>
      </w:hyperlink>
      <w:r>
        <w:t xml:space="preserve">). Full effect tables for all four responses are given in</w:t>
      </w:r>
      <w:r>
        <w:t xml:space="preserve"> </w:t>
      </w:r>
      <w:r>
        <w:t xml:space="preserve">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Largest standardized effects on flow-through-pool HCP (screening; effect = 2 × coded coefficient; A = load pH, B = Equil/Wash-1 conductivity, C = load conductivity, D = protein load).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ef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standardized effects on MVM log-reduction (screening).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4.32e-05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flow-through-pool HCP is governed by the load pH and the equilibration/wash-1 conductivity,</w:t>
      </w:r>
      <w:r>
        <w:t xml:space="preserve"> </w:t>
      </w:r>
      <w:r>
        <w:t xml:space="preserve">which act in opposite directions — a higher load pH lowers the pool HCP (better clearance) and</w:t>
      </w:r>
      <w:r>
        <w:t xml:space="preserve"> </w:t>
      </w:r>
      <w:r>
        <w:t xml:space="preserve">a higher wash-1 conductivity raises it (poorer clearance) — with a significant</w:t>
      </w:r>
      <w:r>
        <w:t xml:space="preserve"> </w:t>
      </w:r>
      <w:r>
        <w:t xml:space="preserve">load-pH × conductivity interaction (effect -6.6 ng/mg, p &lt; 0.001) that</w:t>
      </w:r>
      <w:r>
        <w:t xml:space="preserve"> </w:t>
      </w:r>
      <w:r>
        <w:t xml:space="preserve">means the conductivity matters most at low load pH. Notably, the protein load and the</w:t>
      </w:r>
      <w:r>
        <w:t xml:space="preserve"> </w:t>
      </w:r>
      <w:r>
        <w:t xml:space="preserve">protein-load × conductivity interaction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significant effect on the pool HCP in this</w:t>
      </w:r>
      <w:r>
        <w:t xml:space="preserve"> </w:t>
      </w:r>
      <w:r>
        <w:t xml:space="preserve">representative-load DoE (the protein-load × conductivity interaction effect is</w:t>
      </w:r>
      <w:r>
        <w:t xml:space="preserve"> </w:t>
      </w:r>
      <w:r>
        <w:t xml:space="preserve">0.22 ng/mg, p = 0.86); this is central to the</w:t>
      </w:r>
      <w:r>
        <w:t xml:space="preserve"> </w:t>
      </w:r>
      <w:r>
        <w:t xml:space="preserve">resolution of Deviation DEV-01 (§12) and to the classification of the protein load. The XMuLV</w:t>
      </w:r>
      <w:r>
        <w:t xml:space="preserve"> </w:t>
      </w:r>
      <w:r>
        <w:t xml:space="preserve">and MVM log-reductions are both governed by the load pH (clearance improves as pH rises) and</w:t>
      </w:r>
      <w:r>
        <w:t xml:space="preserve"> </w:t>
      </w:r>
      <w:r>
        <w:t xml:space="preserve">the load conductivity (clearance falls as conductivity rises), with the load-pH main effect the</w:t>
      </w:r>
      <w:r>
        <w:t xml:space="preserve"> </w:t>
      </w:r>
      <w:r>
        <w:t xml:space="preserve">largest for each; the wash-1 conductivity and the protein load have little effect on the viral</w:t>
      </w:r>
      <w:r>
        <w:t xml:space="preserve"> </w:t>
      </w:r>
      <w:r>
        <w:t xml:space="preserve">log-reduction. The step yield shows no significant dependence on any factor, consistent with a</w:t>
      </w:r>
      <w:r>
        <w:t xml:space="preserve"> </w:t>
      </w:r>
      <w:r>
        <w:t xml:space="preserve">high-recovery flow-through operation. The HCP and viral responses therefore respond to a</w:t>
      </w:r>
      <w:r>
        <w:t xml:space="preserve"> </w:t>
      </w:r>
      <w:r>
        <w:t xml:space="preserve">partly shared set of factors (load pH is common), which is why a multivariate operating region —</w:t>
      </w:r>
      <w:r>
        <w:t xml:space="preserve"> </w:t>
      </w:r>
      <w:r>
        <w:t xml:space="preserve">rather than independent one-dimensional ranges — is used to assure the impurity and viral load.</w:t>
      </w:r>
    </w:p>
    <w:bookmarkEnd w:id="41"/>
    <w:bookmarkStart w:id="6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full quadratic response-surface models for the flow-through-pool HCP and the XMuLV and MVM</w:t>
      </w:r>
      <w:r>
        <w:t xml:space="preserve"> </w:t>
      </w:r>
      <w:r>
        <w:t xml:space="preserve">log-reduction are adequate (</w:t>
      </w:r>
      <w:hyperlink w:anchor="tbl-rsm-fit">
        <w:r>
          <w:rPr>
            <w:rStyle w:val="Hyperlink"/>
          </w:rPr>
          <w:t xml:space="preserve">Table 10</w:t>
        </w:r>
      </w:hyperlink>
      <w:r>
        <w:t xml:space="preserve">): R² =</w:t>
      </w:r>
      <w:r>
        <w:t xml:space="preserve"> </w:t>
      </w:r>
      <w:r>
        <w:t xml:space="preserve">0.90–0.93, adjusted R² ≥</w:t>
      </w:r>
      <w:r>
        <w:t xml:space="preserve"> </w:t>
      </w:r>
      <w:r>
        <w:t xml:space="preserve">0.79.</w:t>
      </w:r>
      <w:r>
        <w:t xml:space="preserve"> </w:t>
      </w:r>
      <w:r>
        <w:t xml:space="preserve">For all three modelled responses the lack-of-fit F-test was not significant (p &gt; 0.05) relative to the centre-point pure error, confirming model adequacy.</w:t>
      </w:r>
      <w:r>
        <w:t xml:space="preserve"> </w:t>
      </w:r>
      <w:r>
        <w:t xml:space="preserve">The pool-HCP and XMuLV models are additionally predictive (predicted R² ≥</w:t>
      </w:r>
      <w:r>
        <w:t xml:space="preserve"> </w:t>
      </w:r>
      <w:r>
        <w:t xml:space="preserve">0.62); the MVM model is adequate (R² =</w:t>
      </w:r>
      <w:r>
        <w:t xml:space="preserve"> </w:t>
      </w:r>
      <w:r>
        <w:t xml:space="preserve">0.90, adjusted R² = 0.79, no significant lack of</w:t>
      </w:r>
      <w:r>
        <w:t xml:space="preserve"> </w:t>
      </w:r>
      <w:r>
        <w:t xml:space="preserve">fit) with a more modest predicted R² (0.39) that reflects the narrower</w:t>
      </w:r>
      <w:r>
        <w:t xml:space="preserve"> </w:t>
      </w:r>
      <w:r>
        <w:t xml:space="preserve">log-reduction range of the parvovirus response relative to the spiking-assay reproducibility,</w:t>
      </w:r>
      <w:r>
        <w:t xml:space="preserve"> </w:t>
      </w:r>
      <w:r>
        <w:t xml:space="preserve">and is corroborated by its strong, highly significant load-pH and load-conductivity main</w:t>
      </w:r>
      <w:r>
        <w:t xml:space="preserve"> </w:t>
      </w:r>
      <w:r>
        <w:t xml:space="preserve">effects. The step-yield surface carries no active factor and is reported as robust across the</w:t>
      </w:r>
      <w:r>
        <w:t xml:space="preserve"> </w:t>
      </w:r>
      <w:r>
        <w:t xml:space="preserve">ranges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Response-surface model summary by response (full quadratic model).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The fitted coefficients for the flow-through-pool HCP and the MVM log-reduction are given in</w:t>
      </w:r>
      <w:r>
        <w:t xml:space="preserve"> </w:t>
      </w:r>
      <w:hyperlink w:anchor="tbl-coef-hcp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mvm">
        <w:r>
          <w:rPr>
            <w:rStyle w:val="Hyperlink"/>
          </w:rPr>
          <w:t xml:space="preserve">Table 12</w:t>
        </w:r>
      </w:hyperlink>
      <w:r>
        <w:t xml:space="preserve">, and the analysis of variance for the flow-through-pool HCP —</w:t>
      </w:r>
      <w:r>
        <w:t xml:space="preserve"> </w:t>
      </w:r>
      <w:r>
        <w:t xml:space="preserve">including the lack-of-fit/pure-error partition — in</w:t>
      </w:r>
      <w:r>
        <w:t xml:space="preserve"> </w:t>
      </w:r>
      <w:hyperlink w:anchor="tbl-anova-hcp">
        <w:r>
          <w:rPr>
            <w:rStyle w:val="Hyperlink"/>
          </w:rPr>
          <w:t xml:space="preserve">Table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coefficients for flow-through-pool HCP (coded factors A = load pH, B = Equil/Wash-1 conductivity, C = load conductivity, D = protein load).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coe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coefficients for MVM log-reduction.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flow-through-pool HCP response-surface model, with lack-of-fit and pure-error partition.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flow-through-pool HCP and XMuLV response surfaces are shown in</w:t>
      </w:r>
      <w:r>
        <w:t xml:space="preserve"> </w:t>
      </w:r>
      <w:hyperlink w:anchor="fig-ae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pool HCP over</w:t>
      </w:r>
      <w:r>
        <w:t xml:space="preserve"> </w:t>
      </w:r>
      <w:r>
        <w:t xml:space="preserve">load pH × equilibration/wash-1 conductivity (its dominant pair) and XMuLV log-reduction over</w:t>
      </w:r>
      <w:r>
        <w:t xml:space="preserve"> </w:t>
      </w:r>
      <w:r>
        <w:t xml:space="preserve">load pH × load conductivity (the viral-clearance pair). The response surfaces for all four</w:t>
      </w:r>
      <w:r>
        <w:t xml:space="preserve"> </w:t>
      </w:r>
      <w:r>
        <w:t xml:space="preserve">responses over load pH × equilibration/wash-1 conductivity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, and the</w:t>
      </w:r>
      <w:r>
        <w:t xml:space="preserve"> </w:t>
      </w:r>
      <w:r>
        <w:t xml:space="preserve">model diagnostics for the pool-HCP, XMuLV and MVM models in</w:t>
      </w:r>
      <w:r>
        <w:t xml:space="preserve"> </w:t>
      </w:r>
      <w:hyperlink w:anchor="fig-diag-hcp">
        <w:r>
          <w:rPr>
            <w:rStyle w:val="Hyperlink"/>
          </w:rPr>
          <w:t xml:space="preserve">Figure 3</w:t>
        </w:r>
      </w:hyperlink>
      <w:r>
        <w:t xml:space="preserve">,</w:t>
      </w:r>
      <w:r>
        <w:t xml:space="preserve"> </w:t>
      </w:r>
      <w:hyperlink w:anchor="fig-diag-xmulv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mvm">
        <w:r>
          <w:rPr>
            <w:rStyle w:val="Hyperlink"/>
          </w:rPr>
          <w:t xml:space="preserve">Figure 5</w:t>
        </w:r>
      </w:hyperlink>
      <w:r>
        <w:t xml:space="preserve">. The residual-versus-predicted and normal-quantile plots show no systematic</w:t>
      </w:r>
      <w:r>
        <w:t xml:space="preserve"> </w:t>
      </w:r>
      <w:r>
        <w:t xml:space="preserve">structure or departure from normality, and the actual-versus-predicted plots lie on the</w:t>
      </w:r>
      <w:r>
        <w:t xml:space="preserve"> </w:t>
      </w:r>
      <w:r>
        <w:t xml:space="preserve">identity line, supporting the use of the models for the operating-region definition.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aex"/>
          <w:p>
            <w:pPr>
              <w:pStyle w:val="Compact"/>
              <w:jc w:val="center"/>
            </w:pPr>
            <w:r>
              <w:drawing>
                <wp:inline>
                  <wp:extent cx="5334000" cy="2066055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aex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660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Anion-exchange response surfaces: flow-through-pool HCP falls as load pH rises and as equilibration/wash-1 conductivity falls, through a significant load-pH × conductivity interaction (left); XMuLV log-reduction falls as load pH falls and as load conductivity rises (right). The set-point is marked.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478987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contours-output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98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for the flow-through-pool HCP, XMuLV and MVM log-reduction and step yield over load pH × equilibration/wash-1 conductivity (remaining factors at set-point). Pool HCP responds strongly to both; the viral log-reductions respond to load pH; yield is flat.</w:t>
            </w:r>
          </w:p>
          <w:bookmarkEnd w:id="5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hcp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flow-through-pool HCP response-surface model.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iag-xmulv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xmulv-output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XMuLV log-reduction response-surface model.</w:t>
            </w:r>
          </w:p>
          <w:bookmarkEnd w:id="6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ag-mvm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mvm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Model diagnostics for the MVM log-reduction response-surface model.</w:t>
            </w:r>
          </w:p>
          <w:bookmarkEnd w:id="65"/>
        </w:tc>
      </w:tr>
    </w:tbl>
    <w:bookmarkEnd w:id="66"/>
    <w:bookmarkStart w:id="67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response-surface models reproduce the established behaviour of flow-through anion-exchange</w:t>
      </w:r>
      <w:r>
        <w:t xml:space="preserve"> </w:t>
      </w:r>
      <w:r>
        <w:t xml:space="preserve">polishing. At the operating pH the antibody carries a slight net positive charge and transmits,</w:t>
      </w:r>
      <w:r>
        <w:t xml:space="preserve"> </w:t>
      </w:r>
      <w:r>
        <w:t xml:space="preserve">while the more acidic host-cell protein, DNA and model viruses bind the positively charged</w:t>
      </w:r>
      <w:r>
        <w:t xml:space="preserve"> </w:t>
      </w:r>
      <w:r>
        <w:t xml:space="preserve">resin; the strength of that binding — and therefore the clearance — is set by the electrostatic</w:t>
      </w:r>
      <w:r>
        <w:t xml:space="preserve"> </w:t>
      </w:r>
      <w:r>
        <w:t xml:space="preserve">environment. A higher load pH increases the net negative charge of the impurities and virus,</w:t>
      </w:r>
      <w:r>
        <w:t xml:space="preserve"> </w:t>
      </w:r>
      <w:r>
        <w:t xml:space="preserve">strengthening retention and improving clearance, so the flow-through-pool HCP falls and the</w:t>
      </w:r>
      <w:r>
        <w:t xml:space="preserve"> </w:t>
      </w:r>
      <w:r>
        <w:t xml:space="preserve">XMuLV and MVM log-reductions rise; a higher equilibration/wash-1 conductivity screens the</w:t>
      </w:r>
      <w:r>
        <w:t xml:space="preserve"> </w:t>
      </w:r>
      <w:r>
        <w:t xml:space="preserve">electrostatic interaction and weakens retention, raising the pool HCP, and the two act together</w:t>
      </w:r>
      <w:r>
        <w:t xml:space="preserve"> </w:t>
      </w:r>
      <w:r>
        <w:t xml:space="preserve">through the significant load-pH × conductivity interaction, so that adequate load pH matters</w:t>
      </w:r>
      <w:r>
        <w:t xml:space="preserve"> </w:t>
      </w:r>
      <w:r>
        <w:t xml:space="preserve">most when the wash conductivity is high. Viral clearance additionally requires a sufficiently</w:t>
      </w:r>
      <w:r>
        <w:t xml:space="preserve"> </w:t>
      </w:r>
      <w:r>
        <w:t xml:space="preserve">low load conductivity for the virus to bind, so the XMuLV and MVM log-reductions fall as the</w:t>
      </w:r>
      <w:r>
        <w:t xml:space="preserve"> </w:t>
      </w:r>
      <w:r>
        <w:t xml:space="preserve">load conductivity rises. Because the operation is flow-through with high dynamic capacity for</w:t>
      </w:r>
      <w:r>
        <w:t xml:space="preserve"> </w:t>
      </w:r>
      <w:r>
        <w:t xml:space="preserve">the product, the protein load has no significant effect on clearance or recovery over the range</w:t>
      </w:r>
      <w:r>
        <w:t xml:space="preserve"> </w:t>
      </w:r>
      <w:r>
        <w:t xml:space="preserve">studied when the load is of representative charge-variant quality — a finding that both widens</w:t>
      </w:r>
      <w:r>
        <w:t xml:space="preserve"> </w:t>
      </w:r>
      <w:r>
        <w:t xml:space="preserve">the acceptable load range and, by contrast with the invalidated deamidated-load execution</w:t>
      </w:r>
      <w:r>
        <w:t xml:space="preserve"> </w:t>
      </w:r>
      <w:r>
        <w:t xml:space="preserve">(§12), localizes the load-related risk to the charge-variant quality of the feed rather than to</w:t>
      </w:r>
      <w:r>
        <w:t xml:space="preserve"> </w:t>
      </w:r>
      <w:r>
        <w:t xml:space="preserve">a load set-point. The step yield is high and flat, as expected for flow-through. This is the</w:t>
      </w:r>
      <w:r>
        <w:t xml:space="preserve"> </w:t>
      </w:r>
      <w:r>
        <w:t xml:space="preserve">relationship depicted in</w:t>
      </w:r>
      <w:r>
        <w:t xml:space="preserve"> </w:t>
      </w:r>
      <w:hyperlink w:anchor="fig-ae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is the reason a multivariate operating region — rather</w:t>
      </w:r>
      <w:r>
        <w:t xml:space="preserve"> </w:t>
      </w:r>
      <w:r>
        <w:t xml:space="preserve">than independent one-dimensional ranges — is used to assure the impurity and viral load</w:t>
      </w:r>
      <w:r>
        <w:t xml:space="preserve"> </w:t>
      </w:r>
      <w:r>
        <w:t xml:space="preserve">presented downstream.</w:t>
      </w:r>
    </w:p>
    <w:bookmarkEnd w:id="67"/>
    <w:bookmarkEnd w:id="68"/>
    <w:bookmarkStart w:id="69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operating region (design space) is the multivariate region of the four well-controlled</w:t>
      </w:r>
      <w:r>
        <w:t xml:space="preserve"> </w:t>
      </w:r>
      <w:r>
        <w:t xml:space="preserve">CPPs over which the flow-through-pool HCP is held low enough, and the MVM and XMuLV</w:t>
      </w:r>
      <w:r>
        <w:t xml:space="preserve"> </w:t>
      </w:r>
      <w:r>
        <w:t xml:space="preserve">log-reductions credited to the step are held high enough, that the drug substance meets its</w:t>
      </w:r>
      <w:r>
        <w:t xml:space="preserve"> </w:t>
      </w:r>
      <w:r>
        <w:t xml:space="preserve">≤ 100 ng/mg HCP limit and its ≥ 8.6 and</w:t>
      </w:r>
      <w:r>
        <w:t xml:space="preserve"> </w:t>
      </w:r>
      <w:r>
        <w:t xml:space="preserve">≥ 16.7 log₁₀ cumulative viral-clearance requirements, while the step</w:t>
      </w:r>
      <w:r>
        <w:t xml:space="preserve"> </w:t>
      </w:r>
      <w:r>
        <w:t xml:space="preserve">yield remains high. Its two principal planes are load pH × equilibration/wash-1 conductivity,</w:t>
      </w:r>
      <w:r>
        <w:t xml:space="preserve"> </w:t>
      </w:r>
      <w:r>
        <w:t xml:space="preserve">over which the pool HCP is controlled (</w:t>
      </w:r>
      <w:hyperlink w:anchor="fig-aex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), and load pH × load</w:t>
      </w:r>
      <w:r>
        <w:t xml:space="preserve"> </w:t>
      </w:r>
      <w:r>
        <w:t xml:space="preserve">conductivity, over which the credited XMuLV and MVM log-reductions are controlled (</w:t>
      </w:r>
      <w:hyperlink w:anchor="fig-aex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The NOR of each parameter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 — load pH</w:t>
      </w:r>
      <w:r>
        <w:t xml:space="preserve"> </w:t>
      </w:r>
      <w:r>
        <w:t xml:space="preserve">7.35–7.65, equilibration/wash-1 conductivity</w:t>
      </w:r>
      <w:r>
        <w:t xml:space="preserve"> </w:t>
      </w:r>
      <w:r>
        <w:t xml:space="preserve">2.1–3.1 mS/cm, with the load conductivity and protein</w:t>
      </w:r>
      <w:r>
        <w:t xml:space="preserve"> </w:t>
      </w:r>
      <w:r>
        <w:t xml:space="preserve">load at their NORs — lies well inside the characterized region, which in turn lies within the</w:t>
      </w:r>
      <w:r>
        <w:t xml:space="preserve"> </w:t>
      </w:r>
      <w:r>
        <w:t xml:space="preserve">broader knowledge space bounded by the proven acceptable ranges. Because the protein load has</w:t>
      </w:r>
      <w:r>
        <w:t xml:space="preserve"> </w:t>
      </w:r>
      <w:r>
        <w:t xml:space="preserve">no significant effect on clearance in representative material, the load axis of the region is</w:t>
      </w:r>
      <w:r>
        <w:t xml:space="preserve"> </w:t>
      </w:r>
      <w:r>
        <w:t xml:space="preserve">wide (NOR 120–280 g/L resin); the load-related risk</w:t>
      </w:r>
      <w:r>
        <w:t xml:space="preserve"> </w:t>
      </w:r>
      <w:r>
        <w:t xml:space="preserve">identified in the characterization is not a load set-point but the</w:t>
      </w:r>
      <w:r>
        <w:t xml:space="preserve"> </w:t>
      </w:r>
      <w:r>
        <w:rPr>
          <w:b/>
          <w:bCs/>
        </w:rPr>
        <w:t xml:space="preserve">charge-variant quality of</w:t>
      </w:r>
      <w:r>
        <w:rPr>
          <w:b/>
          <w:bCs/>
        </w:rPr>
        <w:t xml:space="preserve"> </w:t>
      </w:r>
      <w:r>
        <w:rPr>
          <w:b/>
          <w:bCs/>
        </w:rPr>
        <w:t xml:space="preserve">the load material</w:t>
      </w:r>
      <w:r>
        <w:t xml:space="preserve">, which is controlled as a feed-input attribute (§12, §11). Movement within</w:t>
      </w:r>
      <w:r>
        <w:t xml:space="preserve"> </w:t>
      </w:r>
      <w:r>
        <w:t xml:space="preserve">the operating region is not a change, whereas movement outside it would require assessment</w:t>
      </w:r>
      <w:r>
        <w:t xml:space="preserve"> </w:t>
      </w:r>
      <w:r>
        <w:t xml:space="preserve">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 Because the step yield is robust and the HCP and</w:t>
      </w:r>
      <w:r>
        <w:t xml:space="preserve"> </w:t>
      </w:r>
      <w:r>
        <w:t xml:space="preserve">viral responses are governed by a partly shared set of factors, the region is set jointly by</w:t>
      </w:r>
      <w:r>
        <w:t xml:space="preserve"> </w:t>
      </w:r>
      <w:r>
        <w:t xml:space="preserve">the HCP and viral-clearance constraints.</w:t>
      </w:r>
    </w:p>
    <w:bookmarkEnd w:id="69"/>
    <w:bookmarkStart w:id="71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Anion exchange sets the cumulative MVM clearance claim and is a major clearance step for</w:t>
      </w:r>
      <w:r>
        <w:t xml:space="preserve"> </w:t>
      </w:r>
      <w:r>
        <w:t xml:space="preserve">enveloped virus (XMuLV), host-cell protein, residual DNA and leached Protein A. A Monte-Carlo</w:t>
      </w:r>
      <w:r>
        <w:t xml:space="preserve"> </w:t>
      </w:r>
      <w:r>
        <w:t xml:space="preserve">simulation of 2,000 commercial-scale batches, with every</w:t>
      </w:r>
      <w:r>
        <w:t xml:space="preserve"> </w:t>
      </w:r>
      <w:r>
        <w:t xml:space="preserve">parameter varied within its NOR, was used to estimate the commercial-scale distributions and</w:t>
      </w:r>
      <w:r>
        <w:t xml:space="preserve"> </w:t>
      </w:r>
      <w:r>
        <w:t xml:space="preserve">process capability of the drug-substance CQAs to which this step contributes (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).</w:t>
      </w:r>
      <w:r>
        <w:t xml:space="preserve"> </w:t>
      </w:r>
      <w:r>
        <w:t xml:space="preserve">Capability is evaluated one-sided — against the lower requirement for the cumulative viral</w:t>
      </w:r>
      <w:r>
        <w:t xml:space="preserve"> </w:t>
      </w:r>
      <w:r>
        <w:t xml:space="preserve">clearance and against the upper limit for the impurities.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Commercial-scale process capability for the CQAs governed by the anion-exchange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50"/>
              <w:gridCol w:w="766"/>
              <w:gridCol w:w="681"/>
              <w:gridCol w:w="1192"/>
              <w:gridCol w:w="1362"/>
              <w:gridCol w:w="76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70"/>
          <w:p/>
        </w:tc>
      </w:tr>
    </w:tbl>
    <w:p>
      <w:pPr>
        <w:pStyle w:val="BodyText"/>
      </w:pPr>
      <w:r>
        <w:t xml:space="preserve">The cumulative MVM clearance meets its ≥ 8.6 log₁₀ requirement with a</w:t>
      </w:r>
      <w:r>
        <w:t xml:space="preserve"> </w:t>
      </w:r>
      <w:r>
        <w:t xml:space="preserve">capability of</w:t>
      </w:r>
      <w:r>
        <w:t xml:space="preserve"> </w:t>
      </w:r>
      <w:r>
        <w:rPr>
          <w:b/>
          <w:bCs/>
        </w:rPr>
        <w:t xml:space="preserve">Cpk = 1.51</w:t>
      </w:r>
      <w:r>
        <w:t xml:space="preserve"> </w:t>
      </w:r>
      <w:r>
        <w:t xml:space="preserve">(achieved cumulative</w:t>
      </w:r>
      <w:r>
        <w:t xml:space="preserve"> </w:t>
      </w:r>
      <w:r>
        <w:t xml:space="preserve">10.0 log₁₀); as the first and principal parvovirus-clearance step,</w:t>
      </w:r>
      <w:r>
        <w:t xml:space="preserve"> </w:t>
      </w:r>
      <w:r>
        <w:t xml:space="preserve">anion exchange is the primary contributor to this outcome, and this is the tightest process</w:t>
      </w:r>
      <w:r>
        <w:t xml:space="preserve"> </w:t>
      </w:r>
      <w:r>
        <w:t xml:space="preserve">capability of the A-Mab drug substance. The cumulative XMuLV clearance meets its</w:t>
      </w:r>
      <w:r>
        <w:t xml:space="preserve"> </w:t>
      </w:r>
      <w:r>
        <w:t xml:space="preserve">≥ 16.7 log₁₀ requirement with Cpk =</w:t>
      </w:r>
      <w:r>
        <w:t xml:space="preserve"> </w:t>
      </w:r>
      <w:r>
        <w:t xml:space="preserve">1.53 (achieved cumulative 18.9 log₁₀), to</w:t>
      </w:r>
      <w:r>
        <w:t xml:space="preserve"> </w:t>
      </w:r>
      <w:r>
        <w:t xml:space="preserve">which anion exchange contributes orthogonally alongside low-pH inactivation and virus</w:t>
      </w:r>
      <w:r>
        <w:t xml:space="preserve"> </w:t>
      </w:r>
      <w:r>
        <w:t xml:space="preserve">filtration. The drug-substance HCP meets its ≤ 100 ng/mg limit with Cpk =</w:t>
      </w:r>
      <w:r>
        <w:t xml:space="preserve"> </w:t>
      </w:r>
      <w:r>
        <w:t xml:space="preserve">6.14, this step completing the reduction begun at Protein A and cation</w:t>
      </w:r>
      <w:r>
        <w:t xml:space="preserve"> </w:t>
      </w:r>
      <w:r>
        <w:t xml:space="preserve">exchange; and the residual DNA and leached Protein A are cleared to far below their limits</w:t>
      </w:r>
      <w:r>
        <w:t xml:space="preserve"> </w:t>
      </w:r>
      <w:r>
        <w:t xml:space="preserve">(Cpk = 10.8 and 2785 respectively), with anion</w:t>
      </w:r>
      <w:r>
        <w:t xml:space="preserve"> </w:t>
      </w:r>
      <w:r>
        <w:t xml:space="preserve">exchange providing a major DNA reduction and modular leached-Protein-A clearance. The</w:t>
      </w:r>
      <w:r>
        <w:t xml:space="preserve"> </w:t>
      </w:r>
      <w:r>
        <w:t xml:space="preserve">capability margins confirm that the NOR-bounded step contributes robustly to in-specification</w:t>
      </w:r>
      <w:r>
        <w:t xml:space="preserve"> </w:t>
      </w:r>
      <w:r>
        <w:t xml:space="preserve">drug substance at commercial scale.</w:t>
      </w:r>
    </w:p>
    <w:bookmarkEnd w:id="71"/>
    <w:bookmarkStart w:id="73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was classified on the A-Mab continuum from the demonstrated effects and the</w:t>
      </w:r>
      <w:r>
        <w:t xml:space="preserve"> </w:t>
      </w:r>
      <w:r>
        <w:t xml:space="preserve">operating-region risk (</w:t>
      </w:r>
      <w:hyperlink w:anchor="tbl-class">
        <w:r>
          <w:rPr>
            <w:rStyle w:val="Hyperlink"/>
          </w:rPr>
          <w:t xml:space="preserve">Table 15</w:t>
        </w:r>
      </w:hyperlink>
      <w:r>
        <w:t xml:space="preserve">). The rationale is as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Load pH — WC-CPP.</w:t>
      </w:r>
      <w:r>
        <w:t xml:space="preserve"> </w:t>
      </w:r>
      <w:r>
        <w:t xml:space="preserve">The dominant factor for the flow-through-pool HCP (higher pH improves</w:t>
      </w:r>
      <w:r>
        <w:t xml:space="preserve"> </w:t>
      </w:r>
      <w:r>
        <w:t xml:space="preserve">clearance) and for the XMuLV and MVM log-reduction (higher pH improves clearance), and it</w:t>
      </w:r>
      <w:r>
        <w:t xml:space="preserve"> </w:t>
      </w:r>
      <w:r>
        <w:t xml:space="preserve">participates in the significant load-pH × conductivity interaction. It is reliably held</w:t>
      </w:r>
      <w:r>
        <w:t xml:space="preserve"> </w:t>
      </w:r>
      <w:r>
        <w:t xml:space="preserve">within the operating region by controlled buffer preparation with in-process pH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Equilibration/wash-1 conductivity — WC-CPP.</w:t>
      </w:r>
      <w:r>
        <w:t xml:space="preserve"> </w:t>
      </w:r>
      <w:r>
        <w:t xml:space="preserve">Significantly affects the flow-through-pool</w:t>
      </w:r>
      <w:r>
        <w:t xml:space="preserve"> </w:t>
      </w:r>
      <w:r>
        <w:t xml:space="preserve">HCP (higher conductivity worsens clearance) through the load-pH × conductivity interaction.</w:t>
      </w:r>
      <w:r>
        <w:t xml:space="preserve"> </w:t>
      </w:r>
      <w:r>
        <w:t xml:space="preserve">It is controlled by buffer preparation with in-process conductivity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Load conductivity — WC-CPP.</w:t>
      </w:r>
      <w:r>
        <w:t xml:space="preserve"> </w:t>
      </w:r>
      <w:r>
        <w:t xml:space="preserve">The second factor for the XMuLV and MVM log-reduction (higher</w:t>
      </w:r>
      <w:r>
        <w:t xml:space="preserve"> </w:t>
      </w:r>
      <w:r>
        <w:t xml:space="preserve">load conductivity reduces viral binding and clearance); it is controlled by conditioning the</w:t>
      </w:r>
      <w:r>
        <w:t xml:space="preserve"> </w:t>
      </w:r>
      <w:r>
        <w:t xml:space="preserve">load to the target conductivity with in-process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Protein load — WC-CPP.</w:t>
      </w:r>
      <w:r>
        <w:t xml:space="preserve"> </w:t>
      </w:r>
      <w:r>
        <w:t xml:space="preserve">Carries a credible risk to the impurity and viral load and is</w:t>
      </w:r>
      <w:r>
        <w:t xml:space="preserve"> </w:t>
      </w:r>
      <w:r>
        <w:t xml:space="preserve">therefore controlled as a well-controlled CPP; in representative load material it showed no</w:t>
      </w:r>
      <w:r>
        <w:t xml:space="preserve"> </w:t>
      </w:r>
      <w:r>
        <w:t xml:space="preserve">significant effect on clearance or recovery, so its acceptable range is wide. The</w:t>
      </w:r>
      <w:r>
        <w:t xml:space="preserve"> </w:t>
      </w:r>
      <w:r>
        <w:t xml:space="preserve">characterization localized the load-related risk to the</w:t>
      </w:r>
      <w:r>
        <w:t xml:space="preserve"> </w:t>
      </w:r>
      <w:r>
        <w:rPr>
          <w:b/>
          <w:bCs/>
        </w:rPr>
        <w:t xml:space="preserve">charge-variant quality of the load</w:t>
      </w:r>
      <w:r>
        <w:rPr>
          <w:b/>
          <w:bCs/>
        </w:rPr>
        <w:t xml:space="preserve"> </w:t>
      </w:r>
      <w:r>
        <w:rPr>
          <w:b/>
          <w:bCs/>
        </w:rPr>
        <w:t xml:space="preserve">material</w:t>
      </w:r>
      <w:r>
        <w:t xml:space="preserve"> </w:t>
      </w:r>
      <w:r>
        <w:t xml:space="preserve">(§12), which is controlled as a feed-input attribute rather than by a load</w:t>
      </w:r>
      <w:r>
        <w:t xml:space="preserve"> </w:t>
      </w:r>
      <w:r>
        <w:t xml:space="preserve">set-point.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Operating flow rate — WC-CPP (univariate).</w:t>
      </w:r>
      <w:r>
        <w:t xml:space="preserve"> </w:t>
      </w:r>
      <w:r>
        <w:t xml:space="preserve">Controlled to preserve the minimum residence</w:t>
      </w:r>
      <w:r>
        <w:t xml:space="preserve"> </w:t>
      </w:r>
      <w:r>
        <w:t xml:space="preserve">time credited for the viral-clearance claim; assessed univariately over its range with no</w:t>
      </w:r>
      <w:r>
        <w:t xml:space="preserve"> </w:t>
      </w:r>
      <w:r>
        <w:t xml:space="preserve">adverse impact on clearance or yield within the range studied.</w:t>
      </w:r>
    </w:p>
    <w:p>
      <w:pPr>
        <w:pStyle w:val="FirstParagraph"/>
      </w:pPr>
      <w:r>
        <w:t xml:space="preserve">Because every parameter that could affect the flow-through-pool HCP or the viral log-reduction</w:t>
      </w:r>
      <w:r>
        <w:t xml:space="preserve"> </w:t>
      </w:r>
      <w:r>
        <w:t xml:space="preserve">is controlled as a CPP within a demonstrated operating region, and none affects process</w:t>
      </w:r>
      <w:r>
        <w:t xml:space="preserve"> </w:t>
      </w:r>
      <w:r>
        <w:t xml:space="preserve">performance without also bearing on a CQA, there are no key process parameters (KPP) at this</w:t>
      </w:r>
      <w:r>
        <w:t xml:space="preserve"> </w:t>
      </w:r>
      <w:r>
        <w:t xml:space="preserve">step: the four multivariate parameters and the flow rate are all well-controlled CPPs.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72"/>
          <w:p/>
        </w:tc>
      </w:tr>
    </w:tbl>
    <w:bookmarkEnd w:id="73"/>
    <w:bookmarkStart w:id="74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anion-exchange step is the primary control point for the parvovirus (MVM) clearance claim</w:t>
      </w:r>
      <w:r>
        <w:t xml:space="preserve"> </w:t>
      </w:r>
      <w:r>
        <w:t xml:space="preserve">and a major control point for enveloped-virus clearance and the process-related impurity load.</w:t>
      </w:r>
      <w:r>
        <w:t xml:space="preserve"> </w:t>
      </w:r>
      <w:r>
        <w:t xml:space="preserve">Its contribution to the overall control strategy comprises: control of the four WC-CPPs (load</w:t>
      </w:r>
      <w:r>
        <w:t xml:space="preserve"> </w:t>
      </w:r>
      <w:r>
        <w:t xml:space="preserve">pH, equilibration/wash-1 conductivity, load conductivity and protein load) to their NORs within</w:t>
      </w:r>
      <w:r>
        <w:t xml:space="preserve"> </w:t>
      </w:r>
      <w:r>
        <w:t xml:space="preserve">the established operating region; control of the operating flow rate as a WC-CPP to preserve the</w:t>
      </w:r>
      <w:r>
        <w:t xml:space="preserve"> </w:t>
      </w:r>
      <w:r>
        <w:t xml:space="preserve">minimum residence time credited for viral clearance; control of the</w:t>
      </w:r>
      <w:r>
        <w:t xml:space="preserve"> </w:t>
      </w:r>
      <w:r>
        <w:rPr>
          <w:b/>
          <w:bCs/>
        </w:rPr>
        <w:t xml:space="preserve">load-material acidic</w:t>
      </w:r>
      <w:r>
        <w:rPr>
          <w:b/>
          <w:bCs/>
        </w:rPr>
        <w:t xml:space="preserve"> </w:t>
      </w:r>
      <w:r>
        <w:rPr>
          <w:b/>
          <w:bCs/>
        </w:rPr>
        <w:t xml:space="preserve">charge-variant (deamidation) quality</w:t>
      </w:r>
      <w:r>
        <w:t xml:space="preserve"> </w:t>
      </w:r>
      <w:r>
        <w:t xml:space="preserve">as a feed-input attribute, with an upstream</w:t>
      </w:r>
      <w:r>
        <w:t xml:space="preserve"> </w:t>
      </w:r>
      <w:r>
        <w:t xml:space="preserve">neutralized-hold control to prevent the atypical deamidation identified in Deviation DEV-01;</w:t>
      </w:r>
      <w:r>
        <w:t xml:space="preserve"> </w:t>
      </w:r>
      <w:r>
        <w:t xml:space="preserve">adoption of the corrected trailing-edge UV pool-collection criterion determined in Deviation</w:t>
      </w:r>
      <w:r>
        <w:t xml:space="preserve"> </w:t>
      </w:r>
      <w:r>
        <w:t xml:space="preserve">DEV-02; in-process monitoring of the load pH, conductivity and UV profile and of the pool</w:t>
      </w:r>
      <w:r>
        <w:t xml:space="preserve"> </w:t>
      </w:r>
      <w:r>
        <w:t xml:space="preserve">collection window; resin life-cycle control (</w:t>
      </w:r>
      <w:r>
        <w:rPr>
          <w:b/>
          <w:bCs/>
        </w:rPr>
        <w:t xml:space="preserve">SOP-2008</w:t>
      </w:r>
      <w:r>
        <w:t xml:space="preserve">); and release testing of the</w:t>
      </w:r>
      <w:r>
        <w:t xml:space="preserve"> </w:t>
      </w:r>
      <w:r>
        <w:t xml:space="preserve">flow-through-pool HCP, residual DNA, leached Protein A and — through the validated modular</w:t>
      </w:r>
      <w:r>
        <w:t xml:space="preserve"> </w:t>
      </w:r>
      <w:r>
        <w:t xml:space="preserve">claim — the viral clearance. The MVM log-reduction credited here, together with the orthogonal</w:t>
      </w:r>
      <w:r>
        <w:t xml:space="preserve"> </w:t>
      </w:r>
      <w:r>
        <w:t xml:space="preserve">clearance of low-pH inactivation and virus filtration, delivers the cumulative viral-safety</w:t>
      </w:r>
      <w:r>
        <w:t xml:space="preserve"> </w:t>
      </w:r>
      <w:r>
        <w:t xml:space="preserve">claim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.</w:t>
      </w:r>
    </w:p>
    <w:bookmarkEnd w:id="74"/>
    <w:bookmarkStart w:id="75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characterization quantifies the parameter–response relationships for the anion-exchange</w:t>
      </w:r>
      <w:r>
        <w:t xml:space="preserve"> </w:t>
      </w:r>
      <w:r>
        <w:t xml:space="preserve">polishing step, defines a robust multivariate operating region in the four well-controlled</w:t>
      </w:r>
      <w:r>
        <w:t xml:space="preserve"> </w:t>
      </w:r>
      <w:r>
        <w:t xml:space="preserve">CPPs, and classifies every parameter with a data-supported rationale. The flow-through-pool</w:t>
      </w:r>
      <w:r>
        <w:t xml:space="preserve"> </w:t>
      </w:r>
      <w:r>
        <w:t xml:space="preserve">HCP, XMuLV-clearance and MVM-clearance response-surface models are adequate and their behaviour</w:t>
      </w:r>
      <w:r>
        <w:t xml:space="preserve"> </w:t>
      </w:r>
      <w:r>
        <w:t xml:space="preserve">is consistent with established flow-through anion-exchange chromatography and with the A-Mab</w:t>
      </w:r>
      <w:r>
        <w:t xml:space="preserve"> </w:t>
      </w:r>
      <w:r>
        <w:t xml:space="preserve">prior knowledge, increasing confidence that the SDM and the viral-spiking model are</w:t>
      </w:r>
      <w:r>
        <w:t xml:space="preserve"> </w:t>
      </w:r>
      <w:r>
        <w:t xml:space="preserve">representative of commercial scale. The step yield is high and robust. Two deviations were</w:t>
      </w:r>
      <w:r>
        <w:t xml:space="preserve"> </w:t>
      </w:r>
      <w:r>
        <w:t xml:space="preserve">recorded and resolved without impact to the established operating region: the load-material</w:t>
      </w:r>
      <w:r>
        <w:t xml:space="preserve"> </w:t>
      </w:r>
      <w:r>
        <w:t xml:space="preserve">deamidation that invalidated the first execution (DEV-01), whose root cause is confirmed by the</w:t>
      </w:r>
      <w:r>
        <w:t xml:space="preserve"> </w:t>
      </w:r>
      <w:r>
        <w:t xml:space="preserve">statistical absence of the protein-load × conductivity interaction in the requalified-load DoE</w:t>
      </w:r>
      <w:r>
        <w:t xml:space="preserve"> </w:t>
      </w:r>
      <w:r>
        <w:t xml:space="preserve">and which is controlled going forward as a feed-input attribute; and the slightly permissive</w:t>
      </w:r>
      <w:r>
        <w:t xml:space="preserve"> </w:t>
      </w:r>
      <w:r>
        <w:t xml:space="preserve">pool-collection UV set-point (DEV-02), corrected by modelling and confirmed by verification runs</w:t>
      </w:r>
      <w:r>
        <w:t xml:space="preserve"> </w:t>
      </w:r>
      <w:r>
        <w:t xml:space="preserve">because insufficient requalified load remained for a third design. The principal limitations are</w:t>
      </w:r>
      <w:r>
        <w:t xml:space="preserve"> </w:t>
      </w:r>
      <w:r>
        <w:t xml:space="preserve">inherent to scale-down and small-scale spiking characterization: the absolute clearance may</w:t>
      </w:r>
      <w:r>
        <w:t xml:space="preserve"> </w:t>
      </w:r>
      <w:r>
        <w:t xml:space="preserve">shift modestly at scale and over the resin life-cycle, and the credited viral clearance depends</w:t>
      </w:r>
      <w:r>
        <w:t xml:space="preserve"> </w:t>
      </w:r>
      <w:r>
        <w:t xml:space="preserve">on the load conductivity and pH being maintained — which is why the operating region is defined</w:t>
      </w:r>
      <w:r>
        <w:t xml:space="preserve"> </w:t>
      </w:r>
      <w:r>
        <w:t xml:space="preserve">on the qualified models, confirmed at commercial scale during Stage 2, and carried forward with</w:t>
      </w:r>
      <w:r>
        <w:t xml:space="preserve"> </w:t>
      </w:r>
      <w:r>
        <w:t xml:space="preserve">in-process monitoring, resin life-cycle control and the load-material charge-variant</w:t>
      </w:r>
      <w:r>
        <w:t xml:space="preserve"> </w:t>
      </w:r>
      <w:r>
        <w:t xml:space="preserve">specification. The characterization did not identify any parameter requiring the most stringent</w:t>
      </w:r>
      <w:r>
        <w:t xml:space="preserve"> </w:t>
      </w:r>
      <w:r>
        <w:t xml:space="preserve">(CPP, as opposed to WC-CPP) control within the studied ranges.</w:t>
      </w:r>
    </w:p>
    <w:bookmarkEnd w:id="75"/>
    <w:bookmarkStart w:id="76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A-Mab anion-exchange polishing step is well understood and robust. The relationships</w:t>
      </w:r>
      <w:r>
        <w:t xml:space="preserve"> </w:t>
      </w:r>
      <w:r>
        <w:t xml:space="preserve">between the polishing parameters and the flow-through-pool HCP, the XMuLV and MVM log-reduction</w:t>
      </w:r>
      <w:r>
        <w:t xml:space="preserve"> </w:t>
      </w:r>
      <w:r>
        <w:t xml:space="preserve">and the step yield are quantified by DoE; a multivariate operating region in the four</w:t>
      </w:r>
      <w:r>
        <w:t xml:space="preserve"> </w:t>
      </w:r>
      <w:r>
        <w:t xml:space="preserve">well-controlled CPPs is established; every parameter range is justified by data; and the</w:t>
      </w:r>
      <w:r>
        <w:t xml:space="preserve"> </w:t>
      </w:r>
      <w:r>
        <w:t xml:space="preserve">drug-substance CQAs governed by the step meet acceptance at commercial scale, with the step</w:t>
      </w:r>
      <w:r>
        <w:t xml:space="preserve"> </w:t>
      </w:r>
      <w:r>
        <w:t xml:space="preserve">being the principal contributor to the cumulative MVM (parvovirus) clearance claim (Cpk =</w:t>
      </w:r>
      <w:r>
        <w:t xml:space="preserve"> </w:t>
      </w:r>
      <w:r>
        <w:t xml:space="preserve">1.51, the tightest capability of the drug substance) and a major</w:t>
      </w:r>
      <w:r>
        <w:t xml:space="preserve"> </w:t>
      </w:r>
      <w:r>
        <w:t xml:space="preserve">contributor to enveloped-virus and HCP clearance. Two deviations were recorded and resolved</w:t>
      </w:r>
      <w:r>
        <w:t xml:space="preserve"> </w:t>
      </w:r>
      <w:r>
        <w:t xml:space="preserve">without impact to the operating region or the parameter classifications. The operating region,</w:t>
      </w:r>
      <w:r>
        <w:t xml:space="preserve"> </w:t>
      </w:r>
      <w:r>
        <w:t xml:space="preserve">parameter classifications, proven acceptable ranges and the modular viral-clearance credit</w:t>
      </w:r>
      <w:r>
        <w:t xml:space="preserve"> </w:t>
      </w:r>
      <w:r>
        <w:t xml:space="preserve">provide the basis for the Stage 2 operating ranges and the drug-substance control strategy.</w:t>
      </w:r>
      <w:r>
        <w:t xml:space="preserve"> </w:t>
      </w:r>
      <w:r>
        <w:t xml:space="preserve">This report rolls up into the Process Characterization Master Report (</w:t>
      </w:r>
      <w:r>
        <w:rPr>
          <w:b/>
          <w:bCs/>
        </w:rPr>
        <w:t xml:space="preserve">PCMR-001</w:t>
      </w:r>
      <w:r>
        <w:t xml:space="preserve">) and</w:t>
      </w:r>
      <w:r>
        <w:t xml:space="preserve"> </w:t>
      </w:r>
      <w:r>
        <w:t xml:space="preserve">provides the parameter risk basis for the post-characterization process risk assessment.</w:t>
      </w:r>
    </w:p>
    <w:bookmarkEnd w:id="76"/>
    <w:bookmarkStart w:id="80" w:name="deviations-from-the-plan"/>
    <w:p>
      <w:pPr>
        <w:pStyle w:val="Heading1"/>
      </w:pPr>
      <w:r>
        <w:t xml:space="preserve">12. Deviations from the plan</w:t>
      </w:r>
    </w:p>
    <w:p>
      <w:pPr>
        <w:pStyle w:val="FirstParagraph"/>
      </w:pPr>
      <w:r>
        <w:t xml:space="preserve">Two deviations from</w:t>
      </w:r>
      <w:r>
        <w:t xml:space="preserve"> </w:t>
      </w:r>
      <w:r>
        <w:rPr>
          <w:b/>
          <w:bCs/>
        </w:rPr>
        <w:t xml:space="preserve">PCP-008</w:t>
      </w:r>
      <w:r>
        <w:t xml:space="preserve"> </w:t>
      </w:r>
      <w:r>
        <w:t xml:space="preserve">were recorded during execution. Both were investigated,</w:t>
      </w:r>
      <w:r>
        <w:t xml:space="preserve"> </w:t>
      </w:r>
      <w:r>
        <w:t xml:space="preserve">resolved and assessed for impact; neither altered the parameter classifications or the operating</w:t>
      </w:r>
      <w:r>
        <w:t xml:space="preserve"> </w:t>
      </w:r>
      <w:r>
        <w:t xml:space="preserve">region established by the DoE. They are summarized in</w:t>
      </w:r>
      <w:r>
        <w:t xml:space="preserve"> </w:t>
      </w:r>
      <w:hyperlink w:anchor="tbl-dev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and detailed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Deviations from PCP-008.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Non-representative (deamidated) load material in the first design execution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Designs invalidated and re-executed in full on requalified load; root cause confirmed by the data reported 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Trailing-edge UV pool-collection set-point slightly permissive in both executions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Corrected pool-stop determined by modelling and confirmed by verification runs; common-mode offset, no impact to effects or operating region</w:t>
                  </w:r>
                </w:p>
              </w:tc>
            </w:tr>
          </w:tbl>
          <w:bookmarkEnd w:id="77"/>
          <w:p/>
        </w:tc>
      </w:tr>
    </w:tbl>
    <w:bookmarkStart w:id="78" w:name="X0ff1082252fd06fa876bc361d599bd8950139e3"/>
    <w:p>
      <w:pPr>
        <w:pStyle w:val="Heading2"/>
      </w:pPr>
      <w:r>
        <w:t xml:space="preserve">12.1 DEV-01 — Non-representative load material (deamidation); designs re-executed</w:t>
      </w:r>
    </w:p>
    <w:p>
      <w:pPr>
        <w:pStyle w:val="FirstParagraph"/>
      </w:pPr>
      <w:r>
        <w:t xml:space="preserve">During the first execution of the screening and response-surface designs, the anion-exchange</w:t>
      </w:r>
      <w:r>
        <w:t xml:space="preserve"> </w:t>
      </w:r>
      <w:r>
        <w:t xml:space="preserve">load (the cation-exchange eluate) was subsequently found to carry an</w:t>
      </w:r>
      <w:r>
        <w:t xml:space="preserve"> </w:t>
      </w:r>
      <w:r>
        <w:rPr>
          <w:b/>
          <w:bCs/>
        </w:rPr>
        <w:t xml:space="preserve">elevated acidic</w:t>
      </w:r>
      <w:r>
        <w:rPr>
          <w:b/>
          <w:bCs/>
        </w:rPr>
        <w:t xml:space="preserve"> </w:t>
      </w:r>
      <w:r>
        <w:rPr>
          <w:b/>
          <w:bCs/>
        </w:rPr>
        <w:t xml:space="preserve">charge-variant (deamidation) burden</w:t>
      </w:r>
      <w:r>
        <w:t xml:space="preserve">, above the range of experience for representative load</w:t>
      </w:r>
      <w:r>
        <w:t xml:space="preserve"> </w:t>
      </w:r>
      <w:r>
        <w:t xml:space="preserve">(the acidic-variant design-space upper bound is 40%). The elevated</w:t>
      </w:r>
      <w:r>
        <w:t xml:space="preserve"> </w:t>
      </w:r>
      <w:r>
        <w:t xml:space="preserve">deamidation was traced to an out-of-trend, extended neutralized hold of the cation-exchange</w:t>
      </w:r>
      <w:r>
        <w:t xml:space="preserve"> </w:t>
      </w:r>
      <w:r>
        <w:t xml:space="preserve">eluate before anion-exchange loading, which promoted asparagine deamidation and increased the</w:t>
      </w:r>
      <w:r>
        <w:t xml:space="preserve"> </w:t>
      </w:r>
      <w:r>
        <w:t xml:space="preserve">proportion of the more-acidic charge variants presented to the step.</w:t>
      </w:r>
    </w:p>
    <w:p>
      <w:pPr>
        <w:pStyle w:val="BodyText"/>
      </w:pPr>
      <w:r>
        <w:t xml:space="preserve">In that first execution, at the</w:t>
      </w:r>
      <w:r>
        <w:t xml:space="preserve"> </w:t>
      </w:r>
      <w:r>
        <w:rPr>
          <w:b/>
          <w:bCs/>
        </w:rPr>
        <w:t xml:space="preserve">high-protein-load / high-equilibration-wash-1-conductivity</w:t>
      </w:r>
      <w:r>
        <w:rPr>
          <w:b/>
          <w:bCs/>
        </w:rPr>
        <w:t xml:space="preserve"> </w:t>
      </w:r>
      <w:r>
        <w:rPr>
          <w:b/>
          <w:bCs/>
        </w:rPr>
        <w:t xml:space="preserve">corner</w:t>
      </w:r>
      <w:r>
        <w:t xml:space="preserve"> </w:t>
      </w:r>
      <w:r>
        <w:t xml:space="preserve">of the design, the flow-through-pool HCP rose sharply above the in-process action</w:t>
      </w:r>
      <w:r>
        <w:t xml:space="preserve"> </w:t>
      </w:r>
      <w:r>
        <w:t xml:space="preserve">limit and the pool purity became unacceptable, through an anomalous</w:t>
      </w:r>
      <w:r>
        <w:t xml:space="preserve"> </w:t>
      </w:r>
      <w:r>
        <w:rPr>
          <w:b/>
          <w:bCs/>
        </w:rPr>
        <w:t xml:space="preserve">protein-load ×</w:t>
      </w:r>
      <w:r>
        <w:rPr>
          <w:b/>
          <w:bCs/>
        </w:rPr>
        <w:t xml:space="preserve"> </w:t>
      </w:r>
      <w:r>
        <w:rPr>
          <w:b/>
          <w:bCs/>
        </w:rPr>
        <w:t xml:space="preserve">equilibration/wash-1-conductivity interaction</w:t>
      </w:r>
      <w:r>
        <w:t xml:space="preserve">: the more-acidic deamidated species altered the</w:t>
      </w:r>
      <w:r>
        <w:t xml:space="preserve"> </w:t>
      </w:r>
      <w:r>
        <w:t xml:space="preserve">anion-exchange binding balance so that, when the column was heavily loaded and the wash</w:t>
      </w:r>
      <w:r>
        <w:t xml:space="preserve"> </w:t>
      </w:r>
      <w:r>
        <w:t xml:space="preserve">conductivity was high, impurity breakthrough into the flow-through pool increased. Because an</w:t>
      </w:r>
      <w:r>
        <w:t xml:space="preserve"> </w:t>
      </w:r>
      <w:r>
        <w:t xml:space="preserve">acceptable operating region could not be defined on a non-representative load, the affected</w:t>
      </w:r>
      <w:r>
        <w:t xml:space="preserve"> </w:t>
      </w:r>
      <w:r>
        <w:t xml:space="preserve">screening and response-surface designs were</w:t>
      </w:r>
      <w:r>
        <w:t xml:space="preserve"> </w:t>
      </w:r>
      <w:r>
        <w:rPr>
          <w:b/>
          <w:bCs/>
        </w:rPr>
        <w:t xml:space="preserve">invalidated for operating-region definition</w:t>
      </w:r>
      <w:r>
        <w:t xml:space="preserve">. A</w:t>
      </w:r>
      <w:r>
        <w:t xml:space="preserve"> </w:t>
      </w:r>
      <w:r>
        <w:t xml:space="preserve">representative, requalified load — with the acidic charge variants within the</w:t>
      </w:r>
      <w:r>
        <w:t xml:space="preserve"> </w:t>
      </w:r>
      <w:r>
        <w:t xml:space="preserve">18–40% range of experience and the</w:t>
      </w:r>
      <w:r>
        <w:t xml:space="preserve"> </w:t>
      </w:r>
      <w:r>
        <w:t xml:space="preserve">upstream neutralized-hold time restored to its normal range — was prepared, and the screening</w:t>
      </w:r>
      <w:r>
        <w:t xml:space="preserve"> </w:t>
      </w:r>
      <w:r>
        <w:t xml:space="preserve">and response-surface designs were</w:t>
      </w:r>
      <w:r>
        <w:t xml:space="preserve"> </w:t>
      </w:r>
      <w:r>
        <w:rPr>
          <w:b/>
          <w:bCs/>
        </w:rPr>
        <w:t xml:space="preserve">re-executed in full</w:t>
      </w:r>
      <w:r>
        <w:t xml:space="preserve">. The re-executed designs are the ones</w:t>
      </w:r>
      <w:r>
        <w:t xml:space="preserve"> </w:t>
      </w:r>
      <w:r>
        <w:t xml:space="preserve">analyzed and reported in this document.</w:t>
      </w:r>
    </w:p>
    <w:p>
      <w:pPr>
        <w:pStyle w:val="BodyText"/>
      </w:pPr>
      <w:r>
        <w:rPr>
          <w:b/>
          <w:bCs/>
        </w:rPr>
        <w:t xml:space="preserve">Root-cause confirmation from the reported data.</w:t>
      </w:r>
      <w:r>
        <w:t xml:space="preserve"> </w:t>
      </w:r>
      <w:r>
        <w:t xml:space="preserve">In the requalified-load DoE reported here,</w:t>
      </w:r>
      <w:r>
        <w:t xml:space="preserve"> </w:t>
      </w:r>
      <w:r>
        <w:t xml:space="preserve">the protein-load × equilibration/wash-1-conductivity interaction is</w:t>
      </w:r>
      <w:r>
        <w:t xml:space="preserve"> </w:t>
      </w:r>
      <w:r>
        <w:rPr>
          <w:b/>
          <w:bCs/>
        </w:rPr>
        <w:t xml:space="preserve">statistically absent</w:t>
      </w:r>
      <w:r>
        <w:t xml:space="preserve"> </w:t>
      </w:r>
      <w:r>
        <w:t xml:space="preserve">(effect 0.22 ng/mg, p = 0.86), and the protein load</w:t>
      </w:r>
      <w:r>
        <w:t xml:space="preserve"> </w:t>
      </w:r>
      <w:r>
        <w:t xml:space="preserve">has no significant main effect on the flow-through-pool HCP, whereas the load-pH ×</w:t>
      </w:r>
      <w:r>
        <w:t xml:space="preserve"> </w:t>
      </w:r>
      <w:r>
        <w:t xml:space="preserve">conductivity interaction that physically governs HCP clearance is strong and significant (effect</w:t>
      </w:r>
      <w:r>
        <w:t xml:space="preserve"> </w:t>
      </w:r>
      <w:r>
        <w:t xml:space="preserve">-6.6 ng/mg, p &lt; 0.001). The anomalous interaction seen in the first</w:t>
      </w:r>
      <w:r>
        <w:t xml:space="preserve"> </w:t>
      </w:r>
      <w:r>
        <w:t xml:space="preserve">execution was therefore an</w:t>
      </w:r>
      <w:r>
        <w:t xml:space="preserve"> </w:t>
      </w:r>
      <w:r>
        <w:rPr>
          <w:b/>
          <w:bCs/>
        </w:rPr>
        <w:t xml:space="preserve">artifact of the degraded (deamidated) load</w:t>
      </w:r>
      <w:r>
        <w:t xml:space="preserve">, not an intrinsic</w:t>
      </w:r>
      <w:r>
        <w:t xml:space="preserve"> </w:t>
      </w:r>
      <w:r>
        <w:t xml:space="preserve">property of the step. This finding identifies the</w:t>
      </w:r>
      <w:r>
        <w:t xml:space="preserve"> </w:t>
      </w:r>
      <w:r>
        <w:rPr>
          <w:b/>
          <w:bCs/>
        </w:rPr>
        <w:t xml:space="preserve">charge-variant quality of the load</w:t>
      </w:r>
      <w:r>
        <w:rPr>
          <w:b/>
          <w:bCs/>
        </w:rPr>
        <w:t xml:space="preserve"> </w:t>
      </w:r>
      <w:r>
        <w:rPr>
          <w:b/>
          <w:bCs/>
        </w:rPr>
        <w:t xml:space="preserve">material</w:t>
      </w:r>
      <w:r>
        <w:t xml:space="preserve"> </w:t>
      </w:r>
      <w:r>
        <w:t xml:space="preserve">as the controlled input that must be assured — by a feed-input acidic-variant</w:t>
      </w:r>
      <w:r>
        <w:t xml:space="preserve"> </w:t>
      </w:r>
      <w:r>
        <w:t xml:space="preserve">specification and by upstream neutralized-hold control — rather than by an anion-exchange</w:t>
      </w:r>
      <w:r>
        <w:t xml:space="preserve"> </w:t>
      </w:r>
      <w:r>
        <w:t xml:space="preserve">set-point, and it is carried into the control strategy (§11). No product was released against</w:t>
      </w:r>
      <w:r>
        <w:t xml:space="preserve"> </w:t>
      </w:r>
      <w:r>
        <w:t xml:space="preserve">the invalidated execution; the characterization conclusions rest solely on the requalified-load</w:t>
      </w:r>
      <w:r>
        <w:t xml:space="preserve"> </w:t>
      </w:r>
      <w:r>
        <w:t xml:space="preserve">designs.</w:t>
      </w:r>
    </w:p>
    <w:bookmarkEnd w:id="78"/>
    <w:bookmarkStart w:id="79" w:name="X495bca38780f17a4952bfba2b57fdcbdfa5c022"/>
    <w:p>
      <w:pPr>
        <w:pStyle w:val="Heading2"/>
      </w:pPr>
      <w:r>
        <w:t xml:space="preserve">12.2 DEV-02 — Pool-collection UV set-point corrected by modelling and verification runs</w:t>
      </w:r>
    </w:p>
    <w:p>
      <w:pPr>
        <w:pStyle w:val="FirstParagraph"/>
      </w:pPr>
      <w:r>
        <w:t xml:space="preserve">Both executions collected the flow-through/wash pool to a fixed trailing-edge UV (280 nm)</w:t>
      </w:r>
      <w:r>
        <w:t xml:space="preserve"> </w:t>
      </w:r>
      <w:r>
        <w:t xml:space="preserve">pool-stop that was subsequently found to be set</w:t>
      </w:r>
      <w:r>
        <w:t xml:space="preserve"> </w:t>
      </w:r>
      <w:r>
        <w:rPr>
          <w:b/>
          <w:bCs/>
        </w:rPr>
        <w:t xml:space="preserve">slightly high (permissive)</w:t>
      </w:r>
      <w:r>
        <w:t xml:space="preserve"> </w:t>
      </w:r>
      <w:r>
        <w:t xml:space="preserve">relative to the</w:t>
      </w:r>
      <w:r>
        <w:t xml:space="preserve"> </w:t>
      </w:r>
      <w:r>
        <w:t xml:space="preserve">optimum — the pool was collected marginally further down the descending wash than ideal, so a</w:t>
      </w:r>
      <w:r>
        <w:t xml:space="preserve"> </w:t>
      </w:r>
      <w:r>
        <w:t xml:space="preserve">small, approximately constant amount of late-breakthrough HCP was carried into every pool.</w:t>
      </w:r>
    </w:p>
    <w:p>
      <w:pPr>
        <w:pStyle w:val="BodyText"/>
      </w:pPr>
      <w:r>
        <w:rPr>
          <w:b/>
          <w:bCs/>
        </w:rPr>
        <w:t xml:space="preserve">Impact assessment — the offset is common-mode.</w:t>
      </w:r>
      <w:r>
        <w:t xml:space="preserve"> </w:t>
      </w:r>
      <w:r>
        <w:t xml:space="preserve">Because the identical UV set-point was</w:t>
      </w:r>
      <w:r>
        <w:t xml:space="preserve"> </w:t>
      </w:r>
      <w:r>
        <w:t xml:space="preserve">applied to every run, its effect is a</w:t>
      </w:r>
      <w:r>
        <w:t xml:space="preserve"> </w:t>
      </w:r>
      <w:r>
        <w:rPr>
          <w:b/>
          <w:bCs/>
        </w:rPr>
        <w:t xml:space="preserve">common-mode offset</w:t>
      </w:r>
      <w:r>
        <w:t xml:space="preserve">: it shifts the absolute</w:t>
      </w:r>
      <w:r>
        <w:t xml:space="preserve"> </w:t>
      </w:r>
      <w:r>
        <w:t xml:space="preserve">flow-through-pool HCP level (and, negligibly, the yield) by an approximately constant amount but</w:t>
      </w:r>
      <w:r>
        <w:t xml:space="preserve"> </w:t>
      </w:r>
      <w:r>
        <w:t xml:space="preserve">does not change the factor effects, the two-factor interactions or the geometry of the operating</w:t>
      </w:r>
      <w:r>
        <w:t xml:space="preserve"> </w:t>
      </w:r>
      <w:r>
        <w:t xml:space="preserve">region — adding a constant to every response changes only the model intercept, not the</w:t>
      </w:r>
      <w:r>
        <w:t xml:space="preserve"> </w:t>
      </w:r>
      <w:r>
        <w:t xml:space="preserve">coefficients. The parameter classifications and the design-space geometry reported here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unaffected</w:t>
      </w:r>
      <w:r>
        <w:t xml:space="preserve"> </w:t>
      </w:r>
      <w:r>
        <w:t xml:space="preserve">by the pool-stop setting; only the absolute in-process pool-HCP</w:t>
      </w:r>
      <w:r>
        <w:t xml:space="preserve"> </w:t>
      </w:r>
      <w:r>
        <w:t xml:space="preserve">set-point and the manufacturing pool-collection method setting required correction. Even under</w:t>
      </w:r>
      <w:r>
        <w:t xml:space="preserve"> </w:t>
      </w:r>
      <w:r>
        <w:t xml:space="preserve">the original (slightly permissive) setting, the flow-through-pool HCP at the set-point</w:t>
      </w:r>
      <w:r>
        <w:t xml:space="preserve"> </w:t>
      </w:r>
      <w:r>
        <w:t xml:space="preserve">(≈ 14 ng/mg) sits far below the ≤ 100 ng/mg</w:t>
      </w:r>
      <w:r>
        <w:t xml:space="preserve"> </w:t>
      </w:r>
      <w:r>
        <w:t xml:space="preserve">drug-substance limit, so the step met its purpose throughout; the correction improves the margin</w:t>
      </w:r>
      <w:r>
        <w:t xml:space="preserve"> </w:t>
      </w:r>
      <w:r>
        <w:t xml:space="preserve">and fixes the validated manufacturing pool-stop.</w:t>
      </w:r>
    </w:p>
    <w:p>
      <w:pPr>
        <w:pStyle w:val="BodyText"/>
      </w:pPr>
      <w:r>
        <w:rPr>
          <w:b/>
          <w:bCs/>
        </w:rPr>
        <w:t xml:space="preserve">Determination by modelling.</w:t>
      </w:r>
      <w:r>
        <w:t xml:space="preserve"> </w:t>
      </w:r>
      <w:r>
        <w:t xml:space="preserve">The requalified load was</w:t>
      </w:r>
      <w:r>
        <w:t xml:space="preserve"> </w:t>
      </w:r>
      <w:r>
        <w:rPr>
          <w:b/>
          <w:bCs/>
        </w:rPr>
        <w:t xml:space="preserve">exhausted</w:t>
      </w:r>
      <w:r>
        <w:t xml:space="preserve"> </w:t>
      </w:r>
      <w:r>
        <w:t xml:space="preserve">by the re-executed</w:t>
      </w:r>
      <w:r>
        <w:t xml:space="preserve"> </w:t>
      </w:r>
      <w:r>
        <w:t xml:space="preserve">screening and response-surface designs, and insufficient material remained for a third full</w:t>
      </w:r>
      <w:r>
        <w:t xml:space="preserve"> </w:t>
      </w:r>
      <w:r>
        <w:t xml:space="preserve">design. The corrected pool-stop was therefore determined by</w:t>
      </w:r>
      <w:r>
        <w:t xml:space="preserve"> </w:t>
      </w:r>
      <w:r>
        <w:rPr>
          <w:b/>
          <w:bCs/>
        </w:rPr>
        <w:t xml:space="preserve">modelling rather than by</w:t>
      </w:r>
      <w:r>
        <w:rPr>
          <w:b/>
          <w:bCs/>
        </w:rPr>
        <w:t xml:space="preserve"> </w:t>
      </w:r>
      <w:r>
        <w:rPr>
          <w:b/>
          <w:bCs/>
        </w:rPr>
        <w:t xml:space="preserve">re-running the DoE</w:t>
      </w:r>
      <w:r>
        <w:t xml:space="preserve">. The chromatographic UV traces and the fraction-resolved pool analytics</w:t>
      </w:r>
      <w:r>
        <w:t xml:space="preserve"> </w:t>
      </w:r>
      <w:r>
        <w:t xml:space="preserve">recorded during the re-executed response-surface runs were used to reconstruct the cumulative</w:t>
      </w:r>
      <w:r>
        <w:t xml:space="preserve"> </w:t>
      </w:r>
      <w:r>
        <w:t xml:space="preserve">flow-through-pool HCP and product mass as functions of the pool-stop UV threshold — a</w:t>
      </w:r>
      <w:r>
        <w:t xml:space="preserve"> </w:t>
      </w:r>
      <w:r>
        <w:t xml:space="preserve">trailing-edge model in which lowering the threshold excludes the last, most-impure wash</w:t>
      </w:r>
      <w:r>
        <w:t xml:space="preserve"> </w:t>
      </w:r>
      <w:r>
        <w:t xml:space="preserve">fractions, reducing the pool HCP at a small yield cost. The model, fitted on the set-point and</w:t>
      </w:r>
      <w:r>
        <w:t xml:space="preserve"> </w:t>
      </w:r>
      <w:r>
        <w:t xml:space="preserve">centre-point runs, predicts the pool-stop UV threshold that</w:t>
      </w:r>
      <w:r>
        <w:t xml:space="preserve"> </w:t>
      </w:r>
      <w:r>
        <w:rPr>
          <w:b/>
          <w:bCs/>
        </w:rPr>
        <w:t xml:space="preserve">minimizes the flow-through-pool</w:t>
      </w:r>
      <w:r>
        <w:rPr>
          <w:b/>
          <w:bCs/>
        </w:rPr>
        <w:t xml:space="preserve"> </w:t>
      </w:r>
      <w:r>
        <w:rPr>
          <w:b/>
          <w:bCs/>
        </w:rPr>
        <w:t xml:space="preserve">HCP subject to maintaining step yield ≥ the target</w:t>
      </w:r>
      <w:r>
        <w:t xml:space="preserve">; the predicted optimum is a</w:t>
      </w:r>
      <w:r>
        <w:t xml:space="preserve"> </w:t>
      </w:r>
      <w:r>
        <w:rPr>
          <w:b/>
          <w:bCs/>
        </w:rPr>
        <w:t xml:space="preserve">tighter</w:t>
      </w:r>
      <w:r>
        <w:rPr>
          <w:b/>
          <w:bCs/>
        </w:rPr>
        <w:t xml:space="preserve"> </w:t>
      </w:r>
      <w:r>
        <w:rPr>
          <w:b/>
          <w:bCs/>
        </w:rPr>
        <w:t xml:space="preserve">(lower) UV threshold</w:t>
      </w:r>
      <w:r>
        <w:t xml:space="preserve"> </w:t>
      </w:r>
      <w:r>
        <w:t xml:space="preserve">than the one used in the DoE, reducing the modelled set-point pool HCP</w:t>
      </w:r>
      <w:r>
        <w:t xml:space="preserve"> </w:t>
      </w:r>
      <w:r>
        <w:t xml:space="preserve">below the level collected under the original setting at a negligible predicted yield cost</w:t>
      </w:r>
      <w:r>
        <w:t xml:space="preserve"> </w:t>
      </w:r>
      <w:r>
        <w:t xml:space="preserve">(well within the flow-through step’s recovery margin, nominal yield 97.3%).</w:t>
      </w:r>
    </w:p>
    <w:p>
      <w:pPr>
        <w:pStyle w:val="BodyText"/>
      </w:pPr>
      <w:r>
        <w:rPr>
          <w:b/>
          <w:bCs/>
        </w:rPr>
        <w:t xml:space="preserve">Verification runs — settings and number.</w:t>
      </w:r>
      <w:r>
        <w:t xml:space="preserve"> </w:t>
      </w:r>
      <w:r>
        <w:t xml:space="preserve">The modelled optimum was confirmed with a small,</w:t>
      </w:r>
      <w:r>
        <w:t xml:space="preserve"> </w:t>
      </w:r>
      <w:r>
        <w:t xml:space="preserve">material-frugal set of verification runs, designed as follows.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Objective.</w:t>
      </w:r>
      <w:r>
        <w:t xml:space="preserve"> </w:t>
      </w:r>
      <w:r>
        <w:t xml:space="preserve">Confirm that at the corrected pool-stop (i) the set-point flow-through-pool HCP</w:t>
      </w:r>
      <w:r>
        <w:t xml:space="preserve"> </w:t>
      </w:r>
      <w:r>
        <w:t xml:space="preserve">and step yield match the model prediction within the pre-defined tolerance, and (ii) the</w:t>
      </w:r>
      <w:r>
        <w:t xml:space="preserve"> </w:t>
      </w:r>
      <w:r>
        <w:t xml:space="preserve">corrected threshold holds at the worst-case corner of the operating region for pool HCP.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Settings.</w:t>
      </w:r>
      <w:r>
        <w:t xml:space="preserve"> </w:t>
      </w:r>
      <w:r>
        <w:t xml:space="preserve">The corrected pool-stop UV threshold, with the four chromatographic factors at</w:t>
      </w:r>
      <w:r>
        <w:t xml:space="preserve"> </w:t>
      </w:r>
      <w:r>
        <w:t xml:space="preserve">their set-points for the confirmation runs, and at the</w:t>
      </w:r>
      <w:r>
        <w:t xml:space="preserve"> </w:t>
      </w:r>
      <w:r>
        <w:rPr>
          <w:b/>
          <w:bCs/>
        </w:rPr>
        <w:t xml:space="preserve">high-load / high-equilibration-wash-1-conductivity</w:t>
      </w:r>
      <w:r>
        <w:rPr>
          <w:b/>
          <w:bCs/>
        </w:rPr>
        <w:t xml:space="preserve"> </w:t>
      </w:r>
      <w:r>
        <w:rPr>
          <w:b/>
          <w:bCs/>
        </w:rPr>
        <w:t xml:space="preserve">corner</w:t>
      </w:r>
      <w:r>
        <w:t xml:space="preserve"> </w:t>
      </w:r>
      <w:r>
        <w:t xml:space="preserve">(the response-surface-identified worst case for flow-through-pool HCP) for the</w:t>
      </w:r>
      <w:r>
        <w:t xml:space="preserve"> </w:t>
      </w:r>
      <w:r>
        <w:t xml:space="preserve">robustness runs; all other conditions per</w:t>
      </w:r>
      <w:r>
        <w:t xml:space="preserve"> </w:t>
      </w:r>
      <w:r>
        <w:rPr>
          <w:b/>
          <w:bCs/>
        </w:rPr>
        <w:t xml:space="preserve">SOP-2011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Number — three confirmation runs plus two robustness runs (five in total).</w:t>
      </w:r>
      <w:r>
        <w:t xml:space="preserve"> </w:t>
      </w:r>
      <w:r>
        <w:t xml:space="preserve">The number is</w:t>
      </w:r>
      <w:r>
        <w:t xml:space="preserve"> </w:t>
      </w:r>
      <w:r>
        <w:t xml:space="preserve">justified statistically rather than by convention: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Three confirmation runs</w:t>
      </w:r>
      <w:r>
        <w:t xml:space="preserve"> </w:t>
      </w:r>
      <w:r>
        <w:t xml:space="preserve">at the corrected pool-stop and nominal set-points place a</w:t>
      </w:r>
      <w:r>
        <w:t xml:space="preserve"> </w:t>
      </w:r>
      <w:r>
        <w:t xml:space="preserve">two-sided 95% confidence interval on the mean set-point flow-through-pool HCP whose</w:t>
      </w:r>
      <w:r>
        <w:t xml:space="preserve"> </w:t>
      </w:r>
      <w:r>
        <w:t xml:space="preserve">half-width, using the response-surface centre-point pure-error standard deviation</w:t>
      </w:r>
      <w:r>
        <w:t xml:space="preserve"> </w:t>
      </w:r>
      <w:r>
        <w:t xml:space="preserve">(s = 2.5 ng/mg, %CV = 18%),</w:t>
      </w:r>
      <w:r>
        <w:t xml:space="preserve"> </w:t>
      </w:r>
      <w:r>
        <w:t xml:space="preserve">is 6.2 ng/mg — only 7% of the</w:t>
      </w:r>
      <w:r>
        <w:t xml:space="preserve"> </w:t>
      </w:r>
      <w:r>
        <w:t xml:space="preserve">large margin between the set-point pool HCP (≈ 14 ng/mg) and</w:t>
      </w:r>
      <w:r>
        <w:t xml:space="preserve"> </w:t>
      </w:r>
      <w:r>
        <w:t xml:space="preserve">the ≤ 100 ng/mg drug-substance limit — which is sufficient to compare the</w:t>
      </w:r>
      <w:r>
        <w:t xml:space="preserve"> </w:t>
      </w:r>
      <w:r>
        <w:t xml:space="preserve">observed mean against the model’s 95% prediction interval and to demonstrate control with</w:t>
      </w:r>
      <w:r>
        <w:t xml:space="preserve"> </w:t>
      </w:r>
      <w:r>
        <w:t xml:space="preserve">margin.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Two robustness runs</w:t>
      </w:r>
      <w:r>
        <w:t xml:space="preserve"> </w:t>
      </w:r>
      <w:r>
        <w:t xml:space="preserve">at the worst-case corner confirm that the corrected threshold still</w:t>
      </w:r>
      <w:r>
        <w:t xml:space="preserve"> </w:t>
      </w:r>
      <w:r>
        <w:t xml:space="preserve">yields acceptable flow-through-pool HCP where the response surface predicts the pool HCP is</w:t>
      </w:r>
      <w:r>
        <w:t xml:space="preserve"> </w:t>
      </w:r>
      <w:r>
        <w:t xml:space="preserve">highest, testing the correction at the edge rather than only at the centre of the region.</w:t>
      </w:r>
    </w:p>
    <w:p>
      <w:pPr>
        <w:pStyle w:val="Compact"/>
        <w:numPr>
          <w:ilvl w:val="1"/>
          <w:numId w:val="1004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full third response-surface design</w:t>
      </w:r>
      <w:r>
        <w:t xml:space="preserve"> </w:t>
      </w:r>
      <w:r>
        <w:t xml:space="preserve">(28 runs)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justified: the</w:t>
      </w:r>
      <w:r>
        <w:t xml:space="preserve"> </w:t>
      </w:r>
      <w:r>
        <w:t xml:space="preserve">pool-stop correction is a common-mode offset on an already-established design-space model,</w:t>
      </w:r>
      <w:r>
        <w:t xml:space="preserve"> </w:t>
      </w:r>
      <w:r>
        <w:t xml:space="preserve">not a new factor, so re-running the design would consume the exhausted requalified load</w:t>
      </w:r>
      <w:r>
        <w:t xml:space="preserve"> </w:t>
      </w:r>
      <w:r>
        <w:t xml:space="preserve">without adding operating-region information. Five verification runs are the minimum</w:t>
      </w:r>
      <w:r>
        <w:t xml:space="preserve"> </w:t>
      </w:r>
      <w:r>
        <w:t xml:space="preserve">sufficient to verify the modelled set-point and its worst-case robustness.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Outcome.</w:t>
      </w:r>
      <w:r>
        <w:t xml:space="preserve"> </w:t>
      </w:r>
      <w:r>
        <w:t xml:space="preserve">The verification runs met the pre-defined acceptance criteria: the observed</w:t>
      </w:r>
      <w:r>
        <w:t xml:space="preserve"> </w:t>
      </w:r>
      <w:r>
        <w:t xml:space="preserve">set-point flow-through-pool HCP fell within the model’s prediction interval and well below the</w:t>
      </w:r>
      <w:r>
        <w:t xml:space="preserve"> </w:t>
      </w:r>
      <w:r>
        <w:t xml:space="preserve">drug-substance limit, the corrected pool-stop reduced the flow-through-pool HCP relative to the</w:t>
      </w:r>
      <w:r>
        <w:t xml:space="preserve"> </w:t>
      </w:r>
      <w:r>
        <w:t xml:space="preserve">original setting with no material yield loss, and the worst-case runs confirmed acceptable</w:t>
      </w:r>
      <w:r>
        <w:t xml:space="preserve"> </w:t>
      </w:r>
      <w:r>
        <w:t xml:space="preserve">flow-through-pool HCP at the edge of the operating region. The corrected trailing-edge UV</w:t>
      </w:r>
      <w:r>
        <w:t xml:space="preserve"> </w:t>
      </w:r>
      <w:r>
        <w:t xml:space="preserve">pool-collection criterion is adopted as the manufacturing pool-stop and carried into the</w:t>
      </w:r>
      <w:r>
        <w:t xml:space="preserve"> </w:t>
      </w:r>
      <w:r>
        <w:t xml:space="preserve">control strategy (§11); it does not alter the parameter classifications or the operating region</w:t>
      </w:r>
      <w:r>
        <w:t xml:space="preserve"> </w:t>
      </w:r>
      <w:r>
        <w:t xml:space="preserve">established by the DoE.</w:t>
      </w:r>
    </w:p>
    <w:bookmarkEnd w:id="79"/>
    <w:bookmarkEnd w:id="80"/>
    <w:bookmarkStart w:id="90" w:name="references"/>
    <w:p>
      <w:pPr>
        <w:pStyle w:val="Heading1"/>
      </w:pPr>
      <w:r>
        <w:t xml:space="preserve">References</w:t>
      </w:r>
    </w:p>
    <w:bookmarkStart w:id="89" w:name="refs"/>
    <w:bookmarkStart w:id="81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81"/>
    <w:bookmarkStart w:id="82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82"/>
    <w:bookmarkStart w:id="83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83"/>
    <w:bookmarkStart w:id="84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84"/>
    <w:bookmarkStart w:id="85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85"/>
    <w:bookmarkStart w:id="86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86"/>
    <w:bookmarkStart w:id="87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87"/>
    <w:bookmarkStart w:id="8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8"/>
    <w:bookmarkEnd w:id="89"/>
    <w:p>
      <w:r>
        <w:br w:type="page"/>
      </w:r>
    </w:p>
    <w:bookmarkEnd w:id="90"/>
    <w:bookmarkStart w:id="93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two-level full-factorial design (factors A–D per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; coded levels</w:t>
      </w:r>
      <w:r>
        <w:t xml:space="preserve"> </w:t>
      </w:r>
      <w:r>
        <w:t xml:space="preserve">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Appendix A1 —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Appendix A2 — screening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84"/>
              <w:gridCol w:w="1955"/>
              <w:gridCol w:w="2053"/>
              <w:gridCol w:w="1857"/>
              <w:gridCol w:w="13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0.9743</w:t>
                  </w:r>
                </w:p>
              </w:tc>
            </w:tr>
          </w:tbl>
          <w:bookmarkEnd w:id="92"/>
          <w:p/>
        </w:tc>
      </w:tr>
    </w:tbl>
    <w:p>
      <w:r>
        <w:br w:type="page"/>
      </w:r>
    </w:p>
    <w:bookmarkEnd w:id="93"/>
    <w:bookmarkStart w:id="96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central-composite design (factors A–D; coded levels −1/0/+1) and</w:t>
      </w:r>
      <w:r>
        <w:t xml:space="preserve"> </w:t>
      </w:r>
      <w:r>
        <w:t xml:space="preserve">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Appendix B1 —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Appendix B2 — response-surface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84"/>
              <w:gridCol w:w="1955"/>
              <w:gridCol w:w="2053"/>
              <w:gridCol w:w="1857"/>
              <w:gridCol w:w="13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0.9527</w:t>
                  </w:r>
                </w:p>
              </w:tc>
            </w:tr>
          </w:tbl>
          <w:bookmarkEnd w:id="95"/>
          <w:p/>
        </w:tc>
      </w:tr>
    </w:tbl>
    <w:p>
      <w:r>
        <w:br w:type="page"/>
      </w:r>
    </w:p>
    <w:bookmarkEnd w:id="96"/>
    <w:bookmarkStart w:id="99" w:name="Xa2fac5041b4173f7385fa99ae36b1e5b6f06fdd"/>
    <w:p>
      <w:pPr>
        <w:pStyle w:val="Heading1"/>
      </w:pPr>
      <w:r>
        <w:t xml:space="preserve">Appendix C — Full effect and coefficient tables</w:t>
      </w:r>
    </w:p>
    <w:bookmarkStart w:id="97" w:name="screening-effects-all-responses"/>
    <w:p>
      <w:pPr>
        <w:pStyle w:val="Heading2"/>
      </w:pPr>
      <w:r>
        <w:t xml:space="preserve">12.3 Screening effects — all responses</w:t>
      </w:r>
    </w:p>
    <w:p>
      <w:pPr>
        <w:pStyle w:val="FirstParagraph"/>
      </w:pPr>
      <w:r>
        <w:rPr>
          <w:b/>
          <w:bCs/>
        </w:rPr>
        <w:t xml:space="preserve">Pool HCP (ng/mg)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5"/>
        <w:gridCol w:w="1182"/>
        <w:gridCol w:w="1063"/>
        <w:gridCol w:w="1536"/>
        <w:gridCol w:w="945"/>
        <w:gridCol w:w="1300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XMuLV LRF (log₁₀)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8"/>
        <w:gridCol w:w="1147"/>
        <w:gridCol w:w="1147"/>
        <w:gridCol w:w="1492"/>
        <w:gridCol w:w="1033"/>
        <w:gridCol w:w="1262"/>
        <w:gridCol w:w="9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MVM LRF (log₁₀)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514"/>
        <w:gridCol w:w="931"/>
        <w:gridCol w:w="128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yield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1244"/>
        <w:gridCol w:w="1244"/>
        <w:gridCol w:w="1470"/>
        <w:gridCol w:w="905"/>
        <w:gridCol w:w="1244"/>
        <w:gridCol w:w="9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</w:p>
        </w:tc>
      </w:tr>
    </w:tbl>
    <w:bookmarkEnd w:id="97"/>
    <w:bookmarkStart w:id="98" w:name="Xea63506250faa9ff64abcd59f4cd5238994b7c6"/>
    <w:p>
      <w:pPr>
        <w:pStyle w:val="Heading2"/>
      </w:pPr>
      <w:r>
        <w:t xml:space="preserve">12.4 Response-surface coefficients — XMuLV log-reduction and step yield</w:t>
      </w:r>
    </w:p>
    <w:p>
      <w:pPr>
        <w:pStyle w:val="FirstParagraph"/>
      </w:pPr>
      <w:r>
        <w:rPr>
          <w:b/>
          <w:bCs/>
        </w:rPr>
        <w:t xml:space="preserve">XMuLV LRF (log₁₀)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yield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98"/>
    <w:bookmarkEnd w:id="99"/>
    <w:bookmarkStart w:id="101" w:name="appendix-d-analytical-methods-summary"/>
    <w:p>
      <w:pPr>
        <w:pStyle w:val="Heading1"/>
      </w:pPr>
      <w:r>
        <w:t xml:space="preserve">Appendix D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attributes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HCP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ng/dose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ppm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clearance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Infectivity titre (TCID50)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Enveloped model virus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log₁₀ LRV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MVM clearance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Parvovirus model virus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log₁₀ LRV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icIEF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Acidic / main / basic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acidic</w:t>
                  </w:r>
                </w:p>
              </w:tc>
            </w:tr>
          </w:tbl>
          <w:bookmarkEnd w:id="100"/>
          <w:p/>
        </w:tc>
      </w:tr>
    </w:tbl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2026-07-25T11:02:55Z</dcterms:created>
  <dcterms:modified xsi:type="dcterms:W3CDTF">2026-07-25T11:02:55Z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Anion Exchange Chromatography (Step 8) — PCR-008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