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Plan</w:t>
      </w:r>
    </w:p>
    <w:p>
      <w:pPr>
        <w:pStyle w:val="Subtitle"/>
      </w:pPr>
      <w:r>
        <w:t xml:space="preserve">A-Mab Drug Substance — PCMP-001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A280, ultraviolet absorbance at 280 nm; AEX, anion exchange</w:t>
      </w:r>
      <w:r>
        <w:t xml:space="preserve"> </w:t>
      </w:r>
      <w:r>
        <w:t xml:space="preserve">chromatography; AMV, analytical method validation; BLA, Biologics License Application;</w:t>
      </w:r>
      <w:r>
        <w:t xml:space="preserve"> </w:t>
      </w:r>
      <w:r>
        <w:t xml:space="preserve">CEX, cation exchange chromatography; CPP, critical process parameter; Cpk, process</w:t>
      </w:r>
      <w:r>
        <w:t xml:space="preserve"> </w:t>
      </w:r>
      <w:r>
        <w:t xml:space="preserve">capability index; CQA, critical quality attribute; DNA, deoxyribonucleic acid; DoE,</w:t>
      </w:r>
      <w:r>
        <w:t xml:space="preserve"> </w:t>
      </w:r>
      <w:r>
        <w:t xml:space="preserve">design of experiments; DS, drug substance; ELISA, enzyme-linked immunosorbent assay;</w:t>
      </w:r>
      <w:r>
        <w:t xml:space="preserve"> </w:t>
      </w:r>
      <w:r>
        <w:t xml:space="preserve">GPP, general process parameter; HCP, host cell protein; HILIC, hydrophilic interaction</w:t>
      </w:r>
      <w:r>
        <w:t xml:space="preserve"> </w:t>
      </w:r>
      <w:r>
        <w:t xml:space="preserve">liquid chromatography; HMW, high molecular weight; icIEF, imaged capillary isoelectric</w:t>
      </w:r>
      <w:r>
        <w:t xml:space="preserve"> </w:t>
      </w:r>
      <w:r>
        <w:t xml:space="preserve">focusing; IgG1, immunoglobulin G subclass 1; KPP, key process parameter; MSAT,</w:t>
      </w:r>
      <w:r>
        <w:t xml:space="preserve"> </w:t>
      </w:r>
      <w:r>
        <w:t xml:space="preserve">Manufacturing Science and Technology; MVM, minute virus of mice; NOR, normal operating</w:t>
      </w:r>
      <w:r>
        <w:t xml:space="preserve"> </w:t>
      </w:r>
      <w:r>
        <w:t xml:space="preserve">range; NTU, nephelometric turbidity unit; PAR, proven acceptable range; PPQ, process</w:t>
      </w:r>
      <w:r>
        <w:t xml:space="preserve"> </w:t>
      </w:r>
      <w:r>
        <w:t xml:space="preserve">performance qualification; qPCR, quantitative polymerase chain reaction; RPN, risk</w:t>
      </w:r>
      <w:r>
        <w:t xml:space="preserve"> </w:t>
      </w:r>
      <w:r>
        <w:t xml:space="preserve">priority number; RSM, response surface methodology; SEC-HPLC, size exclusion high</w:t>
      </w:r>
      <w:r>
        <w:t xml:space="preserve"> </w:t>
      </w:r>
      <w:r>
        <w:t xml:space="preserve">performance liquid chromatography; SOP, standard operating procedure; TCID50, fifty per</w:t>
      </w:r>
      <w:r>
        <w:t xml:space="preserve"> </w:t>
      </w:r>
      <w:r>
        <w:t xml:space="preserve">cent tissue culture infectious dose; UF/DF, ultrafiltration and diafiltration; UPLC,</w:t>
      </w:r>
      <w:r>
        <w:t xml:space="preserve"> </w:t>
      </w:r>
      <w:r>
        <w:t xml:space="preserve">ultra performance liquid chromatography; UV, ultraviolet;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8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master plan defines the scope, the strategy and the common methods of the Stage 1</w:t>
      </w:r>
      <w:r>
        <w:t xml:space="preserve"> </w:t>
      </w:r>
      <w:r>
        <w:t xml:space="preserve">process characterization campaign for A-Mab drug substance. The campaign covers the</w:t>
      </w:r>
      <w:r>
        <w:t xml:space="preserve"> </w:t>
      </w:r>
      <w:r>
        <w:t xml:space="preserve">8 unit operations of the drug substance process, from the production</w:t>
      </w:r>
      <w:r>
        <w:t xml:space="preserve"> </w:t>
      </w:r>
      <w:r>
        <w:t xml:space="preserve">bioreactor through to ultrafiltration and diafiltration. Each unit operation is planned in</w:t>
      </w:r>
      <w:r>
        <w:t xml:space="preserve"> </w:t>
      </w:r>
      <w:r>
        <w:t xml:space="preserve">its own protocol and reported in its own report (PCP-003 to PCP-010 and</w:t>
      </w:r>
      <w:r>
        <w:t xml:space="preserve"> </w:t>
      </w:r>
      <w:r>
        <w:t xml:space="preserve">PCR-003 to PCR-010), and this plan states what those documents have in common, so that</w:t>
      </w:r>
      <w:r>
        <w:t xml:space="preserve"> </w:t>
      </w:r>
      <w:r>
        <w:t xml:space="preserve">each protocol needs to describe only what is specific to its own step.</w:t>
      </w:r>
    </w:p>
    <w:p>
      <w:pPr>
        <w:pStyle w:val="BodyText"/>
      </w:pPr>
      <w:r>
        <w:t xml:space="preserve">Four elements are common to every study in the campaign and are fixed here. The first is</w:t>
      </w:r>
      <w:r>
        <w:t xml:space="preserve"> </w:t>
      </w:r>
      <w:r>
        <w:t xml:space="preserve">the register of quality attributes the process must control, with the acceptance criteria</w:t>
      </w:r>
      <w:r>
        <w:t xml:space="preserve"> </w:t>
      </w:r>
      <w:r>
        <w:t xml:space="preserve">against which every result is judged (</w:t>
      </w:r>
      <w:hyperlink w:anchor="sec-cqa">
        <w:r>
          <w:rPr>
            <w:rStyle w:val="Hyperlink"/>
          </w:rPr>
          <w:t xml:space="preserve">Section 3</w:t>
        </w:r>
      </w:hyperlink>
      <w:r>
        <w:t xml:space="preserve">), and the second is the risk basis that</w:t>
      </w:r>
      <w:r>
        <w:t xml:space="preserve"> </w:t>
      </w:r>
      <w:r>
        <w:t xml:space="preserve">decides both how each parameter is studied and how wide a range it is studied over</w:t>
      </w:r>
      <w:r>
        <w:t xml:space="preserve"> </w:t>
      </w:r>
      <w:r>
        <w:t xml:space="preserve">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The third is the approach to scale-down models and their qualification</w:t>
      </w:r>
      <w:r>
        <w:t xml:space="preserve"> </w:t>
      </w:r>
      <w:r>
        <w:t xml:space="preserve">(</w:t>
      </w:r>
      <w:hyperlink w:anchor="sec-sdm">
        <w:r>
          <w:rPr>
            <w:rStyle w:val="Hyperlink"/>
          </w:rPr>
          <w:t xml:space="preserve">Section 5</w:t>
        </w:r>
      </w:hyperlink>
      <w:r>
        <w:t xml:space="preserve">). The fourth is the statistical method and the acceptance criteria framework that</w:t>
      </w:r>
      <w:r>
        <w:t xml:space="preserve"> </w:t>
      </w:r>
      <w:r>
        <w:t xml:space="preserve">each protocol instantiates (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The process train and the principal role of each step are shown in</w:t>
      </w:r>
      <w:r>
        <w:t xml:space="preserve"> </w:t>
      </w:r>
      <w:hyperlink w:anchor="fig-flow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listed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The sequence is the platform purification train used for the sponsor’s earlier</w:t>
      </w:r>
      <w:r>
        <w:t xml:space="preserve"> </w:t>
      </w:r>
      <w:r>
        <w:t xml:space="preserve">humanized IgG1 products (Protein A capture, low pH hold, two polishing steps, virus</w:t>
      </w:r>
      <w:r>
        <w:t xml:space="preserve"> </w:t>
      </w:r>
      <w:r>
        <w:t xml:space="preserve">filtration and formulation), so the mechanism of each step is established before the</w:t>
      </w:r>
      <w:r>
        <w:t xml:space="preserve"> </w:t>
      </w:r>
      <w:r>
        <w:t xml:space="preserve">campaign begins and the studies confirm and bound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PCMP-001_master_plan_files/figure-docx/fig-flow-outpu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drug-substance process train, with the principal quality impact of each unit operation.</w:t>
            </w:r>
          </w:p>
          <w:bookmarkEnd w:id="1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This plan sits under the process transfer plan (PTP-001), which defines the transfer of the</w:t>
      </w:r>
      <w:r>
        <w:t xml:space="preserve"> </w:t>
      </w:r>
      <w:r>
        <w:t xml:space="preserve">drug substance process from the development site to the commercial facility. The</w:t>
      </w:r>
      <w:r>
        <w:t xml:space="preserve"> </w:t>
      </w:r>
      <w:r>
        <w:t xml:space="preserve">pre-characterization risk assessment (RA-001) sets the scope of the studies. The individual</w:t>
      </w:r>
      <w:r>
        <w:t xml:space="preserve"> </w:t>
      </w:r>
      <w:r>
        <w:t xml:space="preserve">protocols plan them, the individual reports document them, and the master report (PCMR-001)</w:t>
      </w:r>
      <w:r>
        <w:t xml:space="preserve"> </w:t>
      </w:r>
      <w:r>
        <w:t xml:space="preserve">consolidates the campaign into one control strategy. The documents of the package are</w:t>
      </w:r>
      <w:r>
        <w:t xml:space="preserve"> </w:t>
      </w:r>
      <w:r>
        <w:t xml:space="preserve">listed in</w:t>
      </w:r>
      <w:r>
        <w:t xml:space="preserve"> </w:t>
      </w:r>
      <w:hyperlink w:anchor="tbl-doc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do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drug-substance document package, excluding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Several activities lie outside this campaign. Stage 2 process performance qualification is</w:t>
      </w:r>
      <w:r>
        <w:t xml:space="preserve"> </w:t>
      </w:r>
      <w:r>
        <w:t xml:space="preserve">planned separately, and the 5 qualification batches are not covered</w:t>
      </w:r>
      <w:r>
        <w:t xml:space="preserve"> </w:t>
      </w:r>
      <w:r>
        <w:t xml:space="preserve">here. The seed expansion steps upstream of the production bioreactor (vial thaw through the</w:t>
      </w:r>
      <w:r>
        <w:t xml:space="preserve"> </w:t>
      </w:r>
      <w:r>
        <w:t xml:space="preserve">N-1 seed bioreactor) are not characterized, because prior knowledge of the platform shows</w:t>
      </w:r>
      <w:r>
        <w:t xml:space="preserve"> </w:t>
      </w:r>
      <w:r>
        <w:t xml:space="preserve">that they do not affect product quality</w:t>
      </w:r>
      <w:r>
        <w:t xml:space="preserve"> </w:t>
      </w:r>
      <w:r>
        <w:t xml:space="preserve">(CMC Biotech Working Group 2009)</w:t>
      </w:r>
      <w:r>
        <w:t xml:space="preserve">. Formulation and drug product</w:t>
      </w:r>
      <w:r>
        <w:t xml:space="preserve"> </w:t>
      </w:r>
      <w:r>
        <w:t xml:space="preserve">operations are reported with the drug product, so ultrafiltration and diafiltration is</w:t>
      </w:r>
      <w:r>
        <w:t xml:space="preserve"> </w:t>
      </w:r>
      <w:r>
        <w:t xml:space="preserve">included only for its effect on the delivered concentration and on mass balance. Validation</w:t>
      </w:r>
      <w:r>
        <w:t xml:space="preserve"> </w:t>
      </w:r>
      <w:r>
        <w:t xml:space="preserve">of the analytical methods is performed under the method validation documents listed in</w:t>
      </w:r>
      <w:r>
        <w:t xml:space="preserve"> 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, and it is not repeated in the characterization reports, which cite the validation</w:t>
      </w:r>
      <w:r>
        <w:t xml:space="preserve"> </w:t>
      </w:r>
      <w:r>
        <w:t xml:space="preserve">and report only results obtained with the validated method.</w:t>
      </w:r>
    </w:p>
    <w:p>
      <w:pPr>
        <w:pStyle w:val="BodyText"/>
      </w:pPr>
      <w:r>
        <w:t xml:space="preserve">The campaign does not on its own establish the viral safety of the process. Three steps</w:t>
      </w:r>
      <w:r>
        <w:t xml:space="preserve"> </w:t>
      </w:r>
      <w:r>
        <w:t xml:space="preserve">(low pH inactivation, anion exchange and virus filtration) contribute clearance by</w:t>
      </w:r>
      <w:r>
        <w:t xml:space="preserve"> </w:t>
      </w:r>
      <w:r>
        <w:t xml:space="preserve">independent mechanisms, their contributions are quantified in the reports for those steps,</w:t>
      </w:r>
      <w:r>
        <w:t xml:space="preserve"> </w:t>
      </w:r>
      <w:r>
        <w:t xml:space="preserve">and the cumulative claim is made once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8"/>
    <w:bookmarkStart w:id="19" w:name="sec-strategy"/>
    <w:p>
      <w:pPr>
        <w:pStyle w:val="Heading1"/>
      </w:pPr>
      <w:r>
        <w:t xml:space="preserve">2. Stage 1 characterization strategy</w:t>
      </w:r>
    </w:p>
    <w:p>
      <w:pPr>
        <w:pStyle w:val="FirstParagraph"/>
      </w:pPr>
      <w:r>
        <w:t xml:space="preserve">Process characterization is the set of studies that link the operating parameters of each</w:t>
      </w:r>
      <w:r>
        <w:t xml:space="preserve"> </w:t>
      </w:r>
      <w:r>
        <w:t xml:space="preserve">unit operation to the quality of the drug substance. It is the process design stage of the</w:t>
      </w:r>
      <w:r>
        <w:t xml:space="preserve"> </w:t>
      </w:r>
      <w:r>
        <w:t xml:space="preserve">validation lifecycle</w:t>
      </w:r>
      <w:r>
        <w:t xml:space="preserve"> </w:t>
      </w:r>
      <w:r>
        <w:t xml:space="preserve">(U.S. Food and Drug Administration 2011)</w:t>
      </w:r>
      <w:r>
        <w:t xml:space="preserve">, and it produces the process understanding on which the</w:t>
      </w:r>
      <w:r>
        <w:t xml:space="preserve"> </w:t>
      </w:r>
      <w:r>
        <w:t xml:space="preserve">commercial control strategy rests</w:t>
      </w:r>
      <w:r>
        <w:t xml:space="preserve"> </w:t>
      </w:r>
      <w:r>
        <w:t xml:space="preserve">(International Council for Harmonisation 2009, 2012)</w:t>
      </w:r>
      <w:r>
        <w:t xml:space="preserve">. The campaign is run in the enhanced</w:t>
      </w:r>
      <w:r>
        <w:t xml:space="preserve"> </w:t>
      </w:r>
      <w:r>
        <w:t xml:space="preserve">approach, in which prior knowledge and a documented risk assessment decide what is studied,</w:t>
      </w:r>
      <w:r>
        <w:t xml:space="preserve"> </w:t>
      </w:r>
      <w:r>
        <w:t xml:space="preserve">designed experiments quantify the effects of the parameters selected, and the outcome is a</w:t>
      </w:r>
      <w:r>
        <w:t xml:space="preserve"> </w:t>
      </w:r>
      <w:r>
        <w:t xml:space="preserve">control strategy justified by data rather than by convention.</w:t>
      </w:r>
    </w:p>
    <w:p>
      <w:pPr>
        <w:pStyle w:val="BodyText"/>
      </w:pPr>
      <w:r>
        <w:t xml:space="preserve">A-Mab is produced on an established humanized IgG1 platform. The purification sequence, the</w:t>
      </w:r>
      <w:r>
        <w:t xml:space="preserve"> </w:t>
      </w:r>
      <w:r>
        <w:t xml:space="preserve">resin chemistries and the operating principles are those used for three earlier licensed</w:t>
      </w:r>
      <w:r>
        <w:t xml:space="preserve"> </w:t>
      </w:r>
      <w:r>
        <w:t xml:space="preserve">products of the same class, and the manufacturing experience with that platform shows that</w:t>
      </w:r>
      <w:r>
        <w:t xml:space="preserve"> </w:t>
      </w:r>
      <w:r>
        <w:t xml:space="preserve">the sequence is robust and delivers drug substance of consistent quality</w:t>
      </w:r>
      <w:r>
        <w:t xml:space="preserve"> </w:t>
      </w:r>
      <w:r>
        <w:t xml:space="preserve">(CMC Biotech Working Group 2009)</w:t>
      </w:r>
      <w:r>
        <w:t xml:space="preserve">. Prior</w:t>
      </w:r>
      <w:r>
        <w:t xml:space="preserve"> </w:t>
      </w:r>
      <w:r>
        <w:t xml:space="preserve">knowledge is used in two ways here: it justifies the ranges taken into study, and it</w:t>
      </w:r>
      <w:r>
        <w:t xml:space="preserve"> </w:t>
      </w:r>
      <w:r>
        <w:t xml:space="preserve">justifies studying univariately those parameters whose behaviour the platform already</w:t>
      </w:r>
      <w:r>
        <w:t xml:space="preserve"> </w:t>
      </w:r>
      <w:r>
        <w:t xml:space="preserve">covers 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It does not replace step-specific data for any parameter linked to a</w:t>
      </w:r>
      <w:r>
        <w:t xml:space="preserve"> </w:t>
      </w:r>
      <w:r>
        <w:t xml:space="preserve">critical quality attribute.</w:t>
      </w:r>
    </w:p>
    <w:p>
      <w:pPr>
        <w:pStyle w:val="BodyText"/>
      </w:pPr>
      <w:r>
        <w:t xml:space="preserve">Three regions are distinguished throughout the campaign, and the terms are used the same way</w:t>
      </w:r>
      <w:r>
        <w:t xml:space="preserve"> </w:t>
      </w:r>
      <w:r>
        <w:t xml:space="preserve">in every document. The knowledge space is the region over which the process has been</w:t>
      </w:r>
      <w:r>
        <w:t xml:space="preserve"> </w:t>
      </w:r>
      <w:r>
        <w:t xml:space="preserve">characterized, and the design space is the subset of that region in which every critical</w:t>
      </w:r>
      <w:r>
        <w:t xml:space="preserve"> </w:t>
      </w:r>
      <w:r>
        <w:t xml:space="preserve">quality attribute is known to be acceptable at the same time</w:t>
      </w:r>
      <w:r>
        <w:t xml:space="preserve"> </w:t>
      </w:r>
      <w:r>
        <w:t xml:space="preserve">(International Council for Harmonisation 2009)</w:t>
      </w:r>
      <w:r>
        <w:t xml:space="preserve">. The control space is</w:t>
      </w:r>
      <w:r>
        <w:t xml:space="preserve"> </w:t>
      </w:r>
      <w:r>
        <w:t xml:space="preserve">the narrower region in which the process is routinely operated, and it is defined by the</w:t>
      </w:r>
      <w:r>
        <w:t xml:space="preserve"> </w:t>
      </w:r>
      <w:r>
        <w:t xml:space="preserve">normal operating ranges (NORs) given in each plan.</w:t>
      </w:r>
    </w:p>
    <w:p>
      <w:pPr>
        <w:pStyle w:val="BodyText"/>
      </w:pPr>
      <w:r>
        <w:t xml:space="preserve">The campaign covers 37 process parameters across the 8</w:t>
      </w:r>
      <w:r>
        <w:t xml:space="preserve"> </w:t>
      </w:r>
      <w:r>
        <w:t xml:space="preserve">unit operations. 22 of them are studied in multivariate designed</w:t>
      </w:r>
      <w:r>
        <w:t xml:space="preserve"> </w:t>
      </w:r>
      <w:r>
        <w:t xml:space="preserve">experiments and 15 are studied univariately 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The designed</w:t>
      </w:r>
      <w:r>
        <w:t xml:space="preserve"> </w:t>
      </w:r>
      <w:r>
        <w:t xml:space="preserve">experiments comprise 236 scale-down runs in total, of which</w:t>
      </w:r>
      <w:r>
        <w:t xml:space="preserve"> </w:t>
      </w:r>
      <w:r>
        <w:t xml:space="preserve">94 are screening runs and 142 belong to the response</w:t>
      </w:r>
      <w:r>
        <w:t xml:space="preserve"> </w:t>
      </w:r>
      <w:r>
        <w:t xml:space="preserve">surface designs.</w:t>
      </w:r>
    </w:p>
    <w:p>
      <w:pPr>
        <w:pStyle w:val="BodyText"/>
      </w:pPr>
      <w:r>
        <w:t xml:space="preserve">Every study in the campaign has the same objectives. It qualifies the scale-down model that</w:t>
      </w:r>
      <w:r>
        <w:t xml:space="preserve"> </w:t>
      </w:r>
      <w:r>
        <w:t xml:space="preserve">generates its data, quantifies the effect of the step’s parameters on the attributes the</w:t>
      </w:r>
      <w:r>
        <w:t xml:space="preserve"> </w:t>
      </w:r>
      <w:r>
        <w:t xml:space="preserve">step governs, and defines the ranges over which the step can be operated (and, where the</w:t>
      </w:r>
      <w:r>
        <w:t xml:space="preserve"> </w:t>
      </w:r>
      <w:r>
        <w:t xml:space="preserve">data support one, a design space). It also provides the evidence for the classification of</w:t>
      </w:r>
      <w:r>
        <w:t xml:space="preserve"> </w:t>
      </w:r>
      <w:r>
        <w:t xml:space="preserve">each parameter and the capability estimate that the Stage 2 programme depends on.</w:t>
      </w:r>
    </w:p>
    <w:p>
      <w:pPr>
        <w:pStyle w:val="BodyText"/>
      </w:pPr>
      <w:r>
        <w:t xml:space="preserve">Characterization does not confirm the process at commercial scale. Every study is executed</w:t>
      </w:r>
      <w:r>
        <w:t xml:space="preserve"> </w:t>
      </w:r>
      <w:r>
        <w:t xml:space="preserve">at scale-down, its conclusions hold at manufacturing scale only so far as the scale-down</w:t>
      </w:r>
      <w:r>
        <w:t xml:space="preserve"> </w:t>
      </w:r>
      <w:r>
        <w:t xml:space="preserve">model is qualified for the attributes concerned (</w:t>
      </w:r>
      <w:hyperlink w:anchor="sec-sdm">
        <w:r>
          <w:rPr>
            <w:rStyle w:val="Hyperlink"/>
          </w:rPr>
          <w:t xml:space="preserve">Section 5</w:t>
        </w:r>
      </w:hyperlink>
      <w:r>
        <w:t xml:space="preserve">), and the edges of an operating</w:t>
      </w:r>
      <w:r>
        <w:t xml:space="preserve"> </w:t>
      </w:r>
      <w:r>
        <w:t xml:space="preserve">region are never run at commercial scale, so a design space is a modelled region and not a</w:t>
      </w:r>
      <w:r>
        <w:t xml:space="preserve"> </w:t>
      </w:r>
      <w:r>
        <w:t xml:space="preserve">demonstrated one</w:t>
      </w:r>
      <w:r>
        <w:t xml:space="preserve"> </w:t>
      </w:r>
      <w:r>
        <w:t xml:space="preserve">(CMC Biotech Working Group 2009)</w:t>
      </w:r>
      <w:r>
        <w:t xml:space="preserve">. Confirmation at scale is the purpose of the Stage 2</w:t>
      </w:r>
      <w:r>
        <w:t xml:space="preserve"> </w:t>
      </w:r>
      <w:r>
        <w:t xml:space="preserve">qualification batches.</w:t>
      </w:r>
    </w:p>
    <w:p>
      <w:pPr>
        <w:pStyle w:val="BodyText"/>
      </w:pPr>
      <w:r>
        <w:t xml:space="preserve">The campaign ends with a control strategy. Each parameter is classified from its study</w:t>
      </w:r>
      <w:r>
        <w:t xml:space="preserve"> </w:t>
      </w:r>
      <w:r>
        <w:t xml:space="preserve">result and from the control capability available at the receiving site, each attribute is</w:t>
      </w:r>
      <w:r>
        <w:t xml:space="preserve"> </w:t>
      </w:r>
      <w:r>
        <w:t xml:space="preserve">assigned to the steps that govern it, and the ranges that follow are the ones proposed for</w:t>
      </w:r>
      <w:r>
        <w:t xml:space="preserve"> </w:t>
      </w:r>
      <w:r>
        <w:t xml:space="preserve">commercial operation</w:t>
      </w:r>
      <w:r>
        <w:t xml:space="preserve"> </w:t>
      </w:r>
      <w:r>
        <w:t xml:space="preserve">(International Council for Harmonisation 2008, 2012)</w:t>
      </w:r>
      <w:r>
        <w:t xml:space="preserve">. That consolidation is done once, in PCMR-001,</w:t>
      </w:r>
      <w:r>
        <w:t xml:space="preserve"> </w:t>
      </w:r>
      <w:r>
        <w:t xml:space="preserve">because several attributes are governed by more than one step and no single report can</w:t>
      </w:r>
      <w:r>
        <w:t xml:space="preserve"> </w:t>
      </w:r>
      <w:r>
        <w:t xml:space="preserve">settle them.</w:t>
      </w:r>
    </w:p>
    <w:bookmarkEnd w:id="19"/>
    <w:bookmarkStart w:id="21" w:name="sec-cqa"/>
    <w:p>
      <w:pPr>
        <w:pStyle w:val="Heading1"/>
      </w:pPr>
      <w:r>
        <w:t xml:space="preserve">3. Critical quality attribute framework</w:t>
      </w:r>
    </w:p>
    <w:p>
      <w:pPr>
        <w:pStyle w:val="FirstParagraph"/>
      </w:pPr>
      <w:r>
        <w:t xml:space="preserve">The quality attributes in scope for the campaign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</w:t>
      </w:r>
      <w:r>
        <w:t xml:space="preserve"> </w:t>
      </w:r>
      <w:r>
        <w:t xml:space="preserve">acceptance criteria and their assigned criticality. 10 attributes are in</w:t>
      </w:r>
      <w:r>
        <w:t xml:space="preserve"> </w:t>
      </w:r>
      <w:r>
        <w:t xml:space="preserve">scope across 5 categories, and 6 of them are of high</w:t>
      </w:r>
      <w:r>
        <w:t xml:space="preserve"> </w:t>
      </w:r>
      <w:r>
        <w:t xml:space="preserve">or very high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in scope for the characterization campaign, with the step at which each is set, its acceptance criterion, its criticality level and its Tool #1 criticality score.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4"/>
              <w:gridCol w:w="1741"/>
              <w:gridCol w:w="1011"/>
              <w:gridCol w:w="1572"/>
              <w:gridCol w:w="842"/>
              <w:gridCol w:w="61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Each attribute</w:t>
      </w:r>
      <w:r>
        <w:t xml:space="preserve"> </w:t>
      </w:r>
      <w:r>
        <w:t xml:space="preserve">carries a Tool #1 score, which is the product of its impact on safety or efficacy and the</w:t>
      </w:r>
      <w:r>
        <w:t xml:space="preserve"> </w:t>
      </w:r>
      <w:r>
        <w:t xml:space="preserve">uncertainty in that impact, together with a severity score from the second assessment tool</w:t>
      </w:r>
      <w:r>
        <w:t xml:space="preserve"> </w:t>
      </w:r>
      <w:r>
        <w:t xml:space="preserve">(CMC Biotech Working Group 2009)</w:t>
      </w:r>
      <w:r>
        <w:t xml:space="preserve">. Attributes of high and very high criticality are treated as critical for the</w:t>
      </w:r>
      <w:r>
        <w:t xml:space="preserve"> </w:t>
      </w:r>
      <w:r>
        <w:t xml:space="preserve">purposes of this campaign. The assessment itself is not repeated here: it is taken from the</w:t>
      </w:r>
      <w:r>
        <w:t xml:space="preserve"> </w:t>
      </w:r>
      <w:r>
        <w:t xml:space="preserve">risk assessment (RA-001), and it fixes both which attributes each study is required to</w:t>
      </w:r>
      <w:r>
        <w:t xml:space="preserve"> </w:t>
      </w:r>
      <w:r>
        <w:t xml:space="preserve">measure and which of them can constrain an operating range.</w:t>
      </w:r>
    </w:p>
    <w:p>
      <w:pPr>
        <w:pStyle w:val="BodyText"/>
      </w:pPr>
      <w:r>
        <w:t xml:space="preserve">Three entries in the register drive the design of the campaign. High Mannose carries the</w:t>
      </w:r>
      <w:r>
        <w:t xml:space="preserve"> </w:t>
      </w:r>
      <w:r>
        <w:t xml:space="preserve">highest criticality score of the register, is formed in the production bioreactor and has</w:t>
      </w:r>
      <w:r>
        <w:t xml:space="preserve"> </w:t>
      </w:r>
      <w:r>
        <w:t xml:space="preserve">an acceptance range of 3–10 % of glycans. The two viral clearance</w:t>
      </w:r>
      <w:r>
        <w:t xml:space="preserve"> </w:t>
      </w:r>
      <w:r>
        <w:t xml:space="preserve">attributes are cumulative over the whole train and are expressed as lower limits, at</w:t>
      </w:r>
      <w:r>
        <w:t xml:space="preserve"> </w:t>
      </w:r>
      <w:r>
        <w:t xml:space="preserve">16.7–30 log10 (cumulative) for the enveloped model virus (XMuLV) and</w:t>
      </w:r>
      <w:r>
        <w:t xml:space="preserve"> </w:t>
      </w:r>
      <w:r>
        <w:t xml:space="preserve">8.6–20 log10 (cumulative) for the parvovirus (MVM). Aggregates are formed upstream,</w:t>
      </w:r>
      <w:r>
        <w:t xml:space="preserve"> </w:t>
      </w:r>
      <w:r>
        <w:t xml:space="preserve">raised by the low pH hold (Step 6) and reduced principally at cation</w:t>
      </w:r>
      <w:r>
        <w:t xml:space="preserve"> </w:t>
      </w:r>
      <w:r>
        <w:t xml:space="preserve">exchange (Step 7), so their limit is met by a sequence of steps and not</w:t>
      </w:r>
      <w:r>
        <w:t xml:space="preserve"> </w:t>
      </w:r>
      <w:r>
        <w:t xml:space="preserve">by any one of them.</w:t>
      </w:r>
    </w:p>
    <w:p>
      <w:pPr>
        <w:pStyle w:val="BodyText"/>
      </w:pPr>
      <w:r>
        <w:t xml:space="preserve">7 of the 10 attributes are set in the production</w:t>
      </w:r>
      <w:r>
        <w:t xml:space="preserve"> </w:t>
      </w:r>
      <w:r>
        <w:t xml:space="preserve">bioreactor, which is why that step carries the largest study of the campaign. Leached</w:t>
      </w:r>
      <w:r>
        <w:t xml:space="preserve"> </w:t>
      </w:r>
      <w:r>
        <w:t xml:space="preserve">Protein A arises at capture and is cleared by the polishing steps that follow it. Host cell</w:t>
      </w:r>
      <w:r>
        <w:t xml:space="preserve"> </w:t>
      </w:r>
      <w:r>
        <w:t xml:space="preserve">protein and residual DNA are generated upstream and are cleared by three chromatography</w:t>
      </w:r>
      <w:r>
        <w:t xml:space="preserve"> </w:t>
      </w:r>
      <w:r>
        <w:t xml:space="preserve">steps in sequence. No single plan can therefore fix the acceptable range of a parameter</w:t>
      </w:r>
      <w:r>
        <w:t xml:space="preserve"> </w:t>
      </w:r>
      <w:r>
        <w:t xml:space="preserve">that acts on host cell protein, because the acceptable output of one step depends on the</w:t>
      </w:r>
      <w:r>
        <w:t xml:space="preserve"> </w:t>
      </w:r>
      <w:r>
        <w:t xml:space="preserve">operating conditions of the steps after it</w:t>
      </w:r>
      <w:r>
        <w:t xml:space="preserve"> </w:t>
      </w:r>
      <w:r>
        <w:t xml:space="preserve">(CMC Biotech Working Group 2009)</w:t>
      </w:r>
      <w:r>
        <w:t xml:space="preserve">, so each report gives its own step’s</w:t>
      </w:r>
      <w:r>
        <w:t xml:space="preserve"> </w:t>
      </w:r>
      <w:r>
        <w:t xml:space="preserve">contribution and names the reports that cover the others.</w:t>
      </w:r>
    </w:p>
    <w:p>
      <w:pPr>
        <w:pStyle w:val="BodyText"/>
      </w:pPr>
      <w:r>
        <w:t xml:space="preserve">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limits and they are inputs to every</w:t>
      </w:r>
      <w:r>
        <w:t xml:space="preserve"> </w:t>
      </w:r>
      <w:r>
        <w:t xml:space="preserve">study in the campaign. Several are set from clinical and manufacturing experience with the</w:t>
      </w:r>
      <w:r>
        <w:t xml:space="preserve"> </w:t>
      </w:r>
      <w:r>
        <w:t xml:space="preserve">earlier products of the platform (the acceptance range for aggregates is one of them), and</w:t>
      </w:r>
      <w:r>
        <w:t xml:space="preserve"> </w:t>
      </w:r>
      <w:r>
        <w:t xml:space="preserve">none of them is derived from the characterization data. Where a study needs an in-process</w:t>
      </w:r>
      <w:r>
        <w:t xml:space="preserve"> </w:t>
      </w:r>
      <w:r>
        <w:t xml:space="preserve">limit for an intermediate pool, that limit is stated in the plan for the step and is</w:t>
      </w:r>
      <w:r>
        <w:t xml:space="preserve"> </w:t>
      </w:r>
      <w:r>
        <w:t xml:space="preserve">justified against the drug substance limit it protects.</w:t>
      </w:r>
    </w:p>
    <w:p>
      <w:pPr>
        <w:pStyle w:val="BodyText"/>
      </w:pPr>
      <w:r>
        <w:t xml:space="preserve">The register covers attributes of the drug substance. Attributes controlled by the drug</w:t>
      </w:r>
      <w:r>
        <w:t xml:space="preserve"> </w:t>
      </w:r>
      <w:r>
        <w:t xml:space="preserve">product process are outside the campaign, and the studies that support them are reported</w:t>
      </w:r>
      <w:r>
        <w:t xml:space="preserve"> </w:t>
      </w:r>
      <w:r>
        <w:t xml:space="preserve">with the drug product.</w:t>
      </w:r>
    </w:p>
    <w:bookmarkEnd w:id="21"/>
    <w:bookmarkStart w:id="23" w:name="sec-risk"/>
    <w:p>
      <w:pPr>
        <w:pStyle w:val="Heading1"/>
      </w:pPr>
      <w:r>
        <w:t xml:space="preserve">4. Risk-based prioritization</w:t>
      </w:r>
    </w:p>
    <w:p>
      <w:pPr>
        <w:pStyle w:val="FirstParagraph"/>
      </w:pPr>
      <w:r>
        <w:t xml:space="preserve">The risk assessment decides how each parameter is studied, and its outcome across the train</w:t>
      </w:r>
      <w:r>
        <w:t xml:space="preserve"> </w:t>
      </w:r>
      <w:r>
        <w:t xml:space="preserve">is summarized in</w:t>
      </w:r>
      <w:r>
        <w:t xml:space="preserve"> </w:t>
      </w:r>
      <w:hyperlink w:anchor="tbl-alloc">
        <w:r>
          <w:rPr>
            <w:rStyle w:val="Hyperlink"/>
          </w:rPr>
          <w:t xml:space="preserve">Table 5</w:t>
        </w:r>
      </w:hyperlink>
      <w:r>
        <w:t xml:space="preserve">. RA-001 assesses every parameter of every step against the</w:t>
      </w:r>
      <w:r>
        <w:t xml:space="preserve"> </w:t>
      </w:r>
      <w:r>
        <w:t xml:space="preserve">quality attributes it can affect. Of the 37 parameters in the campaign,</w:t>
      </w:r>
      <w:r>
        <w:t xml:space="preserve"> </w:t>
      </w:r>
      <w:r>
        <w:t xml:space="preserve">21 are linked to at least one quality attribute,</w:t>
      </w:r>
      <w:r>
        <w:t xml:space="preserve"> </w:t>
      </w:r>
      <w:r>
        <w:t xml:space="preserve">22 are carried into a multivariate designed experiment and</w:t>
      </w:r>
      <w:r>
        <w:t xml:space="preserve"> </w:t>
      </w:r>
      <w:r>
        <w:t xml:space="preserve">15 are studied univariately.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all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Study scope handed to the characterization plans by RA-001, by unit operation. A parameter is counted as linked to a CQA where the risk assessment identifies at least one quality attribute at risk from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19"/>
              <w:gridCol w:w="2207"/>
              <w:gridCol w:w="908"/>
              <w:gridCol w:w="1233"/>
              <w:gridCol w:w="1038"/>
              <w:gridCol w:w="908"/>
              <w:gridCol w:w="110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Linked to a CQA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ranking method is described in RA-001 and is not repeated here. Each parameter carries a</w:t>
      </w:r>
      <w:r>
        <w:t xml:space="preserve"> </w:t>
      </w:r>
      <w:r>
        <w:t xml:space="preserve">severity score taken from the most severe attribute it can affect, an occurrence score for</w:t>
      </w:r>
      <w:r>
        <w:t xml:space="preserve"> </w:t>
      </w:r>
      <w:r>
        <w:t xml:space="preserve">an excursion outside its normal operating range, and a detection score for the chance that</w:t>
      </w:r>
      <w:r>
        <w:t xml:space="preserve"> </w:t>
      </w:r>
      <w:r>
        <w:t xml:space="preserve">such an excursion escapes routine monitoring, and the product of the three is the initial</w:t>
      </w:r>
      <w:r>
        <w:t xml:space="preserve"> </w:t>
      </w:r>
      <w:r>
        <w:t xml:space="preserve">risk priority number (RPN) assigned before any characterization data exist. Detection is</w:t>
      </w:r>
      <w:r>
        <w:t xml:space="preserve"> </w:t>
      </w:r>
      <w:r>
        <w:t xml:space="preserve">scored worst for the parameters that act on viral clearance, because clearance cannot be</w:t>
      </w:r>
      <w:r>
        <w:t xml:space="preserve"> </w:t>
      </w:r>
      <w:r>
        <w:t xml:space="preserve">verified on the batch itself and is assured instead by control of the process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Where no data or rationale is available for an assessment, the parameter is ranked at the</w:t>
      </w:r>
      <w:r>
        <w:t xml:space="preserve"> </w:t>
      </w:r>
      <w:r>
        <w:t xml:space="preserve">highest level, so an absence of knowledge sends a parameter into study instead of excusing</w:t>
      </w:r>
      <w:r>
        <w:t xml:space="preserve"> </w:t>
      </w:r>
      <w:r>
        <w:t xml:space="preserve">it from one.</w:t>
      </w:r>
    </w:p>
    <w:p>
      <w:pPr>
        <w:pStyle w:val="BodyText"/>
      </w:pPr>
      <w:r>
        <w:t xml:space="preserve">The study type follows from that ranking. A parameter carried into the designed experiment</w:t>
      </w:r>
      <w:r>
        <w:t xml:space="preserve"> </w:t>
      </w:r>
      <w:r>
        <w:t xml:space="preserve">of its step is studied multivariately, because its effect is expected to depend on the</w:t>
      </w:r>
      <w:r>
        <w:t xml:space="preserve"> </w:t>
      </w:r>
      <w:r>
        <w:t xml:space="preserve">levels of the other parameters, and a parameter whose effect is expected to be independent</w:t>
      </w:r>
      <w:r>
        <w:t xml:space="preserve"> </w:t>
      </w:r>
      <w:r>
        <w:t xml:space="preserve">of them (or whose range is already covered by platform experience) is studied univariately.</w:t>
      </w:r>
      <w:r>
        <w:t xml:space="preserve"> </w:t>
      </w:r>
      <w:r>
        <w:t xml:space="preserve">1 quality-linked parameter is studied univariately with a documented</w:t>
      </w:r>
      <w:r>
        <w:t xml:space="preserve"> </w:t>
      </w:r>
      <w:r>
        <w:t xml:space="preserve">justification. It is the anion exchange operating flow rate, and the justification is given</w:t>
      </w:r>
      <w:r>
        <w:t xml:space="preserve"> </w:t>
      </w:r>
      <w:r>
        <w:t xml:space="preserve">in RA-001 and in the plan for that step.</w:t>
      </w:r>
    </w:p>
    <w:p>
      <w:pPr>
        <w:pStyle w:val="BodyText"/>
      </w:pPr>
      <w:hyperlink w:anchor="tbl-alloc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shows where the experimental effort falls. The production bioreactor carries the</w:t>
      </w:r>
      <w:r>
        <w:t xml:space="preserve"> </w:t>
      </w:r>
      <w:r>
        <w:t xml:space="preserve">largest number of parameters and the largest number of high priority ones, which follows</w:t>
      </w:r>
      <w:r>
        <w:t xml:space="preserve"> </w:t>
      </w:r>
      <w:r>
        <w:t xml:space="preserve">from its forming most of the quality attributes (</w:t>
      </w:r>
      <w:hyperlink w:anchor="sec-cqa">
        <w:r>
          <w:rPr>
            <w:rStyle w:val="Hyperlink"/>
          </w:rPr>
          <w:t xml:space="preserve">Section 3</w:t>
        </w:r>
      </w:hyperlink>
      <w:r>
        <w:t xml:space="preserve">). The multivariate set is not the</w:t>
      </w:r>
      <w:r>
        <w:t xml:space="preserve"> </w:t>
      </w:r>
      <w:r>
        <w:t xml:space="preserve">same as the set of quality-linked parameters, and more parameters enter the Protein A design</w:t>
      </w:r>
      <w:r>
        <w:t xml:space="preserve"> </w:t>
      </w:r>
      <w:r>
        <w:t xml:space="preserve">than are linked to a quality attribute, because a parameter that governs the composition of</w:t>
      </w:r>
      <w:r>
        <w:t xml:space="preserve"> </w:t>
      </w:r>
      <w:r>
        <w:t xml:space="preserve">the pool is studied in the same runs whether its effect falls on quality or on yield.</w:t>
      </w:r>
    </w:p>
    <w:p>
      <w:pPr>
        <w:pStyle w:val="BodyText"/>
      </w:pPr>
      <w:r>
        <w:t xml:space="preserve">2 of the 8 steps carry no multivariate design at all.</w:t>
      </w:r>
      <w:r>
        <w:t xml:space="preserve"> </w:t>
      </w:r>
      <w:r>
        <w:t xml:space="preserve">Harvest and clarification (Step 4) and ultrafiltration and</w:t>
      </w:r>
      <w:r>
        <w:t xml:space="preserve"> </w:t>
      </w:r>
      <w:r>
        <w:t xml:space="preserve">diafiltration (Step 10) neither form nor clear a product quality</w:t>
      </w:r>
      <w:r>
        <w:t xml:space="preserve"> </w:t>
      </w:r>
      <w:r>
        <w:t xml:space="preserve">attribute, so their parameters are studied univariately and are assessed against process</w:t>
      </w:r>
      <w:r>
        <w:t xml:space="preserve"> </w:t>
      </w:r>
      <w:r>
        <w:t xml:space="preserve">performance and against the consistency of the material they deliver. No designed experiment</w:t>
      </w:r>
      <w:r>
        <w:t xml:space="preserve"> </w:t>
      </w:r>
      <w:r>
        <w:t xml:space="preserve">is planned for either step.</w:t>
      </w:r>
    </w:p>
    <w:p>
      <w:pPr>
        <w:pStyle w:val="BodyText"/>
      </w:pPr>
      <w:r>
        <w:t xml:space="preserve">The ranges taken into study are wider than the ranges the process is controlled to. For</w:t>
      </w:r>
      <w:r>
        <w:t xml:space="preserve"> </w:t>
      </w:r>
      <w:r>
        <w:t xml:space="preserve">every parameter in the campaign the characterization range brackets the normal operating</w:t>
      </w:r>
      <w:r>
        <w:t xml:space="preserve"> </w:t>
      </w:r>
      <w:r>
        <w:t xml:space="preserve">range, and both are tabulated in the plan for the step. Studying beyond the control range is</w:t>
      </w:r>
      <w:r>
        <w:t xml:space="preserve"> </w:t>
      </w:r>
      <w:r>
        <w:t xml:space="preserve">what makes a proven acceptable range (PAR) provable at all, and it also supports later</w:t>
      </w:r>
      <w:r>
        <w:t xml:space="preserve"> </w:t>
      </w:r>
      <w:r>
        <w:t xml:space="preserve">movement inside the design space</w:t>
      </w:r>
      <w:r>
        <w:t xml:space="preserve"> </w:t>
      </w:r>
      <w:r>
        <w:t xml:space="preserve">(CMC Biotech Working Group 2009)</w:t>
      </w:r>
      <w:r>
        <w:t xml:space="preserve">. The width of each range is justified parameter</w:t>
      </w:r>
      <w:r>
        <w:t xml:space="preserve"> </w:t>
      </w:r>
      <w:r>
        <w:t xml:space="preserve">by parameter in the individual plans, against the capability of the equipment and against</w:t>
      </w:r>
      <w:r>
        <w:t xml:space="preserve"> </w:t>
      </w:r>
      <w:r>
        <w:t xml:space="preserve">the point at which the step is known or expected to fail.</w:t>
      </w:r>
    </w:p>
    <w:p>
      <w:pPr>
        <w:pStyle w:val="BodyText"/>
      </w:pPr>
      <w:r>
        <w:t xml:space="preserve">A parameter that shows no measurable effect is not dropped from the campaign. It is</w:t>
      </w:r>
      <w:r>
        <w:t xml:space="preserve"> </w:t>
      </w:r>
      <w:r>
        <w:t xml:space="preserve">classified on the evidence of the study that found no effect, and the range over which no</w:t>
      </w:r>
      <w:r>
        <w:t xml:space="preserve"> </w:t>
      </w:r>
      <w:r>
        <w:t xml:space="preserve">effect was found stays in the knowledge space as evidence that the attributes are robust to</w:t>
      </w:r>
      <w:r>
        <w:t xml:space="preserve"> </w:t>
      </w:r>
      <w:r>
        <w:t xml:space="preserve">it (which is also what allows a later change within that range to be assessed on paper). The</w:t>
      </w:r>
      <w:r>
        <w:t xml:space="preserve"> </w:t>
      </w:r>
      <w:r>
        <w:t xml:space="preserve">same holds for a parameter studied univariately.</w:t>
      </w:r>
    </w:p>
    <w:bookmarkEnd w:id="23"/>
    <w:bookmarkStart w:id="26" w:name="sec-sdm"/>
    <w:p>
      <w:pPr>
        <w:pStyle w:val="Heading1"/>
      </w:pPr>
      <w:r>
        <w:t xml:space="preserve">5. Scale-down model strategy</w:t>
      </w:r>
    </w:p>
    <w:p>
      <w:pPr>
        <w:pStyle w:val="FirstParagraph"/>
      </w:pPr>
      <w:r>
        <w:t xml:space="preserve">Every study in the campaign is executed at scale-down, so qualification of the model is a</w:t>
      </w:r>
      <w:r>
        <w:t xml:space="preserve"> </w:t>
      </w:r>
      <w:r>
        <w:t xml:space="preserve">precondition for the study that uses it. The conclusions of these studies are applied</w:t>
      </w:r>
      <w:r>
        <w:t xml:space="preserve"> </w:t>
      </w:r>
      <w:r>
        <w:t xml:space="preserve">directly to the commercial process, and that is what makes the qualification necessary</w:t>
      </w:r>
      <w:r>
        <w:t xml:space="preserve"> </w:t>
      </w:r>
      <w:r>
        <w:t xml:space="preserve">(U.S. Food and Drug Administration 2011)</w:t>
      </w:r>
      <w:r>
        <w:t xml:space="preserve">. Qualification is performed under SOP-1001, and each plan states the</w:t>
      </w:r>
      <w:r>
        <w:t xml:space="preserve"> </w:t>
      </w:r>
      <w:r>
        <w:t xml:space="preserve">qualification specific to its step.</w:t>
      </w:r>
    </w:p>
    <w:p>
      <w:pPr>
        <w:pStyle w:val="BodyText"/>
      </w:pPr>
      <w:r>
        <w:t xml:space="preserve">The models are designed on the principle that the variables governing the attribute of</w:t>
      </w:r>
      <w:r>
        <w:t xml:space="preserve"> </w:t>
      </w:r>
      <w:r>
        <w:t xml:space="preserve">interest are held equivalent across scales. The scale-down bioreactor is a stirred tank of</w:t>
      </w:r>
      <w:r>
        <w:t xml:space="preserve"> </w:t>
      </w:r>
      <w:r>
        <w:t xml:space="preserve">the same design class as the commercial vessel, with equivalent control of pH, dissolved</w:t>
      </w:r>
      <w:r>
        <w:t xml:space="preserve"> </w:t>
      </w:r>
      <w:r>
        <w:t xml:space="preserve">oxygen, temperature and nutrient addition. The scale-independent variables (pH, temperature,</w:t>
      </w:r>
      <w:r>
        <w:t xml:space="preserve"> </w:t>
      </w:r>
      <w:r>
        <w:t xml:space="preserve">culture duration, seeding density) are operated at the values proposed for commercial</w:t>
      </w:r>
      <w:r>
        <w:t xml:space="preserve"> </w:t>
      </w:r>
      <w:r>
        <w:t xml:space="preserve">manufacture. The scale-dependent variables (agitation, gas flow, head pressure, working</w:t>
      </w:r>
      <w:r>
        <w:t xml:space="preserve"> </w:t>
      </w:r>
      <w:r>
        <w:t xml:space="preserve">volume) are set so that the small scale reproduces the performance of the full scale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chromatography models use the same resin and the same bed height as the commercial</w:t>
      </w:r>
      <w:r>
        <w:t xml:space="preserve"> </w:t>
      </w:r>
      <w:r>
        <w:t xml:space="preserve">columns, with linear velocity, load in grams per litre of resin, and all wash and elution</w:t>
      </w:r>
      <w:r>
        <w:t xml:space="preserve"> </w:t>
      </w:r>
      <w:r>
        <w:t xml:space="preserve">volumes normalized to column volumes; column efficiency is verified by plate count and peak</w:t>
      </w:r>
      <w:r>
        <w:t xml:space="preserve"> </w:t>
      </w:r>
      <w:r>
        <w:t xml:space="preserve">asymmetry before use. The filtration models use the same membrane and the same</w:t>
      </w:r>
      <w:r>
        <w:t xml:space="preserve"> </w:t>
      </w:r>
      <w:r>
        <w:t xml:space="preserve">area-normalized load, so that flux decay and the retention mechanism are the ones the</w:t>
      </w:r>
      <w:r>
        <w:t xml:space="preserve"> </w:t>
      </w:r>
      <w:r>
        <w:t xml:space="preserve">commercial filter will see. The hold steps use the same vessel geometry class and the same</w:t>
      </w:r>
      <w:r>
        <w:t xml:space="preserve"> </w:t>
      </w:r>
      <w:r>
        <w:t xml:space="preserve">mixing and temperature control.</w:t>
      </w:r>
    </w:p>
    <w:p>
      <w:pPr>
        <w:pStyle w:val="BodyText"/>
      </w:pPr>
      <w:r>
        <w:t xml:space="preserve">A model is qualified by running it at the target condition and comparing its performance and</w:t>
      </w:r>
      <w:r>
        <w:t xml:space="preserve"> </w:t>
      </w:r>
      <w:r>
        <w:t xml:space="preserve">product quality with data from pilot and commercial batches. The comparison is statistical,</w:t>
      </w:r>
      <w:r>
        <w:t xml:space="preserve"> </w:t>
      </w:r>
      <w:r>
        <w:t xml:space="preserve">and the attributes compared are the ones the model is required to predict. A model is</w:t>
      </w:r>
      <w:r>
        <w:t xml:space="preserve"> </w:t>
      </w:r>
      <w:r>
        <w:t xml:space="preserve">qualified when no statistically significant difference is found for those attributes, or</w:t>
      </w:r>
      <w:r>
        <w:t xml:space="preserve"> </w:t>
      </w:r>
      <w:r>
        <w:t xml:space="preserve">when a difference is found, explained by a known scale effect and shown to be conservative</w:t>
      </w:r>
      <w:r>
        <w:t xml:space="preserve"> </w:t>
      </w:r>
      <w:r>
        <w:t xml:space="preserve">for the attribute at risk, in which case the limitation is recorded with the qualification.</w:t>
      </w:r>
      <w:r>
        <w:t xml:space="preserve"> </w:t>
      </w:r>
      <w:r>
        <w:t xml:space="preserve">Each plan names the attributes compared, the number of replicate runs and the criterion</w:t>
      </w:r>
      <w:r>
        <w:t xml:space="preserve"> </w:t>
      </w:r>
      <w:r>
        <w:t xml:space="preserve">applied.</w:t>
      </w:r>
    </w:p>
    <w:p>
      <w:pPr>
        <w:pStyle w:val="BodyText"/>
      </w:pPr>
      <w:r>
        <w:t xml:space="preserve">No scale-down model reproduces every aspect of the commercial process. Gas transfer, carbon</w:t>
      </w:r>
      <w:r>
        <w:t xml:space="preserve"> </w:t>
      </w:r>
      <w:r>
        <w:t xml:space="preserve">dioxide accumulation and mixing time are scale dependent in the bioreactor, and they are</w:t>
      </w:r>
      <w:r>
        <w:t xml:space="preserve"> </w:t>
      </w:r>
      <w:r>
        <w:t xml:space="preserve">matched on performance and not on geometry. Where a variable cannot be matched, the plan</w:t>
      </w:r>
      <w:r>
        <w:t xml:space="preserve"> </w:t>
      </w:r>
      <w:r>
        <w:t xml:space="preserve">states how the study is bounded and the report states what the study does not cover. The</w:t>
      </w:r>
      <w:r>
        <w:t xml:space="preserve"> </w:t>
      </w:r>
      <w:r>
        <w:t xml:space="preserve">qualification data are held in the qualification records under SOP-1001 and are summarized</w:t>
      </w:r>
      <w:r>
        <w:t xml:space="preserve"> </w:t>
      </w:r>
      <w:r>
        <w:t xml:space="preserve">in the materials and methods section of each report (they are not reproduced here, and no</w:t>
      </w:r>
      <w:r>
        <w:t xml:space="preserve"> </w:t>
      </w:r>
      <w:r>
        <w:t xml:space="preserve">conclusion in this plan depends on them).</w:t>
      </w:r>
    </w:p>
    <w:p>
      <w:pPr>
        <w:pStyle w:val="BodyText"/>
      </w:pPr>
      <w:r>
        <w:t xml:space="preserve">A change to a qualified model during the campaign requires re-qualification before further</w:t>
      </w:r>
      <w:r>
        <w:t xml:space="preserve"> </w:t>
      </w:r>
      <w:r>
        <w:t xml:space="preserve">runs, together with an assessment of the studies already executed on the earlier</w:t>
      </w:r>
      <w:r>
        <w:t xml:space="preserve"> </w:t>
      </w:r>
      <w:r>
        <w:t xml:space="preserve">configuration. Where re-qualification shows that the earlier configuration was not</w:t>
      </w:r>
      <w:r>
        <w:t xml:space="preserve"> </w:t>
      </w:r>
      <w:r>
        <w:t xml:space="preserve">representative, the affected study is invalidated for the definition of an operating region</w:t>
      </w:r>
      <w:r>
        <w:t xml:space="preserve"> </w:t>
      </w:r>
      <w:r>
        <w:t xml:space="preserve">and is re-executed in full (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).</w:t>
      </w:r>
    </w:p>
    <w:bookmarkStart w:id="25" w:name="analytical-methods"/>
    <w:p>
      <w:pPr>
        <w:pStyle w:val="Heading2"/>
      </w:pPr>
      <w:r>
        <w:t xml:space="preserve">5.1 Analytical methods</w:t>
      </w:r>
    </w:p>
    <w:p>
      <w:pPr>
        <w:pStyle w:val="FirstParagraph"/>
      </w:pPr>
      <w:r>
        <w:t xml:space="preserve">Every response measured in the campaign is measured by a validated method. The methods and</w:t>
      </w:r>
      <w:r>
        <w:t xml:space="preserve"> </w:t>
      </w:r>
      <w:r>
        <w:t xml:space="preserve">the controlled documents that govern them are listed in</w:t>
      </w:r>
      <w:r>
        <w:t xml:space="preserve"> 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. Sampling points and</w:t>
      </w:r>
      <w:r>
        <w:t xml:space="preserve"> </w:t>
      </w:r>
      <w:r>
        <w:t xml:space="preserve">sample handling are fixed in the plan for the step before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Controlled procedures and validated analytical methods used across the characterization campaign. Numbers are placeholders for this synthetic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Assay variability is part of the variability these studies observe, and each report</w:t>
      </w:r>
      <w:r>
        <w:t xml:space="preserve"> </w:t>
      </w:r>
      <w:r>
        <w:t xml:space="preserve">separates the two where the method validation supports the separation. Where an effect is</w:t>
      </w:r>
      <w:r>
        <w:t xml:space="preserve"> </w:t>
      </w:r>
      <w:r>
        <w:t xml:space="preserve">statistically significant but small compared with the precision of the assay that measured</w:t>
      </w:r>
      <w:r>
        <w:t xml:space="preserve"> </w:t>
      </w:r>
      <w:r>
        <w:t xml:space="preserve">it, the report says so and does not treat the effect as practically meaningful. Where an</w:t>
      </w:r>
      <w:r>
        <w:t xml:space="preserve"> </w:t>
      </w:r>
      <w:r>
        <w:t xml:space="preserve">assay is not sensitive enough to quantify clearance across a step, clearance is determined</w:t>
      </w:r>
      <w:r>
        <w:t xml:space="preserve"> </w:t>
      </w:r>
      <w:r>
        <w:t xml:space="preserve">by a spiking study on the qualified scale-down model, and the plan for that step says so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5"/>
    <w:bookmarkEnd w:id="26"/>
    <w:bookmarkStart w:id="28" w:name="sec-stats"/>
    <w:p>
      <w:pPr>
        <w:pStyle w:val="Heading1"/>
      </w:pPr>
      <w:r>
        <w:t xml:space="preserve">6. Common statistical approach</w:t>
      </w:r>
    </w:p>
    <w:p>
      <w:pPr>
        <w:pStyle w:val="FirstParagraph"/>
      </w:pPr>
      <w:r>
        <w:t xml:space="preserve">The multivariate studies are executed in two stages, and the two stages carry different</w:t>
      </w:r>
      <w:r>
        <w:t xml:space="preserve"> </w:t>
      </w:r>
      <w:r>
        <w:t xml:space="preserve">claims. The screening design identifies which parameters have a measurable effect on each</w:t>
      </w:r>
      <w:r>
        <w:t xml:space="preserve"> </w:t>
      </w:r>
      <w:r>
        <w:t xml:space="preserve">response. The response surface design is the predictive model, and it is the model from</w:t>
      </w:r>
      <w:r>
        <w:t xml:space="preserve"> </w:t>
      </w:r>
      <w:r>
        <w:t xml:space="preserve">which an operating region or a design space is derived. A screening design in this campaign</w:t>
      </w:r>
      <w:r>
        <w:t xml:space="preserve"> </w:t>
      </w:r>
      <w:r>
        <w:t xml:space="preserve">is near saturated and cannot resolve all the interactions between parameters, so no</w:t>
      </w:r>
      <w:r>
        <w:t xml:space="preserve"> </w:t>
      </w:r>
      <w:r>
        <w:t xml:space="preserve">operating region is claimed from one</w:t>
      </w:r>
      <w:r>
        <w:t xml:space="preserve"> </w:t>
      </w:r>
      <w:r>
        <w:t xml:space="preserve">(CMC Biotech Working Group 2009)</w:t>
      </w:r>
      <w:r>
        <w:t xml:space="preserve">. This division holds for every multivariate</w:t>
      </w:r>
      <w:r>
        <w:t xml:space="preserve"> </w:t>
      </w:r>
      <w:r>
        <w:t xml:space="preserve">study in the campaign, and the individual plans apply it without restating it.</w:t>
      </w:r>
    </w:p>
    <w:p>
      <w:pPr>
        <w:pStyle w:val="BodyText"/>
      </w:pPr>
      <w:r>
        <w:t xml:space="preserve">The planned structure of those studies is given in</w:t>
      </w:r>
      <w:r>
        <w:t xml:space="preserve"> </w:t>
      </w:r>
      <w:hyperlink w:anchor="tbl-design">
        <w:r>
          <w:rPr>
            <w:rStyle w:val="Hyperlink"/>
          </w:rPr>
          <w:t xml:space="preserve">Table 7</w:t>
        </w:r>
      </w:hyperlink>
      <w:r>
        <w:t xml:space="preserve">. Each screening design is a</w:t>
      </w:r>
      <w:r>
        <w:t xml:space="preserve"> </w:t>
      </w:r>
      <w:r>
        <w:t xml:space="preserve">two-level factorial or fractional factorial in the screening factors of the step, augmented</w:t>
      </w:r>
      <w:r>
        <w:t xml:space="preserve"> </w:t>
      </w:r>
      <w:r>
        <w:t xml:space="preserve">with centre points at the target condition, and each response surface design is a</w:t>
      </w:r>
      <w:r>
        <w:t xml:space="preserve"> </w:t>
      </w:r>
      <w:r>
        <w:t xml:space="preserve">face-centred central composite in the factors that screening carries forward, again with</w:t>
      </w:r>
      <w:r>
        <w:t xml:space="preserve"> </w:t>
      </w:r>
      <w:r>
        <w:t xml:space="preserve">centre points. Run order is randomized. The design family, its resolution and its full run</w:t>
      </w:r>
      <w:r>
        <w:t xml:space="preserve"> </w:t>
      </w:r>
      <w:r>
        <w:t xml:space="preserve">list are given in the plan for the step (the planned matrices are tabulated in its</w:t>
      </w:r>
      <w:r>
        <w:t xml:space="preserve"> </w:t>
      </w:r>
      <w:r>
        <w:t xml:space="preserve">appendices, in coded and in natural units).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structure of the multivariate characterization studies. Run counts include the centre points of each design.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5"/>
              <w:gridCol w:w="2103"/>
              <w:gridCol w:w="1299"/>
              <w:gridCol w:w="1113"/>
              <w:gridCol w:w="1546"/>
              <w:gridCol w:w="136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Screening factors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Screening 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Response-surface 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Responses 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run counts in</w:t>
      </w:r>
      <w:r>
        <w:t xml:space="preserve"> </w:t>
      </w:r>
      <w:hyperlink w:anchor="tbl-design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planned counts. The factor set of a response surface</w:t>
      </w:r>
      <w:r>
        <w:t xml:space="preserve"> </w:t>
      </w:r>
      <w:r>
        <w:t xml:space="preserve">design is fixed only once the screening study of that step has been analysed, so a screening</w:t>
      </w:r>
      <w:r>
        <w:t xml:space="preserve"> </w:t>
      </w:r>
      <w:r>
        <w:t xml:space="preserve">result that carries more factors forward than expected requires more runs, and the plan for</w:t>
      </w:r>
      <w:r>
        <w:t xml:space="preserve"> </w:t>
      </w:r>
      <w:r>
        <w:t xml:space="preserve">the step is revised before the response surface study is executed.</w:t>
      </w:r>
    </w:p>
    <w:p>
      <w:pPr>
        <w:pStyle w:val="BodyText"/>
      </w:pPr>
      <w:r>
        <w:t xml:space="preserve">Centre points serve two purposes in every study. They estimate pure error independently of</w:t>
      </w:r>
      <w:r>
        <w:t xml:space="preserve"> </w:t>
      </w:r>
      <w:r>
        <w:t xml:space="preserve">the fitted model, which is what makes a lack-of-fit test possible, and they measure the</w:t>
      </w:r>
      <w:r>
        <w:t xml:space="preserve"> </w:t>
      </w:r>
      <w:r>
        <w:t xml:space="preserve">reproducibility of the step at its target condition, which is the first result reported from</w:t>
      </w:r>
      <w:r>
        <w:t xml:space="preserve"> </w:t>
      </w:r>
      <w:r>
        <w:t xml:space="preserve">any of these studies.</w:t>
      </w:r>
    </w:p>
    <w:p>
      <w:pPr>
        <w:pStyle w:val="BodyText"/>
      </w:pPr>
      <w:r>
        <w:t xml:space="preserve">Effects are estimated on coded factors, where the low and high edges of the characterization</w:t>
      </w:r>
      <w:r>
        <w:t xml:space="preserve"> </w:t>
      </w:r>
      <w:r>
        <w:t xml:space="preserve">range are −1 and +1 and the set-point is 0. Coding puts every parameter on the same scale,</w:t>
      </w:r>
      <w:r>
        <w:t xml:space="preserve"> </w:t>
      </w:r>
      <w:r>
        <w:t xml:space="preserve">so an effect is the change in a response over half the characterization range and effects</w:t>
      </w:r>
      <w:r>
        <w:t xml:space="preserve"> </w:t>
      </w:r>
      <w:r>
        <w:t xml:space="preserve">are comparable between parameters measured in different units. Terms are retained at</w:t>
      </w:r>
      <w:r>
        <w:t xml:space="preserve"> </w:t>
      </w:r>
      <w:r>
        <w:t xml:space="preserve">p &lt; 0.05. The response surface model is a full quadratic in the factors carried forward</w:t>
      </w:r>
      <w:r>
        <w:t xml:space="preserve"> </w:t>
      </w:r>
      <w:r>
        <w:t xml:space="preserve">(main effects, two-factor interactions and quadratic terms), and it is reported with its</w:t>
      </w:r>
      <w:r>
        <w:t xml:space="preserve"> </w:t>
      </w:r>
      <w:r>
        <w:t xml:space="preserve">coefficients, their standard errors and their p-values.</w:t>
      </w:r>
    </w:p>
    <w:p>
      <w:pPr>
        <w:pStyle w:val="BodyText"/>
      </w:pPr>
      <w:r>
        <w:t xml:space="preserve">Model adequacy is assessed before a model is used for anything else. Each fitted response</w:t>
      </w:r>
      <w:r>
        <w:t xml:space="preserve"> </w:t>
      </w:r>
      <w:r>
        <w:t xml:space="preserve">surface is tested for lack of fit against the pure error of the centre points, and its</w:t>
      </w:r>
      <w:r>
        <w:t xml:space="preserve"> </w:t>
      </w:r>
      <w:r>
        <w:t xml:space="preserve">residuals are examined against the predicted values and on a normal quantile plot. The</w:t>
      </w:r>
      <w:r>
        <w:t xml:space="preserve"> </w:t>
      </w:r>
      <w:r>
        <w:t xml:space="preserve">coefficient of determination is reported, and it is read together with the lack-of-fit test</w:t>
      </w:r>
      <w:r>
        <w:t xml:space="preserve"> </w:t>
      </w:r>
      <w:r>
        <w:t xml:space="preserve">and not on its own. A model that fails any of these checks is not used to define an</w:t>
      </w:r>
      <w:r>
        <w:t xml:space="preserve"> </w:t>
      </w:r>
      <w:r>
        <w:t xml:space="preserve">operating region: the effects that screening established are still reported, and the step is</w:t>
      </w:r>
      <w:r>
        <w:t xml:space="preserve"> </w:t>
      </w:r>
      <w:r>
        <w:t xml:space="preserve">then bounded by univariate work and by prior knowledge.</w:t>
      </w:r>
    </w:p>
    <w:p>
      <w:pPr>
        <w:pStyle w:val="BodyText"/>
      </w:pPr>
      <w:r>
        <w:t xml:space="preserve">Two ranges are derived from each adequate response surface model, and they answer different</w:t>
      </w:r>
      <w:r>
        <w:t xml:space="preserve"> </w:t>
      </w:r>
      <w:r>
        <w:t xml:space="preserve">questions. The first is the range of a parameter over which the attribute stays inside its</w:t>
      </w:r>
      <w:r>
        <w:t xml:space="preserve"> </w:t>
      </w:r>
      <w:r>
        <w:t xml:space="preserve">acceptance criterion with the other parameters of the step held at their set-points. The</w:t>
      </w:r>
      <w:r>
        <w:t xml:space="preserve"> </w:t>
      </w:r>
      <w:r>
        <w:t xml:space="preserve">second is the range that survives when the other parameters vary within their normal</w:t>
      </w:r>
      <w:r>
        <w:t xml:space="preserve"> </w:t>
      </w:r>
      <w:r>
        <w:t xml:space="preserve">operating ranges at the same time, which is the range the step can be operated over while</w:t>
      </w:r>
      <w:r>
        <w:t xml:space="preserve"> </w:t>
      </w:r>
      <w:r>
        <w:t xml:space="preserve">the rest of the step varies as it normally does, and it is the one carried into the control</w:t>
      </w:r>
      <w:r>
        <w:t xml:space="preserve"> </w:t>
      </w:r>
      <w:r>
        <w:t xml:space="preserve">strategy.</w:t>
      </w:r>
    </w:p>
    <w:p>
      <w:pPr>
        <w:pStyle w:val="BodyText"/>
      </w:pPr>
      <w:r>
        <w:t xml:space="preserve">A design space is claimed for a step only where the response surface models of that step</w:t>
      </w:r>
      <w:r>
        <w:t xml:space="preserve"> </w:t>
      </w:r>
      <w:r>
        <w:t xml:space="preserve">define a region in which every attribute the step governs stays inside its acceptance</w:t>
      </w:r>
      <w:r>
        <w:t xml:space="preserve"> </w:t>
      </w:r>
      <w:r>
        <w:t xml:space="preserve">criterion simultaneously</w:t>
      </w:r>
      <w:r>
        <w:t xml:space="preserve"> </w:t>
      </w:r>
      <w:r>
        <w:t xml:space="preserve">(International Council for Harmonisation 2009)</w:t>
      </w:r>
      <w:r>
        <w:t xml:space="preserve">. The region is bounded by the characterization ranges that</w:t>
      </w:r>
      <w:r>
        <w:t xml:space="preserve"> </w:t>
      </w:r>
      <w:r>
        <w:t xml:space="preserve">produced it, and the worst-case corner of the region (the combination of factor levels at</w:t>
      </w:r>
      <w:r>
        <w:t xml:space="preserve"> </w:t>
      </w:r>
      <w:r>
        <w:t xml:space="preserve">which the governing attribute is closest to its limit) is identified and shown to satisfy</w:t>
      </w:r>
      <w:r>
        <w:t xml:space="preserve"> </w:t>
      </w:r>
      <w:r>
        <w:t xml:space="preserve">the criteria. A response surface predicts mean levels, so a region defined on the mean gives</w:t>
      </w:r>
      <w:r>
        <w:t xml:space="preserve"> </w:t>
      </w:r>
      <w:r>
        <w:t xml:space="preserve">roughly even odds at its own edge</w:t>
      </w:r>
      <w:r>
        <w:t xml:space="preserve"> </w:t>
      </w:r>
      <w:r>
        <w:t xml:space="preserve">(CMC Biotech Working Group 2009)</w:t>
      </w:r>
      <w:r>
        <w:t xml:space="preserve">. That is why the control strategy is built on</w:t>
      </w:r>
      <w:r>
        <w:t xml:space="preserve"> </w:t>
      </w:r>
      <w:r>
        <w:t xml:space="preserve">the capability estimate and not on the region alone.</w:t>
      </w:r>
    </w:p>
    <w:p>
      <w:pPr>
        <w:pStyle w:val="BodyText"/>
      </w:pPr>
      <w:r>
        <w:t xml:space="preserve">Capability is estimated at the level of the drug substance and not step by step. The linked</w:t>
      </w:r>
      <w:r>
        <w:t xml:space="preserve"> </w:t>
      </w:r>
      <w:r>
        <w:t xml:space="preserve">process model is run for 2,000 simulated commercial batches,</w:t>
      </w:r>
      <w:r>
        <w:t xml:space="preserve"> </w:t>
      </w:r>
      <w:r>
        <w:t xml:space="preserve">with every parameter of every step drawn independently around its set-point at a spread set</w:t>
      </w:r>
      <w:r>
        <w:t xml:space="preserve"> </w:t>
      </w:r>
      <w:r>
        <w:t xml:space="preserve">by the width of its normal operating range and truncated at the characterization range, and</w:t>
      </w:r>
      <w:r>
        <w:t xml:space="preserve"> </w:t>
      </w:r>
      <w:r>
        <w:t xml:space="preserve">the simulated distribution of each attribute is then compared with its acceptance criterion.</w:t>
      </w:r>
      <w:r>
        <w:t xml:space="preserve"> </w:t>
      </w:r>
      <w:r>
        <w:t xml:space="preserve">The comparison is one-sided for the impurities and for the viral clearance attributes,</w:t>
      </w:r>
      <w:r>
        <w:t xml:space="preserve"> </w:t>
      </w:r>
      <w:r>
        <w:t xml:space="preserve">because only one limit is meaningful for them, and two-sided for the attributes that carry a</w:t>
      </w:r>
      <w:r>
        <w:t xml:space="preserve"> </w:t>
      </w:r>
      <w:r>
        <w:t xml:space="preserve">target range.</w:t>
      </w:r>
    </w:p>
    <w:p>
      <w:pPr>
        <w:pStyle w:val="BodyText"/>
      </w:pPr>
      <w:r>
        <w:t xml:space="preserve">The capability estimate inherits the bounds of the models it is built from. It assumes that</w:t>
      </w:r>
      <w:r>
        <w:t xml:space="preserve"> </w:t>
      </w:r>
      <w:r>
        <w:t xml:space="preserve">the response surfaces hold over the ranges simulated, that the scale-down models represent</w:t>
      </w:r>
      <w:r>
        <w:t xml:space="preserve"> </w:t>
      </w:r>
      <w:r>
        <w:t xml:space="preserve">the commercial process, and that the parameters vary independently of one another. It is</w:t>
      </w:r>
      <w:r>
        <w:t xml:space="preserve"> </w:t>
      </w:r>
      <w:r>
        <w:t xml:space="preserve">reported per attribute in PCMR-001 and is confirmed at scale by the Stage 2 qualification</w:t>
      </w:r>
      <w:r>
        <w:t xml:space="preserve"> </w:t>
      </w:r>
      <w:r>
        <w:t xml:space="preserve">batches.</w:t>
      </w:r>
    </w:p>
    <w:bookmarkEnd w:id="28"/>
    <w:bookmarkStart w:id="29" w:name="sec-acceptance"/>
    <w:p>
      <w:pPr>
        <w:pStyle w:val="Heading1"/>
      </w:pPr>
      <w:r>
        <w:t xml:space="preserve">7. Acceptance criteria framework</w:t>
      </w:r>
    </w:p>
    <w:p>
      <w:pPr>
        <w:pStyle w:val="FirstParagraph"/>
      </w:pPr>
      <w:r>
        <w:t xml:space="preserve">Four decisions are made in every characterization study, and this section defines what each</w:t>
      </w:r>
      <w:r>
        <w:t xml:space="preserve"> </w:t>
      </w:r>
      <w:r>
        <w:t xml:space="preserve">of them requires. They are whether the scale-down model is qualified, whether a fitted model</w:t>
      </w:r>
      <w:r>
        <w:t xml:space="preserve"> </w:t>
      </w:r>
      <w:r>
        <w:t xml:space="preserve">is adequate, whether an operating region is acceptable, and how each parameter is</w:t>
      </w:r>
      <w:r>
        <w:t xml:space="preserve"> </w:t>
      </w:r>
      <w:r>
        <w:t xml:space="preserve">classified. The numeric limits belong to the individual plan, because they depend on the</w:t>
      </w:r>
      <w:r>
        <w:t xml:space="preserve"> </w:t>
      </w:r>
      <w:r>
        <w:t xml:space="preserve">attributes the step governs and on the precision of the assays that measure them.</w:t>
      </w:r>
    </w:p>
    <w:p>
      <w:pPr>
        <w:pStyle w:val="BodyText"/>
      </w:pPr>
      <w:r>
        <w:t xml:space="preserve">A scale-down model is qualified when the performance and quality attributes it is required</w:t>
      </w:r>
      <w:r>
        <w:t xml:space="preserve"> </w:t>
      </w:r>
      <w:r>
        <w:t xml:space="preserve">to predict are statistically indistinguishable from the commercial-scale data at the target</w:t>
      </w:r>
      <w:r>
        <w:t xml:space="preserve"> </w:t>
      </w:r>
      <w:r>
        <w:t xml:space="preserve">condition. A difference does not by itself disqualify a model: where it is explained by a</w:t>
      </w:r>
      <w:r>
        <w:t xml:space="preserve"> </w:t>
      </w:r>
      <w:r>
        <w:t xml:space="preserve">known scale effect and is conservative for the attribute at risk, the model is qualified</w:t>
      </w:r>
      <w:r>
        <w:t xml:space="preserve"> </w:t>
      </w:r>
      <w:r>
        <w:t xml:space="preserve">with that limitation recorded, and the report states which conclusions the limitation</w:t>
      </w:r>
      <w:r>
        <w:t xml:space="preserve"> </w:t>
      </w:r>
      <w:r>
        <w:t xml:space="preserve">touches. A model that is not qualified cannot support an operating range, and the study that</w:t>
      </w:r>
      <w:r>
        <w:t xml:space="preserve"> </w:t>
      </w:r>
      <w:r>
        <w:t xml:space="preserve">used it is repeated.</w:t>
      </w:r>
    </w:p>
    <w:p>
      <w:pPr>
        <w:pStyle w:val="BodyText"/>
      </w:pPr>
      <w:r>
        <w:t xml:space="preserve">A fitted model is adequate when it has significant terms at p &lt; 0.05, no significant lack of</w:t>
      </w:r>
      <w:r>
        <w:t xml:space="preserve"> </w:t>
      </w:r>
      <w:r>
        <w:t xml:space="preserve">fit against pure error, and residuals consistent with the assumptions of the fit. All three</w:t>
      </w:r>
      <w:r>
        <w:t xml:space="preserve"> </w:t>
      </w:r>
      <w:r>
        <w:t xml:space="preserve">are required, and the criteria for each (the significance level, the lack-of-fit p-value and</w:t>
      </w:r>
      <w:r>
        <w:t xml:space="preserve"> </w:t>
      </w:r>
      <w:r>
        <w:t xml:space="preserve">the residual checks) are stated in the plan for the step. A response with no significant</w:t>
      </w:r>
      <w:r>
        <w:t xml:space="preserve"> </w:t>
      </w:r>
      <w:r>
        <w:t xml:space="preserve">terms is reported as such, because a null result bounds how much of the observed variation</w:t>
      </w:r>
      <w:r>
        <w:t xml:space="preserve"> </w:t>
      </w:r>
      <w:r>
        <w:t xml:space="preserve">the parameters studied can account for.</w:t>
      </w:r>
    </w:p>
    <w:p>
      <w:pPr>
        <w:pStyle w:val="BodyText"/>
      </w:pPr>
      <w:r>
        <w:t xml:space="preserve">An operating region is acceptable when three conditions hold together. Every attribute the</w:t>
      </w:r>
      <w:r>
        <w:t xml:space="preserve"> </w:t>
      </w:r>
      <w:r>
        <w:t xml:space="preserve">step governs is predicted to stay inside its acceptance criterion across the region, that</w:t>
      </w:r>
      <w:r>
        <w:t xml:space="preserve"> </w:t>
      </w:r>
      <w:r>
        <w:t xml:space="preserve">prediction holds with the other parameters of the step varying within their normal operating</w:t>
      </w:r>
      <w:r>
        <w:t xml:space="preserve"> </w:t>
      </w:r>
      <w:r>
        <w:t xml:space="preserve">ranges, and the worst-case corner of the region (identified from the signs of the model</w:t>
      </w:r>
      <w:r>
        <w:t xml:space="preserve"> </w:t>
      </w:r>
      <w:r>
        <w:t xml:space="preserve">coefficients) also satisfies the criteria. A region that meets these conditions is claimed</w:t>
      </w:r>
      <w:r>
        <w:t xml:space="preserve"> </w:t>
      </w:r>
      <w:r>
        <w:t xml:space="preserve">only inside the characterization ranges that produced it, and it remains a statement about</w:t>
      </w:r>
      <w:r>
        <w:t xml:space="preserve"> </w:t>
      </w:r>
      <w:r>
        <w:t xml:space="preserve">mean levels until the capability analysis converts it into a statement about batches.</w:t>
      </w:r>
    </w:p>
    <w:p>
      <w:pPr>
        <w:pStyle w:val="BodyText"/>
      </w:pPr>
      <w:r>
        <w:t xml:space="preserve">Capability is estimated as described in</w:t>
      </w:r>
      <w:r>
        <w:t xml:space="preserve"> 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. This plan does not set one minimum</w:t>
      </w:r>
      <w:r>
        <w:t xml:space="preserve"> </w:t>
      </w:r>
      <w:r>
        <w:t xml:space="preserve">capability index for the whole campaign. An acceptable value depends on the criticality of</w:t>
      </w:r>
      <w:r>
        <w:t xml:space="preserve"> </w:t>
      </w:r>
      <w:r>
        <w:t xml:space="preserve">the attribute and on how much of the observed variation belongs to its assay, so each plan</w:t>
      </w:r>
      <w:r>
        <w:t xml:space="preserve"> </w:t>
      </w:r>
      <w:r>
        <w:t xml:space="preserve">states the minimum index its step’s attributes must meet together with the reason for the</w:t>
      </w:r>
      <w:r>
        <w:t xml:space="preserve"> </w:t>
      </w:r>
      <w:r>
        <w:t xml:space="preserve">value chosen. Where an attribute is governed by more than one step, the criterion is applied</w:t>
      </w:r>
      <w:r>
        <w:t xml:space="preserve"> </w:t>
      </w:r>
      <w:r>
        <w:t xml:space="preserve">to the cumulative position at the drug substance and not to the individual steps, and it is</w:t>
      </w:r>
      <w:r>
        <w:t xml:space="preserve"> </w:t>
      </w:r>
      <w:r>
        <w:t xml:space="preserve">assessed in PCMR-001.</w:t>
      </w:r>
    </w:p>
    <w:p>
      <w:pPr>
        <w:pStyle w:val="BodyText"/>
      </w:pPr>
      <w:r>
        <w:t xml:space="preserve">Parameter classification is performed under SOP-4001 and uses the same four classes</w:t>
      </w:r>
      <w:r>
        <w:t xml:space="preserve"> </w:t>
      </w:r>
      <w:r>
        <w:t xml:space="preserve">throughout the campaign. A parameter whose variation affects a critical quality attribute is</w:t>
      </w:r>
      <w:r>
        <w:t xml:space="preserve"> </w:t>
      </w:r>
      <w:r>
        <w:t xml:space="preserve">critical; where such a parameter is easy to control and the risk of leaving the design space</w:t>
      </w:r>
      <w:r>
        <w:t xml:space="preserve"> </w:t>
      </w:r>
      <w:r>
        <w:t xml:space="preserve">is low it is classified as a well-controlled critical process parameter (WC-CPP), and where</w:t>
      </w:r>
      <w:r>
        <w:t xml:space="preserve"> </w:t>
      </w:r>
      <w:r>
        <w:t xml:space="preserve">that risk is not low it is classified as a critical process parameter (CPP). A parameter</w:t>
      </w:r>
      <w:r>
        <w:t xml:space="preserve"> </w:t>
      </w:r>
      <w:r>
        <w:t xml:space="preserve">that affects process performance or consistency but not product quality is a key process</w:t>
      </w:r>
      <w:r>
        <w:t xml:space="preserve"> </w:t>
      </w:r>
      <w:r>
        <w:t xml:space="preserve">parameter (KPP), and a parameter with no demonstrated effect on either is a general process</w:t>
      </w:r>
      <w:r>
        <w:t xml:space="preserve"> </w:t>
      </w:r>
      <w:r>
        <w:t xml:space="preserve">parameter (GPP). The class depends on the control capability of the receiving site as well</w:t>
      </w:r>
      <w:r>
        <w:t xml:space="preserve"> </w:t>
      </w:r>
      <w:r>
        <w:t xml:space="preserve">as on the study result, so it is assigned after the study and recorded in the report for the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A parameter that shows no effect is still classified, and its classification is supported by</w:t>
      </w:r>
      <w:r>
        <w:t xml:space="preserve"> </w:t>
      </w:r>
      <w:r>
        <w:t xml:space="preserve">the range over which no effect was seen. Nothing is left unclassified at the end of the</w:t>
      </w:r>
      <w:r>
        <w:t xml:space="preserve"> </w:t>
      </w:r>
      <w:r>
        <w:t xml:space="preserve">campaign.</w:t>
      </w:r>
    </w:p>
    <w:p>
      <w:pPr>
        <w:pStyle w:val="BodyText"/>
      </w:pPr>
      <w:r>
        <w:t xml:space="preserve">A study is valid when it is executed within its approved protocol. Excursions are recorded</w:t>
      </w:r>
      <w:r>
        <w:t xml:space="preserve"> </w:t>
      </w:r>
      <w:r>
        <w:t xml:space="preserve">as deviations, assessed for their effect on the conclusions and described in the report for</w:t>
      </w:r>
      <w:r>
        <w:t xml:space="preserve"> </w:t>
      </w:r>
      <w:r>
        <w:t xml:space="preserve">the step, whether or not they changed the outcome. Where a deviation makes the material or</w:t>
      </w:r>
      <w:r>
        <w:t xml:space="preserve"> </w:t>
      </w:r>
      <w:r>
        <w:t xml:space="preserve">the execution unrepresentative of the commercial process, the affected design is invalidated</w:t>
      </w:r>
      <w:r>
        <w:t xml:space="preserve"> </w:t>
      </w:r>
      <w:r>
        <w:t xml:space="preserve">for the definition of an operating region and is re-executed in full on representative</w:t>
      </w:r>
      <w:r>
        <w:t xml:space="preserve"> </w:t>
      </w:r>
      <w:r>
        <w:t xml:space="preserve">material. The invalidated data are retained and are referenced in the report as evidence of</w:t>
      </w:r>
      <w:r>
        <w:t xml:space="preserve"> </w:t>
      </w:r>
      <w:r>
        <w:t xml:space="preserve">the root cause. They are not used to define ranges and are not analysed as if they were</w:t>
      </w:r>
      <w:r>
        <w:t xml:space="preserve"> </w:t>
      </w:r>
      <w:r>
        <w:t xml:space="preserve">valid.</w:t>
      </w:r>
    </w:p>
    <w:bookmarkEnd w:id="29"/>
    <w:bookmarkStart w:id="31" w:name="sec-register"/>
    <w:p>
      <w:pPr>
        <w:pStyle w:val="Heading1"/>
      </w:pPr>
      <w:r>
        <w:t xml:space="preserve">8. Register of characterization plans</w:t>
      </w:r>
    </w:p>
    <w:p>
      <w:pPr>
        <w:pStyle w:val="FirstParagraph"/>
      </w:pPr>
      <w:r>
        <w:t xml:space="preserve">Each unit operation is planned in its own protocol, and each protocol is approved before the</w:t>
      </w:r>
      <w:r>
        <w:t xml:space="preserve"> </w:t>
      </w:r>
      <w:r>
        <w:t xml:space="preserve">first study run of its step. The protocols are listed in</w:t>
      </w:r>
      <w:r>
        <w:t xml:space="preserve"> </w:t>
      </w:r>
      <w:hyperlink w:anchor="tbl-plan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with the unit operation</w:t>
      </w:r>
      <w:r>
        <w:t xml:space="preserve"> </w:t>
      </w:r>
      <w:r>
        <w:t xml:space="preserve">each covers and the report it pairs with. Every protocol follows the structure and the</w:t>
      </w:r>
      <w:r>
        <w:t xml:space="preserve"> </w:t>
      </w:r>
      <w:r>
        <w:t xml:space="preserve">methods defined in this plan and adds the design, the ranges and the acceptance criteria of</w:t>
      </w:r>
      <w:r>
        <w:t xml:space="preserve"> </w:t>
      </w:r>
      <w:r>
        <w:t xml:space="preserve">its own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l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Register of the per-unit-operation characterization plans and their paired reports.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54"/>
              <w:gridCol w:w="3205"/>
              <w:gridCol w:w="2357"/>
              <w:gridCol w:w="16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Paired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30"/>
          <w:p/>
        </w:tc>
      </w:tr>
    </w:tbl>
    <w:bookmarkEnd w:id="31"/>
    <w:bookmarkStart w:id="33" w:name="sec-schedule"/>
    <w:p>
      <w:pPr>
        <w:pStyle w:val="Heading1"/>
      </w:pPr>
      <w:r>
        <w:t xml:space="preserve">9. Deliverables and schedule</w:t>
      </w:r>
    </w:p>
    <w:p>
      <w:pPr>
        <w:pStyle w:val="FirstParagraph"/>
      </w:pPr>
      <w:r>
        <w:t xml:space="preserve">The deliverables of the campaign are listed in</w:t>
      </w:r>
      <w:r>
        <w:t xml:space="preserve"> </w:t>
      </w:r>
      <w:hyperlink w:anchor="tbl-deliv">
        <w:r>
          <w:rPr>
            <w:rStyle w:val="Hyperlink"/>
          </w:rPr>
          <w:t xml:space="preserve">Table 9</w:t>
        </w:r>
      </w:hyperlink>
      <w:r>
        <w:t xml:space="preserve">. The sequence is fixed by</w:t>
      </w:r>
      <w:r>
        <w:t xml:space="preserve"> </w:t>
      </w:r>
      <w:r>
        <w:t xml:space="preserve">dependency and not by date. A characterization plan is approved before the studies it plans</w:t>
      </w:r>
      <w:r>
        <w:t xml:space="preserve"> </w:t>
      </w:r>
      <w:r>
        <w:t xml:space="preserve">are executed, a characterization report is issued once the studies of its step have been</w:t>
      </w:r>
      <w:r>
        <w:t xml:space="preserve"> </w:t>
      </w:r>
      <w:r>
        <w:t xml:space="preserve">analysed, and the master report is issued after the last of those reports. Dates for each</w:t>
      </w:r>
      <w:r>
        <w:t xml:space="preserve"> </w:t>
      </w:r>
      <w:r>
        <w:t xml:space="preserve">deliverable are controlled in the project schedule and are outside this plan.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Deliverables of the characterization campaign and their position in the sequence.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428"/>
              <w:gridCol w:w="1182"/>
              <w:gridCol w:w="33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Position in the sequence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This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(one per unit operation)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to 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the first study run of its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(one per unit operation)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 to 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Issued once the studies of its step have been analysed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Issued after the last characterization report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campaign is complete when PCMR-001 is approved. That report is the input to the Stage 2</w:t>
      </w:r>
      <w:r>
        <w:t xml:space="preserve"> </w:t>
      </w:r>
      <w:r>
        <w:t xml:space="preserve">qualification protocol and to the process sections of the licence application.</w:t>
      </w:r>
    </w:p>
    <w:bookmarkEnd w:id="33"/>
    <w:bookmarkStart w:id="34" w:name="sec-approvals"/>
    <w:p>
      <w:pPr>
        <w:pStyle w:val="Heading1"/>
      </w:pPr>
      <w:r>
        <w:t xml:space="preserve">10. Approvals</w:t>
      </w:r>
    </w:p>
    <w:p>
      <w:pPr>
        <w:pStyle w:val="FirstParagraph"/>
      </w:pPr>
      <w:r>
        <w:t xml:space="preserve">This plan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 change to the framework</w:t>
      </w:r>
      <w:r>
        <w:t xml:space="preserve"> </w:t>
      </w:r>
      <w:r>
        <w:t xml:space="preserve">defined here is made by revising this plan, and the individual plans that depend on the</w:t>
      </w:r>
      <w:r>
        <w:t xml:space="preserve"> </w:t>
      </w:r>
      <w:r>
        <w:t xml:space="preserve">changed element are revised with it. Changes are assessed under the pharmaceutical quality</w:t>
      </w:r>
      <w:r>
        <w:t xml:space="preserve"> </w:t>
      </w:r>
      <w:r>
        <w:t xml:space="preserve">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4"/>
    <w:bookmarkStart w:id="43" w:name="references"/>
    <w:p>
      <w:pPr>
        <w:pStyle w:val="Heading1"/>
      </w:pPr>
      <w:r>
        <w:t xml:space="preserve">References</w:t>
      </w:r>
    </w:p>
    <w:bookmarkStart w:id="42" w:name="refs"/>
    <w:bookmarkStart w:id="3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5"/>
    <w:bookmarkStart w:id="36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6"/>
    <w:bookmarkStart w:id="37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7"/>
    <w:bookmarkStart w:id="38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8"/>
    <w:bookmarkStart w:id="39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39"/>
    <w:bookmarkStart w:id="40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0"/>
    <w:bookmarkStart w:id="4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Plan</dc:title>
  <dc:creator>Process Development / Manufacturing Science &amp; Technology (MSAT)</dc:creator>
  <cp:keywords/>
  <dcterms:created xsi:type="dcterms:W3CDTF">2026-07-27T09:05:59Z</dcterms:created>
  <dcterms:modified xsi:type="dcterms:W3CDTF">2026-07-27T09:05:59Z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