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ALCOA+, attributable, legible,</w:t>
      </w:r>
      <w:r>
        <w:t xml:space="preserve"> </w:t>
      </w:r>
      <w:r>
        <w:t xml:space="preserve">contemporaneous, original and accurate, plus complete, consistent, enduring and</w:t>
      </w:r>
      <w:r>
        <w:t xml:space="preserve"> </w:t>
      </w:r>
      <w:r>
        <w:t xml:space="preserve">available; AMV, analytical method validation; ANOVA, analysis of variance; CHO, Chinese</w:t>
      </w:r>
      <w:r>
        <w:t xml:space="preserve"> </w:t>
      </w:r>
      <w:r>
        <w:t xml:space="preserve">hamster ovary; Cpk, one-sided process capability index; CQA, critical quality attribute;</w:t>
      </w:r>
      <w:r>
        <w:t xml:space="preserve"> </w:t>
      </w:r>
      <w:r>
        <w:t xml:space="preserve">DNA, deoxyribonucleic acid; DO, dissolved oxygen; DoE, design of experiments; DS, drug</w:t>
      </w:r>
      <w:r>
        <w:t xml:space="preserve"> </w:t>
      </w:r>
      <w:r>
        <w:t xml:space="preserve">substance; HCP, host cell protein; HMW, high molecular weight; icIEF, imaged capillary</w:t>
      </w:r>
      <w:r>
        <w:t xml:space="preserve"> </w:t>
      </w:r>
      <w:r>
        <w:t xml:space="preserve">isoelectric focusing; IgG1, immunoglobulin G of the first subclass; MSAT, Manufacturing</w:t>
      </w:r>
      <w:r>
        <w:t xml:space="preserve"> </w:t>
      </w:r>
      <w:r>
        <w:t xml:space="preserve">Science and Technology; NOR, normal operating range; OLS, ordinary least squares; PAR,</w:t>
      </w:r>
      <w:r>
        <w:t xml:space="preserve"> </w:t>
      </w:r>
      <w:r>
        <w:t xml:space="preserve">proven acceptable range; pCO₂, dissolved carbon dioxide; PD, Process Development; PPQ,</w:t>
      </w:r>
      <w:r>
        <w:t xml:space="preserve"> </w:t>
      </w:r>
      <w:r>
        <w:t xml:space="preserve">process performance qualification; PRESS, prediction sum of squares; QA, Quality</w:t>
      </w:r>
      <w:r>
        <w:t xml:space="preserve"> </w:t>
      </w:r>
      <w:r>
        <w:t xml:space="preserve">Assurance; qPCR, quantitative polymerase chain reaction; RSM, response surface</w:t>
      </w:r>
      <w:r>
        <w:t xml:space="preserve"> </w:t>
      </w:r>
      <w:r>
        <w:t xml:space="preserve">methodology; SD, standard deviation; SEC-HPLC, size exclusion high performance liquid</w:t>
      </w:r>
      <w:r>
        <w:t xml:space="preserve"> </w:t>
      </w:r>
      <w:r>
        <w:t xml:space="preserve">chromatography; SOP, standard operating procedure; UPLC, ultra performance liquid</w:t>
      </w:r>
      <w:r>
        <w:t xml:space="preserve"> </w:t>
      </w:r>
      <w:r>
        <w:t xml:space="preserve">chromatography; WCB, working cell bank.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studies for the production bioreactor</w:t>
      </w:r>
      <w:r>
        <w:t xml:space="preserve"> </w:t>
      </w:r>
      <w:r>
        <w:t xml:space="preserve">(Step 3 of the A-Mab drug substance process). The step is a fed-batch mammalian cell</w:t>
      </w:r>
      <w:r>
        <w:t xml:space="preserve"> </w:t>
      </w:r>
      <w:r>
        <w:t xml:space="preserve">culture operated at a commercial scale of 15,000 L, and it forms the</w:t>
      </w:r>
      <w:r>
        <w:t xml:space="preserve"> </w:t>
      </w:r>
      <w:r>
        <w:t xml:space="preserve">glycan, charge variant and size variant critical quality attributes (CQAs) of the drug</w:t>
      </w:r>
      <w:r>
        <w:t xml:space="preserve"> </w:t>
      </w:r>
      <w:r>
        <w:t xml:space="preserve">substance. Because no later step in the purification train alters the glycan</w:t>
      </w:r>
      <w:r>
        <w:t xml:space="preserve"> </w:t>
      </w:r>
      <w:r>
        <w:t xml:space="preserve">distribution, the culture conditions established here carry through to release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A-Mab drug substance process is being transferred from the development site in</w:t>
      </w:r>
      <w:r>
        <w:t xml:space="preserve"> </w:t>
      </w:r>
      <w:r>
        <w:t xml:space="preserve">Cambridge to the commercial facility in Grafton under PTP-001, and Stage 1 process</w:t>
      </w:r>
      <w:r>
        <w:t xml:space="preserve"> </w:t>
      </w:r>
      <w:r>
        <w:t xml:space="preserve">characterization is a prerequisite for the qualification runs at the receiving site</w:t>
      </w:r>
      <w:r>
        <w:t xml:space="preserve"> </w:t>
      </w:r>
      <w:r>
        <w:t xml:space="preserve">(U.S. Food and Drug Administration 2011)</w:t>
      </w:r>
      <w:r>
        <w:t xml:space="preserve">. The purpose of the studies described below is to establish, in a qualified</w:t>
      </w:r>
      <w:r>
        <w:t xml:space="preserve"> </w:t>
      </w:r>
      <w:r>
        <w:t xml:space="preserve">scale-down model, the operating ranges that the commercial process will use and the</w:t>
      </w:r>
      <w:r>
        <w:t xml:space="preserve"> </w:t>
      </w:r>
      <w:r>
        <w:t xml:space="preserve">evidence that supports them.</w:t>
      </w:r>
    </w:p>
    <w:p>
      <w:pPr>
        <w:pStyle w:val="BodyText"/>
      </w:pPr>
      <w:r>
        <w:t xml:space="preserve">The scope of this plan is the production bioreactor from inoculation to the end of</w:t>
      </w:r>
      <w:r>
        <w:t xml:space="preserve"> </w:t>
      </w:r>
      <w:r>
        <w:t xml:space="preserve">culture, covering the 9 process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over the ranges given there. Seed expansion up to and including the N-1 seed bioreactor</w:t>
      </w:r>
      <w:r>
        <w:t xml:space="preserve"> </w:t>
      </w:r>
      <w:r>
        <w:t xml:space="preserve">is out of scope. Harvest and clarification (PCP-004) and each of the purification steps</w:t>
      </w:r>
      <w:r>
        <w:t xml:space="preserve"> </w:t>
      </w:r>
      <w:r>
        <w:t xml:space="preserve">are out of scope as well, since they are covered by their own plans. Validation of the</w:t>
      </w:r>
      <w:r>
        <w:t xml:space="preserve"> </w:t>
      </w:r>
      <w:r>
        <w:t xml:space="preserve">analytical methods is also out of scope, and is held in the method validation reports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Confirmation at commercial scale is out of scope as well, since it belongs to process</w:t>
      </w:r>
      <w:r>
        <w:t xml:space="preserve"> </w:t>
      </w:r>
      <w:r>
        <w:t xml:space="preserve">performance qualification (PPQ). This document states what will be done and the criteria</w:t>
      </w:r>
      <w:r>
        <w:t xml:space="preserve"> </w:t>
      </w:r>
      <w:r>
        <w:t xml:space="preserve">by which the outcome will be judged, and it reports no data. The executed studies and</w:t>
      </w:r>
      <w:r>
        <w:t xml:space="preserve"> </w:t>
      </w:r>
      <w:r>
        <w:t xml:space="preserve">their analysis will be reported in PCR-003.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have five objectives.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on each quality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across the ranges to be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Identify the parameters and the two-factor interactions that govern each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a multivariate operating region within which every governed attribute is</w:t>
      </w:r>
      <w:r>
        <w:t xml:space="preserve"> </w:t>
      </w:r>
      <w:r>
        <w:t xml:space="preserve">predicted to remain inside its acceptance criterion.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(PAR) for each parameter against each</w:t>
      </w:r>
      <w:r>
        <w:t xml:space="preserve"> </w:t>
      </w:r>
      <w:r>
        <w:t xml:space="preserve">attribute it governs, and confirm that the normal operating range (NOR) lies inside it.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Provide the evidence needed to classify each parameter under SOP-4001 and to fix</w:t>
      </w:r>
      <w:r>
        <w:t xml:space="preserve"> </w:t>
      </w:r>
      <w:r>
        <w:t xml:space="preserve">the control strategy that the qualification stage will operate to.</w:t>
      </w:r>
    </w:p>
    <w:p>
      <w:pPr>
        <w:pStyle w:val="FirstParagraph"/>
      </w:pPr>
      <w:r>
        <w:t xml:space="preserve">These objectives are addressed by two designed experiments (DoE) and one univariate</w:t>
      </w:r>
      <w:r>
        <w:t xml:space="preserve"> </w:t>
      </w:r>
      <w:r>
        <w:t xml:space="preserve">assessment.</w:t>
      </w:r>
      <w:r>
        <w:t xml:space="preserve"> </w:t>
      </w:r>
      <w:r>
        <w:t xml:space="preserve">The screening design serves objectives (i) and (ii), and the response-surface design</w:t>
      </w:r>
      <w:r>
        <w:t xml:space="preserve"> </w:t>
      </w:r>
      <w:r>
        <w:t xml:space="preserve">serves (iii) and (iv). The classification called for in (v) is made in PCR-003, from the</w:t>
      </w:r>
      <w:r>
        <w:t xml:space="preserve"> </w:t>
      </w:r>
      <w:r>
        <w:t xml:space="preserve">results of both designs together with the risk basis in RA-001.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documents this plan depends on, and the document it feeds,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 sets the scope of the studies, PCMP-001 sets the campaign acceptance</w:t>
      </w:r>
      <w:r>
        <w:t xml:space="preserve"> </w:t>
      </w:r>
      <w:r>
        <w:t xml:space="preserve">criteria that this plan applies, and PCR-003 is the paired report in which the executed</w:t>
      </w:r>
      <w:r>
        <w:t xml:space="preserve"> </w:t>
      </w:r>
      <w:r>
        <w:t xml:space="preserve">studies will be described.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validated analytical methods that govern execution and analysis are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in which all reference numbers are placeholders for a controlled</w:t>
      </w:r>
      <w:r>
        <w:t xml:space="preserve"> </w:t>
      </w:r>
      <w:r>
        <w:t xml:space="preserve">document system.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culture of a recombinant Chinese hamster ovary</w:t>
      </w:r>
      <w:r>
        <w:t xml:space="preserve"> </w:t>
      </w:r>
      <w:r>
        <w:t xml:space="preserve">(CHO) cell line expressing A-Mab. The vessel is inoculated from the N-1 seed bioreactor</w:t>
      </w:r>
      <w:r>
        <w:t xml:space="preserve"> </w:t>
      </w:r>
      <w:r>
        <w:t xml:space="preserve">at a target viable cell concentration, culture pH, temperature, dissolved oxygen (DO) and</w:t>
      </w:r>
      <w:r>
        <w:t xml:space="preserve"> </w:t>
      </w:r>
      <w:r>
        <w:t xml:space="preserve">dissolved carbon dioxide (pCO₂) are controlled throughout the culture, and nutrient feeds</w:t>
      </w:r>
      <w:r>
        <w:t xml:space="preserve"> </w:t>
      </w:r>
      <w:r>
        <w:t xml:space="preserve">are added on a fixed schedule. The culture is harvested at the assigned culture duration</w:t>
      </w:r>
      <w:r>
        <w:t xml:space="preserve"> </w:t>
      </w:r>
      <w:r>
        <w:t xml:space="preserve">and passed to harvest and clarification (Step 4).</w:t>
      </w:r>
    </w:p>
    <w:p>
      <w:pPr>
        <w:pStyle w:val="BodyText"/>
      </w:pPr>
      <w:r>
        <w:t xml:space="preserve">A-Mab is a humanized IgG1 monoclonal antibody produced on the Novacyte cell culture</w:t>
      </w:r>
      <w:r>
        <w:t xml:space="preserve"> </w:t>
      </w:r>
      <w:r>
        <w:t xml:space="preserve">platform, and three prior products (X-Mab, Y-Mab and Z-Mab) have been manufactured on</w:t>
      </w:r>
      <w:r>
        <w:t xml:space="preserve"> </w:t>
      </w:r>
      <w:r>
        <w:t xml:space="preserve">that platform in vessels of the same design and with the same basal medium and feed</w:t>
      </w:r>
      <w:r>
        <w:t xml:space="preserve"> </w:t>
      </w:r>
      <w:r>
        <w:t xml:space="preserve">system. A-Mab itself has been produced for clinical supply and in engineering runs at the</w:t>
      </w:r>
      <w:r>
        <w:t xml:space="preserve"> </w:t>
      </w:r>
      <w:r>
        <w:t xml:space="preserve">receiving site. This body of experience establishes the mechanisms that operate in the</w:t>
      </w:r>
      <w:r>
        <w:t xml:space="preserve"> </w:t>
      </w:r>
      <w:r>
        <w:t xml:space="preserve">step, so the studies described in this plan are designed to confirm and to bound those</w:t>
      </w:r>
      <w:r>
        <w:t xml:space="preserve"> </w:t>
      </w:r>
      <w:r>
        <w:t xml:space="preserve">mechanisms and not to discover them.</w:t>
      </w:r>
    </w:p>
    <w:p>
      <w:pPr>
        <w:pStyle w:val="BodyText"/>
      </w:pPr>
      <w:r>
        <w:t xml:space="preserve">Platform experience supports four mechanistic expectations, and the design tests each of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7"/>
        </w:numPr>
      </w:pPr>
      <w:r>
        <w:t xml:space="preserve">Culture pH and temperature set the intracellular processing of the N-glycan through</w:t>
      </w:r>
      <w:r>
        <w:t xml:space="preserve"> </w:t>
      </w:r>
      <w:r>
        <w:t xml:space="preserve">their effect on glycosyltransferase and mannosidase activity, so both are expected to</w:t>
      </w:r>
      <w:r>
        <w:t xml:space="preserve"> </w:t>
      </w:r>
      <w:r>
        <w:t xml:space="preserve">move high mannose and galactosylation.</w:t>
      </w:r>
    </w:p>
    <w:p>
      <w:pPr>
        <w:pStyle w:val="Compact"/>
        <w:numPr>
          <w:ilvl w:val="0"/>
          <w:numId w:val="1007"/>
        </w:numPr>
      </w:pPr>
      <w:r>
        <w:t xml:space="preserve">Dissolved carbon dioxide accumulates as cell density rises and lowers intracellular pH,</w:t>
      </w:r>
      <w:r>
        <w:t xml:space="preserve"> </w:t>
      </w:r>
      <w:r>
        <w:t xml:space="preserve">and it is expected to act on cell specific productivity and on the charge variant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07"/>
        </w:numPr>
      </w:pPr>
      <w:r>
        <w:t xml:space="preserve">Osmolality acts on growth and on cell specific productivity, and it is expected to</w:t>
      </w:r>
      <w:r>
        <w:t xml:space="preserve"> </w:t>
      </w:r>
      <w:r>
        <w:t xml:space="preserve">interact with pCO₂ because both are consequences of the feed and gassing strategy.</w:t>
      </w:r>
    </w:p>
    <w:p>
      <w:pPr>
        <w:pStyle w:val="Compact"/>
        <w:numPr>
          <w:ilvl w:val="0"/>
          <w:numId w:val="1007"/>
        </w:numPr>
      </w:pPr>
      <w:r>
        <w:t xml:space="preserve">Culture duration sets how long the product is held in the culture environment. Since</w:t>
      </w:r>
      <w:r>
        <w:t xml:space="preserve"> </w:t>
      </w:r>
      <w:r>
        <w:t xml:space="preserve">aggregate and acidic variants accumulate late in the culture, duration is expected to</w:t>
      </w:r>
      <w:r>
        <w:t xml:space="preserve"> </w:t>
      </w:r>
      <w:r>
        <w:t xml:space="preserve">be the dominant factor for both of those attributes.</w:t>
      </w:r>
    </w:p>
    <w:p>
      <w:pPr>
        <w:pStyle w:val="FirstParagraph"/>
      </w:pPr>
      <w:r>
        <w:t xml:space="preserve">The step forms impurities and removes none. Host cell protein (HCP) and residual DNA</w:t>
      </w:r>
      <w:r>
        <w:t xml:space="preserve"> </w:t>
      </w:r>
      <w:r>
        <w:t xml:space="preserve">enter the harvest and are cleared downstream by Protein A capture, cation exchange and</w:t>
      </w:r>
      <w:r>
        <w:t xml:space="preserve"> </w:t>
      </w:r>
      <w:r>
        <w:t xml:space="preserve">anion exchange. Those clearance claims are made in the reports for the steps concerned</w:t>
      </w:r>
      <w:r>
        <w:t xml:space="preserve"> </w:t>
      </w:r>
      <w:r>
        <w:t xml:space="preserve">(PCR-005, PCR-007 and PCR-008). No viral clearance is claimed for the bioreactor. Viral safety rests on the modular claims</w:t>
      </w:r>
      <w:r>
        <w:t xml:space="preserve"> </w:t>
      </w:r>
      <w:r>
        <w:t xml:space="preserve">of the low pH inactivation, anion exchange and virus filtration steps (PCR-006, PCR-008</w:t>
      </w:r>
      <w:r>
        <w:t xml:space="preserve"> </w:t>
      </w:r>
      <w:r>
        <w:t xml:space="preserve">and PCR-009), and the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7 quality attributes are assigned to this step, and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their drug substance acceptance criteria together with the criticality assigned to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formed at the production bioreactor, with drug substance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Criticality is assigned on a continuum and not as a binary split into critical and</w:t>
      </w:r>
      <w:r>
        <w:t xml:space="preserve"> </w:t>
      </w:r>
      <w:r>
        <w:t xml:space="preserve">non-critical</w:t>
      </w:r>
      <w:r>
        <w:t xml:space="preserve"> </w:t>
      </w:r>
      <w:r>
        <w:t xml:space="preserve">(International Council for Harmonisation 2023b; CMC Biotech Working Group 2009)</w:t>
      </w:r>
      <w:r>
        <w:t xml:space="preserve">, and the Tool #1 score shown in the table is the product</w:t>
      </w:r>
      <w:r>
        <w:t xml:space="preserve"> </w:t>
      </w:r>
      <w:r>
        <w:t xml:space="preserve">of the impact of the attribute and the uncertainty around that impact. High mannose</w:t>
      </w:r>
      <w:r>
        <w:t xml:space="preserve"> </w:t>
      </w:r>
      <w:r>
        <w:t xml:space="preserve">carries the highest of the 7 scores and is the only attribute of very</w:t>
      </w:r>
      <w:r>
        <w:t xml:space="preserve"> </w:t>
      </w:r>
      <w:r>
        <w:t xml:space="preserve">high criticality. Afucosylation and galactosylation are of high criticality because A-Mab</w:t>
      </w:r>
      <w:r>
        <w:t xml:space="preserve"> </w:t>
      </w:r>
      <w:r>
        <w:t xml:space="preserve">acts through antibody dependent cellular cytotoxicity (ADCC) and both attributes modulate</w:t>
      </w:r>
      <w:r>
        <w:t xml:space="preserve"> </w:t>
      </w:r>
      <w:r>
        <w:t xml:space="preserve">Fc receptor binding, while aggregates are of high criticality on immunogenicity grounds.</w:t>
      </w:r>
      <w:r>
        <w:t xml:space="preserve"> </w:t>
      </w:r>
      <w:r>
        <w:t xml:space="preserve">Acidic charge variants and residual DNA score low.</w:t>
      </w:r>
    </w:p>
    <w:p>
      <w:pPr>
        <w:pStyle w:val="BodyText"/>
      </w:pPr>
      <w:r>
        <w:t xml:space="preserve">5 of the attributes will be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high molecular weight aggregates). Host cell protein and residual DNA will be</w:t>
      </w:r>
      <w:r>
        <w:t xml:space="preserve"> </w:t>
      </w:r>
      <w:r>
        <w:t xml:space="preserve">measured at</w:t>
      </w:r>
      <w:r>
        <w:t xml:space="preserve"> </w:t>
      </w:r>
      <w:r>
        <w:t xml:space="preserve">harvest and reported, but they will not be modelled, because both are cleared by three</w:t>
      </w:r>
      <w:r>
        <w:t xml:space="preserve"> </w:t>
      </w:r>
      <w:r>
        <w:t xml:space="preserve">downstream steps and the level leaving the bioreactor is not what constrains the drug</w:t>
      </w:r>
      <w:r>
        <w:t xml:space="preserve"> </w:t>
      </w:r>
      <w:r>
        <w:t xml:space="preserve">substance</w:t>
      </w:r>
      <w:r>
        <w:t xml:space="preserve"> </w:t>
      </w:r>
      <w:r>
        <w:t xml:space="preserve">(CMC Biotech Working Group 2009)</w:t>
      </w:r>
      <w:r>
        <w:t xml:space="preserve">. Their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criteria,</w:t>
      </w:r>
      <w:r>
        <w:t xml:space="preserve"> </w:t>
      </w:r>
      <w:r>
        <w:t xml:space="preserve">and capability against them is assessed across the whole train in PCMR-001.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scope of these studies follows the risk assessment in RA-001, in which every</w:t>
      </w:r>
      <w:r>
        <w:t xml:space="preserve"> </w:t>
      </w:r>
      <w:r>
        <w:t xml:space="preserve">bioreactor parameter was ranked twice, once for its potential impact on the quality</w:t>
      </w:r>
      <w:r>
        <w:t xml:space="preserve"> </w:t>
      </w:r>
      <w:r>
        <w:t xml:space="preserve">attributes and once for its potential interaction with other parameters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Where no data or rationale were available to support an assessment, the parameter was</w:t>
      </w:r>
      <w:r>
        <w:t xml:space="preserve"> </w:t>
      </w:r>
      <w:r>
        <w:t xml:space="preserve">ranked at the highest level. The ranking itself is held in RA-001 and is not repeated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9 parameters carry forward into this plan, of which</w:t>
      </w:r>
      <w:r>
        <w:t xml:space="preserve"> </w:t>
      </w:r>
      <w:r>
        <w:t xml:space="preserve">5 are assigned to multivariate study and 4 to</w:t>
      </w:r>
      <w:r>
        <w:t xml:space="preserve"> </w:t>
      </w:r>
      <w:r>
        <w:t xml:space="preserve">univariate assessment. Parameters that RA-001 ranked low are not studied, and most of</w:t>
      </w:r>
      <w:r>
        <w:t xml:space="preserve"> </w:t>
      </w:r>
      <w:r>
        <w:t xml:space="preserve">those are scale dependent. Agitation rate, gas flow rates and vessel pressure act on the</w:t>
      </w:r>
      <w:r>
        <w:t xml:space="preserve"> </w:t>
      </w:r>
      <w:r>
        <w:t xml:space="preserve">culture through mass transfer, and they are fixed during qualification of the scale-down</w:t>
      </w:r>
      <w:r>
        <w:t xml:space="preserve"> </w:t>
      </w:r>
      <w:r>
        <w:t xml:space="preserve">model so that the model matches commercial performance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).</w:t>
      </w:r>
    </w:p>
    <w:p>
      <w:pPr>
        <w:pStyle w:val="BodyText"/>
      </w:pPr>
      <w:r>
        <w:t xml:space="preserve">The ranges to be studied are deliberately wider than the routine control ranges. Across</w:t>
      </w:r>
      <w:r>
        <w:t xml:space="preserve"> </w:t>
      </w:r>
      <w:r>
        <w:t xml:space="preserve">the 5 factors of the designed experiments (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), the</w:t>
      </w:r>
      <w:r>
        <w:t xml:space="preserve"> </w:t>
      </w:r>
      <w:r>
        <w:t xml:space="preserve">studied range is between 1.6 and 2.5 times the</w:t>
      </w:r>
      <w:r>
        <w:t xml:space="preserve"> </w:t>
      </w:r>
      <w:r>
        <w:t xml:space="preserve">width of the NOR. Wide ranges bound the knowledge space and leave room for later movement within the</w:t>
      </w:r>
      <w:r>
        <w:t xml:space="preserve"> </w:t>
      </w:r>
      <w:r>
        <w:t xml:space="preserve">design space</w:t>
      </w:r>
      <w:r>
        <w:t xml:space="preserve"> </w:t>
      </w:r>
      <w:r>
        <w:t xml:space="preserve">(CMC Biotech Working Group 2009)</w:t>
      </w:r>
      <w:r>
        <w:t xml:space="preserve">, and they also improve the precision of the effect estimates,</w:t>
      </w:r>
      <w:r>
        <w:t xml:space="preserve"> </w:t>
      </w:r>
      <w:r>
        <w:t xml:space="preserve">because each effect is then measured across a larger change in the factor. Each range was</w:t>
      </w:r>
      <w:r>
        <w:t xml:space="preserve"> </w:t>
      </w:r>
      <w:r>
        <w:t xml:space="preserve">nevertheless set from platform experience so that the edges remain operable, and the</w:t>
      </w:r>
      <w:r>
        <w:t xml:space="preserve"> </w:t>
      </w:r>
      <w:r>
        <w:t xml:space="preserve">edges are not intended to be edges of failure.</w:t>
      </w:r>
    </w:p>
    <w:bookmarkEnd w:id="20"/>
    <w:bookmarkEnd w:id="21"/>
    <w:bookmarkStart w:id="28" w:name="sec-methods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in bench-scale stirred tank bioreactors qualified as a model of</w:t>
      </w:r>
      <w:r>
        <w:t xml:space="preserve"> </w:t>
      </w:r>
      <w:r>
        <w:t xml:space="preserve">the commercial vessel under SOP-1001, with the culture operated under SOP-2003. No</w:t>
      </w:r>
      <w:r>
        <w:t xml:space="preserve"> </w:t>
      </w:r>
      <w:r>
        <w:t xml:space="preserve">characterization run will be executed against an unqualified model.</w:t>
      </w:r>
    </w:p>
    <w:p>
      <w:pPr>
        <w:pStyle w:val="BodyText"/>
      </w:pPr>
      <w:r>
        <w:t xml:space="preserve">The model matches the scale-independent variables and equalizes the effect of the</w:t>
      </w:r>
      <w:r>
        <w:t xml:space="preserve"> </w:t>
      </w:r>
      <w:r>
        <w:t xml:space="preserve">scale-dependent ones</w:t>
      </w:r>
      <w:r>
        <w:t xml:space="preserve"> </w:t>
      </w:r>
      <w:r>
        <w:t xml:space="preserve">(CMC Biotech Working Group 2009)</w:t>
      </w:r>
      <w:r>
        <w:t xml:space="preserve">. Culture pH, temperature, DO, pCO₂, osmolality, initial</w:t>
      </w:r>
      <w:r>
        <w:t xml:space="preserve"> </w:t>
      </w:r>
      <w:r>
        <w:t xml:space="preserve">viable cell concentration, feed schedule and culture duration will be operated at the</w:t>
      </w:r>
      <w:r>
        <w:t xml:space="preserve"> </w:t>
      </w:r>
      <w:r>
        <w:t xml:space="preserve">commercial target values. The scale-dependent settings (agitation, gas flow rates, vessel</w:t>
      </w:r>
      <w:r>
        <w:t xml:space="preserve"> </w:t>
      </w:r>
      <w:r>
        <w:t xml:space="preserve">pressure and working volume) will be established so that the bench vessel matches</w:t>
      </w:r>
      <w:r>
        <w:t xml:space="preserve"> </w:t>
      </w:r>
      <w:r>
        <w:t xml:space="preserve">commercial performance in volumetric mass transfer coefficient, mixing time and carbon</w:t>
      </w:r>
      <w:r>
        <w:t xml:space="preserve"> </w:t>
      </w:r>
      <w:r>
        <w:t xml:space="preserve">dioxide removal.</w:t>
      </w:r>
    </w:p>
    <w:p>
      <w:pPr>
        <w:pStyle w:val="BodyText"/>
      </w:pPr>
      <w:r>
        <w:t xml:space="preserve">Qualification will compare replicate runs at set-point against the commercial and pilot</w:t>
      </w:r>
      <w:r>
        <w:t xml:space="preserve"> </w:t>
      </w:r>
      <w:r>
        <w:t xml:space="preserve">scale record for the same conditions, covering growth, viability, titre and the</w:t>
      </w:r>
      <w:r>
        <w:t xml:space="preserve"> </w:t>
      </w:r>
      <w:r>
        <w:t xml:space="preserve">5 quality attributes measured as responses. The acceptance criterion</w:t>
      </w:r>
      <w:r>
        <w:t xml:space="preserve"> </w:t>
      </w:r>
      <w:r>
        <w:t xml:space="preserve">is given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the qualification data will be reported in PCR-003.</w:t>
      </w:r>
    </w:p>
    <w:p>
      <w:pPr>
        <w:pStyle w:val="BodyText"/>
      </w:pPr>
      <w:r>
        <w:t xml:space="preserve">The centre points of each design give a second and internal check on the model, because</w:t>
      </w:r>
      <w:r>
        <w:t xml:space="preserve"> </w:t>
      </w:r>
      <w:r>
        <w:t xml:space="preserve">their replicate spread is the pure error term used in the lack of fit test (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)</w:t>
      </w:r>
      <w:r>
        <w:t xml:space="preserve"> </w:t>
      </w:r>
      <w:r>
        <w:t xml:space="preserve">and it also measures how reproducibly the model performs across the execution period.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One vial of the A-Mab working cell bank (WCB) will start the seed train for each block of</w:t>
      </w:r>
      <w:r>
        <w:t xml:space="preserve"> </w:t>
      </w:r>
      <w:r>
        <w:t xml:space="preserve">runs. The seed train will be expanded to the N-1 stage under SOP-2003, and the production</w:t>
      </w:r>
      <w:r>
        <w:t xml:space="preserve"> </w:t>
      </w:r>
      <w:r>
        <w:t xml:space="preserve">vessel will then be inoculated at the target initial viable cell concentration.</w:t>
      </w:r>
    </w:p>
    <w:p>
      <w:pPr>
        <w:pStyle w:val="BodyText"/>
      </w:pPr>
      <w:r>
        <w:t xml:space="preserve">Basal medium and nutrient feeds will be prepared under SOP-2004, and a single lot of</w:t>
      </w:r>
      <w:r>
        <w:t xml:space="preserve"> </w:t>
      </w:r>
      <w:r>
        <w:t xml:space="preserve">basal medium and a single lot of each feed will be used throughout the study, so that</w:t>
      </w:r>
      <w:r>
        <w:t xml:space="preserve"> </w:t>
      </w:r>
      <w:r>
        <w:t xml:space="preserve">variation between lots does not enter the effect estimates. Medium and feeds are</w:t>
      </w:r>
      <w:r>
        <w:t xml:space="preserve"> </w:t>
      </w:r>
      <w:r>
        <w:t xml:space="preserve">controlled to platform specification for identity and quality, and although basal medium</w:t>
      </w:r>
      <w:r>
        <w:t xml:space="preserve"> </w:t>
      </w:r>
      <w:r>
        <w:t xml:space="preserve">concentration and nutrient feed volume are process parameters and appear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</w:t>
      </w:r>
      <w:r>
        <w:t xml:space="preserve"> </w:t>
      </w:r>
      <w:r>
        <w:t xml:space="preserve">both are held at their set-points in the designed runs described in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Cultures will be fed on the platform schedule and harvested at the culture duration</w:t>
      </w:r>
      <w:r>
        <w:t xml:space="preserve"> </w:t>
      </w:r>
      <w:r>
        <w:t xml:space="preserve">assigned to the run, and each run yields one clarified harvest on which the quality</w:t>
      </w:r>
      <w:r>
        <w:t xml:space="preserve"> </w:t>
      </w:r>
      <w:r>
        <w:t xml:space="preserve">attributes are measured.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that will generate the study data are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supporting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glycan attributes are measured by released N-glycan mapping, which reports</w:t>
      </w:r>
      <w:r>
        <w:t xml:space="preserve"> </w:t>
      </w:r>
      <w:r>
        <w:t xml:space="preserve">afucosylation, galactosylation and high mannose from a single injection, while aggregates</w:t>
      </w:r>
      <w:r>
        <w:t xml:space="preserve"> </w:t>
      </w:r>
      <w:r>
        <w:t xml:space="preserve">are measured by size exclusion chromatography (SEC-HPLC) and acidic charge variants by</w:t>
      </w:r>
      <w:r>
        <w:t xml:space="preserve"> </w:t>
      </w:r>
      <w:r>
        <w:t xml:space="preserve">imaged capillary isoelectric focusing (icIEF). Host cell protein is measured by</w:t>
      </w:r>
      <w:r>
        <w:t xml:space="preserve"> </w:t>
      </w:r>
      <w:r>
        <w:t xml:space="preserve">immunoassay and residual DNA by quantitative polymerase chain reaction (qPCR).</w:t>
      </w:r>
    </w:p>
    <w:p>
      <w:pPr>
        <w:pStyle w:val="BodyText"/>
      </w:pPr>
      <w:r>
        <w:t xml:space="preserve">Each method is validated, and its validation report defines accuracy, precision, range</w:t>
      </w:r>
      <w:r>
        <w:t xml:space="preserve"> </w:t>
      </w:r>
      <w:r>
        <w:t xml:space="preserve">and the reportable result. A summary of method performance will be given in PCR-003</w:t>
      </w:r>
      <w:r>
        <w:t xml:space="preserve"> </w:t>
      </w:r>
      <w:r>
        <w:t xml:space="preserve">(Appendix D). Sample handling and storage follow the method procedures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and harvest samples for the glycan and size variant assays will be frozen and</w:t>
      </w:r>
      <w:r>
        <w:t xml:space="preserve"> </w:t>
      </w:r>
      <w:r>
        <w:t xml:space="preserve">analysed in a single analytical campaign per design, so that analytical drift across the</w:t>
      </w:r>
      <w:r>
        <w:t xml:space="preserve"> </w:t>
      </w:r>
      <w:r>
        <w:t xml:space="preserve">execution period does not confound the run order.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kinds of sample will be taken. Daily process samples support the conduct of the</w:t>
      </w:r>
      <w:r>
        <w:t xml:space="preserve"> </w:t>
      </w:r>
      <w:r>
        <w:t xml:space="preserve">culture and are used for viable cell concentration, viability, metabolites, osmolality</w:t>
      </w:r>
      <w:r>
        <w:t xml:space="preserve"> </w:t>
      </w:r>
      <w:r>
        <w:t xml:space="preserve">and pCO₂, while a single harvest sample from each run supports the quality attribute</w:t>
      </w:r>
      <w:r>
        <w:t xml:space="preserve"> </w:t>
      </w:r>
      <w:r>
        <w:t xml:space="preserve">measurements.</w:t>
      </w:r>
    </w:p>
    <w:p>
      <w:pPr>
        <w:pStyle w:val="BodyText"/>
      </w:pPr>
      <w:r>
        <w:t xml:space="preserve">Every run in the matrices of Appendix A and Appendix B yields one harvest sample. The</w:t>
      </w:r>
      <w:r>
        <w:t xml:space="preserve"> </w:t>
      </w:r>
      <w:r>
        <w:t xml:space="preserve">screening design includes 3 centre point runs and the</w:t>
      </w:r>
      <w:r>
        <w:t xml:space="preserve"> </w:t>
      </w:r>
      <w:r>
        <w:t xml:space="preserve">response-surface design includes 4, and these runs are executed</w:t>
      </w:r>
      <w:r>
        <w:t xml:space="preserve"> </w:t>
      </w:r>
      <w:r>
        <w:t xml:space="preserve">at identical settings and distributed across the execution period, so that they measure</w:t>
      </w:r>
      <w:r>
        <w:t xml:space="preserve"> </w:t>
      </w:r>
      <w:r>
        <w:t xml:space="preserve">reproducibility over the whole campaign and not the reproducibility of a single day.</w:t>
      </w:r>
      <w:r>
        <w:t xml:space="preserve"> </w:t>
      </w:r>
      <w:r>
        <w:t xml:space="preserve">Retained harvest material will be stored under the conditions given in the method</w:t>
      </w:r>
      <w:r>
        <w:t xml:space="preserve"> </w:t>
      </w:r>
      <w:r>
        <w:t xml:space="preserve">procedures, so that a disputed result can be re-tested.</w:t>
      </w:r>
    </w:p>
    <w:bookmarkEnd w:id="26"/>
    <w:bookmarkStart w:id="27" w:name="sec-stat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 and will be carried out on coded factors, where the</w:t>
      </w:r>
      <w:r>
        <w:t xml:space="preserve"> </w:t>
      </w:r>
      <w:r>
        <w:t xml:space="preserve">set-point is 0 and the edges of the studied range are the coded levels −1 and +1. Coding</w:t>
      </w:r>
      <w:r>
        <w:t xml:space="preserve"> </w:t>
      </w:r>
      <w:r>
        <w:t xml:space="preserve">makes the effect estimates comparable across factors that have different units and</w:t>
      </w:r>
      <w:r>
        <w:t xml:space="preserve"> </w:t>
      </w:r>
      <w:r>
        <w:t xml:space="preserve">different range widths.</w:t>
      </w:r>
    </w:p>
    <w:p>
      <w:pPr>
        <w:pStyle w:val="BodyText"/>
      </w:pPr>
      <w:r>
        <w:t xml:space="preserve">The screening design will be analysed by ordinary least squares (OLS), with all main</w:t>
      </w:r>
      <w:r>
        <w:t xml:space="preserve"> </w:t>
      </w:r>
      <w:r>
        <w:t xml:space="preserve">effects and all two-factor interactions in the model. The effect of a term is reported as</w:t>
      </w:r>
      <w:r>
        <w:t xml:space="preserve"> </w:t>
      </w:r>
      <w:r>
        <w:t xml:space="preserve">twice its coded coefficient, so that an effect is the change in the response across the</w:t>
      </w:r>
      <w:r>
        <w:t xml:space="preserve"> </w:t>
      </w:r>
      <w:r>
        <w:t xml:space="preserve">studied range. Terms will be judged at a significance level of</w:t>
      </w:r>
      <w:r>
        <w:t xml:space="preserve"> </w:t>
      </w:r>
      <w:r>
        <w:t xml:space="preserve">0.05.</w:t>
      </w:r>
    </w:p>
    <w:p>
      <w:pPr>
        <w:pStyle w:val="BodyText"/>
      </w:pPr>
      <w:r>
        <w:t xml:space="preserve">The response-surface design will be analysed as a full quadratic model in its factors,</w:t>
      </w:r>
      <w:r>
        <w:t xml:space="preserve"> </w:t>
      </w:r>
      <w:r>
        <w:t xml:space="preserve">with main effects, two-factor interactions and pure quadratic terms. Adequacy will be</w:t>
      </w:r>
      <w:r>
        <w:t xml:space="preserve"> </w:t>
      </w:r>
      <w:r>
        <w:t xml:space="preserve">judged from the coefficient of determination and its adjusted and predicted forms, from</w:t>
      </w:r>
      <w:r>
        <w:t xml:space="preserve"> </w:t>
      </w:r>
      <w:r>
        <w:t xml:space="preserve">the overall F test, and from an analysis of variance (ANOVA) that partitions the residual</w:t>
      </w:r>
      <w:r>
        <w:t xml:space="preserve"> </w:t>
      </w:r>
      <w:r>
        <w:t xml:space="preserve">into lack of fit and pure error. The predicted coefficient is computed from the</w:t>
      </w:r>
      <w:r>
        <w:t xml:space="preserve"> </w:t>
      </w:r>
      <w:r>
        <w:t xml:space="preserve">prediction sum of squares (PRESS). Residual diagnostics will be inspected for structure</w:t>
      </w:r>
      <w:r>
        <w:t xml:space="preserve"> </w:t>
      </w:r>
      <w:r>
        <w:t xml:space="preserve">that the model has not captured (residuals against the predicted values, a normal</w:t>
      </w:r>
      <w:r>
        <w:t xml:space="preserve"> </w:t>
      </w:r>
      <w:r>
        <w:t xml:space="preserve">quantile plot of the residuals, and the predicted values against the measured ones).</w:t>
      </w:r>
    </w:p>
    <w:p>
      <w:pPr>
        <w:pStyle w:val="BodyText"/>
      </w:pPr>
      <w:r>
        <w:t xml:space="preserve">A factor with no significant effect on a response is a result and not a gap in the study.</w:t>
      </w:r>
      <w:r>
        <w:t xml:space="preserve"> </w:t>
      </w:r>
      <w:r>
        <w:t xml:space="preserve">Such factors will be reported with their effect estimate and its standard error. They</w:t>
      </w:r>
      <w:r>
        <w:t xml:space="preserve"> </w:t>
      </w:r>
      <w:r>
        <w:t xml:space="preserve">will be kept in the knowledge space as evidence that the response is robust to them</w:t>
      </w:r>
      <w:r>
        <w:t xml:space="preserve"> </w:t>
      </w:r>
      <w:r>
        <w:t xml:space="preserve">across the range studied.</w:t>
      </w:r>
    </w:p>
    <w:p>
      <w:pPr>
        <w:pStyle w:val="BodyText"/>
      </w:pPr>
      <w:r>
        <w:t xml:space="preserve">Capability at commercial scale will be estimated by Monte Carlo simulation of</w:t>
      </w:r>
      <w:r>
        <w:t xml:space="preserve"> </w:t>
      </w:r>
      <w:r>
        <w:t xml:space="preserve">2,000 batches, with each parameter drawn inside its NOR and with the</w:t>
      </w:r>
      <w:r>
        <w:t xml:space="preserve"> </w:t>
      </w:r>
      <w:r>
        <w:t xml:space="preserve">residual variability of the fitted model added. A one-sided capability index (Cpk) will</w:t>
      </w:r>
      <w:r>
        <w:t xml:space="preserve"> </w:t>
      </w:r>
      <w:r>
        <w:t xml:space="preserve">then be computed for each modelled attribute against the limit that governs it.</w:t>
      </w:r>
    </w:p>
    <w:bookmarkEnd w:id="27"/>
    <w:bookmarkEnd w:id="28"/>
    <w:bookmarkStart w:id="35" w:name="sec-design"/>
    <w:p>
      <w:pPr>
        <w:pStyle w:val="Heading1"/>
      </w:pPr>
      <w:r>
        <w:t xml:space="preserve">6. Study design</w:t>
      </w:r>
    </w:p>
    <w:bookmarkStart w:id="31" w:name="sec-factors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 to be studied are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with their set-points, the ranges</w:t>
      </w:r>
      <w:r>
        <w:t xml:space="preserve"> </w:t>
      </w:r>
      <w:r>
        <w:t xml:space="preserve">to be studied, the normal operating ranges and the type of study each will receive.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Process parameters in scope, with set-points, ranges to be studied, normal operating ranges and the type of study each will receive.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Of the 9 parameters in scope, 5 are assigned to</w:t>
      </w:r>
      <w:r>
        <w:t xml:space="preserve"> </w:t>
      </w:r>
      <w:r>
        <w:t xml:space="preserve">multivariate study and 4 to univariate assessment. The designed</w:t>
      </w:r>
      <w:r>
        <w:t xml:space="preserve"> </w:t>
      </w:r>
      <w:r>
        <w:t xml:space="preserve">experiments described below carry the 5 factors that RA-001 ranked</w:t>
      </w:r>
      <w:r>
        <w:t xml:space="preserve"> </w:t>
      </w:r>
      <w:r>
        <w:t xml:space="preserve">highest for impact and for interaction. Those factors, and the code letters used for them</w:t>
      </w:r>
      <w:r>
        <w:t xml:space="preserve"> </w:t>
      </w:r>
      <w:r>
        <w:t xml:space="preserve">in the design matrices and in the analysis,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Dissolved oxygen, basal medium concentration and nutrient feed volume are held at their</w:t>
      </w:r>
      <w:r>
        <w:t xml:space="preserve"> </w:t>
      </w:r>
      <w:r>
        <w:t xml:space="preserve">set-points in the designs described here, and are assessed univariately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  <w:r>
        <w:t xml:space="preserve"> </w:t>
      </w:r>
      <w:r>
        <w:t xml:space="preserve">Their ranges rest on the platform characterization carried out on the prior products, in</w:t>
      </w:r>
      <w:r>
        <w:t xml:space="preserve"> </w:t>
      </w:r>
      <w:r>
        <w:t xml:space="preserve">vessels of the same design and with the same medium system. If the screening results show</w:t>
      </w:r>
      <w:r>
        <w:t xml:space="preserve"> </w:t>
      </w:r>
      <w:r>
        <w:t xml:space="preserve">that this platform claim does not transfer to A-Mab, the three parameters will be added to</w:t>
      </w:r>
      <w:r>
        <w:t xml:space="preserve"> </w:t>
      </w:r>
      <w:r>
        <w:t xml:space="preserve">a further design under a numbered amendment to this plan.</w:t>
      </w:r>
    </w:p>
    <w:p>
      <w:pPr>
        <w:pStyle w:val="BodyText"/>
      </w:pPr>
      <w:r>
        <w:t xml:space="preserve">The range of each factor was chosen for a stated reason. Culture pH is studied over</w:t>
      </w:r>
      <w:r>
        <w:t xml:space="preserve"> </w:t>
      </w:r>
      <w:r>
        <w:t xml:space="preserve">6.6–7.1, which is the widest range relative to its control range. The pH</w:t>
      </w:r>
      <w:r>
        <w:t xml:space="preserve"> </w:t>
      </w:r>
      <w:r>
        <w:t xml:space="preserve">set-point is the principal handle on the glycan distribution, and the operating region</w:t>
      </w:r>
      <w:r>
        <w:t xml:space="preserve"> </w:t>
      </w:r>
      <w:r>
        <w:t xml:space="preserve">needs room around it. Culture temperature is studied over</w:t>
      </w:r>
      <w:r>
        <w:t xml:space="preserve"> </w:t>
      </w:r>
      <w:r>
        <w:t xml:space="preserve">34–36 °C, the band that the</w:t>
      </w:r>
      <w:r>
        <w:t xml:space="preserve"> </w:t>
      </w:r>
      <w:r>
        <w:t xml:space="preserve">commercial vessel can hold with its jacket at full duty. Dissolved carbon dioxide is</w:t>
      </w:r>
      <w:r>
        <w:t xml:space="preserve"> </w:t>
      </w:r>
      <w:r>
        <w:t xml:space="preserve">studied over 40–160 mmHg, which spans what the</w:t>
      </w:r>
      <w:r>
        <w:t xml:space="preserve"> </w:t>
      </w:r>
      <w:r>
        <w:t xml:space="preserve">commercial vessel accumulates at high cell density (stripping is less efficient at scale</w:t>
      </w:r>
      <w:r>
        <w:t xml:space="preserve"> </w:t>
      </w:r>
      <w:r>
        <w:t xml:space="preserve">than at bench scale). Osmolality is studied over 360–440</w:t>
      </w:r>
      <w:r>
        <w:t xml:space="preserve"> </w:t>
      </w:r>
      <w:r>
        <w:t xml:space="preserve">mOsm, the range the feed strategy can produce, and culture</w:t>
      </w:r>
      <w:r>
        <w:t xml:space="preserve"> </w:t>
      </w:r>
      <w:r>
        <w:t xml:space="preserve">duration over 15–19 days, the range that harvest scheduling can</w:t>
      </w:r>
      <w:r>
        <w:t xml:space="preserve"> </w:t>
      </w:r>
      <w:r>
        <w:t xml:space="preserve">accommodate.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identifies which factors and which two-factor interactions matter,</w:t>
      </w:r>
      <w:r>
        <w:t xml:space="preserve"> </w:t>
      </w:r>
      <w:r>
        <w:t xml:space="preserve">and it is not the predictive model.</w:t>
      </w:r>
    </w:p>
    <w:p>
      <w:pPr>
        <w:pStyle w:val="BodyText"/>
      </w:pPr>
      <w:r>
        <w:t xml:space="preserve">A two-level fractional factorial in the 5 screening factors will be</w:t>
      </w:r>
      <w:r>
        <w:t xml:space="preserve"> </w:t>
      </w:r>
      <w:r>
        <w:t xml:space="preserve">executed and augmented with centre points, giving 19 runs in total</w:t>
      </w:r>
      <w:r>
        <w:t xml:space="preserve"> </w:t>
      </w:r>
      <w:r>
        <w:t xml:space="preserve">(16 factorial runs and 3 centre points).</w:t>
      </w:r>
      <w:r>
        <w:t xml:space="preserve"> </w:t>
      </w:r>
      <w:r>
        <w:t xml:space="preserve">The fraction is a half fraction of resolution V, so every main effect and every</w:t>
      </w:r>
      <w:r>
        <w:t xml:space="preserve"> </w:t>
      </w:r>
      <w:r>
        <w:t xml:space="preserve">two-factor interaction is estimable and each is aliased only with interactions of three</w:t>
      </w:r>
      <w:r>
        <w:t xml:space="preserve"> </w:t>
      </w:r>
      <w:r>
        <w:t xml:space="preserve">factors or more, while the centre points give an independent estimate of pure error and a</w:t>
      </w:r>
      <w:r>
        <w:t xml:space="preserve"> </w:t>
      </w:r>
      <w:r>
        <w:t xml:space="preserve">test for curvature. Runs will be executed in randomized order under SOP-1002, and the</w:t>
      </w:r>
      <w:r>
        <w:t xml:space="preserve"> </w:t>
      </w:r>
      <w:r>
        <w:t xml:space="preserve">planned matrix is given in Appendix A.</w:t>
      </w:r>
    </w:p>
    <w:p>
      <w:pPr>
        <w:pStyle w:val="BodyText"/>
      </w:pPr>
      <w:r>
        <w:t xml:space="preserve">The screening analysis will report each effect with its standard error and p-value.</w:t>
      </w:r>
      <w:r>
        <w:t xml:space="preserve"> </w:t>
      </w:r>
      <w:r>
        <w:t xml:space="preserve">Effect magnitudes from a near-saturated screening model estimate direction and size, and</w:t>
      </w:r>
      <w:r>
        <w:t xml:space="preserve"> </w:t>
      </w:r>
      <w:r>
        <w:t xml:space="preserve">they will be refined by the response-surface model (RSM). No operating region and no</w:t>
      </w:r>
      <w:r>
        <w:t xml:space="preserve"> </w:t>
      </w:r>
      <w:r>
        <w:t xml:space="preserve">proven acceptable range will be claimed from the screening design.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the predictive model and the basis of the operating</w:t>
      </w:r>
      <w:r>
        <w:t xml:space="preserve"> </w:t>
      </w:r>
      <w:r>
        <w:t xml:space="preserve">region.</w:t>
      </w:r>
    </w:p>
    <w:p>
      <w:pPr>
        <w:pStyle w:val="BodyText"/>
      </w:pPr>
      <w:r>
        <w:t xml:space="preserve">A face-centred central composite design will be executed in the</w:t>
      </w:r>
      <w:r>
        <w:t xml:space="preserve"> </w:t>
      </w:r>
      <w:r>
        <w:t xml:space="preserve">4 factors carried forward from screening, giving</w:t>
      </w:r>
      <w:r>
        <w:t xml:space="preserve"> </w:t>
      </w:r>
      <w:r>
        <w:t xml:space="preserve">28 runs made up of 16 factorial runs,</w:t>
      </w:r>
      <w:r>
        <w:t xml:space="preserve"> </w:t>
      </w:r>
      <w:r>
        <w:t xml:space="preserve">8 axial runs and 4 centre points. The</w:t>
      </w:r>
      <w:r>
        <w:t xml:space="preserve"> </w:t>
      </w:r>
      <w:r>
        <w:t xml:space="preserve">axial points sit on the faces of the cube, at the coded levels −1 and +1, so that no run</w:t>
      </w:r>
      <w:r>
        <w:t xml:space="preserve"> </w:t>
      </w:r>
      <w:r>
        <w:t xml:space="preserve">is executed outside the range already covered by screening. That choice costs some</w:t>
      </w:r>
      <w:r>
        <w:t xml:space="preserve"> </w:t>
      </w:r>
      <w:r>
        <w:t xml:space="preserve">rotatability, and it buys a design in which every setting is one the commercial vessel</w:t>
      </w:r>
      <w:r>
        <w:t xml:space="preserve"> </w:t>
      </w:r>
      <w:r>
        <w:t xml:space="preserve">can hold.</w:t>
      </w:r>
    </w:p>
    <w:p>
      <w:pPr>
        <w:pStyle w:val="BodyText"/>
      </w:pPr>
      <w:r>
        <w:t xml:space="preserve">Prior knowledge indicates that the factors carried forward will be culture pH, culture</w:t>
      </w:r>
      <w:r>
        <w:t xml:space="preserve"> </w:t>
      </w:r>
      <w:r>
        <w:t xml:space="preserve">temperature, culture duration and dissolved carbon dioxide, and the matrix in Appendix B</w:t>
      </w:r>
      <w:r>
        <w:t xml:space="preserve"> </w:t>
      </w:r>
      <w:r>
        <w:t xml:space="preserve">is written for that set. If screening identifies a different set, the matrix will be</w:t>
      </w:r>
      <w:r>
        <w:t xml:space="preserve"> </w:t>
      </w:r>
      <w:r>
        <w:t xml:space="preserve">re-issued as an amendment before the response-surface runs are executed.</w:t>
      </w:r>
    </w:p>
    <w:p>
      <w:pPr>
        <w:pStyle w:val="BodyText"/>
      </w:pPr>
      <w:r>
        <w:t xml:space="preserve">The quadratic terms allow curvature in each factor and the cross terms allow a response</w:t>
      </w:r>
      <w:r>
        <w:t xml:space="preserve"> </w:t>
      </w:r>
      <w:r>
        <w:t xml:space="preserve">to depend on combinations of factors, which is why the operating space is described as a</w:t>
      </w:r>
      <w:r>
        <w:t xml:space="preserve"> </w:t>
      </w:r>
      <w:r>
        <w:t xml:space="preserve">multivariate region and not as a set of independent ranges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assessed one factor at a time over</w:t>
      </w:r>
      <w:r>
        <w:t xml:space="preserve"> </w:t>
      </w:r>
      <w:r>
        <w:t xml:space="preserve">0.5–1.5 e6 cells/mL, with all other parameters held at</w:t>
      </w:r>
      <w:r>
        <w:t xml:space="preserve"> </w:t>
      </w:r>
      <w:r>
        <w:t xml:space="preserve">set-point. It is not carried into the designed experiments, because it acts on the</w:t>
      </w:r>
      <w:r>
        <w:t xml:space="preserve"> </w:t>
      </w:r>
      <w:r>
        <w:t xml:space="preserve">culture through the length of the growth phase, and that effect is already spanned by</w:t>
      </w:r>
      <w:r>
        <w:t xml:space="preserve"> </w:t>
      </w:r>
      <w:r>
        <w:t xml:space="preserve">culture duration. It is also set at inoculation and controlled by the N-1 step, so its</w:t>
      </w:r>
      <w:r>
        <w:t xml:space="preserve"> </w:t>
      </w:r>
      <w:r>
        <w:t xml:space="preserve">variability at commercial scale is small.</w:t>
      </w:r>
    </w:p>
    <w:p>
      <w:pPr>
        <w:pStyle w:val="BodyText"/>
      </w:pPr>
      <w:r>
        <w:t xml:space="preserve">The univariate runs will be compared against the centre point runs of the screening</w:t>
      </w:r>
      <w:r>
        <w:t xml:space="preserve"> </w:t>
      </w:r>
      <w:r>
        <w:t xml:space="preserve">design, using the pure error estimate from those centre points as the reference variance.</w:t>
      </w:r>
    </w:p>
    <w:bookmarkEnd w:id="34"/>
    <w:bookmarkEnd w:id="35"/>
    <w:bookmarkStart w:id="43" w:name="sec-accept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every criterion set out below is met. Each criterion is stated</w:t>
      </w:r>
      <w:r>
        <w:t xml:space="preserve"> </w:t>
      </w:r>
      <w:r>
        <w:t xml:space="preserve">before execution and will be assessed as written.</w:t>
      </w:r>
    </w:p>
    <w:bookmarkStart w:id="36" w:name="qualification-of-the-scale-down-model"/>
    <w:p>
      <w:pPr>
        <w:pStyle w:val="Heading2"/>
      </w:pPr>
      <w:r>
        <w:t xml:space="preserve">7.1 Qualification of the scale-down model</w:t>
      </w:r>
    </w:p>
    <w:p>
      <w:pPr>
        <w:pStyle w:val="FirstParagraph"/>
      </w:pPr>
      <w:r>
        <w:t xml:space="preserve">The model is qualified when the performance of replicate runs at set-point is not</w:t>
      </w:r>
      <w:r>
        <w:t xml:space="preserve"> </w:t>
      </w:r>
      <w:r>
        <w:t xml:space="preserve">statistically different from the commercial scale record for the same conditions at a</w:t>
      </w:r>
      <w:r>
        <w:t xml:space="preserve"> </w:t>
      </w:r>
      <w:r>
        <w:t xml:space="preserve">significance level of 0.05, the comparison covering growth, viability,</w:t>
      </w:r>
      <w:r>
        <w:t xml:space="preserve"> </w:t>
      </w:r>
      <w:r>
        <w:t xml:space="preserve">titre and the 5 modelled quality attributes. If any of them differs,</w:t>
      </w:r>
      <w:r>
        <w:t xml:space="preserve"> </w:t>
      </w:r>
      <w:r>
        <w:t xml:space="preserve">the difference will be investigated and either the model will be modified or the claim</w:t>
      </w:r>
      <w:r>
        <w:t xml:space="preserve"> </w:t>
      </w:r>
      <w:r>
        <w:t xml:space="preserve">made for it will be narrowed, in both cases before characterization runs begin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6"/>
    <w:bookmarkStart w:id="37" w:name="reproducibility-of-the-centre-points"/>
    <w:p>
      <w:pPr>
        <w:pStyle w:val="Heading2"/>
      </w:pPr>
      <w:r>
        <w:t xml:space="preserve">7.2 Reproducibility of the centre points</w:t>
      </w:r>
    </w:p>
    <w:p>
      <w:pPr>
        <w:pStyle w:val="FirstParagraph"/>
      </w:pPr>
      <w:r>
        <w:t xml:space="preserve">The percent coefficient of variation of each response across the centre points will be</w:t>
      </w:r>
      <w:r>
        <w:t xml:space="preserve"> </w:t>
      </w:r>
      <w:r>
        <w:t xml:space="preserve">reported for both designs, and a response whose centre point variation exceeds the</w:t>
      </w:r>
      <w:r>
        <w:t xml:space="preserve"> </w:t>
      </w:r>
      <w:r>
        <w:t xml:space="preserve">intermediate precision stated in its validation report will be investigated before the</w:t>
      </w:r>
      <w:r>
        <w:t xml:space="preserve"> </w:t>
      </w:r>
      <w:r>
        <w:t xml:space="preserve">design is analysed. Centre point variation is also the pure error term, so an inflated</w:t>
      </w:r>
      <w:r>
        <w:t xml:space="preserve"> </w:t>
      </w:r>
      <w:r>
        <w:t xml:space="preserve">value widens the confidence limits on every effect and weakens the lack of fit test. This</w:t>
      </w:r>
      <w:r>
        <w:t xml:space="preserve"> </w:t>
      </w:r>
      <w:r>
        <w:t xml:space="preserve">criterion is therefore assessed before any effect is interpreted.</w:t>
      </w:r>
    </w:p>
    <w:bookmarkEnd w:id="37"/>
    <w:bookmarkStart w:id="38" w:name="adequacy-of-the-fitted-models"/>
    <w:p>
      <w:pPr>
        <w:pStyle w:val="Heading2"/>
      </w:pPr>
      <w:r>
        <w:t xml:space="preserve">7.3 Adequacy of the fitted models</w:t>
      </w:r>
    </w:p>
    <w:p>
      <w:pPr>
        <w:pStyle w:val="FirstParagraph"/>
      </w:pPr>
      <w:r>
        <w:t xml:space="preserve">A response-surface model will be treated as adequate for prediction when three conditions</w:t>
      </w:r>
      <w:r>
        <w:t xml:space="preserve"> </w:t>
      </w:r>
      <w:r>
        <w:t xml:space="preserve">hold. The overall F test is significant at 0.05, and the lack of fit F</w:t>
      </w:r>
      <w:r>
        <w:t xml:space="preserve"> </w:t>
      </w:r>
      <w:r>
        <w:t xml:space="preserve">test is not significant against pure error at the same level. The predicted coefficient</w:t>
      </w:r>
      <w:r>
        <w:t xml:space="preserve"> </w:t>
      </w:r>
      <w:r>
        <w:t xml:space="preserve">of determination is also close to the adjusted coefficient, which shows that the fit is</w:t>
      </w:r>
      <w:r>
        <w:t xml:space="preserve"> </w:t>
      </w:r>
      <w:r>
        <w:t xml:space="preserve">not carried by a small number of high leverage runs. A model that fails any of these</w:t>
      </w:r>
      <w:r>
        <w:t xml:space="preserve"> </w:t>
      </w:r>
      <w:r>
        <w:t xml:space="preserve">conditions will be reported as characterized but not predictive, the ranges for the</w:t>
      </w:r>
      <w:r>
        <w:t xml:space="preserve"> </w:t>
      </w:r>
      <w:r>
        <w:t xml:space="preserve">affected attribute will then be claimed from the univariate analysis described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, and the shortfall will be stated in PCR-003.</w:t>
      </w:r>
    </w:p>
    <w:bookmarkEnd w:id="38"/>
    <w:bookmarkStart w:id="39" w:name="definition-of-the-operating-region"/>
    <w:p>
      <w:pPr>
        <w:pStyle w:val="Heading2"/>
      </w:pPr>
      <w:r>
        <w:t xml:space="preserve">7.4 Definition of the operating region</w:t>
      </w:r>
    </w:p>
    <w:p>
      <w:pPr>
        <w:pStyle w:val="FirstParagraph"/>
      </w:pPr>
      <w:r>
        <w:t xml:space="preserve">The operating region will be declared as the set of factor combinations over which the</w:t>
      </w:r>
      <w:r>
        <w:t xml:space="preserve"> </w:t>
      </w:r>
      <w:r>
        <w:t xml:space="preserve">fitted models predict every governed attribute to lie inside its acceptance criterion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It will be reported with the factor planes that describe it, with its worst</w:t>
      </w:r>
      <w:r>
        <w:t xml:space="preserve"> </w:t>
      </w:r>
      <w:r>
        <w:t xml:space="preserve">case corner named, and with the NOR located inside it. The region is a mean</w:t>
      </w:r>
      <w:r>
        <w:t xml:space="preserve"> </w:t>
      </w:r>
      <w:r>
        <w:t xml:space="preserve">prediction region, so reliability at its edge is lower than at its centre, and the</w:t>
      </w:r>
      <w:r>
        <w:t xml:space="preserve"> </w:t>
      </w:r>
      <w:r>
        <w:t xml:space="preserve">capability analysis and the PAR analysis are what bound that</w:t>
      </w:r>
      <w:r>
        <w:t xml:space="preserve"> </w:t>
      </w:r>
      <w:r>
        <w:t xml:space="preserve">(CMC Biotech Working Group 2009)</w:t>
      </w:r>
      <w:r>
        <w:t xml:space="preserve">. Movement inside</w:t>
      </w:r>
      <w:r>
        <w:t xml:space="preserve"> </w:t>
      </w:r>
      <w:r>
        <w:t xml:space="preserve">the declared region is not a regulatory change</w:t>
      </w:r>
      <w:r>
        <w:t xml:space="preserve"> </w:t>
      </w:r>
      <w:r>
        <w:t xml:space="preserve">(International Council for Harmonisation 2009)</w:t>
      </w:r>
      <w:r>
        <w:t xml:space="preserve">, although it remains subject to</w:t>
      </w:r>
      <w:r>
        <w:t xml:space="preserve"> </w:t>
      </w:r>
      <w:r>
        <w:t xml:space="preserve">the change management system of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9"/>
    <w:bookmarkStart w:id="40" w:name="capability-at-commercial-scale"/>
    <w:p>
      <w:pPr>
        <w:pStyle w:val="Heading2"/>
      </w:pPr>
      <w:r>
        <w:t xml:space="preserve">7.5 Capability at commercial scale</w:t>
      </w:r>
    </w:p>
    <w:p>
      <w:pPr>
        <w:pStyle w:val="FirstParagraph"/>
      </w:pPr>
      <w:r>
        <w:t xml:space="preserve">Each modelled attribute will be assessed for capability against the limit that governs</w:t>
      </w:r>
      <w:r>
        <w:t xml:space="preserve"> </w:t>
      </w:r>
      <w:r>
        <w:t xml:space="preserve">it, using the Monte Carlo simulation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, and the minimum acceptable</w:t>
      </w:r>
      <w:r>
        <w:t xml:space="preserve"> </w:t>
      </w:r>
      <w:r>
        <w:t xml:space="preserve">capability index is the value fixed in PCMP-001. An attribute that falls below that value</w:t>
      </w:r>
      <w:r>
        <w:t xml:space="preserve"> </w:t>
      </w:r>
      <w:r>
        <w:t xml:space="preserve">will be reported with the margin it does achieve, and the operating region will be</w:t>
      </w:r>
      <w:r>
        <w:t xml:space="preserve"> </w:t>
      </w:r>
      <w:r>
        <w:t xml:space="preserve">narrowed until the criterion is met.</w:t>
      </w:r>
    </w:p>
    <w:bookmarkEnd w:id="40"/>
    <w:bookmarkStart w:id="41" w:name="classification-of-parameters"/>
    <w:p>
      <w:pPr>
        <w:pStyle w:val="Heading2"/>
      </w:pPr>
      <w:r>
        <w:t xml:space="preserve">7.6 Classification of parameters</w:t>
      </w:r>
    </w:p>
    <w:p>
      <w:pPr>
        <w:pStyle w:val="FirstParagraph"/>
      </w:pPr>
      <w:r>
        <w:t xml:space="preserve">Each parameter will be classified under SOP-4001 from two inputs: the size of its</w:t>
      </w:r>
      <w:r>
        <w:t xml:space="preserve"> </w:t>
      </w:r>
      <w:r>
        <w:t xml:space="preserve">demonstrated effect on the quality attributes, and the risk that normal operation carries</w:t>
      </w:r>
      <w:r>
        <w:t xml:space="preserve"> </w:t>
      </w:r>
      <w:r>
        <w:t xml:space="preserve">it outside the declared region. A parameter with no significant effect is still</w:t>
      </w:r>
      <w:r>
        <w:t xml:space="preserve"> </w:t>
      </w:r>
      <w:r>
        <w:t xml:space="preserve">classified, and the evidence of robustness is recorded with it. Classification is an</w:t>
      </w:r>
      <w:r>
        <w:t xml:space="preserve"> </w:t>
      </w:r>
      <w:r>
        <w:t xml:space="preserve">output of PCR-003 and is not anticipated in this plan.</w:t>
      </w:r>
    </w:p>
    <w:bookmarkEnd w:id="41"/>
    <w:bookmarkStart w:id="42" w:name="handling-of-deviations"/>
    <w:p>
      <w:pPr>
        <w:pStyle w:val="Heading2"/>
      </w:pPr>
      <w:r>
        <w:t xml:space="preserve">7.7 Handling of deviations</w:t>
      </w:r>
    </w:p>
    <w:p>
      <w:pPr>
        <w:pStyle w:val="FirstParagraph"/>
      </w:pPr>
      <w:r>
        <w:t xml:space="preserve">Any departure from this plan will be recorded as a deviation, investigated for root cause</w:t>
      </w:r>
      <w:r>
        <w:t xml:space="preserve"> </w:t>
      </w:r>
      <w:r>
        <w:t xml:space="preserve">and dispositioned before the affected data are used. Where the investigation shows that a</w:t>
      </w:r>
      <w:r>
        <w:t xml:space="preserve"> </w:t>
      </w:r>
      <w:r>
        <w:t xml:space="preserve">deviation did not move a factor outside its studied range and did not affect the measured</w:t>
      </w:r>
      <w:r>
        <w:t xml:space="preserve"> </w:t>
      </w:r>
      <w:r>
        <w:t xml:space="preserve">responses, the runs will be retained and the argument recorded. Where a deviation</w:t>
      </w:r>
      <w:r>
        <w:t xml:space="preserve"> </w:t>
      </w:r>
      <w:r>
        <w:t xml:space="preserve">invalidates a design for the purpose of defining the operating region, that design will</w:t>
      </w:r>
      <w:r>
        <w:t xml:space="preserve"> </w:t>
      </w:r>
      <w:r>
        <w:t xml:space="preserve">be re-executed in full on requalified material. The first execution will be retained as a</w:t>
      </w:r>
      <w:r>
        <w:t xml:space="preserve"> </w:t>
      </w:r>
      <w:r>
        <w:t xml:space="preserve">superseded dataset and reported as such, and only the requalified execution will be</w:t>
      </w:r>
      <w:r>
        <w:t xml:space="preserve"> </w:t>
      </w:r>
      <w:r>
        <w:t xml:space="preserve">analysed for the operating region.</w:t>
      </w:r>
    </w:p>
    <w:bookmarkEnd w:id="42"/>
    <w:bookmarkEnd w:id="43"/>
    <w:bookmarkStart w:id="4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one parameter over which a quality attribute</w:t>
      </w:r>
      <w:r>
        <w:t xml:space="preserve"> </w:t>
      </w:r>
      <w:r>
        <w:t xml:space="preserve">stays inside its acceptance criterion while the other parameters are treated in a stated</w:t>
      </w:r>
      <w:r>
        <w:t xml:space="preserve"> </w:t>
      </w:r>
      <w:r>
        <w:t xml:space="preserve">way, and this section fixes how those ranges will be determined before any data exist.</w:t>
      </w:r>
    </w:p>
    <w:p>
      <w:pPr>
        <w:pStyle w:val="BodyText"/>
      </w:pPr>
      <w:r>
        <w:t xml:space="preserve">The acceptance basis is the drug substance criterion for each attribute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</w:t>
      </w:r>
      <w:r>
        <w:t xml:space="preserve"> </w:t>
      </w:r>
      <w:r>
        <w:t xml:space="preserve">bioreactor sets no viral clearance attribute, so no step level clearance floor has to be</w:t>
      </w:r>
      <w:r>
        <w:t xml:space="preserve"> </w:t>
      </w:r>
      <w:r>
        <w:t xml:space="preserve">back-calculated here. That calculation applies to the low pH inactivation, anion exchange</w:t>
      </w:r>
      <w:r>
        <w:t xml:space="preserve"> </w:t>
      </w:r>
      <w:r>
        <w:t xml:space="preserve">and virus filtration steps, whose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Two analyses will be run for each governed attribute and each factor of the</w:t>
      </w:r>
      <w:r>
        <w:t xml:space="preserve"> </w:t>
      </w:r>
      <w:r>
        <w:t xml:space="preserve">response-surface model. The first holds the other factors at their set-points, varies the</w:t>
      </w:r>
      <w:r>
        <w:t xml:space="preserve"> </w:t>
      </w:r>
      <w:r>
        <w:t xml:space="preserve">parameter across its full characterization range, and evaluates the fitted model on a</w:t>
      </w:r>
      <w:r>
        <w:t xml:space="preserve"> </w:t>
      </w:r>
      <w:r>
        <w:t xml:space="preserve">grid across that range. The PAR is then the contiguous part of the grid that contains the</w:t>
      </w:r>
      <w:r>
        <w:t xml:space="preserve"> </w:t>
      </w:r>
      <w:r>
        <w:t xml:space="preserve">set-point and over which the predicted attribute stays inside acceptance.</w:t>
      </w:r>
    </w:p>
    <w:p>
      <w:pPr>
        <w:pStyle w:val="BodyText"/>
      </w:pPr>
      <w:r>
        <w:t xml:space="preserve">The second analysis varies the other factors within their normal operating ranges. At</w:t>
      </w:r>
      <w:r>
        <w:t xml:space="preserve"> </w:t>
      </w:r>
      <w:r>
        <w:t xml:space="preserve">each grid point, 2,000 draws are taken from the fitted model, with the</w:t>
      </w:r>
      <w:r>
        <w:t xml:space="preserve"> </w:t>
      </w:r>
      <w:r>
        <w:t xml:space="preserve">other factors sampled inside their NORs and with the residual variability of the model</w:t>
      </w:r>
      <w:r>
        <w:t xml:space="preserve"> </w:t>
      </w:r>
      <w:r>
        <w:t xml:space="preserve">added. The PAR is the contiguous part of the grid over which the predictive interval of</w:t>
      </w:r>
      <w:r>
        <w:t xml:space="preserve"> </w:t>
      </w:r>
      <w:r>
        <w:t xml:space="preserve">the attribute stays inside acceptance. This is a robustness criterion, so the second</w:t>
      </w:r>
      <w:r>
        <w:t xml:space="preserve"> </w:t>
      </w:r>
      <w:r>
        <w:t xml:space="preserve">PAR can only be narrower than the first or equal to it. The simulation is seeded, which</w:t>
      </w:r>
      <w:r>
        <w:t xml:space="preserve"> </w:t>
      </w:r>
      <w:r>
        <w:t xml:space="preserve">makes both analyses reproducible from the fitted model and the parameter definitions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The decision rule is the same for both analyses. Where the acceptable range covers the</w:t>
      </w:r>
      <w:r>
        <w:t xml:space="preserve"> </w:t>
      </w:r>
      <w:r>
        <w:t xml:space="preserve">whole characterization range, that whole studied range will be reported as proven</w:t>
      </w:r>
      <w:r>
        <w:t xml:space="preserve"> </w:t>
      </w:r>
      <w:r>
        <w:t xml:space="preserve">acceptable for the attribute in question. Where it does not, the binding attribute will</w:t>
      </w:r>
      <w:r>
        <w:t xml:space="preserve"> </w:t>
      </w:r>
      <w:r>
        <w:t xml:space="preserve">be named, together with the margin between the PAR and the NOR. A parameter whose PAR</w:t>
      </w:r>
      <w:r>
        <w:t xml:space="preserve"> </w:t>
      </w:r>
      <w:r>
        <w:t xml:space="preserve">does not contain its NOR fails the criterion, and the NOR will then be narrowed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Results will be reported in two forms. A table will give, for each attribute and each</w:t>
      </w:r>
      <w:r>
        <w:t xml:space="preserve"> </w:t>
      </w:r>
      <w:r>
        <w:t xml:space="preserve">parameter, the characterization range and both proven acceptable ranges. A plot will be</w:t>
      </w:r>
      <w:r>
        <w:t xml:space="preserve"> </w:t>
      </w:r>
      <w:r>
        <w:t xml:space="preserve">given for each governed attribute against the parameter with the largest main effect on</w:t>
      </w:r>
      <w:r>
        <w:t xml:space="preserve"> </w:t>
      </w:r>
      <w:r>
        <w:t xml:space="preserve">it. The plot carries the parameter on the horizontal axis and the attribute on the</w:t>
      </w:r>
      <w:r>
        <w:t xml:space="preserve"> </w:t>
      </w:r>
      <w:r>
        <w:t xml:space="preserve">vertical axis, with the acceptance limit drawn, the acceptable region shaded green, and</w:t>
      </w:r>
      <w:r>
        <w:t xml:space="preserve"> </w:t>
      </w:r>
      <w:r>
        <w:t xml:space="preserve">the set-point and NOR marked. The two analyses appear as the two panels of that plot.</w:t>
      </w:r>
    </w:p>
    <w:p>
      <w:pPr>
        <w:pStyle w:val="BodyText"/>
      </w:pPr>
      <w:r>
        <w:t xml:space="preserve">The relationship between these ranges and the operating region will be stated explicitly</w:t>
      </w:r>
      <w:r>
        <w:t xml:space="preserve"> </w:t>
      </w:r>
      <w:r>
        <w:t xml:space="preserve">in the report. A PAR is univariate and is conditioned on the fitted model, on the</w:t>
      </w:r>
      <w:r>
        <w:t xml:space="preserve"> </w:t>
      </w:r>
      <w:r>
        <w:t xml:space="preserve">characterization ranges and on how the other factors are treated in each analysis,</w:t>
      </w:r>
      <w:r>
        <w:t xml:space="preserve"> </w:t>
      </w:r>
      <w:r>
        <w:t xml:space="preserve">whereas the operating region defined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multivariate. Where the whole</w:t>
      </w:r>
      <w:r>
        <w:t xml:space="preserve"> </w:t>
      </w:r>
      <w:r>
        <w:t xml:space="preserve">characterization range of a parameter is proven acceptable, the binding constraint on</w:t>
      </w:r>
      <w:r>
        <w:t xml:space="preserve"> </w:t>
      </w:r>
      <w:r>
        <w:t xml:space="preserve">operation is the multivariate corner of the region and not any univariate range.</w:t>
      </w:r>
    </w:p>
    <w:bookmarkEnd w:id="44"/>
    <w:bookmarkStart w:id="45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Process data will be captured by the bioreactor control system and its validated</w:t>
      </w:r>
      <w:r>
        <w:t xml:space="preserve"> </w:t>
      </w:r>
      <w:r>
        <w:t xml:space="preserve">historian, analytical results will be captured in the validated chromatography data</w:t>
      </w:r>
      <w:r>
        <w:t xml:space="preserve"> </w:t>
      </w:r>
      <w:r>
        <w:t xml:space="preserve">system and the laboratory information system, and manual entries will be recorded in the</w:t>
      </w:r>
      <w:r>
        <w:t xml:space="preserve"> </w:t>
      </w:r>
      <w:r>
        <w:t xml:space="preserve">validated electronic laboratory notebook.</w:t>
      </w:r>
    </w:p>
    <w:p>
      <w:pPr>
        <w:pStyle w:val="BodyText"/>
      </w:pPr>
      <w:r>
        <w:t xml:space="preserve">All records will meet ALCOA+ expectations, so that entries are attributable, legible,</w:t>
      </w:r>
      <w:r>
        <w:t xml:space="preserve"> </w:t>
      </w:r>
      <w:r>
        <w:t xml:space="preserve">contemporaneous, original and accurate, and the record as a whole is complete,</w:t>
      </w:r>
      <w:r>
        <w:t xml:space="preserve"> </w:t>
      </w:r>
      <w:r>
        <w:t xml:space="preserve">consistent, enduring and available. Audit trails will be enabled and reviewed.</w:t>
      </w:r>
    </w:p>
    <w:p>
      <w:pPr>
        <w:pStyle w:val="BodyText"/>
      </w:pPr>
      <w:r>
        <w:t xml:space="preserve">The analysis datasets, the scripts that produce the tables and figures, and the fitted</w:t>
      </w:r>
      <w:r>
        <w:t xml:space="preserve"> </w:t>
      </w:r>
      <w:r>
        <w:t xml:space="preserve">models will be held under version control, and a second statistician will reproduce the</w:t>
      </w:r>
      <w:r>
        <w:t xml:space="preserve"> </w:t>
      </w:r>
      <w:r>
        <w:t xml:space="preserve">analysis independently before PCR-003 is issued, as required by SOP-1002.</w:t>
      </w:r>
    </w:p>
    <w:bookmarkEnd w:id="45"/>
    <w:bookmarkStart w:id="47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assigned across the functions involved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 Process</w:t>
      </w:r>
      <w:r>
        <w:t xml:space="preserve"> </w:t>
      </w:r>
      <w:r>
        <w:t xml:space="preserve">Development owns the plan, its execution and the report, while Quality Assurance approves</w:t>
      </w:r>
      <w:r>
        <w:t xml:space="preserve"> </w:t>
      </w:r>
      <w:r>
        <w:t xml:space="preserve">both documents and dispositions any deviation raised during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their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plan. Designs, executes and analyses the studies. Authors PCR-003.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qualification of the scale-down model and the transfer package to the receiving site.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validated methods, sample analysis and release of analytical data.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 and reproduces the analysis independently.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Manufacturing, Grafton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ranges for compatibility with the commercial vessel and its control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PCR-003. Dispositions deviations.</w:t>
                  </w:r>
                </w:p>
              </w:tc>
            </w:tr>
          </w:tbl>
          <w:bookmarkEnd w:id="46"/>
          <w:p/>
        </w:tc>
      </w:tr>
    </w:tbl>
    <w:bookmarkEnd w:id="47"/>
    <w:bookmarkStart w:id="4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PCR-003, the process characterization report for the</w:t>
      </w:r>
      <w:r>
        <w:t xml:space="preserve"> </w:t>
      </w:r>
      <w:r>
        <w:t xml:space="preserve">production bioreactor, which will contain the qualification of the scale-down model, the</w:t>
      </w:r>
      <w:r>
        <w:t xml:space="preserve"> </w:t>
      </w:r>
      <w:r>
        <w:t xml:space="preserve">executed designs, the fitted models, the operating region, the proven acceptable ranges,</w:t>
      </w:r>
      <w:r>
        <w:t xml:space="preserve"> </w:t>
      </w:r>
      <w:r>
        <w:t xml:space="preserve">the capability assessment and the parameter classification.</w:t>
      </w:r>
    </w:p>
    <w:p>
      <w:pPr>
        <w:pStyle w:val="BodyText"/>
      </w:pPr>
      <w:r>
        <w:t xml:space="preserve">Execution follows the phase sequence given in</w:t>
      </w:r>
      <w:r>
        <w:t xml:space="preserve"> </w:t>
      </w:r>
      <w:hyperlink w:anchor="tbl-phases">
        <w:r>
          <w:rPr>
            <w:rStyle w:val="Hyperlink"/>
          </w:rPr>
          <w:t xml:space="preserve">Table 9</w:t>
        </w:r>
      </w:hyperlink>
      <w:r>
        <w:t xml:space="preserve">, and each phase gates the next.</w:t>
      </w:r>
      <w:r>
        <w:t xml:space="preserve"> </w:t>
      </w:r>
      <w:r>
        <w:t xml:space="preserve">No dates are fixed in this plan, because the schedule for the campaign is held in</w:t>
      </w:r>
      <w:r>
        <w:t xml:space="preserve"> </w:t>
      </w:r>
      <w:r>
        <w:t xml:space="preserve">PTP-001.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pha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Phase sequence and the gate between phases.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Gate to the next phase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Replicate runs at set-point against the commercial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qualified under SOP-1001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Fractional factorial with centre points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identified and the response-surface matrix confirmed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 surface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Face-centred central composite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Adequate models for the governed attributes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Initial viable cell concentration across its 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complete and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Operating region, proven acceptable ranges, capability, classification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approved</w:t>
                  </w:r>
                </w:p>
              </w:tc>
            </w:tr>
          </w:tbl>
          <w:bookmarkEnd w:id="48"/>
          <w:p/>
        </w:tc>
      </w:tr>
    </w:tbl>
    <w:bookmarkEnd w:id="49"/>
    <w:bookmarkStart w:id="5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assumption is that the scale-down model represents the commercial vessel for the</w:t>
      </w:r>
      <w:r>
        <w:t xml:space="preserve"> </w:t>
      </w:r>
      <w:r>
        <w:t xml:space="preserve">attributes studied. The risk is that it does not, in which case the operating region</w:t>
      </w:r>
      <w:r>
        <w:t xml:space="preserve"> </w:t>
      </w:r>
      <w:r>
        <w:t xml:space="preserve">derived from it would not transfer. This is managed by qualifying the model before</w:t>
      </w:r>
      <w:r>
        <w:t xml:space="preserve"> </w:t>
      </w:r>
      <w:r>
        <w:t xml:space="preserve">execution, by the criterion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by stating any residual limitation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A single lot of basal medium and a single lot of each feed will be used. This keeps lot</w:t>
      </w:r>
      <w:r>
        <w:t xml:space="preserve"> </w:t>
      </w:r>
      <w:r>
        <w:t xml:space="preserve">variability out of the effect estimates, but it also means that the study says nothing</w:t>
      </w:r>
      <w:r>
        <w:t xml:space="preserve"> </w:t>
      </w:r>
      <w:r>
        <w:t xml:space="preserve">about that variability. Variation between lots is controlled by the material specifications</w:t>
      </w:r>
      <w:r>
        <w:t xml:space="preserve"> </w:t>
      </w:r>
      <w:r>
        <w:t xml:space="preserve">under SOP-2004 and is covered by the platform record.</w:t>
      </w:r>
    </w:p>
    <w:p>
      <w:pPr>
        <w:pStyle w:val="BodyText"/>
      </w:pPr>
      <w:r>
        <w:t xml:space="preserve">Assay variability sets a floor on the smallest effect the study can resolve, and high</w:t>
      </w:r>
      <w:r>
        <w:t xml:space="preserve"> </w:t>
      </w:r>
      <w:r>
        <w:t xml:space="preserve">mannose is the attribute most exposed to it, because its acceptance range is narrow</w:t>
      </w:r>
      <w:r>
        <w:t xml:space="preserve"> </w:t>
      </w:r>
      <w:r>
        <w:t xml:space="preserve">relative to the precision of the glycan method. The centre point replicates measure that</w:t>
      </w:r>
      <w:r>
        <w:t xml:space="preserve"> </w:t>
      </w:r>
      <w:r>
        <w:t xml:space="preserve">floor directly, and effects will be reported against it.</w:t>
      </w:r>
    </w:p>
    <w:p>
      <w:pPr>
        <w:pStyle w:val="BodyText"/>
      </w:pPr>
      <w:r>
        <w:t xml:space="preserve">The response-surface design assumes that screening identifies the factors that matter,</w:t>
      </w:r>
      <w:r>
        <w:t xml:space="preserve"> </w:t>
      </w:r>
      <w:r>
        <w:t xml:space="preserve">and if screening identifies a different set the matrix in Appendix B will be re-issued</w:t>
      </w:r>
      <w:r>
        <w:t xml:space="preserve"> </w:t>
      </w:r>
      <w:r>
        <w:t xml:space="preserve">before execution. That is an amendment to this plan and not a deviation from it.</w:t>
      </w:r>
    </w:p>
    <w:p>
      <w:pPr>
        <w:pStyle w:val="BodyText"/>
      </w:pPr>
      <w:r>
        <w:t xml:space="preserve">The operating region will be defined on predicted mean values, so reliability at the edge</w:t>
      </w:r>
      <w:r>
        <w:t xml:space="preserve"> </w:t>
      </w:r>
      <w:r>
        <w:t xml:space="preserve">of the region is lower than at its centre, and the capability and PAR analyses exist to</w:t>
      </w:r>
      <w:r>
        <w:t xml:space="preserve"> </w:t>
      </w:r>
      <w:r>
        <w:t xml:space="preserve">bound that. This plan does not claim that the edges of the region will be confirmed at</w:t>
      </w:r>
      <w:r>
        <w:t xml:space="preserve"> </w:t>
      </w:r>
      <w:r>
        <w:t xml:space="preserve">commercial scale. Confirmation at scale belongs to PPQ, and the operating region is not a</w:t>
      </w:r>
      <w:r>
        <w:t xml:space="preserve"> </w:t>
      </w:r>
      <w:r>
        <w:t xml:space="preserve">substitute for it.</w:t>
      </w:r>
    </w:p>
    <w:p>
      <w:pPr>
        <w:pStyle w:val="BodyText"/>
      </w:pPr>
      <w:r>
        <w:t xml:space="preserve">Material supply is a schedule risk, because each block of runs needs an N-1 seed culture</w:t>
      </w:r>
      <w:r>
        <w:t xml:space="preserve"> </w:t>
      </w:r>
      <w:r>
        <w:t xml:space="preserve">and the runs in a block are executed together. Loss of a seed train delays a block, and</w:t>
      </w:r>
      <w:r>
        <w:t xml:space="preserve"> </w:t>
      </w:r>
      <w:r>
        <w:t xml:space="preserve">the affected runs will then be repeated in a later block with their own centre points.</w:t>
      </w:r>
    </w:p>
    <w:bookmarkEnd w:id="50"/>
    <w:bookmarkStart w:id="5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all of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approval signifies agreement with the objectives, the study design and the</w:t>
      </w:r>
      <w:r>
        <w:t xml:space="preserve"> </w:t>
      </w:r>
      <w:r>
        <w:t xml:space="preserve">acceptance criteria stated here. Any change after approval will be issued as a numbered</w:t>
      </w:r>
      <w:r>
        <w:t xml:space="preserve"> </w:t>
      </w:r>
      <w:r>
        <w:t xml:space="preserve">amendment and approved by the same functions.</w:t>
      </w:r>
    </w:p>
    <w:p>
      <w:r>
        <w:br w:type="page"/>
      </w:r>
    </w:p>
    <w:bookmarkEnd w:id="51"/>
    <w:bookmarkStart w:id="58" w:name="X73781f0c746cc45048eca779a11e0a2e7cd3f25"/>
    <w:p>
      <w:pPr>
        <w:pStyle w:val="Heading1"/>
      </w:pPr>
      <w:r>
        <w:t xml:space="preserve">14. Appendices A and B — Planned design matrices</w:t>
      </w:r>
    </w:p>
    <w:p>
      <w:pPr>
        <w:pStyle w:val="FirstParagraph"/>
      </w:pPr>
      <w:r>
        <w:t xml:space="preserve">The matrices below are planned settings and carry no responses, because none have been</w:t>
      </w:r>
      <w:r>
        <w:t xml:space="preserve"> </w:t>
      </w:r>
      <w:r>
        <w:t xml:space="preserve">measured. The code letters are defined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bookmarkStart w:id="54" w:name="X7149527b81b82ac7e9fc876cc411d0dd5d45eb6"/>
    <w:p>
      <w:pPr>
        <w:pStyle w:val="Heading2"/>
      </w:pPr>
      <w:r>
        <w:t xml:space="preserve">14.1 Appendix A — Planned screening design matrix</w:t>
      </w:r>
    </w:p>
    <w:p>
      <w:pPr>
        <w:pStyle w:val="FirstParagraph"/>
      </w:pPr>
      <w:r>
        <w:t xml:space="preserve">The coded matrix is given first, then the same runs in natural units. Run order will be</w:t>
      </w:r>
      <w:r>
        <w:t xml:space="preserve"> </w:t>
      </w:r>
      <w:r>
        <w:t xml:space="preserve">randomized at execution and recorded in the study record.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screening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ppa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0"/>
              <w:gridCol w:w="770"/>
              <w:gridCol w:w="981"/>
              <w:gridCol w:w="1612"/>
              <w:gridCol w:w="1682"/>
              <w:gridCol w:w="981"/>
              <w:gridCol w:w="1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</w:tbl>
          <w:bookmarkEnd w:id="53"/>
          <w:p/>
        </w:tc>
      </w:tr>
    </w:tbl>
    <w:bookmarkEnd w:id="54"/>
    <w:bookmarkStart w:id="57" w:name="Xd035249cb2928fc67e6106bc8a61a8b12039d8a"/>
    <w:p>
      <w:pPr>
        <w:pStyle w:val="Heading2"/>
      </w:pPr>
      <w:r>
        <w:t xml:space="preserve">14.2 Appendix B — Planned response-surface design matrix</w:t>
      </w:r>
    </w:p>
    <w:p>
      <w:pPr>
        <w:pStyle w:val="FirstParagraph"/>
      </w:pPr>
      <w:r>
        <w:t xml:space="preserve">The design is written for the factors expected to be carried forward from screening, and</w:t>
      </w:r>
      <w:r>
        <w:t xml:space="preserve"> </w:t>
      </w:r>
      <w:r>
        <w:t xml:space="preserve">it will be re-issued as an amendment if screening identifies a different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appb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appb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response-surface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1120"/>
              <w:gridCol w:w="1840"/>
              <w:gridCol w:w="1600"/>
              <w:gridCol w:w="1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</w:tbl>
          <w:bookmarkEnd w:id="56"/>
          <w:p/>
        </w:tc>
      </w:tr>
    </w:tbl>
    <w:bookmarkEnd w:id="57"/>
    <w:bookmarkEnd w:id="58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Start w:id="5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9"/>
    <w:bookmarkStart w:id="6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0"/>
    <w:bookmarkStart w:id="6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1"/>
    <w:bookmarkStart w:id="6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2"/>
    <w:bookmarkStart w:id="6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3"/>
    <w:bookmarkStart w:id="6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2026-07-27T09:12:54Z</dcterms:created>
  <dcterms:modified xsi:type="dcterms:W3CDTF">2026-07-27T09:12:54Z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