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CEX, cation exchange chromatography; CPP,</w:t>
      </w:r>
      <w:r>
        <w:t xml:space="preserve"> </w:t>
      </w:r>
      <w:r>
        <w:t xml:space="preserve">critical process parameter; CQA, critical quality attribute; DoE, design of experiments;</w:t>
      </w:r>
      <w:r>
        <w:t xml:space="preserve"> </w:t>
      </w:r>
      <w:r>
        <w:t xml:space="preserve">GPP, general process parameter; HMW, high molecular weight; ICH, International Council for</w:t>
      </w:r>
      <w:r>
        <w:t xml:space="preserve"> </w:t>
      </w:r>
      <w:r>
        <w:t xml:space="preserve">Harmonisation; icIEF, imaged capillary isoelectric focusing; KPP, key process parameter;</w:t>
      </w:r>
      <w:r>
        <w:t xml:space="preserve"> </w:t>
      </w:r>
      <w:r>
        <w:t xml:space="preserve">LRF, log reduction factor; MSAT, Manufacturing Science and Technology; MVM, minute virus of</w:t>
      </w:r>
      <w:r>
        <w:t xml:space="preserve"> </w:t>
      </w:r>
      <w:r>
        <w:t xml:space="preserve">mice; NOR, normal operating range; OLS, ordinary least squares; PAR, proven acceptable</w:t>
      </w:r>
      <w:r>
        <w:t xml:space="preserve"> </w:t>
      </w:r>
      <w:r>
        <w:t xml:space="preserve">range; PRESS, predicted residual error sum of squares; RSM, response-surface methodology;</w:t>
      </w:r>
      <w:r>
        <w:t xml:space="preserve"> </w:t>
      </w:r>
      <w:r>
        <w:t xml:space="preserve">SDM, scale-down model; SEC, size-exclusion chromatography; SOP, standard operating</w:t>
      </w:r>
      <w:r>
        <w:t xml:space="preserve"> </w:t>
      </w:r>
      <w:r>
        <w:t xml:space="preserve">procedure; TCID50, fifty per cent tissue culture infectious dose;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Low-pH viral inactivation is the first dedicated viral clearance step in the A-Mab</w:t>
      </w:r>
      <w:r>
        <w:t xml:space="preserve"> </w:t>
      </w:r>
      <w:r>
        <w:t xml:space="preserve">purification train, and it is a hold and not a separation. The Protein A eluate is titrated</w:t>
      </w:r>
      <w:r>
        <w:t xml:space="preserve"> </w:t>
      </w:r>
      <w:r>
        <w:t xml:space="preserve">to a low pH, held for a defined time at a controlled temperature, and then neutralised</w:t>
      </w:r>
      <w:r>
        <w:t xml:space="preserve"> </w:t>
      </w:r>
      <w:r>
        <w:t xml:space="preserve">before cation exchange. The step carries the largest single contribution to the enveloped</w:t>
      </w:r>
      <w:r>
        <w:t xml:space="preserve"> </w:t>
      </w:r>
      <w:r>
        <w:t xml:space="preserve">virus clearance claimed for the drug substance, and its operating pH is bounded on both</w:t>
      </w:r>
      <w:r>
        <w:t xml:space="preserve"> </w:t>
      </w:r>
      <w:r>
        <w:t xml:space="preserve">sides, because inactivation becomes incomplete as the pH rises and the antibody aggregates</w:t>
      </w:r>
      <w:r>
        <w:t xml:space="preserve"> </w:t>
      </w:r>
      <w:r>
        <w:t xml:space="preserve">as the pH falls.</w:t>
      </w:r>
    </w:p>
    <w:p>
      <w:pPr>
        <w:pStyle w:val="BodyText"/>
      </w:pPr>
      <w:r>
        <w:t xml:space="preserve">This plan defines the process characterization study for the step, and it states what will</w:t>
      </w:r>
      <w:r>
        <w:t xml:space="preserve"> </w:t>
      </w:r>
      <w:r>
        <w:t xml:space="preserve">be studied, at what scale, how the data will be analysed, and the criteria against which the</w:t>
      </w:r>
      <w:r>
        <w:t xml:space="preserve"> </w:t>
      </w:r>
      <w:r>
        <w:t xml:space="preserve">executed study will be judged. It is written before any characterization data exist, so it</w:t>
      </w:r>
      <w:r>
        <w:t xml:space="preserve"> </w:t>
      </w:r>
      <w:r>
        <w:t xml:space="preserve">records intentions and decision rules, and the results, the parameter classifications and</w:t>
      </w:r>
      <w:r>
        <w:t xml:space="preserve"> </w:t>
      </w:r>
      <w:r>
        <w:t xml:space="preserve">the operating region will all be reported in PCR-006.</w:t>
      </w:r>
    </w:p>
    <w:p>
      <w:pPr>
        <w:pStyle w:val="BodyText"/>
      </w:pPr>
      <w:r>
        <w:t xml:space="preserve">The study covers the parameters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over the ranges given there, of which</w:t>
      </w:r>
      <w:r>
        <w:t xml:space="preserve"> </w:t>
      </w:r>
      <w:r>
        <w:t xml:space="preserve">3 (inactivation pH, hold time and temperature) will be studied in a</w:t>
      </w:r>
      <w:r>
        <w:t xml:space="preserve"> </w:t>
      </w:r>
      <w:r>
        <w:t xml:space="preserve">multivariate design and 1 will be studied univariately (§6.4). The</w:t>
      </w:r>
      <w:r>
        <w:t xml:space="preserve"> </w:t>
      </w:r>
      <w:r>
        <w:t xml:space="preserve">responses are the XMuLV log reduction factor, the aggregate level of the neutralised pool,</w:t>
      </w:r>
      <w:r>
        <w:t xml:space="preserve"> </w:t>
      </w:r>
      <w:r>
        <w:t xml:space="preserve">and the acidic charge variant level of the same pool. Product quality runs</w:t>
      </w:r>
      <w:r>
        <w:t xml:space="preserve"> </w:t>
      </w:r>
      <w:r>
        <w:t xml:space="preserve">and virus spiking runs will be executed on the same qualified scale-down model, within the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and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Three limits on the scope are set here. Minute virus of mice is not inactivated at low pH,</w:t>
      </w:r>
      <w:r>
        <w:t xml:space="preserve"> </w:t>
      </w:r>
      <w:r>
        <w:t xml:space="preserve">so this step is credited with enveloped virus clearance only, and the parvovirus claim rests</w:t>
      </w:r>
      <w:r>
        <w:t xml:space="preserve"> </w:t>
      </w:r>
      <w:r>
        <w:t xml:space="preserve">on anion exchange and virus filtration (PCR-008 and PCR-009). Host cell protein precipitates</w:t>
      </w:r>
      <w:r>
        <w:t xml:space="preserve"> </w:t>
      </w:r>
      <w:r>
        <w:t xml:space="preserve">during the hold in platform experience, but the extent varies between runs, so no host cell</w:t>
      </w:r>
      <w:r>
        <w:t xml:space="preserve"> </w:t>
      </w:r>
      <w:r>
        <w:t xml:space="preserve">protein clearance will be claimed here and the Protein A pool level will be carried forward</w:t>
      </w:r>
      <w:r>
        <w:t xml:space="preserve"> </w:t>
      </w:r>
      <w:r>
        <w:t xml:space="preserve">as the input to cation exchange (PCR-007). The step does not on its own satisfy the</w:t>
      </w:r>
      <w:r>
        <w:t xml:space="preserve"> </w:t>
      </w:r>
      <w:r>
        <w:t xml:space="preserve">cumulative enveloped virus requirement, and the contribution required of it is derived in §7.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is written as an intention, because no</w:t>
      </w:r>
      <w:r>
        <w:t xml:space="preserve"> </w:t>
      </w:r>
      <w:r>
        <w:t xml:space="preserve">characterization data exist at the time of approval.</w:t>
      </w:r>
    </w:p>
    <w:p>
      <w:pPr>
        <w:numPr>
          <w:ilvl w:val="0"/>
          <w:numId w:val="1001"/>
        </w:numPr>
      </w:pPr>
      <w:r>
        <w:t xml:space="preserve">To quantify the effect of inactivation pH, hold time and temperature on XMuLV log</w:t>
      </w:r>
      <w:r>
        <w:t xml:space="preserve"> </w:t>
      </w:r>
      <w:r>
        <w:t xml:space="preserve">reduction, on pool aggregate and on acidic charge variants,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To fit a response-surface model for each response and to define the multivariate</w:t>
      </w:r>
      <w:r>
        <w:t xml:space="preserve"> </w:t>
      </w:r>
      <w:r>
        <w:t xml:space="preserve">operating region in which every acceptance 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</w:t>
      </w:r>
    </w:p>
    <w:p>
      <w:pPr>
        <w:numPr>
          <w:ilvl w:val="0"/>
          <w:numId w:val="1001"/>
        </w:numPr>
      </w:pPr>
      <w:r>
        <w:t xml:space="preserve">To determine a proven acceptable range for each parameter against each attribute it</w:t>
      </w:r>
      <w:r>
        <w:t xml:space="preserve"> </w:t>
      </w:r>
      <w:r>
        <w:t xml:space="preserve">governs, both at the set-point and with the other parameters varying within their normal</w:t>
      </w:r>
      <w:r>
        <w:t xml:space="preserve"> </w:t>
      </w:r>
      <w:r>
        <w:t xml:space="preserve">operating ranges (§8).</w:t>
      </w:r>
    </w:p>
    <w:p>
      <w:pPr>
        <w:numPr>
          <w:ilvl w:val="0"/>
          <w:numId w:val="1001"/>
        </w:numPr>
      </w:pPr>
      <w:r>
        <w:t xml:space="preserve">To generate the evidence needed to classify each parameter under SOP-4001, noting that</w:t>
      </w:r>
      <w:r>
        <w:t xml:space="preserve"> </w:t>
      </w:r>
      <w:r>
        <w:t xml:space="preserve">the classifications themselves are assigned in PCR-006 and not in this plan.</w:t>
      </w:r>
    </w:p>
    <w:p>
      <w:pPr>
        <w:numPr>
          <w:ilvl w:val="0"/>
          <w:numId w:val="1001"/>
        </w:numPr>
      </w:pPr>
      <w:r>
        <w:t xml:space="preserve">To justify the Stage 2 operating ranges and in-process controls for the step, and to</w:t>
      </w:r>
      <w:r>
        <w:t xml:space="preserve"> </w:t>
      </w:r>
      <w:r>
        <w:t xml:space="preserve">supply its clearance contribution to the cumulative viral safety claim consolidated in</w:t>
      </w:r>
      <w:r>
        <w:t xml:space="preserve"> </w:t>
      </w:r>
      <w:r>
        <w:t xml:space="preserve">PCMR-001.</w:t>
      </w:r>
    </w:p>
    <w:p>
      <w:pPr>
        <w:pStyle w:val="FirstParagraph"/>
      </w:pPr>
      <w:r>
        <w:t xml:space="preserve">Objectives (i) to (iii) are discharged by the designs in §6 and the analyses in §7 and §8,</w:t>
      </w:r>
      <w:r>
        <w:t xml:space="preserve"> </w:t>
      </w:r>
      <w:r>
        <w:t xml:space="preserve">whereas objectives (iv) and (v) depend on those outcomes and are discharged in the report.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 plan depends on and the documents that depend on it:</w:t>
      </w:r>
      <w:r>
        <w:t xml:space="preserve"> </w:t>
      </w:r>
      <w:r>
        <w:t xml:space="preserve">RA-001 sets the risk basis for the scope, PCMP-001 is the master plan over the campaign, and</w:t>
      </w:r>
      <w:r>
        <w:t xml:space="preserve"> </w:t>
      </w:r>
      <w:r>
        <w:t xml:space="preserve">PCR-006 will report the executed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ref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procedures and the validated analytical methods that govern execution</w:t>
      </w:r>
      <w:r>
        <w:t xml:space="preserve"> </w:t>
      </w:r>
      <w:r>
        <w:t xml:space="preserve">and testing, and the reference numbers are controlled-document placeholders for this</w:t>
      </w:r>
      <w:r>
        <w:t xml:space="preserve"> </w:t>
      </w:r>
      <w:r>
        <w:t xml:space="preserve">synthetic corpus.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Governing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a hold, and its position in the train is fixed by the pH of the Protein A</w:t>
      </w:r>
      <w:r>
        <w:t xml:space="preserve"> </w:t>
      </w:r>
      <w:r>
        <w:t xml:space="preserve">eluate.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process train and the principal role of each step. The eluate</w:t>
      </w:r>
      <w:r>
        <w:t xml:space="preserve"> </w:t>
      </w:r>
      <w:r>
        <w:t xml:space="preserve">leaves Protein A at a low pH already, so the titration to the inactivation set-point is</w:t>
      </w:r>
      <w:r>
        <w:t xml:space="preserve"> </w:t>
      </w:r>
      <w:r>
        <w:t xml:space="preserve">small, and the pool is neutralised to the cation exchange load condition once the hold is</w:t>
      </w:r>
      <w:r>
        <w:t xml:space="preserve"> </w:t>
      </w:r>
      <w:r>
        <w:t xml:space="preserve">complete. Mixing to pH homogeneity after acid addition and control of the hold temperature</w:t>
      </w:r>
      <w:r>
        <w:t xml:space="preserve"> </w:t>
      </w:r>
      <w:r>
        <w:t xml:space="preserve">are the only physical demands the step makes on the vessel.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drug-substance process train and the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Enveloped viruses are inactivated at low pH by irreversible disruption of the lipid envelope</w:t>
      </w:r>
      <w:r>
        <w:t xml:space="preserve"> </w:t>
      </w:r>
      <w:r>
        <w:t xml:space="preserve">and of the envelope glycoproteins that mediate entry into the host cell. The mechanism acts</w:t>
      </w:r>
      <w:r>
        <w:t xml:space="preserve"> </w:t>
      </w:r>
      <w:r>
        <w:t xml:space="preserve">on the virus and not on the antibody, and it does not apply to viruses that have no envelope,</w:t>
      </w:r>
      <w:r>
        <w:t xml:space="preserve"> </w:t>
      </w:r>
      <w:r>
        <w:t xml:space="preserve">which is why the step is credited for XMuLV and makes no claim for MVM (§1).</w:t>
      </w:r>
    </w:p>
    <w:p>
      <w:pPr>
        <w:pStyle w:val="BodyText"/>
      </w:pPr>
      <w:r>
        <w:t xml:space="preserve">Low-pH inactivation has been operated on the Novacyte humanised IgG1 platform for three</w:t>
      </w:r>
      <w:r>
        <w:t xml:space="preserve"> </w:t>
      </w:r>
      <w:r>
        <w:t xml:space="preserve">earlier products (X-Mab, Y-Mab and Z-Mab), under conditions that have not changed materially</w:t>
      </w:r>
      <w:r>
        <w:t xml:space="preserve"> </w:t>
      </w:r>
      <w:r>
        <w:t xml:space="preserve">between them. Prior knowledge from those products applies directly to A-Mab for the</w:t>
      </w:r>
      <w:r>
        <w:t xml:space="preserve"> </w:t>
      </w:r>
      <w:r>
        <w:t xml:space="preserve">inactivation kinetics, because the mechanism is a property of the virus and is independent of</w:t>
      </w:r>
      <w:r>
        <w:t xml:space="preserve"> </w:t>
      </w:r>
      <w:r>
        <w:t xml:space="preserve">the product. It does not apply to the acid stability of the molecule, which is product</w:t>
      </w:r>
      <w:r>
        <w:t xml:space="preserve"> </w:t>
      </w:r>
      <w:r>
        <w:t xml:space="preserve">specific, so the lower pH edge has to be established for A-Mab in this study.</w:t>
      </w:r>
    </w:p>
    <w:p>
      <w:pPr>
        <w:pStyle w:val="BodyText"/>
      </w:pPr>
      <w:r>
        <w:t xml:space="preserve">Three mechanistic expectations follow from the platform data, and they frame the design.</w:t>
      </w:r>
      <w:r>
        <w:t xml:space="preserve"> </w:t>
      </w:r>
      <w:r>
        <w:t xml:space="preserve">Inactivation should be faster at lower pH, at longer hold time and at higher temperature.</w:t>
      </w:r>
      <w:r>
        <w:t xml:space="preserve"> </w:t>
      </w:r>
      <w:r>
        <w:t xml:space="preserve">Aggregate formation should rise with hold time and with temperature, and should rise steeply</w:t>
      </w:r>
      <w:r>
        <w:t xml:space="preserve"> </w:t>
      </w:r>
      <w:r>
        <w:t xml:space="preserve">as the pH approaches the acid-unfolding transition of the antibody, while acidic charge</w:t>
      </w:r>
      <w:r>
        <w:t xml:space="preserve"> </w:t>
      </w:r>
      <w:r>
        <w:t xml:space="preserve">variants should increase slightly across the hold without approaching the drug-substance</w:t>
      </w:r>
      <w:r>
        <w:t xml:space="preserve"> </w:t>
      </w:r>
      <w:r>
        <w:t xml:space="preserve">limit. The study will confirm or refute each of these expectations.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one critical quality attribute and puts two others at risk, and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attributes in scope with their acceptance criteria and their assigned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in scope for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Enveloped virus clearance is of very high criticality and is the attribute the step exists to</w:t>
      </w:r>
      <w:r>
        <w:t xml:space="preserve"> </w:t>
      </w:r>
      <w:r>
        <w:t xml:space="preserve">deliver. Aggregate is of high criticality and is formed at this step and not cleared by it,</w:t>
      </w:r>
      <w:r>
        <w:t xml:space="preserve"> </w:t>
      </w:r>
      <w:r>
        <w:t xml:space="preserve">so the hold has to be shown not to raise aggregate beyond the drug-substance limit. Acidic</w:t>
      </w:r>
      <w:r>
        <w:t xml:space="preserve"> </w:t>
      </w:r>
      <w:r>
        <w:t xml:space="preserve">charge variants are of very low criticality and are monitored as a guard on acid exposure.</w:t>
      </w:r>
      <w:r>
        <w:t xml:space="preserve"> </w:t>
      </w:r>
      <w:r>
        <w:t xml:space="preserve">Criticality follows the assessment recorded in RA-001, in which the Tool #1 score is the</w:t>
      </w:r>
      <w:r>
        <w:t xml:space="preserve"> </w:t>
      </w:r>
      <w:r>
        <w:t xml:space="preserve">product of clinical impact and uncertainty, attributes scored high or very high are treated</w:t>
      </w:r>
      <w:r>
        <w:t xml:space="preserve"> </w:t>
      </w:r>
      <w:r>
        <w:t xml:space="preserve">as critical, and criticality is treated as a continuum and not as a binary label</w:t>
      </w:r>
      <w:r>
        <w:t xml:space="preserve"> </w:t>
      </w:r>
      <w:r>
        <w:t xml:space="preserve">(International Council for Harmonisation 2023b; CMC Biotech Working Group 2009)</w:t>
      </w:r>
      <w:r>
        <w:t xml:space="preserve">.</w:t>
      </w:r>
    </w:p>
    <w:p>
      <w:pPr>
        <w:pStyle w:val="BodyText"/>
      </w:pPr>
      <w:r>
        <w:t xml:space="preserve">Enveloped virus clearance is cumulative across the process and is not delivered here alone.</w:t>
      </w:r>
      <w:r>
        <w:t xml:space="preserve"> </w:t>
      </w:r>
      <w:r>
        <w:t xml:space="preserve">Anion exchange and small-virus retentive filtration each contribute an independent reduction</w:t>
      </w:r>
      <w:r>
        <w:t xml:space="preserve"> </w:t>
      </w:r>
      <w:r>
        <w:t xml:space="preserve">by a different mechanism, and those contributions are characterized in PCR-008 and PCR-009,</w:t>
      </w:r>
      <w:r>
        <w:t xml:space="preserve"> </w:t>
      </w:r>
      <w:r>
        <w:t xml:space="preserve">with the cumulative claim consolidated in PCMR-001. The contribution required of this step is</w:t>
      </w:r>
      <w:r>
        <w:t xml:space="preserve"> </w:t>
      </w:r>
      <w:r>
        <w:t xml:space="preserve">the cumulative requirement less the clearance credited to the other two steps, and §7 gives</w:t>
      </w:r>
      <w:r>
        <w:t xml:space="preserve"> </w:t>
      </w:r>
      <w:r>
        <w:t xml:space="preserve">the resulting criterion.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on their potential effect on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on their potential to interact with each other, and the</w:t>
      </w:r>
      <w:r>
        <w:t xml:space="preserve"> </w:t>
      </w:r>
      <w:r>
        <w:t xml:space="preserve">3 highest ranked parameters were assigned to a multivariate study while</w:t>
      </w:r>
      <w:r>
        <w:t xml:space="preserve"> </w:t>
      </w:r>
      <w:r>
        <w:t xml:space="preserve">A-Mab concentration was assigned to a univariate study.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carries that assignment.</w:t>
      </w:r>
    </w:p>
    <w:p>
      <w:pPr>
        <w:pStyle w:val="BodyText"/>
      </w:pPr>
      <w:r>
        <w:t xml:space="preserve">Inactivation pH ranks highest on both scales. It drives the inactivation kinetics directly,</w:t>
      </w:r>
      <w:r>
        <w:t xml:space="preserve"> </w:t>
      </w:r>
      <w:r>
        <w:t xml:space="preserve">it drives acid-induced aggregation directly, and the two effects run in opposite directions,</w:t>
      </w:r>
      <w:r>
        <w:t xml:space="preserve"> </w:t>
      </w:r>
      <w:r>
        <w:t xml:space="preserve">so its acceptable range cannot be set from either response on its own. That two-sided</w:t>
      </w:r>
      <w:r>
        <w:t xml:space="preserve"> </w:t>
      </w:r>
      <w:r>
        <w:t xml:space="preserve">dependence is why pH receives the most stringent treatment of any parameter in the step. Hold</w:t>
      </w:r>
      <w:r>
        <w:t xml:space="preserve"> </w:t>
      </w:r>
      <w:r>
        <w:t xml:space="preserve">time and temperature act on the same kinetics as pH, which is where the interaction risk</w:t>
      </w:r>
      <w:r>
        <w:t xml:space="preserve"> </w:t>
      </w:r>
      <w:r>
        <w:t xml:space="preserve">lies, since a short hold may be sufficient at the low end of the pH range and insufficient at</w:t>
      </w:r>
      <w:r>
        <w:t xml:space="preserve"> </w:t>
      </w:r>
      <w:r>
        <w:t xml:space="preserve">the high end. Temperature acts on aggregation as well, so it appears in both mechanisms.</w:t>
      </w:r>
    </w:p>
    <w:p>
      <w:pPr>
        <w:pStyle w:val="BodyText"/>
      </w:pPr>
      <w:r>
        <w:t xml:space="preserve">A-Mab concentration ranked low on both scales. Virus inactivation at fixed pH is a</w:t>
      </w:r>
      <w:r>
        <w:t xml:space="preserve"> </w:t>
      </w:r>
      <w:r>
        <w:t xml:space="preserve">solution-phase reaction whose rate does not depend on the antibody concentration over the</w:t>
      </w:r>
      <w:r>
        <w:t xml:space="preserve"> </w:t>
      </w:r>
      <w:r>
        <w:t xml:space="preserve">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platform data show little or no effect on aggregate across the same</w:t>
      </w:r>
      <w:r>
        <w:t xml:space="preserve"> </w:t>
      </w:r>
      <w:r>
        <w:t xml:space="preserve">range. A fourth factor would also expand a design that has to be executed under containment</w:t>
      </w:r>
      <w:r>
        <w:t xml:space="preserve"> </w:t>
      </w:r>
      <w:r>
        <w:t xml:space="preserve">with spiked virus, at a cost the risk ranking does not justify. The parameter will still be</w:t>
      </w:r>
      <w:r>
        <w:t xml:space="preserve"> </w:t>
      </w:r>
      <w:r>
        <w:t xml:space="preserve">studied across its full range (§6.4) and will still be classified in PCR-006, whatever the</w:t>
      </w:r>
      <w:r>
        <w:t xml:space="preserve"> </w:t>
      </w:r>
      <w:r>
        <w:t xml:space="preserve">outcome.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scale-down model is a jacketed hold vessel with overhead mixing, titration by controlled</w:t>
      </w:r>
      <w:r>
        <w:t xml:space="preserve"> </w:t>
      </w:r>
      <w:r>
        <w:t xml:space="preserve">acid addition, and continuous recording of pH and temperature. The step has no</w:t>
      </w:r>
      <w:r>
        <w:t xml:space="preserve"> </w:t>
      </w:r>
      <w:r>
        <w:t xml:space="preserve">scale-dependent separation mechanism, so the model is matched to the commercial step on the</w:t>
      </w:r>
      <w:r>
        <w:t xml:space="preserve"> </w:t>
      </w:r>
      <w:r>
        <w:t xml:space="preserve">variables that govern the outcome: the acid addition profile, the time to pH homogeneity</w:t>
      </w:r>
      <w:r>
        <w:t xml:space="preserve"> </w:t>
      </w:r>
      <w:r>
        <w:t xml:space="preserve">after addition, the hold temperature and its control tolerance, and the neutralisation</w:t>
      </w:r>
      <w:r>
        <w:t xml:space="preserve"> </w:t>
      </w:r>
      <w:r>
        <w:t xml:space="preserve">profile. Volume is not itself a scaling variable here, because inactivation is a</w:t>
      </w:r>
      <w:r>
        <w:t xml:space="preserve"> </w:t>
      </w:r>
      <w:r>
        <w:t xml:space="preserve">solution-phase reaction in a homogeneous vessel.</w:t>
      </w:r>
    </w:p>
    <w:p>
      <w:pPr>
        <w:pStyle w:val="BodyText"/>
      </w:pPr>
      <w:r>
        <w:t xml:space="preserve">The model will be qualified under SOP-1001 before any characterization run is executed.</w:t>
      </w:r>
      <w:r>
        <w:t xml:space="preserve"> </w:t>
      </w:r>
      <w:r>
        <w:t xml:space="preserve">Qualification will compare the model against at-scale platform records for time to pH</w:t>
      </w:r>
      <w:r>
        <w:t xml:space="preserve"> </w:t>
      </w:r>
      <w:r>
        <w:t xml:space="preserve">homogeneity, hold temperature profile, pool aggregate at the end of the hold, and the</w:t>
      </w:r>
      <w:r>
        <w:t xml:space="preserve"> </w:t>
      </w:r>
      <w:r>
        <w:t xml:space="preserve">condition of the neutralised pool. The qualification record will be summarised in PCR-006 and</w:t>
      </w:r>
      <w:r>
        <w:t xml:space="preserve"> </w:t>
      </w:r>
      <w:r>
        <w:t xml:space="preserve">filed against SOP-1001, and characterization runs will not begin until the model has been</w:t>
      </w:r>
      <w:r>
        <w:t xml:space="preserve"> </w:t>
      </w:r>
      <w:r>
        <w:t xml:space="preserve">qualified, because every conclusion of this study is applied directly to the commercial-scale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Two configurations of the same model will be used. Unspiked runs generate the product-quality</w:t>
      </w:r>
      <w:r>
        <w:t xml:space="preserve"> </w:t>
      </w:r>
      <w:r>
        <w:t xml:space="preserve">responses, and spiked runs generate the XMuLV log reduction factor and are executed in a</w:t>
      </w:r>
      <w:r>
        <w:t xml:space="preserve"> </w:t>
      </w:r>
      <w:r>
        <w:t xml:space="preserve">containment laboratory, on material drawn from the same Protein A pool as the matching</w:t>
      </w:r>
      <w:r>
        <w:t xml:space="preserve"> </w:t>
      </w:r>
      <w:r>
        <w:t xml:space="preserve">unspiked run. ICH Q5A(R2) requires that the spiked small-scale model represents the</w:t>
      </w:r>
      <w:r>
        <w:t xml:space="preserve"> </w:t>
      </w:r>
      <w:r>
        <w:t xml:space="preserve">manufacturing step and that the spike does not itself alter it</w:t>
      </w:r>
      <w:r>
        <w:t xml:space="preserve"> </w:t>
      </w:r>
      <w:r>
        <w:t xml:space="preserve">(International Council for Harmonisation 2023a)</w:t>
      </w:r>
      <w:r>
        <w:t xml:space="preserve">. The volume of virus</w:t>
      </w:r>
      <w:r>
        <w:t xml:space="preserve"> </w:t>
      </w:r>
      <w:r>
        <w:t xml:space="preserve">stock added will therefore be held to a small fraction of the pool volume, and the pH and</w:t>
      </w:r>
      <w:r>
        <w:t xml:space="preserve"> </w:t>
      </w:r>
      <w:r>
        <w:t xml:space="preserve">conductivity of the pool will be recorded before and after spiking.</w:t>
      </w:r>
    </w:p>
    <w:p>
      <w:pPr>
        <w:pStyle w:val="BodyText"/>
      </w:pPr>
      <w:r>
        <w:t xml:space="preserve">Centre-point runs are replicated in both designs (§6), and their variation is the pure-error</w:t>
      </w:r>
      <w:r>
        <w:t xml:space="preserve"> </w:t>
      </w:r>
      <w:r>
        <w:t xml:space="preserve">term against which lack of fit will be tested, as well as a measure of the reproducibility of</w:t>
      </w:r>
      <w:r>
        <w:t xml:space="preserve"> </w:t>
      </w:r>
      <w:r>
        <w:t xml:space="preserve">the whole procedure, from titration through to assay.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Each run will follow SOP-2009. The Protein A pool is adjusted to the target inactivation pH</w:t>
      </w:r>
      <w:r>
        <w:t xml:space="preserve"> </w:t>
      </w:r>
      <w:r>
        <w:t xml:space="preserve">by addition of acid with mixing, the pH is confirmed on an independent probe, and the hold</w:t>
      </w:r>
      <w:r>
        <w:t xml:space="preserve"> </w:t>
      </w:r>
      <w:r>
        <w:t xml:space="preserve">starts once the target is reached. The pool is held at the target temperature for the</w:t>
      </w:r>
      <w:r>
        <w:t xml:space="preserve"> </w:t>
      </w:r>
      <w:r>
        <w:t xml:space="preserve">specified time, then neutralised to the cation exchange load pH with base, and filtered.</w:t>
      </w:r>
    </w:p>
    <w:p>
      <w:pPr>
        <w:pStyle w:val="BodyText"/>
      </w:pPr>
      <w:r>
        <w:t xml:space="preserve">The input to the step is the Protein A pool characterized in PCR-005. Its aggregate level,</w:t>
      </w:r>
      <w:r>
        <w:t xml:space="preserve"> </w:t>
      </w:r>
      <w:r>
        <w:t xml:space="preserve">protein concentration and pH are feed attributes of this step and not parameters of it.</w:t>
      </w:r>
      <w:r>
        <w:t xml:space="preserve"> </w:t>
      </w:r>
      <w:r>
        <w:t xml:space="preserve">Buffer identity, acid and base molarity, filter type and vessel material are controlled to</w:t>
      </w:r>
      <w:r>
        <w:t xml:space="preserve"> </w:t>
      </w:r>
      <w:r>
        <w:t xml:space="preserve">platform specification and are not characterized here. A-Mab concentration is the one feed</w:t>
      </w:r>
      <w:r>
        <w:t xml:space="preserve"> </w:t>
      </w:r>
      <w:r>
        <w:t xml:space="preserve">attribute that will be varied deliberately (§6.4).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amv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lists the validated methods that will generate the responses. XMuLV infectivity will</w:t>
      </w:r>
      <w:r>
        <w:t xml:space="preserve"> </w:t>
      </w:r>
      <w:r>
        <w:t xml:space="preserve">be measured as a TCID50 titre under AMV-3017, and the log reduction factor is the difference</w:t>
      </w:r>
      <w:r>
        <w:t xml:space="preserve"> </w:t>
      </w:r>
      <w:r>
        <w:t xml:space="preserve">between the titre of the spiked load and the titre of the held pool, each corrected for</w:t>
      </w:r>
      <w:r>
        <w:t xml:space="preserve"> </w:t>
      </w:r>
      <w:r>
        <w:t xml:space="preserve">volume. Size variants will be measured by SEC under AMV-3011. Charge variants will be</w:t>
      </w:r>
      <w:r>
        <w:t xml:space="preserve"> </w:t>
      </w:r>
      <w:r>
        <w:t xml:space="preserve">measured by imaged capillary isoelectric focusing under AMV-3013.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for the study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precision of the infectivity assay bounds what the design can resolve. AMV-3017 reports</w:t>
      </w:r>
      <w:r>
        <w:t xml:space="preserve"> </w:t>
      </w:r>
      <w:r>
        <w:t xml:space="preserve">an intermediate precision of 0.3 log₁₀ and a quantitation</w:t>
      </w:r>
      <w:r>
        <w:t xml:space="preserve"> </w:t>
      </w:r>
      <w:r>
        <w:t xml:space="preserve">limit of 1.5 log₁₀ TCID50/mL, and the assay accounts for</w:t>
      </w:r>
      <w:r>
        <w:t xml:space="preserve"> </w:t>
      </w:r>
      <w:r>
        <w:t xml:space="preserve">28.0% of the observed variance in the response. Differences in</w:t>
      </w:r>
      <w:r>
        <w:t xml:space="preserve"> </w:t>
      </w:r>
      <w:r>
        <w:t xml:space="preserve">log reduction smaller than the assay precision will not be treated as real, whatever their</w:t>
      </w:r>
      <w:r>
        <w:t xml:space="preserve"> </w:t>
      </w:r>
      <w:r>
        <w:t xml:space="preserve">p value, and full method performance is held in the validation records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Unspiked runs will be sampled at the end of the hold, after neutralisation and filtration,</w:t>
      </w:r>
      <w:r>
        <w:t xml:space="preserve"> </w:t>
      </w:r>
      <w:r>
        <w:t xml:space="preserve">for aggregate and for charge variants, and a sample of the Protein A pool will be retained</w:t>
      </w:r>
      <w:r>
        <w:t xml:space="preserve"> </w:t>
      </w:r>
      <w:r>
        <w:t xml:space="preserve">from each run, so that the change across the step can be reported and not only the outlet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Spiked runs will be sampled at the start and at the end of the hold for infectivity.</w:t>
      </w:r>
      <w:r>
        <w:t xml:space="preserve"> </w:t>
      </w:r>
      <w:r>
        <w:t xml:space="preserve">Intermediate samples will be taken during the hold, so that the inactivation kinetics can be</w:t>
      </w:r>
      <w:r>
        <w:t xml:space="preserve"> </w:t>
      </w:r>
      <w:r>
        <w:t xml:space="preserve">described and so that a run reaching the quantitation limit before the end of the hold can be</w:t>
      </w:r>
      <w:r>
        <w:t xml:space="preserve"> </w:t>
      </w:r>
      <w:r>
        <w:t xml:space="preserve">identified as such. Cytotoxicity and interference controls will be run at the dilutions used</w:t>
      </w:r>
      <w:r>
        <w:t xml:space="preserve"> </w:t>
      </w:r>
      <w:r>
        <w:t xml:space="preserve">for the samples, as ICH Q5A(R2) requires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Centre-point replication differs between the two designs, since the screening design carries</w:t>
      </w:r>
      <w:r>
        <w:t xml:space="preserve"> </w:t>
      </w:r>
      <w:r>
        <w:t xml:space="preserve">3 centre points and the response-surface design carries</w:t>
      </w:r>
      <w:r>
        <w:t xml:space="preserve"> </w:t>
      </w:r>
      <w:r>
        <w:t xml:space="preserve">4. Every centre point is a complete run, executed from titration</w:t>
      </w:r>
      <w:r>
        <w:t xml:space="preserve"> </w:t>
      </w:r>
      <w:r>
        <w:t xml:space="preserve">through to assay, so the replicates capture the variability of the procedure and not only the</w:t>
      </w:r>
      <w:r>
        <w:t xml:space="preserve"> </w:t>
      </w:r>
      <w:r>
        <w:t xml:space="preserve">variability of the assay.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SOP-1002, and each factor is coded so that the edges of its</w:t>
      </w:r>
      <w:r>
        <w:t xml:space="preserve"> </w:t>
      </w:r>
      <w:r>
        <w:t xml:space="preserve">characterization range are −1 and +1. The coded centre is the midpoint of that range, and it</w:t>
      </w:r>
      <w:r>
        <w:t xml:space="preserve"> </w:t>
      </w:r>
      <w:r>
        <w:t xml:space="preserve">does not coincide with the set-point for any of the multivariate parameters, so predictions</w:t>
      </w:r>
      <w:r>
        <w:t xml:space="preserve"> </w:t>
      </w:r>
      <w:r>
        <w:t xml:space="preserve">at the set-point will be made at the coded values of the set-points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screening design will be analysed by ordinary least squares with main effects and</w:t>
      </w:r>
      <w:r>
        <w:t xml:space="preserve"> </w:t>
      </w:r>
      <w:r>
        <w:t xml:space="preserve">two-factor interactions. An effect is reported as twice the coded coefficient, so it is the</w:t>
      </w:r>
      <w:r>
        <w:t xml:space="preserve"> </w:t>
      </w:r>
      <w:r>
        <w:t xml:space="preserve">change in the response across the whole studied range of that factor, and significance will</w:t>
      </w:r>
      <w:r>
        <w:t xml:space="preserve"> </w:t>
      </w:r>
      <w:r>
        <w:t xml:space="preserve">be judged at α = 0.05.</w:t>
      </w:r>
    </w:p>
    <w:p>
      <w:pPr>
        <w:pStyle w:val="BodyText"/>
      </w:pPr>
      <w:r>
        <w:t xml:space="preserve">The screening analysis identifies which factors matter and how they interact, but it is not</w:t>
      </w:r>
      <w:r>
        <w:t xml:space="preserve"> </w:t>
      </w:r>
      <w:r>
        <w:t xml:space="preserve">the predictive model. The response-surface model is the predictive model, and it is the basis</w:t>
      </w:r>
      <w:r>
        <w:t xml:space="preserve"> </w:t>
      </w:r>
      <w:r>
        <w:t xml:space="preserve">of the operating region (§7) and of the proven acceptable ranges (§8). The response-surface</w:t>
      </w:r>
      <w:r>
        <w:t xml:space="preserve"> </w:t>
      </w:r>
      <w:r>
        <w:t xml:space="preserve">design will be analysed as a full quadratic model in the same factors.</w:t>
      </w:r>
    </w:p>
    <w:p>
      <w:pPr>
        <w:pStyle w:val="BodyText"/>
      </w:pPr>
      <w:r>
        <w:t xml:space="preserve">Model adequacy will be judged on R², on adjusted R², on predicted R² from the PRESS</w:t>
      </w:r>
      <w:r>
        <w:t xml:space="preserve"> </w:t>
      </w:r>
      <w:r>
        <w:t xml:space="preserve">statistic, on the model F test, and on an analysis of variance that partitions the residual</w:t>
      </w:r>
      <w:r>
        <w:t xml:space="preserve"> </w:t>
      </w:r>
      <w:r>
        <w:t xml:space="preserve">variation into lack of fit and pure error. §7 states what follows from each outcome.</w:t>
      </w:r>
    </w:p>
    <w:p>
      <w:pPr>
        <w:pStyle w:val="BodyText"/>
      </w:pPr>
      <w:r>
        <w:t xml:space="preserve">Capability at commercial scale will be estimated by Monte-Carlo simulation of</w:t>
      </w:r>
      <w:r>
        <w:t xml:space="preserve"> </w:t>
      </w:r>
      <w:r>
        <w:t xml:space="preserve">2,000 batches, with each parameter drawn across its normal operating range and the</w:t>
      </w:r>
      <w:r>
        <w:t xml:space="preserve"> </w:t>
      </w:r>
      <w:r>
        <w:t xml:space="preserve">fitted models used to predict the responses, and capability against a one-sided criterion</w:t>
      </w:r>
      <w:r>
        <w:t xml:space="preserve"> </w:t>
      </w:r>
      <w:r>
        <w:t xml:space="preserve">will be reported as Cpk. A response with no active factor over the ranges studied will be</w:t>
      </w:r>
      <w:r>
        <w:t xml:space="preserve"> </w:t>
      </w:r>
      <w:r>
        <w:t xml:space="preserve">reported as robust, and its factors will be retained in the knowledge space as evidence of</w:t>
      </w:r>
      <w:r>
        <w:t xml:space="preserve"> </w:t>
      </w:r>
      <w:r>
        <w:t xml:space="preserve">that robustness.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coded letters used for the</w:t>
      </w:r>
      <w:r>
        <w:t xml:space="preserve"> </w:t>
      </w:r>
      <w:r>
        <w:t xml:space="preserve">multivariate factors in the design matrices in Appendix A and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planned characterization. No classification is assigned in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planned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studied range is wider than the corresponding normal operating range, because the</w:t>
      </w:r>
      <w:r>
        <w:t xml:space="preserve"> </w:t>
      </w:r>
      <w:r>
        <w:t xml:space="preserve">purpose of the study is to locate the edges and not to confirm the centre. The rationale for</w:t>
      </w:r>
      <w:r>
        <w:t xml:space="preserve"> </w:t>
      </w:r>
      <w:r>
        <w:t xml:space="preserve">each range is given below.</w:t>
      </w:r>
    </w:p>
    <w:p>
      <w:pPr>
        <w:pStyle w:val="BodyText"/>
      </w:pPr>
      <w:r>
        <w:t xml:space="preserve">The pH range, 3.2–4, spans both failure modes. Its lower edge sits just above</w:t>
      </w:r>
      <w:r>
        <w:t xml:space="preserve"> </w:t>
      </w:r>
      <w:r>
        <w:t xml:space="preserve">the pH at which platform experience shows visible antibody precipitation, so the study can</w:t>
      </w:r>
      <w:r>
        <w:t xml:space="preserve"> </w:t>
      </w:r>
      <w:r>
        <w:t xml:space="preserve">approach the aggregation edge and still produce material that can be assayed. Its upper edge</w:t>
      </w:r>
      <w:r>
        <w:t xml:space="preserve"> </w:t>
      </w:r>
      <w:r>
        <w:t xml:space="preserve">sits above the pH at which enveloped virus inactivation is expected to become incomplete</w:t>
      </w:r>
      <w:r>
        <w:t xml:space="preserve"> </w:t>
      </w:r>
      <w:r>
        <w:t xml:space="preserve">within the hold times studied. The normal operating range, 3.4–3.6, is narrow and</w:t>
      </w:r>
      <w:r>
        <w:t xml:space="preserve"> </w:t>
      </w:r>
      <w:r>
        <w:t xml:space="preserve">lies well inside both edges. The set-point is pH 3.5.</w:t>
      </w:r>
    </w:p>
    <w:p>
      <w:pPr>
        <w:pStyle w:val="BodyText"/>
      </w:pPr>
      <w:r>
        <w:t xml:space="preserve">The hold time range, 60–180 min, starts at the shortest hold</w:t>
      </w:r>
      <w:r>
        <w:t xml:space="preserve"> </w:t>
      </w:r>
      <w:r>
        <w:t xml:space="preserve">that will be permitted at commercial scale and extends well beyond the set-point, so that</w:t>
      </w:r>
      <w:r>
        <w:t xml:space="preserve"> </w:t>
      </w:r>
      <w:r>
        <w:t xml:space="preserve">extended holds caused by equipment or scheduling delays fall inside characterized territory.</w:t>
      </w:r>
      <w:r>
        <w:t xml:space="preserve"> </w:t>
      </w:r>
      <w:r>
        <w:t xml:space="preserve">The upper edge is the condition of greatest acid exposure, and so the worst case for</w:t>
      </w:r>
      <w:r>
        <w:t xml:space="preserve"> </w:t>
      </w:r>
      <w:r>
        <w:t xml:space="preserve">aggregate and for charge variants.</w:t>
      </w:r>
    </w:p>
    <w:p>
      <w:pPr>
        <w:pStyle w:val="BodyText"/>
      </w:pPr>
      <w:r>
        <w:t xml:space="preserve">The temperature range, 15–25 °C, spans the ambient</w:t>
      </w:r>
      <w:r>
        <w:t xml:space="preserve"> </w:t>
      </w:r>
      <w:r>
        <w:t xml:space="preserve">conditions of the manufacturing suite and brackets the control tolerance of the hold vessel.</w:t>
      </w:r>
      <w:r>
        <w:t xml:space="preserve"> </w:t>
      </w:r>
      <w:r>
        <w:t xml:space="preserve">The low edge is the worst case for inactivation and the high edge is the worst case for</w:t>
      </w:r>
      <w:r>
        <w:t xml:space="preserve"> </w:t>
      </w:r>
      <w:r>
        <w:t xml:space="preserve">aggregate, so both edges of this range are informative.</w:t>
      </w:r>
    </w:p>
    <w:p>
      <w:pPr>
        <w:pStyle w:val="BodyText"/>
      </w:pPr>
      <w:r>
        <w:t xml:space="preserve">The A-Mab concentration range, 5–35 g/L, covers the pool</w:t>
      </w:r>
      <w:r>
        <w:t xml:space="preserve"> </w:t>
      </w:r>
      <w:r>
        <w:t xml:space="preserve">concentrations expected from Protein A across that step’s own characterized load range</w:t>
      </w:r>
      <w:r>
        <w:t xml:space="preserve"> </w:t>
      </w:r>
      <w:r>
        <w:t xml:space="preserve">(PCR-005). Its normal operating range and its studied range are the same, because the step</w:t>
      </w:r>
      <w:r>
        <w:t xml:space="preserve"> </w:t>
      </w:r>
      <w:r>
        <w:t xml:space="preserve">imposes no control on the concentration it receives.</w:t>
      </w:r>
    </w:p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multivariate factors with</w:t>
      </w:r>
      <w:r>
        <w:t xml:space="preserve"> </w:t>
      </w:r>
      <w:r>
        <w:t xml:space="preserve">3 centre points, giving 11 runs in total, and</w:t>
      </w:r>
      <w:r>
        <w:t xml:space="preserve"> </w:t>
      </w:r>
      <w:r>
        <w:t xml:space="preserve">the run order will be randomised. The design estimates all 8</w:t>
      </w:r>
      <w:r>
        <w:t xml:space="preserve"> </w:t>
      </w:r>
      <w:r>
        <w:t xml:space="preserve">factorial combinations, so every main effect and every two-factor interaction is estimated</w:t>
      </w:r>
      <w:r>
        <w:t xml:space="preserve"> </w:t>
      </w:r>
      <w:r>
        <w:t xml:space="preserve">without aliasing, which is what the interaction risk identified in §4.3 requires. The planned</w:t>
      </w:r>
      <w:r>
        <w:t xml:space="preserve"> </w:t>
      </w:r>
      <w:r>
        <w:t xml:space="preserve">coded matrix is given in Appendix A.</w:t>
      </w:r>
    </w:p>
    <w:p>
      <w:pPr>
        <w:pStyle w:val="BodyText"/>
      </w:pPr>
      <w:r>
        <w:t xml:space="preserve">The screening design carries no axial points, so it cannot estimate curvature in any single</w:t>
      </w:r>
      <w:r>
        <w:t xml:space="preserve"> </w:t>
      </w:r>
      <w:r>
        <w:t xml:space="preserve">factor. The centre points will detect curvature as a lack of fit, but they cannot attribute</w:t>
      </w:r>
      <w:r>
        <w:t xml:space="preserve"> </w:t>
      </w:r>
      <w:r>
        <w:t xml:space="preserve">it to one factor, which is the reason for the response-surface design and the reason the</w:t>
      </w:r>
      <w:r>
        <w:t xml:space="preserve"> </w:t>
      </w:r>
      <w:r>
        <w:t xml:space="preserve">screening effects will be reported as an identification of the active factors and not as a</w:t>
      </w:r>
      <w:r>
        <w:t xml:space="preserve"> </w:t>
      </w:r>
      <w:r>
        <w:t xml:space="preserve">predictive model.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 factors,</w:t>
      </w:r>
      <w:r>
        <w:t xml:space="preserve"> </w:t>
      </w:r>
      <w:r>
        <w:t xml:space="preserve">comprising 8 factorial points, 6 axial</w:t>
      </w:r>
      <w:r>
        <w:t xml:space="preserve"> </w:t>
      </w:r>
      <w:r>
        <w:t xml:space="preserve">points and 4 centre replicates, giving 18 runs</w:t>
      </w:r>
      <w:r>
        <w:t xml:space="preserve"> </w:t>
      </w:r>
      <w:r>
        <w:t xml:space="preserve">in total. The planned coded matrix is given in Appendix B.</w:t>
      </w:r>
    </w:p>
    <w:p>
      <w:pPr>
        <w:pStyle w:val="BodyText"/>
      </w:pPr>
      <w:r>
        <w:t xml:space="preserve">The axial points are placed on the faces of the cube and not outside it, since a rotatable</w:t>
      </w:r>
      <w:r>
        <w:t xml:space="preserve"> </w:t>
      </w:r>
      <w:r>
        <w:t xml:space="preserve">design would place them beyond the coded edges, which for pH would mean running below the</w:t>
      </w:r>
      <w:r>
        <w:t xml:space="preserve"> </w:t>
      </w:r>
      <w:r>
        <w:t xml:space="preserve">precipitation threshold and above the pH at which inactivation is expected to fail. The</w:t>
      </w:r>
      <w:r>
        <w:t xml:space="preserve"> </w:t>
      </w:r>
      <w:r>
        <w:t xml:space="preserve">face-centred form keeps every run inside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at the</w:t>
      </w:r>
      <w:r>
        <w:t xml:space="preserve"> </w:t>
      </w:r>
      <w:r>
        <w:t xml:space="preserve">cost of a less precise estimate of the pure quadratic terms. That cost is accepted here,</w:t>
      </w:r>
      <w:r>
        <w:t xml:space="preserve"> </w:t>
      </w:r>
      <w:r>
        <w:t xml:space="preserve">because the edges of the pH range are physically meaningful limits and not arbitrary ones.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studied one factor at a time, at the low edge, the set-point and</w:t>
      </w:r>
      <w:r>
        <w:t xml:space="preserve"> </w:t>
      </w:r>
      <w:r>
        <w:t xml:space="preserve">the high edge of the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pH, hold time and temperature held at their</w:t>
      </w:r>
      <w:r>
        <w:t xml:space="preserve"> </w:t>
      </w:r>
      <w:r>
        <w:t xml:space="preserve">set-points. Both spiked and unspiked runs will be executed at each level.</w:t>
      </w:r>
    </w:p>
    <w:p>
      <w:pPr>
        <w:pStyle w:val="BodyText"/>
      </w:pPr>
      <w:r>
        <w:t xml:space="preserve">The parameter is excluded from the multivariate design for the reasons given in §4.3, and the</w:t>
      </w:r>
      <w:r>
        <w:t xml:space="preserve"> </w:t>
      </w:r>
      <w:r>
        <w:t xml:space="preserve">univariate result is informative either way. If no effect is found, the parameter will be</w:t>
      </w:r>
      <w:r>
        <w:t xml:space="preserve"> </w:t>
      </w:r>
      <w:r>
        <w:t xml:space="preserve">classified accordingly in PCR-006 and its studied range will be retained in the knowledge</w:t>
      </w:r>
      <w:r>
        <w:t xml:space="preserve"> </w:t>
      </w:r>
      <w:r>
        <w:t xml:space="preserve">space as evidence that the step is insensitive to it. If an effect is found, the multivariate</w:t>
      </w:r>
      <w:r>
        <w:t xml:space="preserve"> </w:t>
      </w:r>
      <w:r>
        <w:t xml:space="preserve">design will be augmented before any operating region is declared.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acceptance criterion for each response together with the basis of that</w:t>
      </w:r>
      <w:r>
        <w:t xml:space="preserve"> </w:t>
      </w:r>
      <w:r>
        <w:t xml:space="preserve">criterion. The aggregate and charge variant criteria are drug-substance specifications</w:t>
      </w:r>
      <w:r>
        <w:t xml:space="preserve"> </w:t>
      </w:r>
      <w:r>
        <w:t xml:space="preserve">applied at the outlet of the step, and the viral criterion is derived, as set out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e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study responses, with the basis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69"/>
              <w:gridCol w:w="1450"/>
              <w:gridCol w:w="1148"/>
              <w:gridCol w:w="40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of the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contribution back-calculated from the cumulative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enveloped virus criterion is a step contribution and not a cumulative figure. The</w:t>
      </w:r>
      <w:r>
        <w:t xml:space="preserve"> </w:t>
      </w:r>
      <w:r>
        <w:t xml:space="preserve">drug-substance requirement is a cumulative XMuLV reduction of at least</w:t>
      </w:r>
      <w:r>
        <w:t xml:space="preserve"> </w:t>
      </w:r>
      <w:r>
        <w:t xml:space="preserve">16.7 log₁₀ across the process, and anion exchange and small-virus</w:t>
      </w:r>
      <w:r>
        <w:t xml:space="preserve"> </w:t>
      </w:r>
      <w:r>
        <w:t xml:space="preserve">retentive filtration are credited with 11.77 log₁₀ between them</w:t>
      </w:r>
      <w:r>
        <w:t xml:space="preserve"> </w:t>
      </w:r>
      <w:r>
        <w:t xml:space="preserve">under the modular clearance approach, in which each step is spiked and evaluated</w:t>
      </w:r>
      <w:r>
        <w:t xml:space="preserve"> </w:t>
      </w:r>
      <w:r>
        <w:t xml:space="preserve">independently of the others</w:t>
      </w:r>
      <w:r>
        <w:t xml:space="preserve"> </w:t>
      </w:r>
      <w:r>
        <w:t xml:space="preserve">(International Council for Harmonisation 2023a; CMC Biotech Working Group 2009)</w:t>
      </w:r>
      <w:r>
        <w:t xml:space="preserve">. This step must therefore achieve at least</w:t>
      </w:r>
      <w:r>
        <w:t xml:space="preserve"> </w:t>
      </w:r>
      <w:r>
        <w:t xml:space="preserve">4.93 log₁₀ of XMuLV reduction across the operating region.</w:t>
      </w:r>
    </w:p>
    <w:p>
      <w:pPr>
        <w:pStyle w:val="BodyText"/>
      </w:pPr>
      <w:r>
        <w:t xml:space="preserve">The clearance claim will be framed conservatively in three ways. The claim made for the step</w:t>
      </w:r>
      <w:r>
        <w:t xml:space="preserve"> </w:t>
      </w:r>
      <w:r>
        <w:t xml:space="preserve">will be the reduction demonstrated at the worst case of the operating region, which is the</w:t>
      </w:r>
      <w:r>
        <w:t xml:space="preserve"> </w:t>
      </w:r>
      <w:r>
        <w:t xml:space="preserve">combination of the highest pH, the shortest hold and the lowest temperature, and not the mean</w:t>
      </w:r>
      <w:r>
        <w:t xml:space="preserve"> </w:t>
      </w:r>
      <w:r>
        <w:t xml:space="preserve">at the set-point. A run in which the held pool falls to the quantitation limit of AMV-3017</w:t>
      </w:r>
      <w:r>
        <w:t xml:space="preserve"> </w:t>
      </w:r>
      <w:r>
        <w:t xml:space="preserve">will be reported as a limit value, and the reduction will not be extrapolated beyond it.</w:t>
      </w:r>
      <w:r>
        <w:t xml:space="preserve"> </w:t>
      </w:r>
      <w:r>
        <w:t xml:space="preserve">Inactivation will not be extrapolated to hold times shorter than the shortest studied,</w:t>
      </w:r>
      <w:r>
        <w:t xml:space="preserve"> </w:t>
      </w:r>
      <w:r>
        <w:t xml:space="preserve">because the kinetics are steepest there and a linear extrapolation would overstate the</w:t>
      </w:r>
      <w:r>
        <w:t xml:space="preserve"> </w:t>
      </w:r>
      <w:r>
        <w:t xml:space="preserve">clearance.</w:t>
      </w:r>
    </w:p>
    <w:p>
      <w:pPr>
        <w:pStyle w:val="BodyText"/>
      </w:pPr>
      <w:r>
        <w:t xml:space="preserve">The product-quality criteria apply to the neutralised pool, where aggregate must be at or</w:t>
      </w:r>
      <w:r>
        <w:t xml:space="preserve"> </w:t>
      </w:r>
      <w:r>
        <w:t xml:space="preserve">below 5 % HMW and acidic charge variants must lie between</w:t>
      </w:r>
      <w:r>
        <w:t xml:space="preserve"> </w:t>
      </w:r>
      <w:r>
        <w:t xml:space="preserve">18 % and 40 %. Both are drug-substance</w:t>
      </w:r>
      <w:r>
        <w:t xml:space="preserve"> </w:t>
      </w:r>
      <w:r>
        <w:t xml:space="preserve">specifications. Applying them at the outlet of this step is deliberately conservative,</w:t>
      </w:r>
      <w:r>
        <w:t xml:space="preserve"> </w:t>
      </w:r>
      <w:r>
        <w:t xml:space="preserve">because cation exchange reduces aggregate downstream of it (PCR-007). A run that exceeds</w:t>
      </w:r>
      <w:r>
        <w:t xml:space="preserve"> </w:t>
      </w:r>
      <w:r>
        <w:t xml:space="preserve">either limit defines an edge of failure and will be reported as one.</w:t>
      </w:r>
    </w:p>
    <w:p>
      <w:pPr>
        <w:pStyle w:val="BodyText"/>
      </w:pPr>
      <w:r>
        <w:t xml:space="preserve">Model adequacy decides what the operating region may be built on. A response whose</w:t>
      </w:r>
      <w:r>
        <w:t xml:space="preserve"> </w:t>
      </w:r>
      <w:r>
        <w:t xml:space="preserve">response-surface model shows a significant lack of fit against pure error at α = 0.05 will</w:t>
      </w:r>
      <w:r>
        <w:t xml:space="preserve"> </w:t>
      </w:r>
      <w:r>
        <w:t xml:space="preserve">not be used to define the region, and the region will then be set from the responses whose</w:t>
      </w:r>
      <w:r>
        <w:t xml:space="preserve"> </w:t>
      </w:r>
      <w:r>
        <w:t xml:space="preserve">models are adequate, together with the univariate data, with the shortfall stated plainly in</w:t>
      </w:r>
      <w:r>
        <w:t xml:space="preserve"> </w:t>
      </w:r>
      <w:r>
        <w:t xml:space="preserve">PCR-006. A response with no significant factor effect will be reported as robust over the</w:t>
      </w:r>
      <w:r>
        <w:t xml:space="preserve"> </w:t>
      </w:r>
      <w:r>
        <w:t xml:space="preserve">ranges studied, and its acceptance will be shown from the observed values and not from a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The operating region will be declared as the set of parameter combinations at which every</w:t>
      </w:r>
      <w:r>
        <w:t xml:space="preserve"> </w:t>
      </w:r>
      <w:r>
        <w:t xml:space="preserve">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 It will be evaluated from the fitted</w:t>
      </w:r>
      <w:r>
        <w:t xml:space="preserve"> </w:t>
      </w:r>
      <w:r>
        <w:t xml:space="preserve">response-surface models with the remaining parameters varying within their normal operating</w:t>
      </w:r>
      <w:r>
        <w:t xml:space="preserve"> </w:t>
      </w:r>
      <w:r>
        <w:t xml:space="preserve">ranges, and not from the mean prediction alone. A model of mean response gives roughly even</w:t>
      </w:r>
      <w:r>
        <w:t xml:space="preserve"> </w:t>
      </w:r>
      <w:r>
        <w:t xml:space="preserve">odds of meeting a limit at its own boundary, so a region drawn on the mean surface would not</w:t>
      </w:r>
      <w:r>
        <w:t xml:space="preserve"> </w:t>
      </w:r>
      <w:r>
        <w:t xml:space="preserve">support the assurance that the viral criterion requires.</w:t>
      </w:r>
    </w:p>
    <w:p>
      <w:pPr>
        <w:pStyle w:val="BodyText"/>
      </w:pPr>
      <w:r>
        <w:t xml:space="preserve">The pH criterion is two-sided, and it is the decisive one for this step, with its upper edge</w:t>
      </w:r>
      <w:r>
        <w:t xml:space="preserve"> </w:t>
      </w:r>
      <w:r>
        <w:t xml:space="preserve">set by the log reduction criterion and its lower edge by the aggregate criterion. The study</w:t>
      </w:r>
      <w:r>
        <w:t xml:space="preserve"> </w:t>
      </w:r>
      <w:r>
        <w:t xml:space="preserve">passes on pH only if those two edges leave an interval that contains the set-point and the</w:t>
      </w:r>
      <w:r>
        <w:t xml:space="preserve"> </w:t>
      </w:r>
      <w:r>
        <w:t xml:space="preserve">whole normal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margin on both sides. If they do not, no</w:t>
      </w:r>
      <w:r>
        <w:t xml:space="preserve"> </w:t>
      </w:r>
      <w:r>
        <w:t xml:space="preserve">operating range for pH will be declared from this data set, the set-point and the normal</w:t>
      </w:r>
      <w:r>
        <w:t xml:space="preserve"> </w:t>
      </w:r>
      <w:r>
        <w:t xml:space="preserve">operating range will be reset under change control, and the affected part of the study will</w:t>
      </w:r>
      <w:r>
        <w:t xml:space="preserve"> </w:t>
      </w:r>
      <w:r>
        <w:t xml:space="preserve">be re-executed.</w:t>
      </w:r>
    </w:p>
    <w:p>
      <w:pPr>
        <w:pStyle w:val="BodyText"/>
      </w:pPr>
      <w:r>
        <w:t xml:space="preserve">The study will be accepted as executed when four conditions hold. Every designed run in</w:t>
      </w:r>
      <w:r>
        <w:t xml:space="preserve"> </w:t>
      </w:r>
      <w:r>
        <w:t xml:space="preserve">Appendix A and Appendix B has been executed, or its omission has been justified and assessed</w:t>
      </w:r>
      <w:r>
        <w:t xml:space="preserve"> </w:t>
      </w:r>
      <w:r>
        <w:t xml:space="preserve">for impact. The centre-point variation is consistent with the precision of the methods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every spiked run carries passing cytotoxicity and interference controls. Any</w:t>
      </w:r>
      <w:r>
        <w:t xml:space="preserve"> </w:t>
      </w:r>
      <w:r>
        <w:t xml:space="preserve">departure from this plan has been recorded, investigated, assessed for its effect on the</w:t>
      </w:r>
      <w:r>
        <w:t xml:space="preserve"> </w:t>
      </w:r>
      <w:r>
        <w:t xml:space="preserve">conclusions and reported in PCR-006.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is multivariate, and it will be complemented by a proven acceptable</w:t>
      </w:r>
      <w:r>
        <w:t xml:space="preserve"> </w:t>
      </w:r>
      <w:r>
        <w:t xml:space="preserve">range for each parameter against each attribute that parameter governs. The acceptance basis</w:t>
      </w:r>
      <w:r>
        <w:t xml:space="preserve"> </w:t>
      </w:r>
      <w:r>
        <w:t xml:space="preserve">is the one already given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: aggregate and acidic charge variants are judged</w:t>
      </w:r>
      <w:r>
        <w:t xml:space="preserve"> </w:t>
      </w:r>
      <w:r>
        <w:t xml:space="preserve">against their drug-substance specifications, and XMuLV reduction is judged against the step</w:t>
      </w:r>
      <w:r>
        <w:t xml:space="preserve"> </w:t>
      </w:r>
      <w:r>
        <w:t xml:space="preserve">contribution derived in §7.</w:t>
      </w:r>
    </w:p>
    <w:p>
      <w:pPr>
        <w:pStyle w:val="BodyText"/>
      </w:pPr>
      <w:r>
        <w:t xml:space="preserve">Two analyses will be run for each pairing of parameter and attribute. The first holds the</w:t>
      </w:r>
      <w:r>
        <w:t xml:space="preserve"> </w:t>
      </w:r>
      <w:r>
        <w:t xml:space="preserve">other parameters at their set-points and scans the parameter of interest across its</w:t>
      </w:r>
      <w:r>
        <w:t xml:space="preserve"> </w:t>
      </w:r>
      <w:r>
        <w:t xml:space="preserve">characterization range. The second varies the other parameters within their normal operating</w:t>
      </w:r>
      <w:r>
        <w:t xml:space="preserve"> </w:t>
      </w:r>
      <w:r>
        <w:t xml:space="preserve">ranges, by Monte-Carlo sampling of the fitted response-surface model, and requires the</w:t>
      </w:r>
      <w:r>
        <w:t xml:space="preserve"> </w:t>
      </w:r>
      <w:r>
        <w:t xml:space="preserve">criterion to be met across that variation, which makes it the reported default, because it is</w:t>
      </w:r>
      <w:r>
        <w:t xml:space="preserve"> </w:t>
      </w:r>
      <w:r>
        <w:t xml:space="preserve">the condition under which the step will actually be operated.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of the parameter, inside its characterization range, that contains the</w:t>
      </w:r>
      <w:r>
        <w:t xml:space="preserve"> </w:t>
      </w:r>
      <w:r>
        <w:t xml:space="preserve">set-point and over which the attribute stays within acceptance. Where that interval covers</w:t>
      </w:r>
      <w:r>
        <w:t xml:space="preserve"> </w:t>
      </w:r>
      <w:r>
        <w:t xml:space="preserve">the whole characterization range, the parameter is proven acceptable across everything that</w:t>
      </w:r>
      <w:r>
        <w:t xml:space="preserve"> </w:t>
      </w:r>
      <w:r>
        <w:t xml:space="preserve">was studied, and no claim will be made beyond it. Where the propagated analysis gives a</w:t>
      </w:r>
      <w:r>
        <w:t xml:space="preserve"> </w:t>
      </w:r>
      <w:r>
        <w:t xml:space="preserve">narrower interval than the set-point analysis, the attribute that binds it will be named,</w:t>
      </w:r>
      <w:r>
        <w:t xml:space="preserve"> </w:t>
      </w:r>
      <w:r>
        <w:t xml:space="preserve">together with the margin that remains to the set-point.</w:t>
      </w:r>
    </w:p>
    <w:p>
      <w:pPr>
        <w:pStyle w:val="BodyText"/>
      </w:pPr>
      <w:r>
        <w:t xml:space="preserve">Each governed attribute will be reported with a table of the characterization range and both</w:t>
      </w:r>
      <w:r>
        <w:t xml:space="preserve"> </w:t>
      </w:r>
      <w:r>
        <w:t xml:space="preserve">proven acceptable ranges, for every parameter, and with a two-panel figure for the parameter</w:t>
      </w:r>
      <w:r>
        <w:t xml:space="preserve"> </w:t>
      </w:r>
      <w:r>
        <w:t xml:space="preserve">that governs it. The panels carry the set-point analysis and the propagated analysis, and</w:t>
      </w:r>
      <w:r>
        <w:t xml:space="preserve"> </w:t>
      </w:r>
      <w:r>
        <w:t xml:space="preserve">each shows the parameter on the horizontal axis and the response on the vertical axis, with</w:t>
      </w:r>
      <w:r>
        <w:t xml:space="preserve"> </w:t>
      </w:r>
      <w:r>
        <w:t xml:space="preserve">the acceptance limit drawn, the acceptable region shaded green, and the set-point and the</w:t>
      </w:r>
      <w:r>
        <w:t xml:space="preserve"> </w:t>
      </w:r>
      <w:r>
        <w:t xml:space="preserve">normal operating range marked.</w:t>
      </w:r>
    </w:p>
    <w:p>
      <w:pPr>
        <w:pStyle w:val="BodyText"/>
      </w:pPr>
      <w:r>
        <w:t xml:space="preserve">A proven acceptable range and the operating region are not the same claim, and PCR-006 will</w:t>
      </w:r>
      <w:r>
        <w:t xml:space="preserve"> </w:t>
      </w:r>
      <w:r>
        <w:t xml:space="preserve">keep them apart. A proven acceptable range is a statement about one parameter, and the</w:t>
      </w:r>
      <w:r>
        <w:t xml:space="preserve"> </w:t>
      </w:r>
      <w:r>
        <w:t xml:space="preserve">operating region is a statement about the parameters together. Where every parameter turns</w:t>
      </w:r>
      <w:r>
        <w:t xml:space="preserve"> </w:t>
      </w:r>
      <w:r>
        <w:t xml:space="preserve">out to be proven acceptable across its whole characterization range, the binding constraint</w:t>
      </w:r>
      <w:r>
        <w:t xml:space="preserve"> </w:t>
      </w:r>
      <w:r>
        <w:t xml:space="preserve">on operation is the corner of the multivariate region and not any single range. Both are</w:t>
      </w:r>
      <w:r>
        <w:t xml:space="preserve"> </w:t>
      </w:r>
      <w:r>
        <w:t xml:space="preserve">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models, and neither will be claimed</w:t>
      </w:r>
      <w:r>
        <w:t xml:space="preserve"> </w:t>
      </w:r>
      <w:r>
        <w:t xml:space="preserve">outside them.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will be recorded and retained in accordance with ALCOA+ principles. Run execution will</w:t>
      </w:r>
      <w:r>
        <w:t xml:space="preserve"> </w:t>
      </w:r>
      <w:r>
        <w:t xml:space="preserve">be recorded in the electronic laboratory notebook against SOP-2009, with process data</w:t>
      </w:r>
      <w:r>
        <w:t xml:space="preserve"> </w:t>
      </w:r>
      <w:r>
        <w:t xml:space="preserve">captured from the vessel control system, and analytical results will be recorded in the</w:t>
      </w:r>
      <w:r>
        <w:t xml:space="preserve"> </w:t>
      </w:r>
      <w:r>
        <w:t xml:space="preserve">laboratory information management system under the method identifiers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Raw data, the fitted models and the analysis scripts will be retained together, so that every</w:t>
      </w:r>
      <w:r>
        <w:t xml:space="preserve"> </w:t>
      </w:r>
      <w:r>
        <w:t xml:space="preserve">reported value can be traced back to the run that produced it. The statistical analysis will</w:t>
      </w:r>
      <w:r>
        <w:t xml:space="preserve"> </w:t>
      </w:r>
      <w:r>
        <w:t xml:space="preserve">be reviewed independently by Statistics before the report is issued, and any change to this</w:t>
      </w:r>
      <w:r>
        <w:t xml:space="preserve"> </w:t>
      </w:r>
      <w:r>
        <w:t xml:space="preserve">plan after approval requires a documented amendment approved by the functions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assigns the functions involved in the study. MSAT owns this plan and the report,</w:t>
      </w:r>
      <w:r>
        <w:t xml:space="preserve"> </w:t>
      </w:r>
      <w:r>
        <w:t xml:space="preserve">Statistics owns the design and the analysis and is accountable for the operating region and</w:t>
      </w:r>
      <w:r>
        <w:t xml:space="preserve"> </w:t>
      </w:r>
      <w:r>
        <w:t xml:space="preserve">the proven acceptable ranges, and Quality Assurance approves the plan before execution</w:t>
      </w:r>
      <w:r>
        <w:t xml:space="preserve"> </w:t>
      </w:r>
      <w:r>
        <w:t xml:space="preserve">begins.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Roles and responsibilities for the planned study (synthetic).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 and the report; qualifies the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unspiked characterization runs and the univariate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Contract 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spiked runs under Novacyte oversight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Releases analytical data against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design, the analysis and the model adequacy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plan, the deviations and the report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PCR-006, and</w:t>
      </w:r>
      <w:r>
        <w:t xml:space="preserve"> </w:t>
      </w:r>
      <w:hyperlink w:anchor="tbl-phase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sequence of work. No</w:t>
      </w:r>
      <w:r>
        <w:t xml:space="preserve"> </w:t>
      </w:r>
      <w:r>
        <w:t xml:space="preserve">calendar dates are fixed here, and each phase begins once the preceding phase has been</w:t>
      </w:r>
      <w:r>
        <w:t xml:space="preserve"> </w:t>
      </w:r>
      <w:r>
        <w:t xml:space="preserve">reviewed and released.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h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phase sequence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at-scale platform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result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A-Mab 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Analysis, operating region and proven acceptable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Phases 2 to 4 complete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 of PCR-006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reviewed by Statistics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Scale-down model qualification precedes every characterization run. Screening precedes the</w:t>
      </w:r>
      <w:r>
        <w:t xml:space="preserve"> </w:t>
      </w:r>
      <w:r>
        <w:t xml:space="preserve">response-surface study, because the response-surface factors are confirmed by the screening</w:t>
      </w:r>
      <w:r>
        <w:t xml:space="preserve"> </w:t>
      </w:r>
      <w:r>
        <w:t xml:space="preserve">result. The univariate assessment may run in parallel with either. Within each</w:t>
      </w:r>
      <w:r>
        <w:t xml:space="preserve"> </w:t>
      </w:r>
      <w:r>
        <w:t xml:space="preserve">design the spiked runs follow the matching unspiked runs, so that a run failing a</w:t>
      </w:r>
      <w:r>
        <w:t xml:space="preserve"> </w:t>
      </w:r>
      <w:r>
        <w:t xml:space="preserve">product-quality criterion is known before virus is committed to it.</w:t>
      </w:r>
    </w:p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Four risks to the study are recognised, and each carries a mitigation that is part of the</w:t>
      </w:r>
      <w:r>
        <w:t xml:space="preserve"> </w:t>
      </w:r>
      <w:r>
        <w:t xml:space="preserve">plan.</w:t>
      </w:r>
    </w:p>
    <w:p>
      <w:pPr>
        <w:pStyle w:val="BodyText"/>
      </w:pPr>
      <w:r>
        <w:t xml:space="preserve">The scale-down model may not represent the commercial hold. The step has no separation</w:t>
      </w:r>
      <w:r>
        <w:t xml:space="preserve"> </w:t>
      </w:r>
      <w:r>
        <w:t xml:space="preserve">mechanism, which makes the model simpler to justify than a chromatography model, but</w:t>
      </w:r>
      <w:r>
        <w:t xml:space="preserve"> </w:t>
      </w:r>
      <w:r>
        <w:t xml:space="preserve">titration and mixing are scale dependent, and the model will be qualified on those variables</w:t>
      </w:r>
      <w:r>
        <w:t xml:space="preserve"> </w:t>
      </w:r>
      <w:r>
        <w:t xml:space="preserve">before execution (§5.1).</w:t>
      </w:r>
    </w:p>
    <w:p>
      <w:pPr>
        <w:pStyle w:val="BodyText"/>
      </w:pPr>
      <w:r>
        <w:t xml:space="preserve">The spiked model may not represent the unspiked step. Virus stock carries cell culture matrix</w:t>
      </w:r>
      <w:r>
        <w:t xml:space="preserve"> </w:t>
      </w:r>
      <w:r>
        <w:t xml:space="preserve">into the pool, and at high spike volumes it can shift the pH or the conductivity of the pool,</w:t>
      </w:r>
      <w:r>
        <w:t xml:space="preserve"> </w:t>
      </w:r>
      <w:r>
        <w:t xml:space="preserve">so the spike volume will be held small and the pool condition will be recorded before and</w:t>
      </w:r>
      <w:r>
        <w:t xml:space="preserve"> </w:t>
      </w:r>
      <w:r>
        <w:t xml:space="preserve">after spiking.</w:t>
      </w:r>
    </w:p>
    <w:p>
      <w:pPr>
        <w:pStyle w:val="BodyText"/>
      </w:pPr>
      <w:r>
        <w:t xml:space="preserve">The infectivity assay may lose resolution to matrix cytotoxicity. A low-pH antibody pool is</w:t>
      </w:r>
      <w:r>
        <w:t xml:space="preserve"> </w:t>
      </w:r>
      <w:r>
        <w:t xml:space="preserve">cytotoxic to the indicator cells at low dilution, and the higher dilution needed to avoid</w:t>
      </w:r>
      <w:r>
        <w:t xml:space="preserve"> </w:t>
      </w:r>
      <w:r>
        <w:t xml:space="preserve">this costs resolution at the top of the reduction range. Cytotoxicity controls form part of</w:t>
      </w:r>
      <w:r>
        <w:t xml:space="preserve"> </w:t>
      </w:r>
      <w:r>
        <w:t xml:space="preserve">every spiked run. A run that loses resolution will be reported as a limit value (§7).</w:t>
      </w:r>
    </w:p>
    <w:p>
      <w:pPr>
        <w:pStyle w:val="BodyText"/>
      </w:pPr>
      <w:r>
        <w:t xml:space="preserve">The feed may not span the states the step will meet at scale. The input is the Protein A</w:t>
      </w:r>
      <w:r>
        <w:t xml:space="preserve"> </w:t>
      </w:r>
      <w:r>
        <w:t xml:space="preserve">pool, whose own characterization is reported in PCR-005, and only its protein concentration</w:t>
      </w:r>
      <w:r>
        <w:t xml:space="preserve"> </w:t>
      </w:r>
      <w:r>
        <w:t xml:space="preserve">is varied deliberately here, so feed states beyond that variation are covered by the input</w:t>
      </w:r>
      <w:r>
        <w:t xml:space="preserve"> </w:t>
      </w:r>
      <w:r>
        <w:t xml:space="preserve">controls agreed with PCR-005 and not by this study.</w:t>
      </w:r>
    </w:p>
    <w:p>
      <w:pPr>
        <w:pStyle w:val="BodyText"/>
      </w:pPr>
      <w:r>
        <w:t xml:space="preserve">Three assumptions are made explicit. The inactivation mechanism is a property of the virus</w:t>
      </w:r>
      <w:r>
        <w:t xml:space="preserve"> </w:t>
      </w:r>
      <w:r>
        <w:t xml:space="preserve">envelope and transfers from the platform products to A-Mab, whereas the acid stability of the</w:t>
      </w:r>
      <w:r>
        <w:t xml:space="preserve"> </w:t>
      </w:r>
      <w:r>
        <w:t xml:space="preserve">antibody does not transfer and is characterized here (§4.1). XMuLV is a conservative model</w:t>
      </w:r>
      <w:r>
        <w:t xml:space="preserve"> </w:t>
      </w:r>
      <w:r>
        <w:t xml:space="preserve">virus for the enveloped viruses of concern under ICH Q5A(R2)</w:t>
      </w:r>
      <w:r>
        <w:t xml:space="preserve"> </w:t>
      </w:r>
      <w:r>
        <w:t xml:space="preserve">(International Council for Harmonisation 2023a)</w:t>
      </w:r>
      <w:r>
        <w:t xml:space="preserve">. The neutralised pool</w:t>
      </w:r>
      <w:r>
        <w:t xml:space="preserve"> </w:t>
      </w:r>
      <w:r>
        <w:t xml:space="preserve">is the input to cation exchange, and no host cell protein clearance is credited to this step</w:t>
      </w:r>
      <w:r>
        <w:t xml:space="preserve"> </w:t>
      </w:r>
      <w:r>
        <w:t xml:space="preserve">(§1).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</w:t>
      </w:r>
      <w:r>
        <w:t xml:space="preserve"> </w:t>
      </w:r>
      <w:r>
        <w:t xml:space="preserve">execution may not begin before that approval. Amendments after approval follow the change</w:t>
      </w:r>
      <w:r>
        <w:t xml:space="preserve"> </w:t>
      </w:r>
      <w:r>
        <w:t xml:space="preserve">control route described in §9 and are approved by the same functions.</w:t>
      </w:r>
    </w:p>
    <w:bookmarkEnd w:id="46"/>
    <w:bookmarkStart w:id="52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two planned design matrices follow, in coded form, and neither carries response columns,</w:t>
      </w:r>
      <w:r>
        <w:t xml:space="preserve"> </w:t>
      </w:r>
      <w:r>
        <w:t xml:space="preserve">because no data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screening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1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face-centred central composite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same design in natural units is given below, for use as the run sheet.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Planned response-surface design matrix in natural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Temperature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50"/>
          <w:p/>
        </w:tc>
      </w:tr>
    </w:tbl>
    <w:bookmarkEnd w:id="51"/>
    <w:bookmarkEnd w:id="52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3"/>
    <w:bookmarkStart w:id="5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2026-07-27T09:07:01Z</dcterms:created>
  <dcterms:modified xsi:type="dcterms:W3CDTF">2026-07-27T09:07:01Z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