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1.3e+03</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against an acceptance criterion of</w:t>
      </w:r>
      <w:r>
        <w:t xml:space="preserve"> </w:t>
      </w:r>
      <w:r>
        <w:t xml:space="preserve">100 ng/mg. Pool purity does not constrain the region anywhere inside the characterized ranges. Viral clearance is the constraint that defines the operating region</w:t>
      </w:r>
      <w:r>
        <w:t xml:space="preserve"> </w:t>
      </w:r>
      <w:r>
        <w:t xml:space="preserve">for this step.</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446"/>
              <w:gridCol w:w="2056"/>
              <w:gridCol w:w="1142"/>
              <w:gridCol w:w="837"/>
              <w:gridCol w:w="1446"/>
              <w:gridCol w:w="99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The two analyses coincide in every row, and both equal the characterization range. No parameter has a narrower proven acceptable range under NOR co-variation than it has at</w:t>
      </w:r>
      <w:r>
        <w:t xml:space="preserve"> </w:t>
      </w:r>
      <w:r>
        <w:t xml:space="preserve">set-point. The practical reading is that the step meets every acceptance criterion at any single</w:t>
      </w:r>
      <w:r>
        <w:t xml:space="preserve"> </w:t>
      </w:r>
      <w:r>
        <w:t xml:space="preserve">parameter setting inside the ranges studied, provided the remaining parameters stay within their</w:t>
      </w:r>
      <w:r>
        <w:t xml:space="preserve"> </w:t>
      </w:r>
      <w:r>
        <w:t xml:space="preserve">normal operating ranges.</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and the tightest case is the MVM log reduction</w:t>
      </w:r>
      <w:r>
        <w:t xml:space="preserve"> </w:t>
      </w:r>
      <w:r>
        <w:t xml:space="preserve">factor against load pH, which is its governing parameter.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084"/>
              <w:gridCol w:w="750"/>
              <w:gridCol w:w="666"/>
              <w:gridCol w:w="1167"/>
              <w:gridCol w:w="1333"/>
              <w:gridCol w:w="917"/>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2.79e+03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2026-07-27T09:14:39Z</dcterms:created>
  <dcterms:modified xsi:type="dcterms:W3CDTF">2026-07-27T09:14:39Z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