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Transfer Plan</w:t>
      </w:r>
    </w:p>
    <w:p>
      <w:pPr>
        <w:pStyle w:val="Subtitle"/>
      </w:pPr>
      <w:r>
        <w:t xml:space="preserve">A-Mab Drug Substance — PTP-001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Transfer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Transfer Plan: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cellular cytotoxicity; AEX, anion exchange chromatography; AMV,</w:t>
      </w:r>
      <w:r>
        <w:t xml:space="preserve"> </w:t>
      </w:r>
      <w:r>
        <w:t xml:space="preserve">analytical method validation; BLA, Biologics License Application; CEX, cation exchange</w:t>
      </w:r>
      <w:r>
        <w:t xml:space="preserve"> </w:t>
      </w:r>
      <w:r>
        <w:t xml:space="preserve">chromatography; CPP, critical process parameter; CQA, critical quality attribute; DNA,</w:t>
      </w:r>
      <w:r>
        <w:t xml:space="preserve"> </w:t>
      </w:r>
      <w:r>
        <w:t xml:space="preserve">deoxyribonucleic acid; DO, dissolved oxygen; DoE, design of experiments; DS, drug</w:t>
      </w:r>
      <w:r>
        <w:t xml:space="preserve"> </w:t>
      </w:r>
      <w:r>
        <w:t xml:space="preserve">substance; ELISA, enzyme-linked immunosorbent assay; GPP, general process parameter; HCP,</w:t>
      </w:r>
      <w:r>
        <w:t xml:space="preserve"> </w:t>
      </w:r>
      <w:r>
        <w:t xml:space="preserve">host cell protein; HILIC, hydrophilic interaction liquid chromatography; icIEF, imaged</w:t>
      </w:r>
      <w:r>
        <w:t xml:space="preserve"> </w:t>
      </w:r>
      <w:r>
        <w:t xml:space="preserve">capillary isoelectric focusing; IgG1, immunoglobulin G subclass 1; KPP, key process</w:t>
      </w:r>
      <w:r>
        <w:t xml:space="preserve"> </w:t>
      </w:r>
      <w:r>
        <w:t xml:space="preserve">parameter; MSAT, Manufacturing Science and Technology; MVM, minute virus of mice; NOR,</w:t>
      </w:r>
      <w:r>
        <w:t xml:space="preserve"> </w:t>
      </w:r>
      <w:r>
        <w:t xml:space="preserve">normal operating range; PAR, proven acceptable range; pCO2, dissolved carbon dioxide</w:t>
      </w:r>
      <w:r>
        <w:t xml:space="preserve"> </w:t>
      </w:r>
      <w:r>
        <w:t xml:space="preserve">partial pressure; PD, Process Development; PPQ, process performance qualification; QA,</w:t>
      </w:r>
      <w:r>
        <w:t xml:space="preserve"> </w:t>
      </w:r>
      <w:r>
        <w:t xml:space="preserve">Quality Assurance; QC, Quality Control; qPCR, quantitative polymerase chain reaction; RSM,</w:t>
      </w:r>
      <w:r>
        <w:t xml:space="preserve"> </w:t>
      </w:r>
      <w:r>
        <w:t xml:space="preserve">response-surface methodology; SEC, size-exclusion chromatography; SOP, standard operating</w:t>
      </w:r>
      <w:r>
        <w:t xml:space="preserve"> </w:t>
      </w:r>
      <w:r>
        <w:t xml:space="preserve">procedure; TFF, tangential flow filtration; UF/DF, ultrafiltration and diafiltration;</w:t>
      </w:r>
      <w:r>
        <w:t xml:space="preserve"> </w:t>
      </w:r>
      <w:r>
        <w:t xml:space="preserve">WC-CPP, well-controlled critical process parameter; XMuLV, xenotropic murine leukaemia</w:t>
      </w:r>
      <w:r>
        <w:t xml:space="preserve"> </w:t>
      </w:r>
      <w:r>
        <w:t xml:space="preserve">virus.</w:t>
      </w:r>
    </w:p>
    <w:p>
      <w:r>
        <w:br w:type="page"/>
      </w:r>
    </w:p>
    <w:bookmarkEnd w:id="11"/>
    <w:bookmarkStart w:id="13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governs the transfer of the A-Mab drug substance manufacturing process from</w:t>
      </w:r>
      <w:r>
        <w:t xml:space="preserve"> </w:t>
      </w:r>
      <w:r>
        <w:t xml:space="preserve">Novacyte Biologics — Cambridge, MA (Development) to Novacyte Biologics — Grafton, WI (Commercial DS). A-Mab is a humanized IgG1 monoclonal</w:t>
      </w:r>
      <w:r>
        <w:t xml:space="preserve"> </w:t>
      </w:r>
      <w:r>
        <w:t xml:space="preserve">antibody (anti-CD20-like) whose principal mechanism of action is antibody-dependent</w:t>
      </w:r>
      <w:r>
        <w:t xml:space="preserve"> </w:t>
      </w:r>
      <w:r>
        <w:t xml:space="preserve">cellular cytotoxicity (ADCC), so the glycan attributes that govern effector function are</w:t>
      </w:r>
      <w:r>
        <w:t xml:space="preserve"> </w:t>
      </w:r>
      <w:r>
        <w:t xml:space="preserve">formed in the production bioreactor and are not modified by the purification train of the</w:t>
      </w:r>
      <w:r>
        <w:t xml:space="preserve"> </w:t>
      </w:r>
      <w:r>
        <w:t xml:space="preserve">drug substance process</w:t>
      </w:r>
      <w:r>
        <w:t xml:space="preserve"> </w:t>
      </w:r>
      <w:r>
        <w:t xml:space="preserve">(CMC Biotech Working Group 2009)</w:t>
      </w:r>
      <w:r>
        <w:t xml:space="preserve">. The process was developed at the sending site and is</w:t>
      </w:r>
      <w:r>
        <w:t xml:space="preserve"> </w:t>
      </w:r>
      <w:r>
        <w:t xml:space="preserve">now to be established as the licensed commercial process at the receiving site, at a</w:t>
      </w:r>
      <w:r>
        <w:t xml:space="preserve"> </w:t>
      </w:r>
      <w:r>
        <w:t xml:space="preserve">production bioreactor working volume of 15,000 L. The transfer covers the</w:t>
      </w:r>
      <w:r>
        <w:t xml:space="preserve"> </w:t>
      </w:r>
      <w:r>
        <w:t xml:space="preserve">8 drug substance unit operations (Steps 3 to 10), from the production</w:t>
      </w:r>
      <w:r>
        <w:t xml:space="preserve"> </w:t>
      </w:r>
      <w:r>
        <w:t xml:space="preserve">bioreactor through the final ultrafiltration and diafiltration step, together with the</w:t>
      </w:r>
      <w:r>
        <w:t xml:space="preserve"> </w:t>
      </w:r>
      <w:r>
        <w:t xml:space="preserve">in-process controls, the analytical methods and the control strategy that govern them.</w:t>
      </w:r>
    </w:p>
    <w:p>
      <w:pPr>
        <w:pStyle w:val="BodyText"/>
      </w:pPr>
      <w:r>
        <w:t xml:space="preserve">Technology transfer under ICH Q10 is the transfer of product and process knowledge between</w:t>
      </w:r>
      <w:r>
        <w:t xml:space="preserve"> </w:t>
      </w:r>
      <w:r>
        <w:t xml:space="preserve">development and manufacturing, so that the receiving site can realise the product</w:t>
      </w:r>
      <w:r>
        <w:t xml:space="preserve"> </w:t>
      </w:r>
      <w:r>
        <w:t xml:space="preserve">(International Council for Harmonisation 2008)</w:t>
      </w:r>
      <w:r>
        <w:t xml:space="preserve">. The knowledge that has to move is more than a process description. It is the</w:t>
      </w:r>
      <w:r>
        <w:t xml:space="preserve"> </w:t>
      </w:r>
      <w:r>
        <w:t xml:space="preserve">understanding of which parameters affect which quality attributes, over what ranges and</w:t>
      </w:r>
      <w:r>
        <w:t xml:space="preserve"> </w:t>
      </w:r>
      <w:r>
        <w:t xml:space="preserve">with what assurance, and under the lifecycle approach to process validation that</w:t>
      </w:r>
      <w:r>
        <w:t xml:space="preserve"> </w:t>
      </w:r>
      <w:r>
        <w:t xml:space="preserve">understanding is the Stage 1 output (process design) that becomes the input to the Stage 2</w:t>
      </w:r>
      <w:r>
        <w:t xml:space="preserve"> </w:t>
      </w:r>
      <w:r>
        <w:t xml:space="preserve">qualification of the commercial process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This plan is the parent document of the A-Mab process characterization package. Every</w:t>
      </w:r>
      <w:r>
        <w:t xml:space="preserve"> </w:t>
      </w:r>
      <w:r>
        <w:t xml:space="preserve">characterization plan and report in that package exists to supply part of the knowledge the</w:t>
      </w:r>
      <w:r>
        <w:t xml:space="preserve"> </w:t>
      </w:r>
      <w:r>
        <w:t xml:space="preserve">transfer requires, namely the operating ranges the receiving site will run to (the normal</w:t>
      </w:r>
      <w:r>
        <w:t xml:space="preserve"> </w:t>
      </w:r>
      <w:r>
        <w:t xml:space="preserve">operating ranges, or NORs), the classification of each process parameter, and the control</w:t>
      </w:r>
      <w:r>
        <w:t xml:space="preserve"> </w:t>
      </w:r>
      <w:r>
        <w:t xml:space="preserve">strategy that assures the critical quality attributes (CQAs) at commercial scale. The</w:t>
      </w:r>
      <w:r>
        <w:t xml:space="preserve"> </w:t>
      </w:r>
      <w:r>
        <w:t xml:space="preserve">dependency runs in one direction. The risk assessment RA-001 derives from this plan and</w:t>
      </w:r>
      <w:r>
        <w:t xml:space="preserve"> </w:t>
      </w:r>
      <w:r>
        <w:t xml:space="preserve">sets the scope of the studies, the master plan PCMP-001 governs their execution, and the</w:t>
      </w:r>
      <w:r>
        <w:t xml:space="preserve"> </w:t>
      </w:r>
      <w:r>
        <w:t xml:space="preserve">master report PCMR-001 consolidates their outcome into the package that supports the</w:t>
      </w:r>
      <w:r>
        <w:t xml:space="preserve"> </w:t>
      </w:r>
      <w:r>
        <w:t xml:space="preserve">Biologics License Application (BLA). The documents are listed in</w:t>
      </w:r>
      <w:r>
        <w:t xml:space="preserve"> </w:t>
      </w:r>
      <w:hyperlink w:anchor="tbl-corpus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corp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document package parented by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Three areas are outside the scope of this plan. Drug product manufacture, its control</w:t>
      </w:r>
      <w:r>
        <w:t xml:space="preserve"> </w:t>
      </w:r>
      <w:r>
        <w:t xml:space="preserve">strategy and its own transfer are covered separately and are not addressed here. The</w:t>
      </w:r>
      <w:r>
        <w:t xml:space="preserve"> </w:t>
      </w:r>
      <w:r>
        <w:t xml:space="preserve">execution and reporting of the process performance qualification (PPQ) campaign is also</w:t>
      </w:r>
      <w:r>
        <w:t xml:space="preserve"> </w:t>
      </w:r>
      <w:r>
        <w:t xml:space="preserve">excluded, since this plan defines only the prerequisites for that campaign and the strategy</w:t>
      </w:r>
      <w:r>
        <w:t xml:space="preserve"> </w:t>
      </w:r>
      <w:r>
        <w:t xml:space="preserve">behind it, while the PPQ protocol and the PPQ report are issued as separate controlled</w:t>
      </w:r>
      <w:r>
        <w:t xml:space="preserve"> </w:t>
      </w:r>
      <w:r>
        <w:t xml:space="preserve">documents. Finally, the plan is prospective. It records no characterization result, and it</w:t>
      </w:r>
      <w:r>
        <w:t xml:space="preserve"> </w:t>
      </w:r>
      <w:r>
        <w:t xml:space="preserve">makes no claim about the outcome of any study named in</w:t>
      </w:r>
      <w:r>
        <w:t xml:space="preserve"> </w:t>
      </w:r>
      <w:hyperlink w:anchor="tbl-corpus">
        <w:r>
          <w:rPr>
            <w:rStyle w:val="Hyperlink"/>
          </w:rPr>
          <w:t xml:space="preserve">Table 2</w:t>
        </w:r>
      </w:hyperlink>
      <w:r>
        <w:t xml:space="preserve">.</w:t>
      </w:r>
    </w:p>
    <w:bookmarkEnd w:id="13"/>
    <w:bookmarkStart w:id="20" w:name="product-and-process-description"/>
    <w:p>
      <w:pPr>
        <w:pStyle w:val="Heading1"/>
      </w:pPr>
      <w:r>
        <w:t xml:space="preserve">2. Product and process description</w:t>
      </w:r>
    </w:p>
    <w:p>
      <w:pPr>
        <w:pStyle w:val="FirstParagraph"/>
      </w:pPr>
      <w:r>
        <w:t xml:space="preserve">A-Mab is produced in fed-batch mammalian cell culture and purified on the platform train</w:t>
      </w:r>
      <w:r>
        <w:t xml:space="preserve"> </w:t>
      </w:r>
      <w:r>
        <w:t xml:space="preserve">that Novacyte uses for its humanized IgG1 products</w:t>
      </w:r>
      <w:r>
        <w:t xml:space="preserve"> </w:t>
      </w:r>
      <w:r>
        <w:t xml:space="preserve">(CMC Biotech Working Group 2009)</w:t>
      </w:r>
      <w:r>
        <w:t xml:space="preserve">. The drug substance is</w:t>
      </w:r>
      <w:r>
        <w:t xml:space="preserve"> </w:t>
      </w:r>
      <w:r>
        <w:t xml:space="preserve">delivered at 75 g/L after ultrafiltration and diafiltration (Step 10), and</w:t>
      </w:r>
      <w:r>
        <w:t xml:space="preserve"> </w:t>
      </w:r>
      <w:r>
        <w:t xml:space="preserve">development experience at the sending site gives a nominal harvest titre of about</w:t>
      </w:r>
      <w:r>
        <w:t xml:space="preserve"> </w:t>
      </w:r>
      <w:r>
        <w:t xml:space="preserve">4.4 g/L, which the receiving site is expected to reproduce when it operates</w:t>
      </w:r>
      <w:r>
        <w:t xml:space="preserve"> </w:t>
      </w:r>
      <w:r>
        <w:t xml:space="preserve">the same fed-batch process at 15,000 L working volume.</w:t>
      </w:r>
    </w:p>
    <w:p>
      <w:pPr>
        <w:pStyle w:val="BodyText"/>
      </w:pPr>
      <w:r>
        <w:t xml:space="preserve">The purification train is Protein A capture, low-pH viral inactivation, cation exchange</w:t>
      </w:r>
      <w:r>
        <w:t xml:space="preserve"> </w:t>
      </w:r>
      <w:r>
        <w:t xml:space="preserve">(CEX), anion exchange (AEX), small-virus retentive filtration, and ultrafiltration and</w:t>
      </w:r>
      <w:r>
        <w:t xml:space="preserve"> </w:t>
      </w:r>
      <w:r>
        <w:t xml:space="preserve">diafiltration (UF/DF). This ordering is fixed and is used in the same form in every</w:t>
      </w:r>
      <w:r>
        <w:t xml:space="preserve"> </w:t>
      </w:r>
      <w:r>
        <w:t xml:space="preserve">document of the package. The steps and their principal roles in the control strategy are</w:t>
      </w:r>
      <w:r>
        <w:t xml:space="preserve"> </w:t>
      </w:r>
      <w:r>
        <w:t xml:space="preserve">given in</w:t>
      </w:r>
      <w:r>
        <w:t xml:space="preserve"> </w:t>
      </w:r>
      <w:hyperlink w:anchor="tbl-train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4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flow"/>
          <w:p>
            <w:pPr>
              <w:pStyle w:val="Compact"/>
              <w:jc w:val="center"/>
            </w:pPr>
            <w:r>
              <w:drawing>
                <wp:inline>
                  <wp:extent cx="5334000" cy="1608622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PTP-001_transfer_files/figure-docx/fig-flow-output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08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A-Mab drug substance process train (Steps 3 to 10), with the principal quality impact of each unit operation.</w:t>
            </w:r>
          </w:p>
          <w:bookmarkEnd w:id="18"/>
        </w:tc>
      </w:tr>
    </w:tbl>
    <w:p>
      <w:pPr>
        <w:pStyle w:val="BodyText"/>
      </w:pPr>
      <w:r>
        <w:t xml:space="preserve">Two features of the train shape the characterization effort that supports this transfer.</w:t>
      </w:r>
      <w:r>
        <w:t xml:space="preserve"> </w:t>
      </w:r>
      <w:r>
        <w:t xml:space="preserve">The production bioreactor (Step 3) forms the glycan, charge variant and aggregate</w:t>
      </w:r>
      <w:r>
        <w:t xml:space="preserve"> </w:t>
      </w:r>
      <w:r>
        <w:t xml:space="preserve">attributes of the drug substance (afucosylation, galactosylation, high mannose, acidic</w:t>
      </w:r>
      <w:r>
        <w:t xml:space="preserve"> </w:t>
      </w:r>
      <w:r>
        <w:t xml:space="preserve">charge variants and aggregates), so it carries the largest study of the campaign and it</w:t>
      </w:r>
      <w:r>
        <w:t xml:space="preserve"> </w:t>
      </w:r>
      <w:r>
        <w:t xml:space="preserve">defines most of the design space. Viral safety, by contrast, is modular. The low-pH hold</w:t>
      </w:r>
      <w:r>
        <w:t xml:space="preserve"> </w:t>
      </w:r>
      <w:r>
        <w:t xml:space="preserve">(Step 6), the anion exchange step (Step 8) and the virus filtration step (Step 9) each</w:t>
      </w:r>
      <w:r>
        <w:t xml:space="preserve"> </w:t>
      </w:r>
      <w:r>
        <w:t xml:space="preserve">contribute an independent increment of clearance, and no single step carries the cumulative</w:t>
      </w:r>
      <w:r>
        <w:t xml:space="preserve"> </w:t>
      </w:r>
      <w:r>
        <w:t xml:space="preserve">claim on its own</w:t>
      </w:r>
      <w:r>
        <w:t xml:space="preserve"> </w:t>
      </w:r>
      <w:r>
        <w:t xml:space="preserve">(International Council for Harmonisation 2023a)</w:t>
      </w:r>
      <w:r>
        <w:t xml:space="preserve">. Two steps form no product quality attribute at all: harvest and</w:t>
      </w:r>
      <w:r>
        <w:t xml:space="preserve"> </w:t>
      </w:r>
      <w:r>
        <w:t xml:space="preserve">clarification (Step 4) is a primary recovery operation, and ultrafiltration and</w:t>
      </w:r>
      <w:r>
        <w:t xml:space="preserve"> </w:t>
      </w:r>
      <w:r>
        <w:t xml:space="preserve">diafiltration (Step 10) is a concentration and buffer exchange operation that delivers the</w:t>
      </w:r>
      <w:r>
        <w:t xml:space="preserve"> </w:t>
      </w:r>
      <w:r>
        <w:t xml:space="preserve">drug substance at its target concentration.</w:t>
      </w:r>
    </w:p>
    <w:p>
      <w:pPr>
        <w:pStyle w:val="BodyText"/>
      </w:pPr>
      <w:r>
        <w:t xml:space="preserve">The drug substance is defined by 10 quality attributes, of which</w:t>
      </w:r>
      <w:r>
        <w:t xml:space="preserve"> </w:t>
      </w:r>
      <w:r>
        <w:t xml:space="preserve">6 are of high or very high criticality and are therefore treated as</w:t>
      </w:r>
      <w:r>
        <w:t xml:space="preserve"> </w:t>
      </w:r>
      <w:r>
        <w:t xml:space="preserve">critical</w:t>
      </w:r>
      <w:r>
        <w:t xml:space="preserve"> </w:t>
      </w:r>
      <w:r>
        <w:t xml:space="preserve">(CMC Biotech Working Group 2009)</w:t>
      </w:r>
      <w:r>
        <w:t xml:space="preserve">. Criticality is assigned on a continuum (very low to very high) and</w:t>
      </w:r>
      <w:r>
        <w:t xml:space="preserve"> </w:t>
      </w:r>
      <w:r>
        <w:t xml:space="preserve">not as a binary label, because the uncertainty around a structure-function relationship is</w:t>
      </w:r>
      <w:r>
        <w:t xml:space="preserve"> </w:t>
      </w:r>
      <w:r>
        <w:t xml:space="preserve">itself part of the assessment</w:t>
      </w:r>
      <w:r>
        <w:t xml:space="preserve"> </w:t>
      </w:r>
      <w:r>
        <w:t xml:space="preserve">(International Council for Harmonisation 2023b)</w:t>
      </w:r>
      <w:r>
        <w:t xml:space="preserve">. The attributes, their acceptance criteria and their</w:t>
      </w:r>
      <w:r>
        <w:t xml:space="preserve"> </w:t>
      </w:r>
      <w:r>
        <w:t xml:space="preserve">criticality are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High mannose and the two cumulative viral clearance</w:t>
      </w:r>
      <w:r>
        <w:t xml:space="preserve"> </w:t>
      </w:r>
      <w:r>
        <w:t xml:space="preserve">attributes (XMuLV for enveloped virus and MVM for small non-enveloped virus) carry the very</w:t>
      </w:r>
      <w:r>
        <w:t xml:space="preserve"> </w:t>
      </w:r>
      <w:r>
        <w:t xml:space="preserve">high assignment, and the acceptance criteria given for them are the limits the transferred</w:t>
      </w:r>
      <w:r>
        <w:t xml:space="preserve"> </w:t>
      </w:r>
      <w:r>
        <w:t xml:space="preserve">process must meet at commercial scale. Every characterization study in the package is</w:t>
      </w:r>
      <w:r>
        <w:t xml:space="preserve"> </w:t>
      </w:r>
      <w:r>
        <w:t xml:space="preserve">assessed against those criteria.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A-Mab drug substance quality attributes, acceptance criteria and criticality. Tool #1 is the impact-by-uncertainty criticality score of the case study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36"/>
              <w:gridCol w:w="1296"/>
              <w:gridCol w:w="2015"/>
              <w:gridCol w:w="1080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9"/>
          <w:p/>
        </w:tc>
      </w:tr>
    </w:tbl>
    <w:bookmarkEnd w:id="20"/>
    <w:bookmarkStart w:id="22" w:name="sending-and-receiving-sites"/>
    <w:p>
      <w:pPr>
        <w:pStyle w:val="Heading1"/>
      </w:pPr>
      <w:r>
        <w:t xml:space="preserve">3. Sending and receiving sites</w:t>
      </w:r>
    </w:p>
    <w:p>
      <w:pPr>
        <w:pStyle w:val="FirstParagraph"/>
      </w:pPr>
      <w:r>
        <w:t xml:space="preserve">Novacyte Biologics — Cambridge, MA (Development) is the sending site. It developed the process, holds the qualified</w:t>
      </w:r>
      <w:r>
        <w:t xml:space="preserve"> </w:t>
      </w:r>
      <w:r>
        <w:t xml:space="preserve">scale-down models, and will execute the characterization studies listed in</w:t>
      </w:r>
      <w:r>
        <w:t xml:space="preserve"> </w:t>
      </w:r>
      <w:hyperlink w:anchor="tbl-corpus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Novacyte Biologics — Grafton, WI (Commercial DS) is the receiving site, and it will manufacture commercial drug</w:t>
      </w:r>
      <w:r>
        <w:t xml:space="preserve"> </w:t>
      </w:r>
      <w:r>
        <w:t xml:space="preserve">substance for supply.</w:t>
      </w:r>
    </w:p>
    <w:p>
      <w:pPr>
        <w:pStyle w:val="BodyText"/>
      </w:pPr>
      <w:r>
        <w:t xml:space="preserve">Process development, scale-down model qualification and design of experiments (DoE) work</w:t>
      </w:r>
      <w:r>
        <w:t xml:space="preserve"> </w:t>
      </w:r>
      <w:r>
        <w:t xml:space="preserve">remain at the sending site for the duration of the transfer and are not relocated by this</w:t>
      </w:r>
      <w:r>
        <w:t xml:space="preserve"> </w:t>
      </w:r>
      <w:r>
        <w:t xml:space="preserve">plan. Routine manufacture, in-process control and release testing move to the receiving</w:t>
      </w:r>
      <w:r>
        <w:t xml:space="preserve"> </w:t>
      </w:r>
      <w:r>
        <w:t xml:space="preserve">site once the analytical method transfers and the qualification activities described in §6</w:t>
      </w:r>
      <w:r>
        <w:t xml:space="preserve"> </w:t>
      </w:r>
      <w:r>
        <w:t xml:space="preserve">are complete (see §6.2 for the analytical sequence and §7 for the qualification</w:t>
      </w:r>
      <w:r>
        <w:t xml:space="preserve"> </w:t>
      </w:r>
      <w:r>
        <w:t xml:space="preserve">prerequisites). The division of activities between the two sites is given in</w:t>
      </w:r>
      <w:r>
        <w:t xml:space="preserve"> </w:t>
      </w:r>
      <w:hyperlink w:anchor="tbl-site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si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Division of activities between the sending and receiving sites.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Activity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and design of experiments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characterization studies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Master batch record and process description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Issues and executes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 validation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Receives by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In-process and release testing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Routine after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 and PPQ batches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Supports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Change control and deviation management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Local quality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Local quality system</w:t>
                  </w:r>
                </w:p>
              </w:tc>
            </w:tr>
          </w:tbl>
          <w:bookmarkEnd w:id="21"/>
          <w:p/>
        </w:tc>
      </w:tr>
    </w:tbl>
    <w:bookmarkEnd w:id="22"/>
    <w:bookmarkStart w:id="24" w:name="site-equivalency-analysis"/>
    <w:p>
      <w:pPr>
        <w:pStyle w:val="Heading1"/>
      </w:pPr>
      <w:r>
        <w:t xml:space="preserve">4. Site equivalency analysis</w:t>
      </w:r>
    </w:p>
    <w:p>
      <w:pPr>
        <w:pStyle w:val="FirstParagraph"/>
      </w:pPr>
      <w:r>
        <w:t xml:space="preserve">The receiving site can operate the A-Mab process within the ranges the sending site will</w:t>
      </w:r>
      <w:r>
        <w:t xml:space="preserve"> </w:t>
      </w:r>
      <w:r>
        <w:t xml:space="preserve">characterize, subject to the differences set out below and to the qualification sequence in</w:t>
      </w:r>
      <w:r>
        <w:t xml:space="preserve"> </w:t>
      </w:r>
      <w:r>
        <w:t xml:space="preserve">§7. The comparison covers the dimensions that determine whether a range established at one</w:t>
      </w:r>
      <w:r>
        <w:t xml:space="preserve"> </w:t>
      </w:r>
      <w:r>
        <w:t xml:space="preserve">site holds at the other, which are the equipment train and its scale, the process control</w:t>
      </w:r>
      <w:r>
        <w:t xml:space="preserve"> </w:t>
      </w:r>
      <w:r>
        <w:t xml:space="preserve">capability, the utilities and buffer supply, the analytical capability and the quality</w:t>
      </w:r>
      <w:r>
        <w:t xml:space="preserve"> </w:t>
      </w:r>
      <w:r>
        <w:t xml:space="preserve">system. It is summarized in</w:t>
      </w:r>
      <w:r>
        <w:t xml:space="preserve"> </w:t>
      </w:r>
      <w:hyperlink w:anchor="tbl-equiv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equi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Site equivalency comparison and how each difference is managed.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Dimension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Management of the 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Equipment train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Bench and pilot scale-down train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train at 15,000 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qualification under SOP-1001 (§5)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control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Closed-loop control of pH, temperature, DO, feed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Closed-loop control on commercial instrumentation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 capability against NOR shown in engineering runs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Utilities and buffers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Development-scale buffer preparation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buffer preparation under SOP-2103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Buffer hold time and expiry verified at scale (§8)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capability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Validated methods, 10 AMV records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Methods received by transfer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transfer and requalification (§6.2)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Novacyte pharmaceutical quality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Novacyte pharmaceutical quality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Common change control and deviation management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Scale is the substantive difference and the reason the rest of this plan exists. The</w:t>
      </w:r>
      <w:r>
        <w:t xml:space="preserve"> </w:t>
      </w:r>
      <w:r>
        <w:t xml:space="preserve">sending site operates bench and pilot equipment, and the receiving site operates the</w:t>
      </w:r>
      <w:r>
        <w:t xml:space="preserve"> </w:t>
      </w:r>
      <w:r>
        <w:t xml:space="preserve">commercial train, so equivalency is claimed at the level of mechanism and control</w:t>
      </w:r>
      <w:r>
        <w:t xml:space="preserve"> </w:t>
      </w:r>
      <w:r>
        <w:t xml:space="preserve">capability and not as identity of equipment. Scale-independent parameters (pH, temperature,</w:t>
      </w:r>
      <w:r>
        <w:t xml:space="preserve"> </w:t>
      </w:r>
      <w:r>
        <w:t xml:space="preserve">dissolved oxygen, culture duration, buffer composition) are set to the same values at both</w:t>
      </w:r>
      <w:r>
        <w:t xml:space="preserve"> </w:t>
      </w:r>
      <w:r>
        <w:t xml:space="preserve">sites, while scale-dependent parameters (agitation, gas flow, vessel pressure, pCO2</w:t>
      </w:r>
      <w:r>
        <w:t xml:space="preserve"> </w:t>
      </w:r>
      <w:r>
        <w:t xml:space="preserve">accumulation, column bed height, load per unit membrane area) are matched on process</w:t>
      </w:r>
      <w:r>
        <w:t xml:space="preserve"> </w:t>
      </w:r>
      <w:r>
        <w:t xml:space="preserve">performance and not on setting, following the scale-down qualification approach described</w:t>
      </w:r>
      <w:r>
        <w:t xml:space="preserve"> </w:t>
      </w:r>
      <w:r>
        <w:t xml:space="preserve">in §5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Process control capability is comparable in kind but has not been measured at the receiving</w:t>
      </w:r>
      <w:r>
        <w:t xml:space="preserve"> </w:t>
      </w:r>
      <w:r>
        <w:t xml:space="preserve">site for this process. Both sites hold the culture parameters by closed-loop control, and</w:t>
      </w:r>
      <w:r>
        <w:t xml:space="preserve"> </w:t>
      </w:r>
      <w:r>
        <w:t xml:space="preserve">both hold chromatography conductivity and pH by in-line measurement and feedback. The</w:t>
      </w:r>
      <w:r>
        <w:t xml:space="preserve"> </w:t>
      </w:r>
      <w:r>
        <w:t xml:space="preserve">question that matters for the control strategy is narrower than that. It is whether the</w:t>
      </w:r>
      <w:r>
        <w:t xml:space="preserve"> </w:t>
      </w:r>
      <w:r>
        <w:t xml:space="preserve">receiving site can hold each parameter inside its normal operating range with the margin</w:t>
      </w:r>
      <w:r>
        <w:t xml:space="preserve"> </w:t>
      </w:r>
      <w:r>
        <w:t xml:space="preserve">that the classification of that parameter assumes, and that question will be answered by</w:t>
      </w:r>
      <w:r>
        <w:t xml:space="preserve"> </w:t>
      </w:r>
      <w:r>
        <w:t xml:space="preserve">the engineering runs (§7) and not by this analysis.</w:t>
      </w:r>
    </w:p>
    <w:p>
      <w:pPr>
        <w:pStyle w:val="BodyText"/>
      </w:pPr>
      <w:r>
        <w:t xml:space="preserve">Analytical capability differs today and is the second real gap. The 10</w:t>
      </w:r>
      <w:r>
        <w:t xml:space="preserve"> </w:t>
      </w:r>
      <w:r>
        <w:t xml:space="preserve">validated methods that support the process and its characterization are held at the sending</w:t>
      </w:r>
      <w:r>
        <w:t xml:space="preserve"> </w:t>
      </w:r>
      <w:r>
        <w:t xml:space="preserve">site, and the receiving site laboratory has not yet executed any of them for A-Mab. The</w:t>
      </w:r>
      <w:r>
        <w:t xml:space="preserve"> </w:t>
      </w:r>
      <w:r>
        <w:t xml:space="preserve">methods, together with the 19 procedures that govern the process and the</w:t>
      </w:r>
      <w:r>
        <w:t xml:space="preserve"> </w:t>
      </w:r>
      <w:r>
        <w:t xml:space="preserve">assays, are listed in</w:t>
      </w:r>
      <w:r>
        <w:t xml:space="preserve"> </w:t>
      </w:r>
      <w:hyperlink w:anchor="tbl-sops">
        <w:r>
          <w:rPr>
            <w:rStyle w:val="Hyperlink"/>
          </w:rPr>
          <w:t xml:space="preserve">Table 9</w:t>
        </w:r>
      </w:hyperlink>
      <w:r>
        <w:t xml:space="preserve">. The transfer path for each method is given in §6.2, and</w:t>
      </w:r>
      <w:r>
        <w:t xml:space="preserve"> </w:t>
      </w:r>
      <w:r>
        <w:t xml:space="preserve">the residual position is carried in the gap analysis (§8).</w:t>
      </w:r>
    </w:p>
    <w:p>
      <w:pPr>
        <w:pStyle w:val="BodyText"/>
      </w:pPr>
      <w:r>
        <w:t xml:space="preserve">The quality system is common to both sites, which removes a class of transfer risk that</w:t>
      </w:r>
      <w:r>
        <w:t xml:space="preserve"> </w:t>
      </w:r>
      <w:r>
        <w:t xml:space="preserve">would otherwise have to be managed. Change control, deviation management, document control</w:t>
      </w:r>
      <w:r>
        <w:t xml:space="preserve"> </w:t>
      </w:r>
      <w:r>
        <w:t xml:space="preserve">and training operate under one Novacyte pharmaceutical quality system, so a change made at</w:t>
      </w:r>
      <w:r>
        <w:t xml:space="preserve"> </w:t>
      </w:r>
      <w:r>
        <w:t xml:space="preserve">either site is assessed against the same procedure. Movement within an approved design</w:t>
      </w:r>
      <w:r>
        <w:t xml:space="preserve"> </w:t>
      </w:r>
      <w:r>
        <w:t xml:space="preserve">space is not a regulatory change, but it still requires a prospective assessment of the</w:t>
      </w:r>
      <w:r>
        <w:t xml:space="preserve"> </w:t>
      </w:r>
      <w:r>
        <w:t xml:space="preserve">associated risks under the change management system, and that obligation applies at the</w:t>
      </w:r>
      <w:r>
        <w:t xml:space="preserve"> </w:t>
      </w:r>
      <w:r>
        <w:t xml:space="preserve">receiving site from the day the process arrives</w:t>
      </w:r>
      <w:r>
        <w:t xml:space="preserve"> </w:t>
      </w:r>
      <w:r>
        <w:t xml:space="preserve">(International Council for Harmonisation 2008; CMC Biotech Working Group 2009)</w:t>
      </w:r>
      <w:r>
        <w:t xml:space="preserve">.</w:t>
      </w:r>
    </w:p>
    <w:p>
      <w:pPr>
        <w:pStyle w:val="BodyText"/>
      </w:pPr>
      <w:r>
        <w:t xml:space="preserve">The equivalency argument above is bounded in two ways, and neither bound is closed by the</w:t>
      </w:r>
      <w:r>
        <w:t xml:space="preserve"> </w:t>
      </w:r>
      <w:r>
        <w:t xml:space="preserve">analysis itself. It rests on qualified scale-down models and on platform experience with</w:t>
      </w:r>
      <w:r>
        <w:t xml:space="preserve"> </w:t>
      </w:r>
      <w:r>
        <w:t xml:space="preserve">the earlier products (X-Mab, Y-Mab and Z-Mab), and not on commercial-scale A-Mab data,</w:t>
      </w:r>
      <w:r>
        <w:t xml:space="preserve"> </w:t>
      </w:r>
      <w:r>
        <w:t xml:space="preserve">because no A-Mab batch has been produced at the receiving site. It also covers only the</w:t>
      </w:r>
      <w:r>
        <w:t xml:space="preserve"> </w:t>
      </w:r>
      <w:r>
        <w:t xml:space="preserve">parameters carried in the process description, so a scale-dependent effect arising from a</w:t>
      </w:r>
      <w:r>
        <w:t xml:space="preserve"> </w:t>
      </w:r>
      <w:r>
        <w:t xml:space="preserve">variable outside that set would not be detected by this comparison. Both bounds are closed</w:t>
      </w:r>
      <w:r>
        <w:t xml:space="preserve"> </w:t>
      </w:r>
      <w:r>
        <w:t xml:space="preserve">by the engineering runs and the qualification sequence described in §7.</w:t>
      </w:r>
    </w:p>
    <w:bookmarkEnd w:id="24"/>
    <w:bookmarkStart w:id="27" w:name="Xda6c0e177276543d07db4d8b8a4a28714e3ed7b"/>
    <w:p>
      <w:pPr>
        <w:pStyle w:val="Heading1"/>
      </w:pPr>
      <w:r>
        <w:t xml:space="preserve">5. Scale-down model and comparability strategy</w:t>
      </w:r>
    </w:p>
    <w:p>
      <w:pPr>
        <w:pStyle w:val="FirstParagraph"/>
      </w:pPr>
      <w:r>
        <w:t xml:space="preserve">Characterization will be executed on scale-down models and not at commercial scale, so the</w:t>
      </w:r>
      <w:r>
        <w:t xml:space="preserve"> </w:t>
      </w:r>
      <w:r>
        <w:t xml:space="preserve">qualification of those models carries the weight of the transfer. Qualification follows</w:t>
      </w:r>
      <w:r>
        <w:t xml:space="preserve"> </w:t>
      </w:r>
      <w:r>
        <w:t xml:space="preserve">SOP-1001. A model is qualified when the scale-independent parameters are operated at the</w:t>
      </w:r>
      <w:r>
        <w:t xml:space="preserve"> </w:t>
      </w:r>
      <w:r>
        <w:t xml:space="preserve">proposed commercial set-points, the scale-dependent parameters are set to match commercial</w:t>
      </w:r>
      <w:r>
        <w:t xml:space="preserve"> </w:t>
      </w:r>
      <w:r>
        <w:t xml:space="preserve">performance, and the resulting process performance and quality attributes (step yield,</w:t>
      </w:r>
      <w:r>
        <w:t xml:space="preserve"> </w:t>
      </w:r>
      <w:r>
        <w:t xml:space="preserve">impurity clearance and the attributes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 are statistically comparable across</w:t>
      </w:r>
      <w:r>
        <w:t xml:space="preserve"> </w:t>
      </w:r>
      <w:r>
        <w:t xml:space="preserve">scales</w:t>
      </w:r>
      <w:r>
        <w:t xml:space="preserve"> </w:t>
      </w:r>
      <w:r>
        <w:t xml:space="preserve">(CMC Biotech Working Group 2009)</w:t>
      </w:r>
      <w:r>
        <w:t xml:space="preserve">. Where the adequacy of a model cannot be shown, the model and its</w:t>
      </w:r>
      <w:r>
        <w:t xml:space="preserve"> </w:t>
      </w:r>
      <w:r>
        <w:t xml:space="preserve">predictions are modified before any conclusion is drawn from it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Each unit operation has its own scale-down model and its own qualification record. The</w:t>
      </w:r>
      <w:r>
        <w:t xml:space="preserve"> </w:t>
      </w:r>
      <w:r>
        <w:t xml:space="preserve">qualification evidence for a step is reported in that step’s characterization report</w:t>
      </w:r>
      <w:r>
        <w:t xml:space="preserve"> </w:t>
      </w:r>
      <w:r>
        <w:t xml:space="preserve">(PCR-003 through PCR-010) and it is not repeated in this plan. The instrumented systems of</w:t>
      </w:r>
      <w:r>
        <w:t xml:space="preserve"> </w:t>
      </w:r>
      <w:r>
        <w:t xml:space="preserve">the scale-down train that are held under individual calibration and change control are</w:t>
      </w:r>
      <w:r>
        <w:t xml:space="preserve"> </w:t>
      </w:r>
      <w:r>
        <w:t xml:space="preserve">listed in</w:t>
      </w:r>
      <w:r>
        <w:t xml:space="preserve"> </w:t>
      </w:r>
      <w:hyperlink w:anchor="tbl-equip">
        <w:r>
          <w:rPr>
            <w:rStyle w:val="Hyperlink"/>
          </w:rPr>
          <w:t xml:space="preserve">Table 7</w:t>
        </w:r>
      </w:hyperlink>
      <w:r>
        <w:t xml:space="preserve">, and there are 3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equi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Instrumented scale-down systems under calibration and change control at the sending site.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Equipment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EQ-CHR-118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temperature-controlled chromatography chamber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EQ-BRX-205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scale-down bioreactor pCO2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EQ-TFF-142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TFF skid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characterization scope that these models support is given in</w:t>
      </w:r>
      <w:r>
        <w:t xml:space="preserve"> </w:t>
      </w:r>
      <w:hyperlink w:anchor="tbl-scope">
        <w:r>
          <w:rPr>
            <w:rStyle w:val="Hyperlink"/>
          </w:rPr>
          <w:t xml:space="preserve">Table 8</w:t>
        </w:r>
      </w:hyperlink>
      <w:r>
        <w:t xml:space="preserve">. Of the</w:t>
      </w:r>
      <w:r>
        <w:t xml:space="preserve"> </w:t>
      </w:r>
      <w:r>
        <w:t xml:space="preserve">37 process parameters in the register, 22 are assigned to</w:t>
      </w:r>
      <w:r>
        <w:t xml:space="preserve"> </w:t>
      </w:r>
      <w:r>
        <w:t xml:space="preserve">multivariate study and 15 to univariate study, and that assignment is made in</w:t>
      </w:r>
      <w:r>
        <w:t xml:space="preserve"> </w:t>
      </w:r>
      <w:r>
        <w:t xml:space="preserve">RA-001 on the basis of the potential impact of each parameter on the critical quality</w:t>
      </w:r>
      <w:r>
        <w:t xml:space="preserve"> </w:t>
      </w:r>
      <w:r>
        <w:t xml:space="preserve">attributes and its potential to interact with other parameters</w:t>
      </w:r>
      <w:r>
        <w:t xml:space="preserve"> </w:t>
      </w:r>
      <w:r>
        <w:t xml:space="preserve">(International Council for Harmonisation 2023b)</w:t>
      </w:r>
      <w:r>
        <w:t xml:space="preserve">. Two rows of</w:t>
      </w:r>
      <w:r>
        <w:t xml:space="preserve"> </w:t>
      </w:r>
      <w:hyperlink w:anchor="tbl-scope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carry no multivariate study. Harvest and clarification (Step 4) forms no product</w:t>
      </w:r>
      <w:r>
        <w:t xml:space="preserve"> </w:t>
      </w:r>
      <w:r>
        <w:t xml:space="preserve">quality attribute, and ultrafiltration and diafiltration (Step 10) is a mass balance</w:t>
      </w:r>
      <w:r>
        <w:t xml:space="preserve"> </w:t>
      </w:r>
      <w:r>
        <w:t xml:space="preserve">operation, so both steps are characterized univariately and neither will report a design</w:t>
      </w:r>
      <w:r>
        <w:t xml:space="preserve"> </w:t>
      </w:r>
      <w:r>
        <w:t xml:space="preserve">space.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Characterization scope by process step, with the plan and report that cover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03"/>
              <w:gridCol w:w="2564"/>
              <w:gridCol w:w="1056"/>
              <w:gridCol w:w="1206"/>
              <w:gridCol w:w="1056"/>
              <w:gridCol w:w="678"/>
              <w:gridCol w:w="7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r>
        <w:t xml:space="preserve">Comparability between the two sites will be demonstrated in three stages, and the stages</w:t>
      </w:r>
      <w:r>
        <w:t xml:space="preserve"> </w:t>
      </w:r>
      <w:r>
        <w:t xml:space="preserve">are cumulative. First, each scale-down model is qualified under SOP-1001 against</w:t>
      </w:r>
      <w:r>
        <w:t xml:space="preserve"> </w:t>
      </w:r>
      <w:r>
        <w:t xml:space="preserve">sending-site pilot and commercial-representative data, which establishes that the</w:t>
      </w:r>
      <w:r>
        <w:t xml:space="preserve"> </w:t>
      </w:r>
      <w:r>
        <w:t xml:space="preserve">characterization data describe the commercial process and not the model. Second,</w:t>
      </w:r>
      <w:r>
        <w:t xml:space="preserve"> </w:t>
      </w:r>
      <w:r>
        <w:t xml:space="preserve">engineering runs at the receiving site are compared with the scale-down predictions at</w:t>
      </w:r>
      <w:r>
        <w:t xml:space="preserve"> </w:t>
      </w:r>
      <w:r>
        <w:t xml:space="preserve">set-point, on the attributes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and on step yield. Third, the PPQ batches confirm</w:t>
      </w:r>
      <w:r>
        <w:t xml:space="preserve"> </w:t>
      </w:r>
      <w:r>
        <w:t xml:space="preserve">at commercial scale that the process holds its ranges and meets the acceptance criteria.</w:t>
      </w:r>
      <w:r>
        <w:t xml:space="preserve"> </w:t>
      </w:r>
      <w:r>
        <w:t xml:space="preserve">The acceptance criteria for the second and third stages are defined in PCMP-001 and in the</w:t>
      </w:r>
      <w:r>
        <w:t xml:space="preserve"> </w:t>
      </w:r>
      <w:r>
        <w:t xml:space="preserve">PPQ protocol respectively, and not in this plan.</w:t>
      </w:r>
    </w:p>
    <w:p>
      <w:pPr>
        <w:pStyle w:val="BodyText"/>
      </w:pPr>
      <w:r>
        <w:t xml:space="preserve">Comparability at set-point does not confirm the edges of a design space. The design space</w:t>
      </w:r>
      <w:r>
        <w:t xml:space="preserve"> </w:t>
      </w:r>
      <w:r>
        <w:t xml:space="preserve">will be defined from response-surface models fitted on scale-down data, and the engineering</w:t>
      </w:r>
      <w:r>
        <w:t xml:space="preserve"> </w:t>
      </w:r>
      <w:r>
        <w:t xml:space="preserve">and PPQ batches will be run at target conditions, so the edges of the characterized region</w:t>
      </w:r>
      <w:r>
        <w:t xml:space="preserve"> </w:t>
      </w:r>
      <w:r>
        <w:t xml:space="preserve">remain supported by the scale-down models alone (see §8). That limitation is restated as a</w:t>
      </w:r>
      <w:r>
        <w:t xml:space="preserve"> </w:t>
      </w:r>
      <w:r>
        <w:t xml:space="preserve">gap below, and it constrains what the receiving site may claim when it later moves within</w:t>
      </w:r>
      <w:r>
        <w:t xml:space="preserve"> </w:t>
      </w:r>
      <w:r>
        <w:t xml:space="preserve">the design space.</w:t>
      </w:r>
    </w:p>
    <w:bookmarkEnd w:id="27"/>
    <w:bookmarkStart w:id="32" w:name="X89997eaec9c0441c8e9b70e6350cb6b0de174ef"/>
    <w:p>
      <w:pPr>
        <w:pStyle w:val="Heading1"/>
      </w:pPr>
      <w:r>
        <w:t xml:space="preserve">6. Transfer of the process, methods and control strategy</w:t>
      </w:r>
    </w:p>
    <w:bookmarkStart w:id="29" w:name="manufacturing-process"/>
    <w:p>
      <w:pPr>
        <w:pStyle w:val="Heading2"/>
      </w:pPr>
      <w:r>
        <w:t xml:space="preserve">6.1 Manufacturing process</w:t>
      </w:r>
    </w:p>
    <w:p>
      <w:pPr>
        <w:pStyle w:val="FirstParagraph"/>
      </w:pPr>
      <w:r>
        <w:t xml:space="preserve">The manufacturing process transfers as a documented set, and the set is complete only when</w:t>
      </w:r>
      <w:r>
        <w:t xml:space="preserve"> </w:t>
      </w:r>
      <w:r>
        <w:t xml:space="preserve">the receiving site can execute it without reference to the sending site. That set comprises</w:t>
      </w:r>
      <w:r>
        <w:t xml:space="preserve"> </w:t>
      </w:r>
      <w:r>
        <w:t xml:space="preserve">the process description, the master batch record, the set-point and range tables for every</w:t>
      </w:r>
      <w:r>
        <w:t xml:space="preserve"> </w:t>
      </w:r>
      <w:r>
        <w:t xml:space="preserve">unit operation, and the procedures that govern the operations and the assays. The</w:t>
      </w:r>
      <w:r>
        <w:t xml:space="preserve"> </w:t>
      </w:r>
      <w:r>
        <w:t xml:space="preserve">19 procedures and 10 method validations that make up the</w:t>
      </w:r>
      <w:r>
        <w:t xml:space="preserve"> </w:t>
      </w:r>
      <w:r>
        <w:t xml:space="preserve">controlled-document basis of the transfer are listed in</w:t>
      </w:r>
      <w:r>
        <w:t xml:space="preserve"> </w:t>
      </w:r>
      <w:hyperlink w:anchor="tbl-sops">
        <w:r>
          <w:rPr>
            <w:rStyle w:val="Hyperlink"/>
          </w:rPr>
          <w:t xml:space="preserve">Table 9</w:t>
        </w:r>
      </w:hyperlink>
      <w:r>
        <w:t xml:space="preserve">, and each is authored or</w:t>
      </w:r>
      <w:r>
        <w:t xml:space="preserve"> </w:t>
      </w:r>
      <w:r>
        <w:t xml:space="preserve">re-issued under the receiving site’s document control before the first engineering run.</w:t>
      </w:r>
      <w:r>
        <w:t xml:space="preserve"> </w:t>
      </w:r>
      <w:r>
        <w:t xml:space="preserve">MSAT authors the process description, receiving-site Manufacturing reviews it for</w:t>
      </w:r>
      <w:r>
        <w:t xml:space="preserve"> </w:t>
      </w:r>
      <w:r>
        <w:t xml:space="preserve">executability, and Quality Assurance (QA) approves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Controlled procedures and validated analytical methods in the scope of the transfer. SOP and AMV numbers are synthetic placeholders.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The process description delivered at transfer carries set-points and proposed normal</w:t>
      </w:r>
      <w:r>
        <w:t xml:space="preserve"> </w:t>
      </w:r>
      <w:r>
        <w:t xml:space="preserve">operating ranges for all 37 parameters. It does not carry proven acceptable</w:t>
      </w:r>
      <w:r>
        <w:t xml:space="preserve"> </w:t>
      </w:r>
      <w:r>
        <w:t xml:space="preserve">ranges (PARs), and it does not carry parameter classifications, because both are outputs of</w:t>
      </w:r>
      <w:r>
        <w:t xml:space="preserve"> </w:t>
      </w:r>
      <w:r>
        <w:t xml:space="preserve">the characterization studies and neither exists when this plan takes effect. The batch</w:t>
      </w:r>
      <w:r>
        <w:t xml:space="preserve"> </w:t>
      </w:r>
      <w:r>
        <w:t xml:space="preserve">record issued for PPQ is the revised version that carries them, and that revision is the</w:t>
      </w:r>
      <w:r>
        <w:t xml:space="preserve"> </w:t>
      </w:r>
      <w:r>
        <w:t xml:space="preserve">last step of the process transfer and not the first.</w:t>
      </w:r>
    </w:p>
    <w:bookmarkEnd w:id="29"/>
    <w:bookmarkStart w:id="30" w:name="analytical-methods"/>
    <w:p>
      <w:pPr>
        <w:pStyle w:val="Heading2"/>
      </w:pPr>
      <w:r>
        <w:t xml:space="preserve">6.2 Analytical methods</w:t>
      </w:r>
    </w:p>
    <w:p>
      <w:pPr>
        <w:pStyle w:val="FirstParagraph"/>
      </w:pPr>
      <w:r>
        <w:t xml:space="preserve">Analytical method transfer is a separate activity from process transfer and it runs on its</w:t>
      </w:r>
      <w:r>
        <w:t xml:space="preserve"> </w:t>
      </w:r>
      <w:r>
        <w:t xml:space="preserve">own schedule. Each of the 10 validated methods listed in</w:t>
      </w:r>
      <w:r>
        <w:t xml:space="preserve"> </w:t>
      </w:r>
      <w:hyperlink w:anchor="tbl-sops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transfers</w:t>
      </w:r>
      <w:r>
        <w:t xml:space="preserve"> </w:t>
      </w:r>
      <w:r>
        <w:t xml:space="preserve">under its own protocol, which specifies the samples, the number of analysts and the</w:t>
      </w:r>
      <w:r>
        <w:t xml:space="preserve"> </w:t>
      </w:r>
      <w:r>
        <w:t xml:space="preserve">comparative criteria to be met against the validated performance recorded in the</w:t>
      </w:r>
      <w:r>
        <w:t xml:space="preserve"> </w:t>
      </w:r>
      <w:r>
        <w:t xml:space="preserve">corresponding method validation (AMV) record. A method is transferred when the receiving</w:t>
      </w:r>
      <w:r>
        <w:t xml:space="preserve"> </w:t>
      </w:r>
      <w:r>
        <w:t xml:space="preserve">site laboratory has met those criteria and Quality Assurance has approved the transfer</w:t>
      </w:r>
      <w:r>
        <w:t xml:space="preserve"> </w:t>
      </w:r>
      <w:r>
        <w:t xml:space="preserve">report.</w:t>
      </w:r>
    </w:p>
    <w:p>
      <w:pPr>
        <w:pStyle w:val="BodyText"/>
      </w:pPr>
      <w:r>
        <w:t xml:space="preserve">Until the transfer report for a method is approved, in-process and release testing that</w:t>
      </w:r>
      <w:r>
        <w:t xml:space="preserve"> </w:t>
      </w:r>
      <w:r>
        <w:t xml:space="preserve">depends on that method remains at the sending site. This is why method transfer precedes</w:t>
      </w:r>
      <w:r>
        <w:t xml:space="preserve"> </w:t>
      </w:r>
      <w:r>
        <w:t xml:space="preserve">the engineering runs in the sequence of §10. Method variance propagates directly into the</w:t>
      </w:r>
      <w:r>
        <w:t xml:space="preserve"> </w:t>
      </w:r>
      <w:r>
        <w:t xml:space="preserve">capability estimates that justify the control strategy, so the comparative criteria are set</w:t>
      </w:r>
      <w:r>
        <w:t xml:space="preserve"> </w:t>
      </w:r>
      <w:r>
        <w:t xml:space="preserve">against the validated precision and accuracy of each method (as recorded in the AMV) and</w:t>
      </w:r>
      <w:r>
        <w:t xml:space="preserve"> </w:t>
      </w:r>
      <w:r>
        <w:t xml:space="preserve">not against a nominal target. Analytical Development at the sending site owns the transfer</w:t>
      </w:r>
      <w:r>
        <w:t xml:space="preserve"> </w:t>
      </w:r>
      <w:r>
        <w:t xml:space="preserve">protocol, Quality Control (QC) at the receiving site executes it, and Quality Assurance</w:t>
      </w:r>
      <w:r>
        <w:t xml:space="preserve"> </w:t>
      </w:r>
      <w:r>
        <w:t xml:space="preserve">approves the outcome.</w:t>
      </w:r>
    </w:p>
    <w:bookmarkEnd w:id="30"/>
    <w:bookmarkStart w:id="31" w:name="control-strategy"/>
    <w:p>
      <w:pPr>
        <w:pStyle w:val="Heading2"/>
      </w:pPr>
      <w:r>
        <w:t xml:space="preserve">6.3 Control strategy</w:t>
      </w:r>
    </w:p>
    <w:p>
      <w:pPr>
        <w:pStyle w:val="FirstParagraph"/>
      </w:pPr>
      <w:r>
        <w:t xml:space="preserve">The control strategy is the last element to transfer, because it is the only element that</w:t>
      </w:r>
      <w:r>
        <w:t xml:space="preserve"> </w:t>
      </w:r>
      <w:r>
        <w:t xml:space="preserve">does not yet exist. Its content is fixed by the outcome of characterization, which is to</w:t>
      </w:r>
      <w:r>
        <w:t xml:space="preserve"> </w:t>
      </w:r>
      <w:r>
        <w:t xml:space="preserve">say by which parameters are shown to affect a critical quality attribute, over which proven</w:t>
      </w:r>
      <w:r>
        <w:t xml:space="preserve"> </w:t>
      </w:r>
      <w:r>
        <w:t xml:space="preserve">acceptable ranges, and with which residual assurance at commercial scale</w:t>
      </w:r>
      <w:r>
        <w:t xml:space="preserve"> </w:t>
      </w:r>
      <w:r>
        <w:t xml:space="preserve">(International Council for Harmonisation 2009, 2012)</w:t>
      </w:r>
      <w:r>
        <w:t xml:space="preserve">.</w:t>
      </w:r>
      <w:r>
        <w:t xml:space="preserve"> </w:t>
      </w:r>
      <w:r>
        <w:t xml:space="preserve">Classification follows SOP-4001. A parameter whose variability affects a critical quality</w:t>
      </w:r>
      <w:r>
        <w:t xml:space="preserve"> </w:t>
      </w:r>
      <w:r>
        <w:t xml:space="preserve">attribute is classified as a critical process parameter (CPP) or a well-controlled critical</w:t>
      </w:r>
      <w:r>
        <w:t xml:space="preserve"> </w:t>
      </w:r>
      <w:r>
        <w:t xml:space="preserve">process parameter (WC-CPP) according to the risk that it falls outside the design space,</w:t>
      </w:r>
      <w:r>
        <w:t xml:space="preserve"> </w:t>
      </w:r>
      <w:r>
        <w:t xml:space="preserve">and a parameter that affects process consistency without affecting quality is classified as</w:t>
      </w:r>
      <w:r>
        <w:t xml:space="preserve"> </w:t>
      </w:r>
      <w:r>
        <w:t xml:space="preserve">a key process parameter (KPP)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Delivery follows the same order. Each characterization report classifies the parameters of</w:t>
      </w:r>
      <w:r>
        <w:t xml:space="preserve"> </w:t>
      </w:r>
      <w:r>
        <w:t xml:space="preserve">its own step, PCMR-001 consolidates the classifications and the process design space, and</w:t>
      </w:r>
      <w:r>
        <w:t xml:space="preserve"> </w:t>
      </w:r>
      <w:r>
        <w:t xml:space="preserve">the control strategy document and the revised master batch record follow PCMR-001. Quality</w:t>
      </w:r>
      <w:r>
        <w:t xml:space="preserve"> </w:t>
      </w:r>
      <w:r>
        <w:t xml:space="preserve">Assurance approves the control strategy before PPQ. No PPQ batch is executed against an</w:t>
      </w:r>
      <w:r>
        <w:t xml:space="preserve"> </w:t>
      </w:r>
      <w:r>
        <w:t xml:space="preserve">unclassified parameter set, and that constraint is what sequences the whole package.</w:t>
      </w:r>
    </w:p>
    <w:bookmarkEnd w:id="31"/>
    <w:bookmarkEnd w:id="32"/>
    <w:bookmarkStart w:id="33" w:name="X1bd6ffe9d61af2f9774a232c0e7713d73efbd3f"/>
    <w:p>
      <w:pPr>
        <w:pStyle w:val="Heading1"/>
      </w:pPr>
      <w:r>
        <w:t xml:space="preserve">7. Process performance qualification strategy</w:t>
      </w:r>
    </w:p>
    <w:p>
      <w:pPr>
        <w:pStyle w:val="FirstParagraph"/>
      </w:pPr>
      <w:r>
        <w:t xml:space="preserve">5 consecutive PPQ batches at commercial scale are planned at the receiving</w:t>
      </w:r>
      <w:r>
        <w:t xml:space="preserve"> </w:t>
      </w:r>
      <w:r>
        <w:t xml:space="preserve">site. PPQ is Stage 2 of the process validation lifecycle, and it confirms at scale the</w:t>
      </w:r>
      <w:r>
        <w:t xml:space="preserve"> </w:t>
      </w:r>
      <w:r>
        <w:t xml:space="preserve">process design established in Stage 1</w:t>
      </w:r>
      <w:r>
        <w:t xml:space="preserve"> </w:t>
      </w:r>
      <w:r>
        <w:t xml:space="preserve">(U.S. Food and Drug Administration 2011)</w:t>
      </w:r>
      <w:r>
        <w:t xml:space="preserve">. It does not establish that design. The</w:t>
      </w:r>
      <w:r>
        <w:t xml:space="preserve"> </w:t>
      </w:r>
      <w:r>
        <w:t xml:space="preserve">characterization package described in this plan is the Stage 1 record, so the strategy</w:t>
      </w:r>
      <w:r>
        <w:t xml:space="preserve"> </w:t>
      </w:r>
      <w:r>
        <w:t xml:space="preserve">below states what that package must deliver before the first PPQ batch is charged.</w:t>
      </w:r>
    </w:p>
    <w:p>
      <w:pPr>
        <w:pStyle w:val="BodyText"/>
      </w:pPr>
      <w:r>
        <w:t xml:space="preserve">The prerequisites for starting PPQ are the following.</w:t>
      </w:r>
    </w:p>
    <w:p>
      <w:pPr>
        <w:pStyle w:val="Compact"/>
        <w:numPr>
          <w:ilvl w:val="0"/>
          <w:numId w:val="1001"/>
        </w:numPr>
      </w:pPr>
      <w:r>
        <w:t xml:space="preserve">An approved characterization report exists for every unit operation (PCR-003 through PCR-010).</w:t>
      </w:r>
    </w:p>
    <w:p>
      <w:pPr>
        <w:pStyle w:val="Compact"/>
        <w:numPr>
          <w:ilvl w:val="0"/>
          <w:numId w:val="1001"/>
        </w:numPr>
      </w:pPr>
      <w:r>
        <w:t xml:space="preserve">PCMR-001 is approved, and it consolidates the design space, the parameter classifications and the projected commercial-scale capability against the acceptance 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control strategy and the revised master batch record are approved and issued under the receiving site’s document control.</w:t>
      </w:r>
    </w:p>
    <w:p>
      <w:pPr>
        <w:pStyle w:val="Compact"/>
        <w:numPr>
          <w:ilvl w:val="0"/>
          <w:numId w:val="1001"/>
        </w:numPr>
      </w:pPr>
      <w:r>
        <w:t xml:space="preserve">Transfer reports are approved for all 10 analytical methods used for in-process control and release testing.</w:t>
      </w:r>
    </w:p>
    <w:p>
      <w:pPr>
        <w:pStyle w:val="Compact"/>
        <w:numPr>
          <w:ilvl w:val="0"/>
          <w:numId w:val="1001"/>
        </w:numPr>
      </w:pPr>
      <w:r>
        <w:t xml:space="preserve">Scale-down model qualification is complete and reported for every step under SOP-1001.</w:t>
      </w:r>
    </w:p>
    <w:p>
      <w:pPr>
        <w:pStyle w:val="Compact"/>
        <w:numPr>
          <w:ilvl w:val="0"/>
          <w:numId w:val="1001"/>
        </w:numPr>
      </w:pPr>
      <w:r>
        <w:t xml:space="preserve">Engineering runs at the receiving site have been executed and compared with the scale-down predictions at set-point.</w:t>
      </w:r>
    </w:p>
    <w:p>
      <w:pPr>
        <w:pStyle w:val="Compact"/>
        <w:numPr>
          <w:ilvl w:val="0"/>
          <w:numId w:val="1001"/>
        </w:numPr>
      </w:pPr>
      <w:r>
        <w:t xml:space="preserve">A readiness review has been held and its actions have been closed.</w:t>
      </w:r>
    </w:p>
    <w:p>
      <w:pPr>
        <w:pStyle w:val="FirstParagraph"/>
      </w:pPr>
      <w:r>
        <w:t xml:space="preserve">The PPQ protocol defines the sampling plan, the in-process and release testing and the</w:t>
      </w:r>
      <w:r>
        <w:t xml:space="preserve"> </w:t>
      </w:r>
      <w:r>
        <w:t xml:space="preserve">acceptance criteria for each batch, and none of those is set in this plan. Capability</w:t>
      </w:r>
      <w:r>
        <w:t xml:space="preserve"> </w:t>
      </w:r>
      <w:r>
        <w:t xml:space="preserve">against the acceptance 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is projected in PCMR-001 from the</w:t>
      </w:r>
      <w:r>
        <w:t xml:space="preserve"> </w:t>
      </w:r>
      <w:r>
        <w:t xml:space="preserve">characterization data and a commercial-scale variance model, and the PPQ batches test those</w:t>
      </w:r>
      <w:r>
        <w:t xml:space="preserve"> </w:t>
      </w:r>
      <w:r>
        <w:t xml:space="preserve">projections against real manufacturing variability. A small number of consecutive batches</w:t>
      </w:r>
      <w:r>
        <w:t xml:space="preserve"> </w:t>
      </w:r>
      <w:r>
        <w:t xml:space="preserve">cannot adequately capture the process variability expected at commercial manufacturing</w:t>
      </w:r>
      <w:r>
        <w:t xml:space="preserve"> </w:t>
      </w:r>
      <w:r>
        <w:t xml:space="preserve">scale, so PPQ is treated as a confirmation of the design and not as the whole of the</w:t>
      </w:r>
      <w:r>
        <w:t xml:space="preserve"> </w:t>
      </w:r>
      <w:r>
        <w:t xml:space="preserve">evidence for it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Stage 3 continued process verification begins on approval of the PPQ report and continues</w:t>
      </w:r>
      <w:r>
        <w:t xml:space="preserve"> </w:t>
      </w:r>
      <w:r>
        <w:t xml:space="preserve">for the commercial life of the product</w:t>
      </w:r>
      <w:r>
        <w:t xml:space="preserve"> </w:t>
      </w:r>
      <w:r>
        <w:t xml:space="preserve">(U.S. Food and Drug Administration 2011)</w:t>
      </w:r>
      <w:r>
        <w:t xml:space="preserve">. Its design, including the trending of</w:t>
      </w:r>
      <w:r>
        <w:t xml:space="preserve"> </w:t>
      </w:r>
      <w:r>
        <w:t xml:space="preserve">the parameters classified in PCMR-001, is outside the scope of this plan.</w:t>
      </w:r>
    </w:p>
    <w:bookmarkEnd w:id="33"/>
    <w:bookmarkStart w:id="35" w:name="gap-analysis"/>
    <w:p>
      <w:pPr>
        <w:pStyle w:val="Heading1"/>
      </w:pPr>
      <w:r>
        <w:t xml:space="preserve">8. Gap analysis</w:t>
      </w:r>
    </w:p>
    <w:p>
      <w:pPr>
        <w:pStyle w:val="FirstParagraph"/>
      </w:pPr>
      <w:r>
        <w:t xml:space="preserve">Six gaps were identified between what the receiving site holds today and what it needs in</w:t>
      </w:r>
      <w:r>
        <w:t xml:space="preserve"> </w:t>
      </w:r>
      <w:r>
        <w:t xml:space="preserve">order to manufacture A-Mab under an approved control strategy. Each is stated below with</w:t>
      </w:r>
      <w:r>
        <w:t xml:space="preserve"> </w:t>
      </w:r>
      <w:r>
        <w:t xml:space="preserve">its impact on the transfer, the action that closes it, and the function that owns that</w:t>
      </w:r>
      <w:r>
        <w:t xml:space="preserve"> </w:t>
      </w:r>
      <w:r>
        <w:t xml:space="preserve">action. None of the six is closed by this plan, and none is closed by the equivalency</w:t>
      </w:r>
      <w:r>
        <w:t xml:space="preserve"> </w:t>
      </w:r>
      <w:r>
        <w:t xml:space="preserve">analysis of §4. They are summarized in</w:t>
      </w:r>
      <w:r>
        <w:t xml:space="preserve"> </w:t>
      </w:r>
      <w:hyperlink w:anchor="tbl-gaps">
        <w:r>
          <w:rPr>
            <w:rStyle w:val="Hyperlink"/>
          </w:rPr>
          <w:t xml:space="preserve">Table 10</w:t>
        </w:r>
      </w:hyperlink>
      <w:r>
        <w:t xml:space="preserve">.</w:t>
      </w:r>
    </w:p>
    <w:p>
      <w:pPr>
        <w:pStyle w:val="BodyText"/>
      </w:pPr>
      <w:r>
        <w:t xml:space="preserve">No point in the proposed design space will have been run at commercial scale when the</w:t>
      </w:r>
      <w:r>
        <w:t xml:space="preserve"> </w:t>
      </w:r>
      <w:r>
        <w:t xml:space="preserve">characterization package completes. The studies are executed on scale-down models at the</w:t>
      </w:r>
      <w:r>
        <w:t xml:space="preserve"> </w:t>
      </w:r>
      <w:r>
        <w:t xml:space="preserve">sending site, the engineering and PPQ batches are run at set-point, and the edges of the</w:t>
      </w:r>
      <w:r>
        <w:t xml:space="preserve"> </w:t>
      </w:r>
      <w:r>
        <w:t xml:space="preserve">characterized region are therefore supported by the scale-down models alone. The impact is</w:t>
      </w:r>
      <w:r>
        <w:t xml:space="preserve"> </w:t>
      </w:r>
      <w:r>
        <w:t xml:space="preserve">that a scale-dependent effect at the edge of the region (for example pCO2 accumulation at</w:t>
      </w:r>
      <w:r>
        <w:t xml:space="preserve"> </w:t>
      </w:r>
      <w:r>
        <w:t xml:space="preserve">commercial working volume, or a longer mixing time in a larger vessel) would not appear in</w:t>
      </w:r>
      <w:r>
        <w:t xml:space="preserve"> </w:t>
      </w:r>
      <w:r>
        <w:t xml:space="preserve">the characterization data at all. The closing action is the qualification of every</w:t>
      </w:r>
      <w:r>
        <w:t xml:space="preserve"> </w:t>
      </w:r>
      <w:r>
        <w:t xml:space="preserve">scale-down model under SOP-1001, with statistical comparison of performance across scales,</w:t>
      </w:r>
      <w:r>
        <w:t xml:space="preserve"> </w:t>
      </w:r>
      <w:r>
        <w:t xml:space="preserve">followed by engineering runs and PPQ batches at set-point. MSAT at both sites owns the</w:t>
      </w:r>
      <w:r>
        <w:t xml:space="preserve"> </w:t>
      </w:r>
      <w:r>
        <w:t xml:space="preserve">action. The residual position after closure is that operation at the edges of the design</w:t>
      </w:r>
      <w:r>
        <w:t xml:space="preserve"> </w:t>
      </w:r>
      <w:r>
        <w:t xml:space="preserve">space at commercial scale requires a prospective risk assessment under the change</w:t>
      </w:r>
      <w:r>
        <w:t xml:space="preserve"> </w:t>
      </w:r>
      <w:r>
        <w:t xml:space="preserve">management system before it is performed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p>
      <w:pPr>
        <w:pStyle w:val="BodyText"/>
      </w:pPr>
      <w:r>
        <w:t xml:space="preserve">None of the 10 validated analytical methods has been executed for A-Mab at</w:t>
      </w:r>
      <w:r>
        <w:t xml:space="preserve"> </w:t>
      </w:r>
      <w:r>
        <w:t xml:space="preserve">the receiving site. In-process and release testing cannot therefore be performed there when</w:t>
      </w:r>
      <w:r>
        <w:t xml:space="preserve"> </w:t>
      </w:r>
      <w:r>
        <w:t xml:space="preserve">this plan takes effect, and the first engineering runs would otherwise generate data on</w:t>
      </w:r>
      <w:r>
        <w:t xml:space="preserve"> </w:t>
      </w:r>
      <w:r>
        <w:t xml:space="preserve">instruments and by analysts that have never been compared against the sending site. The</w:t>
      </w:r>
      <w:r>
        <w:t xml:space="preserve"> </w:t>
      </w:r>
      <w:r>
        <w:t xml:space="preserve">impact falls on the control strategy as well as on release, because method variance is part</w:t>
      </w:r>
      <w:r>
        <w:t xml:space="preserve"> </w:t>
      </w:r>
      <w:r>
        <w:t xml:space="preserve">of the variance that the capability projections in PCMR-001 must account for. The closing</w:t>
      </w:r>
      <w:r>
        <w:t xml:space="preserve"> </w:t>
      </w:r>
      <w:r>
        <w:t xml:space="preserve">action is the method transfer sequence of §6.2, with comparative precision and accuracy</w:t>
      </w:r>
      <w:r>
        <w:t xml:space="preserve"> </w:t>
      </w:r>
      <w:r>
        <w:t xml:space="preserve">criteria for each method and an approved transfer report for each. Analytical Development</w:t>
      </w:r>
      <w:r>
        <w:t xml:space="preserve"> </w:t>
      </w:r>
      <w:r>
        <w:t xml:space="preserve">at the sending site owns the protocol and Quality Control at the receiving site owns the</w:t>
      </w:r>
      <w:r>
        <w:t xml:space="preserve"> </w:t>
      </w:r>
      <w:r>
        <w:t xml:space="preserve">execution. Until each report is approved, the affected testing stays at the sending site.</w:t>
      </w:r>
    </w:p>
    <w:p>
      <w:pPr>
        <w:pStyle w:val="BodyText"/>
      </w:pPr>
      <w:r>
        <w:t xml:space="preserve">The control strategy that the receiving site must implement does not yet exist. All</w:t>
      </w:r>
      <w:r>
        <w:t xml:space="preserve"> </w:t>
      </w:r>
      <w:r>
        <w:t xml:space="preserve">37 parameters carry a proposed set-point and a proposed normal operating</w:t>
      </w:r>
      <w:r>
        <w:t xml:space="preserve"> </w:t>
      </w:r>
      <w:r>
        <w:t xml:space="preserve">range, but none carries a final classification, and no proven acceptable range has been</w:t>
      </w:r>
      <w:r>
        <w:t xml:space="preserve"> </w:t>
      </w:r>
      <w:r>
        <w:t xml:space="preserve">established. The impact is that the master batch record cannot be issued in its final form</w:t>
      </w:r>
      <w:r>
        <w:t xml:space="preserve"> </w:t>
      </w:r>
      <w:r>
        <w:t xml:space="preserve">and PPQ cannot start, so the transfer cannot be completed on the process description alone.</w:t>
      </w:r>
      <w:r>
        <w:t xml:space="preserve"> </w:t>
      </w:r>
      <w:r>
        <w:t xml:space="preserve">The closing action is the document sequence of</w:t>
      </w:r>
      <w:r>
        <w:t xml:space="preserve"> </w:t>
      </w:r>
      <w:hyperlink w:anchor="tbl-corpu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(RA-001, then the plans PCP-003</w:t>
      </w:r>
      <w:r>
        <w:t xml:space="preserve"> </w:t>
      </w:r>
      <w:r>
        <w:t xml:space="preserve">to PCP-010, then the reports PCR-003 to PCR-010, then PCMR-001), followed by classification</w:t>
      </w:r>
      <w:r>
        <w:t xml:space="preserve"> </w:t>
      </w:r>
      <w:r>
        <w:t xml:space="preserve">under SOP-4001 and revision of the batch record. MSAT owns the sequence and Quality</w:t>
      </w:r>
      <w:r>
        <w:t xml:space="preserve"> </w:t>
      </w:r>
      <w:r>
        <w:t xml:space="preserve">Assurance approves its output. This gap is the reason the PPQ prerequisites of §7 are</w:t>
      </w:r>
      <w:r>
        <w:t xml:space="preserve"> </w:t>
      </w:r>
      <w:r>
        <w:t xml:space="preserve">written as a gate.</w:t>
      </w:r>
    </w:p>
    <w:p>
      <w:pPr>
        <w:pStyle w:val="BodyText"/>
      </w:pPr>
      <w:r>
        <w:t xml:space="preserve">Viral clearance cannot be measured in the commercial facility. Spiking studies are</w:t>
      </w:r>
      <w:r>
        <w:t xml:space="preserve"> </w:t>
      </w:r>
      <w:r>
        <w:t xml:space="preserve">performed only at scale-down and under containment, so the clearance claimed for the low-pH</w:t>
      </w:r>
      <w:r>
        <w:t xml:space="preserve"> </w:t>
      </w:r>
      <w:r>
        <w:t xml:space="preserve">hold, for anion exchange and for virus filtration will rest entirely on scale-down data,</w:t>
      </w:r>
      <w:r>
        <w:t xml:space="preserve"> </w:t>
      </w:r>
      <w:r>
        <w:t xml:space="preserve">with no confirmation at 15,000 L. The impact is that the cumulative XMuLV and</w:t>
      </w:r>
      <w:r>
        <w:t xml:space="preserve"> </w:t>
      </w:r>
      <w:r>
        <w:t xml:space="preserve">MVM claims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supported by a modular argument across three steps and by the</w:t>
      </w:r>
      <w:r>
        <w:t xml:space="preserve"> </w:t>
      </w:r>
      <w:r>
        <w:t xml:space="preserve">qualification of three scale-down models, and not by any commercial-scale measurement. The</w:t>
      </w:r>
      <w:r>
        <w:t xml:space="preserve"> </w:t>
      </w:r>
      <w:r>
        <w:t xml:space="preserve">closing action has two parts. The scale-down models for Steps 6, 8 and 9 are qualified to</w:t>
      </w:r>
      <w:r>
        <w:t xml:space="preserve"> </w:t>
      </w:r>
      <w:r>
        <w:t xml:space="preserve">worst-case commercial conditions, and the modular clearance studies are run to ICH Q5A</w:t>
      </w:r>
      <w:r>
        <w:t xml:space="preserve"> </w:t>
      </w:r>
      <w:r>
        <w:t xml:space="preserve">(International Council for Harmonisation 2023a)</w:t>
      </w:r>
      <w:r>
        <w:t xml:space="preserve">. The receiving site then demonstrates in the engineering runs that it can hold</w:t>
      </w:r>
      <w:r>
        <w:t xml:space="preserve"> </w:t>
      </w:r>
      <w:r>
        <w:t xml:space="preserve">the governing parameters of those steps (hold pH and hold time, load pH and conductivity,</w:t>
      </w:r>
      <w:r>
        <w:t xml:space="preserve"> </w:t>
      </w:r>
      <w:r>
        <w:t xml:space="preserve">and volumetric throughput) within the ranges the studies claim. MSAT owns the first part</w:t>
      </w:r>
      <w:r>
        <w:t xml:space="preserve"> </w:t>
      </w:r>
      <w:r>
        <w:t xml:space="preserve">with virology support, and receiving-site Manufacturing owns the second. The residual</w:t>
      </w:r>
      <w:r>
        <w:t xml:space="preserve"> </w:t>
      </w:r>
      <w:r>
        <w:t xml:space="preserve">position is that the claim remains modular. No single step is claimed to deliver it, and</w:t>
      </w:r>
      <w:r>
        <w:t xml:space="preserve"> </w:t>
      </w:r>
      <w:r>
        <w:t xml:space="preserve">the consolidation across steps is reported in PCMR-001.</w:t>
      </w:r>
    </w:p>
    <w:p>
      <w:pPr>
        <w:pStyle w:val="BodyText"/>
      </w:pPr>
      <w:r>
        <w:t xml:space="preserve">The Protein A capture step cannot inherit its ranges from platform data. RA-004 assessed</w:t>
      </w:r>
      <w:r>
        <w:t xml:space="preserve"> </w:t>
      </w:r>
      <w:r>
        <w:t xml:space="preserve">the alternate Protein A resin and concluded that independent characterization is required,</w:t>
      </w:r>
      <w:r>
        <w:t xml:space="preserve"> </w:t>
      </w:r>
      <w:r>
        <w:t xml:space="preserve">with no bridging from the platform data that supports the other steps of the train. The</w:t>
      </w:r>
      <w:r>
        <w:t xml:space="preserve"> </w:t>
      </w:r>
      <w:r>
        <w:t xml:space="preserve">impact is that the operating ranges of the capture step, and the leached Protein A</w:t>
      </w:r>
      <w:r>
        <w:t xml:space="preserve"> </w:t>
      </w:r>
      <w:r>
        <w:t xml:space="preserve">attribute that the step sets, have no prior-knowledge basis and must be established</w:t>
      </w:r>
      <w:r>
        <w:t xml:space="preserve"> </w:t>
      </w:r>
      <w:r>
        <w:t xml:space="preserve">experimentally before the transfer can complete. The closing action is the full</w:t>
      </w:r>
      <w:r>
        <w:t xml:space="preserve"> </w:t>
      </w:r>
      <w:r>
        <w:t xml:space="preserve">characterization of the step in PCP-005 and PCR-005, including the resin life-cycle and</w:t>
      </w:r>
      <w:r>
        <w:t xml:space="preserve"> </w:t>
      </w:r>
      <w:r>
        <w:t xml:space="preserve">sanitization conditions governed by SOP-2008. Process Development at the sending site owns</w:t>
      </w:r>
      <w:r>
        <w:t xml:space="preserve"> </w:t>
      </w:r>
      <w:r>
        <w:t xml:space="preserve">the action. Platform experience with the earlier products is retained as supporting context</w:t>
      </w:r>
      <w:r>
        <w:t xml:space="preserve"> </w:t>
      </w:r>
      <w:r>
        <w:t xml:space="preserve">and is not used as a substitute for the step’s own data.</w:t>
      </w:r>
    </w:p>
    <w:p>
      <w:pPr>
        <w:pStyle w:val="BodyText"/>
      </w:pPr>
      <w:r>
        <w:t xml:space="preserve">The receiving site has no execution history for this process. No operator there has run an</w:t>
      </w:r>
      <w:r>
        <w:t xml:space="preserve"> </w:t>
      </w:r>
      <w:r>
        <w:t xml:space="preserve">A-Mab batch, no buffer has been prepared at commercial scale to the A-Mab formulations, and</w:t>
      </w:r>
      <w:r>
        <w:t xml:space="preserve"> </w:t>
      </w:r>
      <w:r>
        <w:t xml:space="preserve">the buffer hold times that the chromatography steps depend on have not been verified at</w:t>
      </w:r>
      <w:r>
        <w:t xml:space="preserve"> </w:t>
      </w:r>
      <w:r>
        <w:t xml:space="preserve">that scale. The impact is concentrated in the first batches, where an execution error or an</w:t>
      </w:r>
      <w:r>
        <w:t xml:space="preserve"> </w:t>
      </w:r>
      <w:r>
        <w:t xml:space="preserve">out-of-specification buffer lot would move the conductivity and pH of the chromatography</w:t>
      </w:r>
      <w:r>
        <w:t xml:space="preserve"> </w:t>
      </w:r>
      <w:r>
        <w:t xml:space="preserve">loads, which are the governing parameters of the polishing and viral steps. The closing</w:t>
      </w:r>
      <w:r>
        <w:t xml:space="preserve"> </w:t>
      </w:r>
      <w:r>
        <w:t xml:space="preserve">action is training against the transferred procedures of</w:t>
      </w:r>
      <w:r>
        <w:t xml:space="preserve"> </w:t>
      </w:r>
      <w:hyperlink w:anchor="tbl-sops">
        <w:r>
          <w:rPr>
            <w:rStyle w:val="Hyperlink"/>
          </w:rPr>
          <w:t xml:space="preserve">Table 9</w:t>
        </w:r>
      </w:hyperlink>
      <w:r>
        <w:t xml:space="preserve">, buffer preparation and</w:t>
      </w:r>
      <w:r>
        <w:t xml:space="preserve"> </w:t>
      </w:r>
      <w:r>
        <w:t xml:space="preserve">expiry verification under SOP-2103, at least one engineering run per unit operation, and a</w:t>
      </w:r>
      <w:r>
        <w:t xml:space="preserve"> </w:t>
      </w:r>
      <w:r>
        <w:t xml:space="preserve">readiness review before PPQ. Receiving-site Manufacturing owns the action with MSAT</w:t>
      </w:r>
      <w:r>
        <w:t xml:space="preserve"> </w:t>
      </w:r>
      <w:r>
        <w:t xml:space="preserve">support. Until the verification is complete, buffer expiry at the receiving site is held to</w:t>
      </w:r>
      <w:r>
        <w:t xml:space="preserve"> </w:t>
      </w:r>
      <w:r>
        <w:t xml:space="preserve">the shortest period justified by the sending site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ga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Transfer gaps, closing actions, owners and the evidence that closes each.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Closing 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Evidence of closure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 space not confirmed at commercial 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qualification, engineering runs, PPQ at set-point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 (both sites)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SOP-1001 qualification records; PCMR-001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methods not qualified at the 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transfer protocol and report per 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 / QC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Approved transfer report per AMV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parameter classification or control strategy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RA-001, PCP-003 to PCP-010, PCR-003 to PCR-010, PCMR-001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 / QA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Approved control strategy and batch record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Viral clearance measurable only at scale-down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Modular clearance studies to ICH Q5A; parameter control demonstrated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 / Virology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PCR-006, PCR-008, PCR-009; PCMR-001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Protein A resin has no platform bridging (RA-004)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 characterization of the capture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PCP-005 and 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execution history at the 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Training, buffer verification under SOP-2103, engineering runs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Receiving-site Manufacturing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Readiness review record</w:t>
                  </w:r>
                </w:p>
              </w:tc>
            </w:tr>
          </w:tbl>
          <w:bookmarkEnd w:id="34"/>
          <w:p/>
        </w:tc>
      </w:tr>
    </w:tbl>
    <w:bookmarkEnd w:id="35"/>
    <w:bookmarkStart w:id="37" w:name="roles-and-responsibilities"/>
    <w:p>
      <w:pPr>
        <w:pStyle w:val="Heading1"/>
      </w:pPr>
      <w:r>
        <w:t xml:space="preserve">9. Roles and responsibilities</w:t>
      </w:r>
    </w:p>
    <w:p>
      <w:pPr>
        <w:pStyle w:val="FirstParagraph"/>
      </w:pPr>
      <w:r>
        <w:t xml:space="preserve">The sending site owns the process knowledge and the characterization package. The receiving</w:t>
      </w:r>
      <w:r>
        <w:t xml:space="preserve"> </w:t>
      </w:r>
      <w:r>
        <w:t xml:space="preserve">site owns commercial manufacture and the execution of the engineering and PPQ batches.</w:t>
      </w:r>
      <w:r>
        <w:t xml:space="preserve"> </w:t>
      </w:r>
      <w:r>
        <w:t xml:space="preserve">Quality Assurance at both sites approves the transferred documents and the release of the</w:t>
      </w:r>
      <w:r>
        <w:t xml:space="preserve"> </w:t>
      </w:r>
      <w:r>
        <w:t xml:space="preserve">resulting material. The responsibilities are given in</w:t>
      </w:r>
      <w:r>
        <w:t xml:space="preserve"> </w:t>
      </w:r>
      <w:hyperlink w:anchor="tbl-roles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Roles and responsibilities for the transfer.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knowledge, scale-down models, characterization studies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and 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Transfer strategy, scale-down qualification, gap closure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 and method transfer protocols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Control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execution, in-process and release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Batch record execution, engineering and PPQ batches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and 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 approval, change control, batch 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 of experiments, capability projection, comparability analysis</w:t>
                  </w:r>
                </w:p>
              </w:tc>
            </w:tr>
          </w:tbl>
          <w:bookmarkEnd w:id="36"/>
          <w:p/>
        </w:tc>
      </w:tr>
    </w:tbl>
    <w:bookmarkEnd w:id="37"/>
    <w:bookmarkStart w:id="39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r>
        <w:t xml:space="preserve">This plan commits to the deliverables listed in</w:t>
      </w:r>
      <w:r>
        <w:t xml:space="preserve"> </w:t>
      </w:r>
      <w:hyperlink w:anchor="tbl-deliv">
        <w:r>
          <w:rPr>
            <w:rStyle w:val="Hyperlink"/>
          </w:rPr>
          <w:t xml:space="preserve">Table 12</w:t>
        </w:r>
      </w:hyperlink>
      <w:r>
        <w:t xml:space="preserve">. The sequence is fixed by</w:t>
      </w:r>
      <w:r>
        <w:t xml:space="preserve"> </w:t>
      </w:r>
      <w:r>
        <w:t xml:space="preserve">dependency and not by calendar date, because each deliverable is a prerequisite for the one</w:t>
      </w:r>
      <w:r>
        <w:t xml:space="preserve"> </w:t>
      </w:r>
      <w:r>
        <w:t xml:space="preserve">below it. No dates are given here. The transfer schedule is maintained in the project plan</w:t>
      </w:r>
      <w:r>
        <w:t xml:space="preserve"> </w:t>
      </w:r>
      <w:r>
        <w:t xml:space="preserve">and is revised under change control.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deli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Deliverables committed by this plan and the dependency each one satisfies.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Deliverable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Prerequisite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RA-001 pre-characterization risk assessment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Scope of every characterization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PCMP-001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Execution of PCP-003 to PCP-010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PCP-003 to PCP-010 characterization plans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Execution of the studies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 records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Validity of the study data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PCR-003 to PCR-010 characterization reports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PCMR-001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 transfer reports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Testing at the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PCMR-001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 strategy and PPQ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 strategy and revised master batch record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 / QA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 and PPQ batches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 run report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Receiving-site Manufacturing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PPQ readiness review</w:t>
                  </w:r>
                </w:p>
              </w:tc>
            </w:tr>
          </w:tbl>
          <w:bookmarkEnd w:id="38"/>
          <w:p/>
        </w:tc>
      </w:tr>
    </w:tbl>
    <w:bookmarkEnd w:id="39"/>
    <w:bookmarkStart w:id="41" w:name="approvals-1"/>
    <w:p>
      <w:pPr>
        <w:pStyle w:val="Heading1"/>
      </w:pPr>
      <w:r>
        <w:t xml:space="preserve">11. Approvals</w:t>
      </w:r>
    </w:p>
    <w:p>
      <w:pPr>
        <w:pStyle w:val="FirstParagraph"/>
      </w:pPr>
      <w:r>
        <w:t xml:space="preserve">This plan is approved by the functions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, and any change to the</w:t>
      </w:r>
      <w:r>
        <w:t xml:space="preserve"> </w:t>
      </w:r>
      <w:r>
        <w:t xml:space="preserve">transfer strategy, the gap list or the PPQ prerequisites requires revision of the plan and</w:t>
      </w:r>
      <w:r>
        <w:t xml:space="preserve"> </w:t>
      </w:r>
      <w:r>
        <w:t xml:space="preserve">re-approval by the same functions. The scope of each approval is given in</w:t>
      </w:r>
      <w:r>
        <w:t xml:space="preserve"> </w:t>
      </w:r>
      <w:hyperlink w:anchor="tbl-approle">
        <w:r>
          <w:rPr>
            <w:rStyle w:val="Hyperlink"/>
          </w:rPr>
          <w:t xml:space="preserve">Table 13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appro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Scope of approval by function.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Scope of approval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Transfer strategy, equivalency analysis, gap list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 transfer approach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Executability at the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Comparability and capability approach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Compliance with the pharmaceutical quality system</w:t>
                  </w:r>
                </w:p>
              </w:tc>
            </w:tr>
          </w:tbl>
          <w:bookmarkEnd w:id="40"/>
          <w:p/>
        </w:tc>
      </w:tr>
    </w:tbl>
    <w:bookmarkEnd w:id="41"/>
    <w:bookmarkStart w:id="50" w:name="references"/>
    <w:p>
      <w:pPr>
        <w:pStyle w:val="Heading1"/>
      </w:pPr>
      <w:r>
        <w:t xml:space="preserve">References</w:t>
      </w:r>
    </w:p>
    <w:bookmarkStart w:id="49" w:name="refs"/>
    <w:bookmarkStart w:id="42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2"/>
    <w:bookmarkStart w:id="43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43"/>
    <w:bookmarkStart w:id="44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4"/>
    <w:bookmarkStart w:id="45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5"/>
    <w:bookmarkStart w:id="46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6"/>
    <w:bookmarkStart w:id="47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7"/>
    <w:bookmarkStart w:id="48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Transfer Plan</dc:title>
  <dc:creator>Process Development / Manufacturing Science &amp; Technology (MSAT)</dc:creator>
  <cp:keywords/>
  <dcterms:created xsi:type="dcterms:W3CDTF">2026-07-27T09:11:23Z</dcterms:created>
  <dcterms:modified xsi:type="dcterms:W3CDTF">2026-07-27T09:11:23Z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PTP-001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