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Low-pH Viral Inactivation (Step 6) — PCP-006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ALCOA+, the data integrity attributes attributable,</w:t>
      </w:r>
      <w:r>
        <w:t xml:space="preserve"> </w:t>
      </w:r>
      <w:r>
        <w:t xml:space="preserve">legible, contemporaneous, original and accurate, plus complete, consistent, enduring and</w:t>
      </w:r>
      <w:r>
        <w:t xml:space="preserve"> </w:t>
      </w:r>
      <w:r>
        <w:t xml:space="preserve">available; AMV, analytical method validation; ANOVA, analysis of variance; BLA, Biologics</w:t>
      </w:r>
      <w:r>
        <w:t xml:space="preserve"> </w:t>
      </w:r>
      <w:r>
        <w:t xml:space="preserve">License Application; CCD, central composite design; CEX, cation exchange chromatography;</w:t>
      </w:r>
      <w:r>
        <w:t xml:space="preserve"> </w:t>
      </w:r>
      <w:r>
        <w:t xml:space="preserve">CPP, critical process parameter; CQA, critical quality attribute; DoE, design of</w:t>
      </w:r>
      <w:r>
        <w:t xml:space="preserve"> </w:t>
      </w:r>
      <w:r>
        <w:t xml:space="preserve">experiments; DS, drug substance; HMW, high molecular weight; icIEF, imaged capillary</w:t>
      </w:r>
      <w:r>
        <w:t xml:space="preserve"> </w:t>
      </w:r>
      <w:r>
        <w:t xml:space="preserve">isoelectric focusing; LIMS, laboratory information management system; LRF, log reduction</w:t>
      </w:r>
      <w:r>
        <w:t xml:space="preserve"> </w:t>
      </w:r>
      <w:r>
        <w:t xml:space="preserve">factor; MSAT, Manufacturing Science and Technology; NOR, normal operating range; PAR,</w:t>
      </w:r>
      <w:r>
        <w:t xml:space="preserve"> </w:t>
      </w:r>
      <w:r>
        <w:t xml:space="preserve">proven acceptable range; RSM, response surface methodology; SDM, scale-down model;</w:t>
      </w:r>
      <w:r>
        <w:t xml:space="preserve"> </w:t>
      </w:r>
      <w:r>
        <w:t xml:space="preserve">SEC-HPLC, size exclusion high performance liquid chromatography; SOP, standard operating</w:t>
      </w:r>
      <w:r>
        <w:t xml:space="preserve"> </w:t>
      </w:r>
      <w:r>
        <w:t xml:space="preserve">procedure; TCID50, fifty percent tissue culture infectious dose; XMuLV, xenotropic murine</w:t>
      </w:r>
      <w:r>
        <w:t xml:space="preserve"> </w:t>
      </w:r>
      <w:r>
        <w:t xml:space="preserve">leukaemia virus.</w:t>
      </w:r>
    </w:p>
    <w:p>
      <w:r>
        <w:br w:type="page"/>
      </w:r>
    </w:p>
    <w:bookmarkEnd w:id="11"/>
    <w:bookmarkStart w:id="12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Low-pH viral inactivation is the hold step that follows Protein A capture in the A-Mab</w:t>
      </w:r>
      <w:r>
        <w:t xml:space="preserve"> </w:t>
      </w:r>
      <w:r>
        <w:t xml:space="preserve">purification train. The step brings the Protein A eluate to acid pH, holds it there for a</w:t>
      </w:r>
      <w:r>
        <w:t xml:space="preserve"> </w:t>
      </w:r>
      <w:r>
        <w:t xml:space="preserve">defined time and then neutralises it to the condition at which cation exchange is loaded.</w:t>
      </w:r>
      <w:r>
        <w:t xml:space="preserve"> </w:t>
      </w:r>
      <w:r>
        <w:t xml:space="preserve">Acid disrupts the lipid envelope of an enveloped virus and denatures the glycoproteins the</w:t>
      </w:r>
      <w:r>
        <w:t xml:space="preserve"> </w:t>
      </w:r>
      <w:r>
        <w:t xml:space="preserve">virus uses to enter a cell, so a particle that has been held at the inactivation pH stays</w:t>
      </w:r>
      <w:r>
        <w:t xml:space="preserve"> </w:t>
      </w:r>
      <w:r>
        <w:t xml:space="preserve">in the pool and can no longer infect. The step is one of three orthogonal steps that</w:t>
      </w:r>
      <w:r>
        <w:t xml:space="preserve"> </w:t>
      </w:r>
      <w:r>
        <w:t xml:space="preserve">together carry the enveloped virus safety claim for the drug substance.</w:t>
      </w:r>
    </w:p>
    <w:p>
      <w:pPr>
        <w:pStyle w:val="BodyText"/>
      </w:pPr>
      <w:r>
        <w:t xml:space="preserve">This plan describes the studies that will characterize the step for commercial</w:t>
      </w:r>
      <w:r>
        <w:t xml:space="preserve"> </w:t>
      </w:r>
      <w:r>
        <w:t xml:space="preserve">manufacture at 15,000 L, and it fixes the acceptance</w:t>
      </w:r>
      <w:r>
        <w:t xml:space="preserve"> </w:t>
      </w:r>
      <w:r>
        <w:t xml:space="preserve">and decision criteria before any of the data exist. The studies will be executed on a</w:t>
      </w:r>
      <w:r>
        <w:t xml:space="preserve"> </w:t>
      </w:r>
      <w:r>
        <w:t xml:space="preserve">qualified scale-down model of the commercial hold. Their conclusions will be applied to</w:t>
      </w:r>
      <w:r>
        <w:t xml:space="preserve"> </w:t>
      </w:r>
      <w:r>
        <w:t xml:space="preserve">the commercial step only to the extent that the qualification described in</w:t>
      </w:r>
      <w:r>
        <w:t xml:space="preserve"> 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supports, and that limit is stated again with each claim the report makes.</w:t>
      </w:r>
    </w:p>
    <w:p>
      <w:pPr>
        <w:pStyle w:val="BodyText"/>
      </w:pPr>
      <w:r>
        <w:t xml:space="preserve">The scope of the plan is the acidification of the Protein A eluate, the hold itself and</w:t>
      </w:r>
      <w:r>
        <w:t xml:space="preserve"> </w:t>
      </w:r>
      <w:r>
        <w:t xml:space="preserve">the neutralisation that ends it. 4 process parameters are in scope, of</w:t>
      </w:r>
      <w:r>
        <w:t xml:space="preserve"> </w:t>
      </w:r>
      <w:r>
        <w:t xml:space="preserve">which 3 will be varied together in designed experiments and</w:t>
      </w:r>
      <w:r>
        <w:t xml:space="preserve"> </w:t>
      </w:r>
      <w:r>
        <w:t xml:space="preserve">1 will be assessed one factor at a time.</w:t>
      </w:r>
      <w:r>
        <w:t xml:space="preserve"> </w:t>
      </w:r>
      <w:hyperlink w:anchor="sec-risk">
        <w:r>
          <w:rPr>
            <w:rStyle w:val="Hyperlink"/>
          </w:rPr>
          <w:t xml:space="preserve">Section 4.3</w:t>
        </w:r>
      </w:hyperlink>
      <w:r>
        <w:t xml:space="preserve"> </w:t>
      </w:r>
      <w:r>
        <w:t xml:space="preserve">gives the basis for that</w:t>
      </w:r>
      <w:r>
        <w:t xml:space="preserve"> </w:t>
      </w:r>
      <w:r>
        <w:t xml:space="preserve">split. 3 responses will be measured on every run, one for the viral safety</w:t>
      </w:r>
      <w:r>
        <w:t xml:space="preserve"> </w:t>
      </w:r>
      <w:r>
        <w:t xml:space="preserve">claim and two for product quality, and they are listed with their acceptance criteria in</w:t>
      </w:r>
      <w:r>
        <w:t xml:space="preserve"> </w:t>
      </w:r>
      <w:hyperlink w:anchor="tbl-acc">
        <w:r>
          <w:rPr>
            <w:rStyle w:val="Hyperlink"/>
          </w:rPr>
          <w:t xml:space="preserve">Table 9</w:t>
        </w:r>
      </w:hyperlink>
      <w:r>
        <w:t xml:space="preserve">.</w:t>
      </w:r>
    </w:p>
    <w:p>
      <w:pPr>
        <w:pStyle w:val="BodyText"/>
      </w:pPr>
      <w:r>
        <w:t xml:space="preserve">Three things sit outside the scope of this plan. The step makes no clearance claim for</w:t>
      </w:r>
      <w:r>
        <w:t xml:space="preserve"> </w:t>
      </w:r>
      <w:r>
        <w:t xml:space="preserve">host cell protein, DNA or leached Protein A, and the studies described here do not measure</w:t>
      </w:r>
      <w:r>
        <w:t xml:space="preserve"> </w:t>
      </w:r>
      <w:r>
        <w:t xml:space="preserve">them. The virus clearance of the anion exchange and virus filtration steps is characterized</w:t>
      </w:r>
      <w:r>
        <w:t xml:space="preserve"> </w:t>
      </w:r>
      <w:r>
        <w:t xml:space="preserve">in their own plans and reports, and the cumulative claim over the whole train is</w:t>
      </w:r>
      <w:r>
        <w:t xml:space="preserve"> </w:t>
      </w:r>
      <w:r>
        <w:t xml:space="preserve">consolidated in PCMR-001. The commercial equipment qualification and the process</w:t>
      </w:r>
      <w:r>
        <w:t xml:space="preserve"> </w:t>
      </w:r>
      <w:r>
        <w:t xml:space="preserve">performance qualification runs are covered by PTP-001 and are not repeated here.</w:t>
      </w:r>
    </w:p>
    <w:bookmarkEnd w:id="12"/>
    <w:bookmarkStart w:id="13" w:name="sec-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studies described in this plan have five objectives.</w:t>
      </w:r>
    </w:p>
    <w:p>
      <w:pPr>
        <w:numPr>
          <w:ilvl w:val="0"/>
          <w:numId w:val="1001"/>
        </w:numPr>
      </w:pPr>
      <w:r>
        <w:t xml:space="preserve">To qualify a scale-down model of the commercial hold, and to show that it reproduces</w:t>
      </w:r>
      <w:r>
        <w:t xml:space="preserve"> </w:t>
      </w:r>
      <w:r>
        <w:t xml:space="preserve">the pH, the temperature and the hold time of the commercial step closely enough for</w:t>
      </w:r>
      <w:r>
        <w:t xml:space="preserve"> </w:t>
      </w:r>
      <w:r>
        <w:t xml:space="preserve">its results to be applied to that step.</w:t>
      </w:r>
    </w:p>
    <w:p>
      <w:pPr>
        <w:numPr>
          <w:ilvl w:val="0"/>
          <w:numId w:val="1001"/>
        </w:numPr>
      </w:pPr>
      <w:r>
        <w:t xml:space="preserve">To measure the effect of inactivation pH, hold time and temperature on the log</w:t>
      </w:r>
      <w:r>
        <w:t xml:space="preserve"> </w:t>
      </w:r>
      <w:r>
        <w:t xml:space="preserve">reduction of XMuLV, on the aggregate content of the neutralised pool and on the</w:t>
      </w:r>
      <w:r>
        <w:t xml:space="preserve"> </w:t>
      </w:r>
      <w:r>
        <w:t xml:space="preserve">acidic charge variant content, over ranges deliberately wider than the normal</w:t>
      </w:r>
      <w:r>
        <w:t xml:space="preserve"> </w:t>
      </w:r>
      <w:r>
        <w:t xml:space="preserve">operating ranges.</w:t>
      </w:r>
    </w:p>
    <w:p>
      <w:pPr>
        <w:numPr>
          <w:ilvl w:val="0"/>
          <w:numId w:val="1001"/>
        </w:numPr>
      </w:pPr>
      <w:r>
        <w:t xml:space="preserve">To fit a response-surface model to each of the 3 responses over the</w:t>
      </w:r>
      <w:r>
        <w:t xml:space="preserve"> </w:t>
      </w:r>
      <w:r>
        <w:t xml:space="preserve">characterized region, and to establish the region within which every acceptance</w:t>
      </w:r>
      <w:r>
        <w:t xml:space="preserve"> </w:t>
      </w:r>
      <w:r>
        <w:t xml:space="preserve">criterion in</w:t>
      </w:r>
      <w:r>
        <w:t xml:space="preserve"> </w:t>
      </w:r>
      <w:hyperlink w:anchor="tbl-acc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met at the same time.</w:t>
      </w:r>
    </w:p>
    <w:p>
      <w:pPr>
        <w:numPr>
          <w:ilvl w:val="0"/>
          <w:numId w:val="1001"/>
        </w:numPr>
      </w:pPr>
      <w:r>
        <w:t xml:space="preserve">To determine a proven acceptable range for each parameter against those criteria, by</w:t>
      </w:r>
      <w:r>
        <w:t xml:space="preserve"> </w:t>
      </w:r>
      <w:r>
        <w:t xml:space="preserve">the two analyses set out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To provide the parameter classification and the step contribution to the modular</w:t>
      </w:r>
      <w:r>
        <w:t xml:space="preserve"> </w:t>
      </w:r>
      <w:r>
        <w:t xml:space="preserve">enveloped virus clearance claim that the control strategy needs, for consolidation in</w:t>
      </w:r>
      <w:r>
        <w:t xml:space="preserve"> </w:t>
      </w:r>
      <w:r>
        <w:t xml:space="preserve">PCMR-001.</w:t>
      </w:r>
    </w:p>
    <w:p>
      <w:pPr>
        <w:pStyle w:val="FirstParagraph"/>
      </w:pPr>
      <w:r>
        <w:t xml:space="preserve">Objectives (i) to (iii) are met by the executed study. Objectives (iv) and (v) are met by</w:t>
      </w:r>
      <w:r>
        <w:t xml:space="preserve"> </w:t>
      </w:r>
      <w:r>
        <w:t xml:space="preserve">the analysis of that study, and the rules for both are fixed in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so that they are not chosen after the results are seen.</w:t>
      </w:r>
    </w:p>
    <w:bookmarkEnd w:id="13"/>
    <w:bookmarkStart w:id="16" w:name="sec-related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written under the master plan for the characterization campaign and against</w:t>
      </w:r>
      <w:r>
        <w:t xml:space="preserve"> </w:t>
      </w:r>
      <w:r>
        <w:t xml:space="preserve">the risk assessment that scoped it. The documents it depends on, and the report that will</w:t>
      </w:r>
      <w:r>
        <w:t xml:space="preserve"> </w:t>
      </w:r>
      <w:r>
        <w:t xml:space="preserve">carry its results, are listed in</w:t>
      </w:r>
      <w:r>
        <w:t xml:space="preserve"> </w:t>
      </w:r>
      <w:hyperlink w:anchor="tbl-rel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Documents related to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that govern the execution and the analysis of the studies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SOP-2009 governs the operation of the step at both scales, SOP-1001 governs the</w:t>
      </w:r>
      <w:r>
        <w:t xml:space="preserve"> </w:t>
      </w:r>
      <w:r>
        <w:t xml:space="preserve">qualification of the scale-down model, SOP-1002 governs the design and the statistical</w:t>
      </w:r>
      <w:r>
        <w:t xml:space="preserve"> </w:t>
      </w:r>
      <w:r>
        <w:t xml:space="preserve">analysis of the designed experiments, and SOP-4001 governs the classification of the</w:t>
      </w:r>
      <w:r>
        <w:t xml:space="preserve"> </w:t>
      </w:r>
      <w:r>
        <w:t xml:space="preserve">parameters once the results are available. The analytical methods are listed separately in</w:t>
      </w:r>
      <w:r>
        <w:t xml:space="preserve"> </w:t>
      </w:r>
      <w:hyperlink w:anchor="sec-analytical">
        <w:r>
          <w:rPr>
            <w:rStyle w:val="Hyperlink"/>
          </w:rPr>
          <w:t xml:space="preserve">Section 5.3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governing this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sec-prior"/>
    <w:p>
      <w:pPr>
        <w:pStyle w:val="Heading1"/>
      </w:pPr>
      <w:r>
        <w:t xml:space="preserve">4. Prior knowledge and quality risk basis</w:t>
      </w:r>
    </w:p>
    <w:bookmarkStart w:id="17" w:name="sec-uo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receives the Protein A eluate, which is already at acid pH from the elution</w:t>
      </w:r>
      <w:r>
        <w:t xml:space="preserve"> </w:t>
      </w:r>
      <w:r>
        <w:t xml:space="preserve">buffer. Acid is added to bring the pool to the inactivation pH, the pool is held at</w:t>
      </w:r>
      <w:r>
        <w:t xml:space="preserve"> </w:t>
      </w:r>
      <w:r>
        <w:t xml:space="preserve">controlled temperature for the hold time, and base is then added to neutralise it for</w:t>
      </w:r>
      <w:r>
        <w:t xml:space="preserve"> </w:t>
      </w:r>
      <w:r>
        <w:t xml:space="preserve">cation exchange. Inactivation of an enveloped virus under these conditions follows</w:t>
      </w:r>
      <w:r>
        <w:t xml:space="preserve"> </w:t>
      </w:r>
      <w:r>
        <w:t xml:space="preserve">first-order kinetics. The rate constant rises as the pH falls and as the temperature</w:t>
      </w:r>
      <w:r>
        <w:t xml:space="preserve"> </w:t>
      </w:r>
      <w:r>
        <w:t xml:space="preserve">rises, and the hold time integrates that rate, so the log reduction achieved by the step</w:t>
      </w:r>
      <w:r>
        <w:t xml:space="preserve"> </w:t>
      </w:r>
      <w:r>
        <w:t xml:space="preserve">is set by the three parameters together.</w:t>
      </w:r>
    </w:p>
    <w:p>
      <w:pPr>
        <w:pStyle w:val="BodyText"/>
      </w:pPr>
      <w:r>
        <w:t xml:space="preserve">The acid of the hold partially unfolds the antibody as well. At acid pH the molecule</w:t>
      </w:r>
      <w:r>
        <w:t xml:space="preserve"> </w:t>
      </w:r>
      <w:r>
        <w:t xml:space="preserve">carries a large net positive charge and the second constant domain of its heavy chain</w:t>
      </w:r>
      <w:r>
        <w:t xml:space="preserve"> </w:t>
      </w:r>
      <w:r>
        <w:t xml:space="preserve">loses its folded structure, which exposes hydrophobic surface. Molecules in that state</w:t>
      </w:r>
      <w:r>
        <w:t xml:space="preserve"> </w:t>
      </w:r>
      <w:r>
        <w:t xml:space="preserve">associate, and the association continues for as long as they are held at low pH and</w:t>
      </w:r>
      <w:r>
        <w:t xml:space="preserve"> </w:t>
      </w:r>
      <w:r>
        <w:t xml:space="preserve">proceeds faster when they are warmer or more concentrated. Aggregate formed during the</w:t>
      </w:r>
      <w:r>
        <w:t xml:space="preserve"> </w:t>
      </w:r>
      <w:r>
        <w:t xml:space="preserve">hold is carried into cation exchange,</w:t>
      </w:r>
      <w:r>
        <w:t xml:space="preserve"> </w:t>
      </w:r>
      <w:r>
        <w:t xml:space="preserve">which is the step that removes it. Time at low pH can also add acidic species through</w:t>
      </w:r>
      <w:r>
        <w:t xml:space="preserve"> </w:t>
      </w:r>
      <w:r>
        <w:t xml:space="preserve">acid-catalysed reactions at labile residues, including succinimide formation and</w:t>
      </w:r>
      <w:r>
        <w:t xml:space="preserve"> </w:t>
      </w:r>
      <w:r>
        <w:t xml:space="preserve">hydrolysis.</w:t>
      </w:r>
    </w:p>
    <w:p>
      <w:pPr>
        <w:pStyle w:val="BodyText"/>
      </w:pPr>
      <w:r>
        <w:t xml:space="preserve">The low-pH hold is a platform step. It has been used for three previously licensed</w:t>
      </w:r>
      <w:r>
        <w:t xml:space="preserve"> </w:t>
      </w:r>
      <w:r>
        <w:t xml:space="preserve">Novacyte antibodies (X-Mab, Y-Mab and Z-Mab) and its conditions have remained essentially</w:t>
      </w:r>
      <w:r>
        <w:t xml:space="preserve"> </w:t>
      </w:r>
      <w:r>
        <w:t xml:space="preserve">unchanged across those products and through A-Mab development</w:t>
      </w:r>
      <w:r>
        <w:t xml:space="preserve"> </w:t>
      </w:r>
      <w:r>
        <w:t xml:space="preserve">(CMC Biotech Working Group 2009)</w:t>
      </w:r>
      <w:r>
        <w:t xml:space="preserve">. The mechanism</w:t>
      </w:r>
      <w:r>
        <w:t xml:space="preserve"> </w:t>
      </w:r>
      <w:r>
        <w:t xml:space="preserve">of inactivation does not depend on the antibody, and the platform experience therefore</w:t>
      </w:r>
      <w:r>
        <w:t xml:space="preserve"> </w:t>
      </w:r>
      <w:r>
        <w:t xml:space="preserve">transfers to A-Mab directly. Characterization is required nonetheless, because the log</w:t>
      </w:r>
      <w:r>
        <w:t xml:space="preserve"> </w:t>
      </w:r>
      <w:r>
        <w:t xml:space="preserve">reduction credited to the step enters a cumulative viral safety claim and the claim must</w:t>
      </w:r>
      <w:r>
        <w:t xml:space="preserve"> </w:t>
      </w:r>
      <w:r>
        <w:t xml:space="preserve">be supported by ranges that were themselves demonstrated.</w:t>
      </w:r>
    </w:p>
    <w:p>
      <w:pPr>
        <w:pStyle w:val="BodyText"/>
      </w:pPr>
      <w:r>
        <w:t xml:space="preserve">Antibody precipitation has been observed at pH below the low end of the range to be</w:t>
      </w:r>
      <w:r>
        <w:t xml:space="preserve"> </w:t>
      </w:r>
      <w:r>
        <w:t xml:space="preserve">studied, so the low pH edge of the study is placed where the pool remains soluble.</w:t>
      </w:r>
      <w:r>
        <w:t xml:space="preserve"> </w:t>
      </w:r>
      <w:r>
        <w:t xml:space="preserve">The hold is operated near ambient temperature in a suite that does not control temperature</w:t>
      </w:r>
      <w:r>
        <w:t xml:space="preserve"> </w:t>
      </w:r>
      <w:r>
        <w:t xml:space="preserve">tightly, so the temperature range studied is wider than the range the suite is expected to</w:t>
      </w:r>
      <w:r>
        <w:t xml:space="preserve"> </w:t>
      </w:r>
      <w:r>
        <w:t xml:space="preserve">deliver.</w:t>
      </w:r>
    </w:p>
    <w:bookmarkEnd w:id="17"/>
    <w:bookmarkStart w:id="19" w:name="sec-cqa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hold inactivates XMuLV, the enveloped model virus whose clearance is the one critical</w:t>
      </w:r>
      <w:r>
        <w:t xml:space="preserve"> </w:t>
      </w:r>
      <w:r>
        <w:t xml:space="preserve">quality attribute this step delivers. It also raises the aggregate content of the pool and</w:t>
      </w:r>
      <w:r>
        <w:t xml:space="preserve"> </w:t>
      </w:r>
      <w:r>
        <w:t xml:space="preserve">adds acidic charge variants to it, and both of those attributes are formed upstream.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all three with the drug substance acceptance criteria and the criticality</w:t>
      </w:r>
      <w:r>
        <w:t xml:space="preserve"> </w:t>
      </w:r>
      <w:r>
        <w:t xml:space="preserve">assigned in RA-001. The Tool #1 column is the score from the risk ranking tool used in</w:t>
      </w:r>
      <w:r>
        <w:t xml:space="preserve"> </w:t>
      </w:r>
      <w:r>
        <w:t xml:space="preserve">RA-001, which multiplies the severity of the impact an attribute has on safety or efficacy</w:t>
      </w:r>
      <w:r>
        <w:t xml:space="preserve"> </w:t>
      </w:r>
      <w:r>
        <w:t xml:space="preserve">by the uncertainty in that assessment. The score does not order the attributes by</w:t>
      </w:r>
      <w:r>
        <w:t xml:space="preserve"> </w:t>
      </w:r>
      <w:r>
        <w:t xml:space="preserve">criticality.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the viral clearance attribute is graded very high on a score</w:t>
      </w:r>
      <w:r>
        <w:t xml:space="preserve"> </w:t>
      </w:r>
      <w:r>
        <w:t xml:space="preserve">below that of aggregate, which is graded high. A low score can mean that the relationship</w:t>
      </w:r>
      <w:r>
        <w:t xml:space="preserve"> </w:t>
      </w:r>
      <w:r>
        <w:t xml:space="preserve">between the attribute and its clinical effect is well understood rather than that the</w:t>
      </w:r>
      <w:r>
        <w:t xml:space="preserve"> </w:t>
      </w:r>
      <w:r>
        <w:t xml:space="preserve">attribute matters little, and the criticality grade is the assignment this plan refers</w:t>
      </w:r>
      <w:r>
        <w:t xml:space="preserve"> </w:t>
      </w:r>
      <w:r>
        <w:t xml:space="preserve">to.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in scope for this step, with drug substance acceptance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XMuLV criterion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cumulative over the whole purification train. Low-pH</w:t>
      </w:r>
      <w:r>
        <w:t xml:space="preserve"> </w:t>
      </w:r>
      <w:r>
        <w:t xml:space="preserve">inactivation, anion exchange and virus filtration each contribute an independent log</w:t>
      </w:r>
      <w:r>
        <w:t xml:space="preserve"> </w:t>
      </w:r>
      <w:r>
        <w:t xml:space="preserve">reduction, and the modular claim is the sum of the three</w:t>
      </w:r>
      <w:r>
        <w:t xml:space="preserve"> </w:t>
      </w:r>
      <w:r>
        <w:t xml:space="preserve">(International Council for Harmonisation 2023)</w:t>
      </w:r>
      <w:r>
        <w:t xml:space="preserve">. The criterion that</w:t>
      </w:r>
      <w:r>
        <w:t xml:space="preserve"> </w:t>
      </w:r>
      <w:r>
        <w:t xml:space="preserve">applies to this step alone is therefore not the cumulative figure but the contribution the</w:t>
      </w:r>
      <w:r>
        <w:t xml:space="preserve"> </w:t>
      </w:r>
      <w:r>
        <w:t xml:space="preserve">step must deliver for the cumulative figure to hold, and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states how that</w:t>
      </w:r>
      <w:r>
        <w:t xml:space="preserve"> </w:t>
      </w:r>
      <w:r>
        <w:t xml:space="preserve">contribution is derived.</w:t>
      </w:r>
    </w:p>
    <w:p>
      <w:pPr>
        <w:pStyle w:val="BodyText"/>
      </w:pPr>
      <w:r>
        <w:t xml:space="preserve">Aggregate is a high criticality attribute that this step adds to rather than removes. The</w:t>
      </w:r>
      <w:r>
        <w:t xml:space="preserve"> </w:t>
      </w:r>
      <w:r>
        <w:t xml:space="preserve">hold hands its aggregate content on to cation exchange, which is the polishing step that</w:t>
      </w:r>
      <w:r>
        <w:t xml:space="preserve"> </w:t>
      </w:r>
      <w:r>
        <w:t xml:space="preserve">reduces it, so the criterion that applies here is an in-process limit rather than the drug</w:t>
      </w:r>
      <w:r>
        <w:t xml:space="preserve"> </w:t>
      </w:r>
      <w:r>
        <w:t xml:space="preserve">substance specification of 5 %. Acidic charge variants are of very</w:t>
      </w:r>
      <w:r>
        <w:t xml:space="preserve"> </w:t>
      </w:r>
      <w:r>
        <w:t xml:space="preserve">low criticality and are formed mainly in the production bioreactor. They are measured</w:t>
      </w:r>
      <w:r>
        <w:t xml:space="preserve"> </w:t>
      </w:r>
      <w:r>
        <w:t xml:space="preserve">across the hold because acid-catalysed deamidation is mechanistically plausible over the</w:t>
      </w:r>
      <w:r>
        <w:t xml:space="preserve"> </w:t>
      </w:r>
      <w:r>
        <w:t xml:space="preserve">times studied, and the study will show whether the addition is large enough to matter.</w:t>
      </w:r>
    </w:p>
    <w:bookmarkEnd w:id="19"/>
    <w:bookmarkStart w:id="20" w:name="sec-risk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every parameter of this step for its potential impact on the attributes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and for its potential to interact with the other parameters. The ranking placed</w:t>
      </w:r>
      <w:r>
        <w:t xml:space="preserve"> </w:t>
      </w:r>
      <w:r>
        <w:t xml:space="preserve">inactivation pH, hold time and temperature in the group warranting multivariate</w:t>
      </w:r>
      <w:r>
        <w:t xml:space="preserve"> </w:t>
      </w:r>
      <w:r>
        <w:t xml:space="preserve">evaluation, and A-Mab concentration in the group whose range can be supported by a</w:t>
      </w:r>
      <w:r>
        <w:t xml:space="preserve"> </w:t>
      </w:r>
      <w:r>
        <w:t xml:space="preserve">univariate study.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outcome as the study type of each parameter.</w:t>
      </w:r>
    </w:p>
    <w:p>
      <w:pPr>
        <w:pStyle w:val="BodyText"/>
      </w:pPr>
      <w:r>
        <w:t xml:space="preserve">Inactivation pH was ranked highest because the inactivation rate depends on it most</w:t>
      </w:r>
      <w:r>
        <w:t xml:space="preserve"> </w:t>
      </w:r>
      <w:r>
        <w:t xml:space="preserve">steeply of the three, and because the same acid conditions set how far the antibody is</w:t>
      </w:r>
      <w:r>
        <w:t xml:space="preserve"> </w:t>
      </w:r>
      <w:r>
        <w:t xml:space="preserve">unfolded and therefore how fast aggregate forms during the hold. A change in pH therefore moves</w:t>
      </w:r>
      <w:r>
        <w:t xml:space="preserve"> </w:t>
      </w:r>
      <w:r>
        <w:t xml:space="preserve">the inactivation rate of the virus and the rate at which the antibody associates in the same</w:t>
      </w:r>
      <w:r>
        <w:t xml:space="preserve"> </w:t>
      </w:r>
      <w:r>
        <w:t xml:space="preserve">stroke, and the control range of the parameter is narrow because both rates change steeply</w:t>
      </w:r>
      <w:r>
        <w:t xml:space="preserve"> </w:t>
      </w:r>
      <w:r>
        <w:t xml:space="preserve">across it. Hold time and temperature were ranked with it because a longer hold and a</w:t>
      </w:r>
      <w:r>
        <w:t xml:space="preserve"> </w:t>
      </w:r>
      <w:r>
        <w:t xml:space="preserve">warmer hold each raise the log reduction of XMuLV and the aggregate content of the pool</w:t>
      </w:r>
      <w:r>
        <w:t xml:space="preserve"> </w:t>
      </w:r>
      <w:r>
        <w:t xml:space="preserve">together. They were also ranked with it because hold time integrates a rate constant that</w:t>
      </w:r>
      <w:r>
        <w:t xml:space="preserve"> </w:t>
      </w:r>
      <w:r>
        <w:t xml:space="preserve">pH and temperature both set, so a longer hold at a lower pH gives a larger log reduction</w:t>
      </w:r>
      <w:r>
        <w:t xml:space="preserve"> </w:t>
      </w:r>
      <w:r>
        <w:t xml:space="preserve">than either change alone would predict from its main effect.</w:t>
      </w:r>
    </w:p>
    <w:p>
      <w:pPr>
        <w:pStyle w:val="BodyText"/>
      </w:pPr>
      <w:r>
        <w:t xml:space="preserve">A-Mab concentration was ranked lower and was assigned to a univariate study. Association</w:t>
      </w:r>
      <w:r>
        <w:t xml:space="preserve"> </w:t>
      </w:r>
      <w:r>
        <w:t xml:space="preserve">is a bimolecular event, so a more concentrated pool aggregates faster, but the</w:t>
      </w:r>
      <w:r>
        <w:t xml:space="preserve"> </w:t>
      </w:r>
      <w:r>
        <w:t xml:space="preserve">concentration of the pool has no part in the inactivation chemistry. Concentration is also</w:t>
      </w:r>
      <w:r>
        <w:t xml:space="preserve"> </w:t>
      </w:r>
      <w:r>
        <w:t xml:space="preserve">a property of the Protein A eluate rather than a parameter the operator sets, so its range</w:t>
      </w:r>
      <w:r>
        <w:t xml:space="preserve"> </w:t>
      </w:r>
      <w:r>
        <w:t xml:space="preserve">is set by the capture step and is wide. A univariate scan across that range is sufficient</w:t>
      </w:r>
      <w:r>
        <w:t xml:space="preserve"> </w:t>
      </w:r>
      <w:r>
        <w:t xml:space="preserve">to bound its effect on the two product quality responses.</w:t>
      </w:r>
    </w:p>
    <w:bookmarkEnd w:id="20"/>
    <w:bookmarkEnd w:id="21"/>
    <w:bookmarkStart w:id="29" w:name="sec-methods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in bench-scale hold vessels operated under the same principles as</w:t>
      </w:r>
      <w:r>
        <w:t xml:space="preserve"> </w:t>
      </w:r>
      <w:r>
        <w:t xml:space="preserve">the commercial hold. The model will match the commercial step in the pH the pool is</w:t>
      </w:r>
      <w:r>
        <w:t xml:space="preserve"> </w:t>
      </w:r>
      <w:r>
        <w:t xml:space="preserve">titrated to, the temperature it is held at and the time it is held for, because a lower pH</w:t>
      </w:r>
      <w:r>
        <w:t xml:space="preserve"> </w:t>
      </w:r>
      <w:r>
        <w:t xml:space="preserve">and a warmer hold raise both the rate at which the viral envelope is disrupted and the</w:t>
      </w:r>
      <w:r>
        <w:t xml:space="preserve"> </w:t>
      </w:r>
      <w:r>
        <w:t xml:space="preserve">rate at which the antibody associates, and the hold time integrates both rates. It will</w:t>
      </w:r>
      <w:r>
        <w:t xml:space="preserve"> </w:t>
      </w:r>
      <w:r>
        <w:t xml:space="preserve">also match the commercial step in the titration scheme, the mixing regime during acid and</w:t>
      </w:r>
      <w:r>
        <w:t xml:space="preserve"> </w:t>
      </w:r>
      <w:r>
        <w:t xml:space="preserve">base addition and the material of the wetted</w:t>
      </w:r>
      <w:r>
        <w:t xml:space="preserve"> </w:t>
      </w:r>
      <w:r>
        <w:t xml:space="preserve">surfaces. Volume is the scale-dependent quantity and is not matched. The ratio of surface</w:t>
      </w:r>
      <w:r>
        <w:t xml:space="preserve"> </w:t>
      </w:r>
      <w:r>
        <w:t xml:space="preserve">to volume differs between the vessels, and the qualification is what establishes that the</w:t>
      </w:r>
      <w:r>
        <w:t xml:space="preserve"> </w:t>
      </w:r>
      <w:r>
        <w:t xml:space="preserve">difference does not change the responses.</w:t>
      </w:r>
    </w:p>
    <w:p>
      <w:pPr>
        <w:pStyle w:val="BodyText"/>
      </w:pPr>
      <w:r>
        <w:t xml:space="preserve">Qualification will follow SOP-1001 and will be executed before the characterization runs</w:t>
      </w:r>
      <w:r>
        <w:t xml:space="preserve"> </w:t>
      </w:r>
      <w:r>
        <w:t xml:space="preserve">begin. Replicate scale-down runs will be performed at the set-point conditions on a single</w:t>
      </w:r>
      <w:r>
        <w:t xml:space="preserve"> </w:t>
      </w:r>
      <w:r>
        <w:t xml:space="preserve">Protein A pool, and their results will be compared with the results of commercial-scale</w:t>
      </w:r>
      <w:r>
        <w:t xml:space="preserve"> </w:t>
      </w:r>
      <w:r>
        <w:t xml:space="preserve">runs on comparable material. The comparison will cover the log reduction of XMuLV, the</w:t>
      </w:r>
      <w:r>
        <w:t xml:space="preserve"> </w:t>
      </w:r>
      <w:r>
        <w:t xml:space="preserve">aggregate content of the neutralised pool, the acidic charge variant content and the pH</w:t>
      </w:r>
      <w:r>
        <w:t xml:space="preserve"> </w:t>
      </w:r>
      <w:r>
        <w:t xml:space="preserve">and temperature actually achieved during the hold. The model will be accepted as</w:t>
      </w:r>
      <w:r>
        <w:t xml:space="preserve"> </w:t>
      </w:r>
      <w:r>
        <w:t xml:space="preserve">representative when no statistically significant difference is found between scales at</w:t>
      </w:r>
      <w:r>
        <w:t xml:space="preserve"> </w:t>
      </w:r>
      <w:r>
        <w:t xml:space="preserve">α = 0.05 for the three responses, and when the achieved pH and temperature at small scale</w:t>
      </w:r>
      <w:r>
        <w:t xml:space="preserve"> </w:t>
      </w:r>
      <w:r>
        <w:t xml:space="preserve">lie within the tolerance the commercial step is controlled to.</w:t>
      </w:r>
    </w:p>
    <w:p>
      <w:pPr>
        <w:pStyle w:val="BodyText"/>
      </w:pPr>
      <w:r>
        <w:t xml:space="preserve">Failure of any of those comparisons would stop the study. In that event the cause should</w:t>
      </w:r>
      <w:r>
        <w:t xml:space="preserve"> </w:t>
      </w:r>
      <w:r>
        <w:t xml:space="preserve">be investigated and the model modified before the characterization runs are executed, and</w:t>
      </w:r>
      <w:r>
        <w:t xml:space="preserve"> </w:t>
      </w:r>
      <w:r>
        <w:t xml:space="preserve">the modification and its requalification would be reported in PCR-006. Results from an</w:t>
      </w:r>
      <w:r>
        <w:t xml:space="preserve"> </w:t>
      </w:r>
      <w:r>
        <w:t xml:space="preserve">unqualified model will not be used to support a range.</w:t>
      </w:r>
    </w:p>
    <w:bookmarkEnd w:id="22"/>
    <w:bookmarkStart w:id="23" w:name="sec-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Each run will be executed on material from a single Protein A eluate pool, so that the</w:t>
      </w:r>
      <w:r>
        <w:t xml:space="preserve"> </w:t>
      </w:r>
      <w:r>
        <w:t xml:space="preserve">input to every design point is the same. The pool will be characterized before the study</w:t>
      </w:r>
      <w:r>
        <w:t xml:space="preserve"> </w:t>
      </w:r>
      <w:r>
        <w:t xml:space="preserve">for aggregate content, acidic charge variant content and A-Mab concentration, and those</w:t>
      </w:r>
      <w:r>
        <w:t xml:space="preserve"> </w:t>
      </w:r>
      <w:r>
        <w:t xml:space="preserve">values will be reported as the input condition of the study.</w:t>
      </w:r>
    </w:p>
    <w:p>
      <w:pPr>
        <w:pStyle w:val="BodyText"/>
      </w:pPr>
      <w:r>
        <w:t xml:space="preserve">A run begins with the addition of acid to the pool under mixing until the target</w:t>
      </w:r>
      <w:r>
        <w:t xml:space="preserve"> </w:t>
      </w:r>
      <w:r>
        <w:t xml:space="preserve">inactivation pH is reached and stable. The vessel is then held at the target temperature</w:t>
      </w:r>
      <w:r>
        <w:t xml:space="preserve"> </w:t>
      </w:r>
      <w:r>
        <w:t xml:space="preserve">for the target hold time, with pH and temperature recorded throughout. At the end of the</w:t>
      </w:r>
      <w:r>
        <w:t xml:space="preserve"> </w:t>
      </w:r>
      <w:r>
        <w:t xml:space="preserve">hold, base is added under mixing to bring the pool to the cation exchange load pH, and the</w:t>
      </w:r>
      <w:r>
        <w:t xml:space="preserve"> </w:t>
      </w:r>
      <w:r>
        <w:t xml:space="preserve">neutralised pool is filtered. The recorded pH and temperature traces will be reported with</w:t>
      </w:r>
      <w:r>
        <w:t xml:space="preserve"> </w:t>
      </w:r>
      <w:r>
        <w:t xml:space="preserve">the results, because the parameter values that enter the model are the achieved values and</w:t>
      </w:r>
      <w:r>
        <w:t xml:space="preserve"> </w:t>
      </w:r>
      <w:r>
        <w:t xml:space="preserve">not the targets.</w:t>
      </w:r>
    </w:p>
    <w:p>
      <w:pPr>
        <w:pStyle w:val="BodyText"/>
      </w:pPr>
      <w:r>
        <w:t xml:space="preserve">The clearance runs will be spiked with XMuLV. The spike will be added to the pool after</w:t>
      </w:r>
      <w:r>
        <w:t xml:space="preserve"> </w:t>
      </w:r>
      <w:r>
        <w:t xml:space="preserve">acidification and before the hold begins, at the volume ratio fixed in SOP-2009, which is</w:t>
      </w:r>
      <w:r>
        <w:t xml:space="preserve"> </w:t>
      </w:r>
      <w:r>
        <w:t xml:space="preserve">small enough that it does not change the pH or the antibody concentration of the hold. A</w:t>
      </w:r>
      <w:r>
        <w:t xml:space="preserve"> </w:t>
      </w:r>
      <w:r>
        <w:t xml:space="preserve">sample of the spiked pool will be taken at the start of the hold to establish the input</w:t>
      </w:r>
      <w:r>
        <w:t xml:space="preserve"> </w:t>
      </w:r>
      <w:r>
        <w:t xml:space="preserve">titre. Runs will be executed in randomized order within each design, and the operator, the</w:t>
      </w:r>
      <w:r>
        <w:t xml:space="preserve"> </w:t>
      </w:r>
      <w:r>
        <w:t xml:space="preserve">pool lot and the analytical sequence will be recorded for each run.</w:t>
      </w:r>
    </w:p>
    <w:bookmarkEnd w:id="23"/>
    <w:bookmarkStart w:id="25" w:name="sec-analytical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three responses will be measured by the validated methods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. XMuLV</w:t>
      </w:r>
      <w:r>
        <w:t xml:space="preserve"> </w:t>
      </w:r>
      <w:r>
        <w:t xml:space="preserve">infectivity will be determined by TCID50 under AMV-3017, aggregate content by SEC-HPLC</w:t>
      </w:r>
      <w:r>
        <w:t xml:space="preserve"> </w:t>
      </w:r>
      <w:r>
        <w:t xml:space="preserve">under AMV-3011 and acidic charge variants by icIEF under AMV-3013.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study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log reduction factor for XMuLV will be calculated as the difference between the log10</w:t>
      </w:r>
      <w:r>
        <w:t xml:space="preserve"> </w:t>
      </w:r>
      <w:r>
        <w:t xml:space="preserve">titre of the spiked pool at the start of the hold and the log10 titre of the sample taken</w:t>
      </w:r>
      <w:r>
        <w:t xml:space="preserve"> </w:t>
      </w:r>
      <w:r>
        <w:t xml:space="preserve">at the end of the hold, each corrected for the volume of the fraction assayed. Where the</w:t>
      </w:r>
      <w:r>
        <w:t xml:space="preserve"> </w:t>
      </w:r>
      <w:r>
        <w:t xml:space="preserve">end of hold sample gives no detectable infectivity, the titre will be reported as the</w:t>
      </w:r>
      <w:r>
        <w:t xml:space="preserve"> </w:t>
      </w:r>
      <w:r>
        <w:t xml:space="preserve">limit of detection of the assay and the resulting log reduction will be reported as a</w:t>
      </w:r>
      <w:r>
        <w:t xml:space="preserve"> </w:t>
      </w:r>
      <w:r>
        <w:t xml:space="preserve">greater-than value. A run reported that way constrains the model from below only, and the</w:t>
      </w:r>
      <w:r>
        <w:t xml:space="preserve"> </w:t>
      </w:r>
      <w:r>
        <w:t xml:space="preserve">report will say so where it happens.</w:t>
      </w:r>
    </w:p>
    <w:p>
      <w:pPr>
        <w:pStyle w:val="BodyText"/>
      </w:pPr>
      <w:r>
        <w:t xml:space="preserve">Aggregate and acidic charge variant samples will be drawn after neutralisation, because</w:t>
      </w:r>
      <w:r>
        <w:t xml:space="preserve"> </w:t>
      </w:r>
      <w:r>
        <w:t xml:space="preserve">those are the values the cation exchange step receives. Samples will be assayed within the</w:t>
      </w:r>
      <w:r>
        <w:t xml:space="preserve"> </w:t>
      </w:r>
      <w:r>
        <w:t xml:space="preserve">stability window established for the method, and every analytical sequence will carry a</w:t>
      </w:r>
      <w:r>
        <w:t xml:space="preserve"> </w:t>
      </w:r>
      <w:r>
        <w:t xml:space="preserve">system suitability control and a pool control drawn from the study input material. The</w:t>
      </w:r>
      <w:r>
        <w:t xml:space="preserve"> </w:t>
      </w:r>
      <w:r>
        <w:t xml:space="preserve">pool control is what allows drift between analytical sequences to be separated from an</w:t>
      </w:r>
      <w:r>
        <w:t xml:space="preserve"> </w:t>
      </w:r>
      <w:r>
        <w:t xml:space="preserve">effect of the process parameters.</w:t>
      </w:r>
    </w:p>
    <w:bookmarkEnd w:id="25"/>
    <w:bookmarkStart w:id="27" w:name="sec-sampling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The sampling plan is the same for every design point and is given in</w:t>
      </w:r>
      <w:r>
        <w:t xml:space="preserve"> </w:t>
      </w:r>
      <w:hyperlink w:anchor="tbl-sample">
        <w:r>
          <w:rPr>
            <w:rStyle w:val="Hyperlink"/>
          </w:rPr>
          <w:t xml:space="preserve">Table 6</w:t>
        </w:r>
      </w:hyperlink>
      <w:r>
        <w:t xml:space="preserve">. Three</w:t>
      </w:r>
      <w:r>
        <w:t xml:space="preserve"> </w:t>
      </w:r>
      <w:r>
        <w:t xml:space="preserve">samples are taken from each spiked run and two from each unspiked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Samples taken from each characterization run.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Point in the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Assay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 acidification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Aggregate, acidic variants, concentration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AMV-3011, AMV-3013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Spiked load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After acidification, before the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 of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Neutralised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After neutralisation and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Aggregate, acidic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AMV-3011, AMV-3013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Centre-point runs will be sampled identically to the factorial runs. Their replicate</w:t>
      </w:r>
      <w:r>
        <w:t xml:space="preserve"> </w:t>
      </w:r>
      <w:r>
        <w:t xml:space="preserve">results are the estimate of pure error that the lack-of-fit test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 </w:t>
      </w:r>
      <w:r>
        <w:t xml:space="preserve">depends on,</w:t>
      </w:r>
      <w:r>
        <w:t xml:space="preserve"> </w:t>
      </w:r>
      <w:r>
        <w:t xml:space="preserve">so no centre-point run may be excluded from the analysis for any reason other than a</w:t>
      </w:r>
      <w:r>
        <w:t xml:space="preserve"> </w:t>
      </w:r>
      <w:r>
        <w:t xml:space="preserve">documented execution deviation.</w:t>
      </w:r>
    </w:p>
    <w:bookmarkEnd w:id="27"/>
    <w:bookmarkStart w:id="28" w:name="sec-stat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designs will be analysed on coded factors, where the low edge of the characterization</w:t>
      </w:r>
      <w:r>
        <w:t xml:space="preserve"> </w:t>
      </w:r>
      <w:r>
        <w:t xml:space="preserve">range is −1, the high edge is +1 and the design centre is 0. Coding puts the estimated</w:t>
      </w:r>
      <w:r>
        <w:t xml:space="preserve"> </w:t>
      </w:r>
      <w:r>
        <w:t xml:space="preserve">effects on a common scale, so that an effect measures the change in the response over half</w:t>
      </w:r>
      <w:r>
        <w:t xml:space="preserve"> </w:t>
      </w:r>
      <w:r>
        <w:t xml:space="preserve">the range studied and effects on different parameters can be compared directly.</w:t>
      </w:r>
    </w:p>
    <w:p>
      <w:pPr>
        <w:pStyle w:val="BodyText"/>
      </w:pPr>
      <w:r>
        <w:t xml:space="preserve">The screening design will be analysed by a model containing the main effects and all</w:t>
      </w:r>
      <w:r>
        <w:t xml:space="preserve"> </w:t>
      </w:r>
      <w:r>
        <w:t xml:space="preserve">two-factor interactions, which is 7 terms against 11</w:t>
      </w:r>
      <w:r>
        <w:t xml:space="preserve"> </w:t>
      </w:r>
      <w:r>
        <w:t xml:space="preserve">runs and leaves 4 residual degrees of freedom. Effects will be tested</w:t>
      </w:r>
      <w:r>
        <w:t xml:space="preserve"> </w:t>
      </w:r>
      <w:r>
        <w:t xml:space="preserve">at α = 0.05 and reported with their p-values. The curvature of each response will be</w:t>
      </w:r>
      <w:r>
        <w:t xml:space="preserve"> </w:t>
      </w:r>
      <w:r>
        <w:t xml:space="preserve">tested by comparing the mean of the centre points with the mean of the factorial points.</w:t>
      </w:r>
      <w:r>
        <w:t xml:space="preserve"> </w:t>
      </w:r>
      <w:r>
        <w:t xml:space="preserve">Curvature that is significant at α = 0.05 indicates that a model with quadratic terms is</w:t>
      </w:r>
      <w:r>
        <w:t xml:space="preserve"> </w:t>
      </w:r>
      <w:r>
        <w:t xml:space="preserve">needed, which the response-surface design in</w:t>
      </w:r>
      <w:r>
        <w:t xml:space="preserve"> </w:t>
      </w:r>
      <w:hyperlink w:anchor="sec-rsm">
        <w:r>
          <w:rPr>
            <w:rStyle w:val="Hyperlink"/>
          </w:rPr>
          <w:t xml:space="preserve">Section 6.3</w:t>
        </w:r>
      </w:hyperlink>
      <w:r>
        <w:t xml:space="preserve"> </w:t>
      </w:r>
      <w:r>
        <w:t xml:space="preserve">provides.</w:t>
      </w:r>
    </w:p>
    <w:p>
      <w:pPr>
        <w:pStyle w:val="BodyText"/>
      </w:pPr>
      <w:r>
        <w:t xml:space="preserve">The response-surface design will be analysed by a full quadratic model containing the main</w:t>
      </w:r>
      <w:r>
        <w:t xml:space="preserve"> </w:t>
      </w:r>
      <w:r>
        <w:t xml:space="preserve">effects, the two-factor interactions and the pure quadratic terms, which is</w:t>
      </w:r>
      <w:r>
        <w:t xml:space="preserve"> </w:t>
      </w:r>
      <w:r>
        <w:t xml:space="preserve">10 terms against 18 runs and leaves</w:t>
      </w:r>
      <w:r>
        <w:t xml:space="preserve"> </w:t>
      </w:r>
      <w:r>
        <w:t xml:space="preserve">8 residual degrees of freedom. The 4 centre-point</w:t>
      </w:r>
      <w:r>
        <w:t xml:space="preserve"> </w:t>
      </w:r>
      <w:r>
        <w:t xml:space="preserve">replicates supply 3 degrees of freedom of pure error, and the remaining</w:t>
      </w:r>
      <w:r>
        <w:t xml:space="preserve"> </w:t>
      </w:r>
      <w:r>
        <w:t xml:space="preserve">5 degrees of freedom carry the lack of fit. The partition will be</w:t>
      </w:r>
      <w:r>
        <w:t xml:space="preserve"> </w:t>
      </w:r>
      <w:r>
        <w:t xml:space="preserve">reported as an analysis of variance for each response, with the regression, residual,</w:t>
      </w:r>
      <w:r>
        <w:t xml:space="preserve"> </w:t>
      </w:r>
      <w:r>
        <w:t xml:space="preserve">lack-of-fit and pure-error terms and their F ratios.</w:t>
      </w:r>
    </w:p>
    <w:p>
      <w:pPr>
        <w:pStyle w:val="BodyText"/>
      </w:pPr>
      <w:r>
        <w:t xml:space="preserve">Model adequacy will be judged on four things, and all four will be reported for every</w:t>
      </w:r>
      <w:r>
        <w:t xml:space="preserve"> </w:t>
      </w:r>
      <w:r>
        <w:t xml:space="preserve">response. These are the coefficient of determination and its adjusted form, the</w:t>
      </w:r>
      <w:r>
        <w:t xml:space="preserve"> </w:t>
      </w:r>
      <w:r>
        <w:t xml:space="preserve">significance of the regression at α = 0.05, the lack-of-fit F test against pure error, and</w:t>
      </w:r>
      <w:r>
        <w:t xml:space="preserve"> </w:t>
      </w:r>
      <w:r>
        <w:t xml:space="preserve">the residual diagnostics. The diagnostics are the residuals plotted against the predicted</w:t>
      </w:r>
      <w:r>
        <w:t xml:space="preserve"> </w:t>
      </w:r>
      <w:r>
        <w:t xml:space="preserve">values, a normal quantile plot of the residuals and the actual values plotted against the</w:t>
      </w:r>
      <w:r>
        <w:t xml:space="preserve"> </w:t>
      </w:r>
      <w:r>
        <w:t xml:space="preserve">predicted values.</w:t>
      </w:r>
    </w:p>
    <w:p>
      <w:pPr>
        <w:pStyle w:val="BodyText"/>
      </w:pPr>
      <w:r>
        <w:t xml:space="preserve">The screening model identifies which effects are present. The response-surface model is</w:t>
      </w:r>
      <w:r>
        <w:t xml:space="preserve"> </w:t>
      </w:r>
      <w:r>
        <w:t xml:space="preserve">the predictive model, and it is the only model from which an operating region, a proven</w:t>
      </w:r>
      <w:r>
        <w:t xml:space="preserve"> </w:t>
      </w:r>
      <w:r>
        <w:t xml:space="preserve">acceptable range or a prediction at an untested setting will be derived. The screening fit</w:t>
      </w:r>
      <w:r>
        <w:t xml:space="preserve"> </w:t>
      </w:r>
      <w:r>
        <w:t xml:space="preserve">of a design this size is close to saturated, and nothing in this plan or in PCR-006 will</w:t>
      </w:r>
      <w:r>
        <w:t xml:space="preserve"> </w:t>
      </w:r>
      <w:r>
        <w:t xml:space="preserve">claim predictive value for it.</w:t>
      </w:r>
    </w:p>
    <w:p>
      <w:pPr>
        <w:pStyle w:val="BodyText"/>
      </w:pPr>
      <w:r>
        <w:t xml:space="preserve">The response-surface model predicts the mean level of each response. Where the predicted</w:t>
      </w:r>
      <w:r>
        <w:t xml:space="preserve"> </w:t>
      </w:r>
      <w:r>
        <w:t xml:space="preserve">mean sits exactly on a criterion, about half of the material produced at that setting</w:t>
      </w:r>
      <w:r>
        <w:t xml:space="preserve"> </w:t>
      </w:r>
      <w:r>
        <w:t xml:space="preserve">would be expected to fall on the wrong side of the criterion, so an operating region drawn</w:t>
      </w:r>
      <w:r>
        <w:t xml:space="preserve"> </w:t>
      </w:r>
      <w:r>
        <w:t xml:space="preserve">on the predicted means carries no margin at its own edge. The Monte-Carlo analysis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what puts that margin back, and the report will not claim assurance from a</w:t>
      </w:r>
      <w:r>
        <w:t xml:space="preserve"> </w:t>
      </w:r>
      <w:r>
        <w:t xml:space="preserve">predicted mean alone. All analyses will be</w:t>
      </w:r>
      <w:r>
        <w:t xml:space="preserve"> </w:t>
      </w:r>
      <w:r>
        <w:t xml:space="preserve">run from the seeded analysis scripts under SOP-1002, so that the same data return the same</w:t>
      </w:r>
      <w:r>
        <w:t xml:space="preserve"> </w:t>
      </w:r>
      <w:r>
        <w:t xml:space="preserve">result on re-execution.</w:t>
      </w:r>
    </w:p>
    <w:bookmarkEnd w:id="28"/>
    <w:bookmarkEnd w:id="29"/>
    <w:bookmarkStart w:id="36" w:name="sec-design"/>
    <w:p>
      <w:pPr>
        <w:pStyle w:val="Heading1"/>
      </w:pPr>
      <w:r>
        <w:t xml:space="preserve">6. Study design</w:t>
      </w:r>
    </w:p>
    <w:bookmarkStart w:id="32" w:name="sec-factors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parameters in scope with their set-points, the ranges to be studied,</w:t>
      </w:r>
      <w:r>
        <w:t xml:space="preserve"> </w:t>
      </w:r>
      <w:r>
        <w:t xml:space="preserve">the normal operating ranges and the study type assigned in</w:t>
      </w:r>
      <w:r>
        <w:t xml:space="preserve"> </w:t>
      </w:r>
      <w:hyperlink w:anchor="sec-risk">
        <w:r>
          <w:rPr>
            <w:rStyle w:val="Hyperlink"/>
          </w:rPr>
          <w:t xml:space="preserve">Section 4.3</w:t>
        </w:r>
      </w:hyperlink>
      <w:r>
        <w:t xml:space="preserve">. The plan states no</w:t>
      </w:r>
      <w:r>
        <w:t xml:space="preserve"> </w:t>
      </w:r>
      <w:r>
        <w:t xml:space="preserve">classification for any parameter. Classification is an outcome of the study and will be</w:t>
      </w:r>
      <w:r>
        <w:t xml:space="preserve"> </w:t>
      </w:r>
      <w:r>
        <w:t xml:space="preserve">assigned in PCR-006 under SOP-4001.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Parameters, ranges to be studied, normal operating ranges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28"/>
              <w:gridCol w:w="772"/>
              <w:gridCol w:w="1255"/>
              <w:gridCol w:w="1641"/>
              <w:gridCol w:w="869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ranges studied are wider than the normal operating ranges in every case, and each edge</w:t>
      </w:r>
      <w:r>
        <w:t xml:space="preserve"> </w:t>
      </w:r>
      <w:r>
        <w:t xml:space="preserve">is placed where it is for a reason of its own. Inactivation pH will be studied from</w:t>
      </w:r>
      <w:r>
        <w:t xml:space="preserve"> </w:t>
      </w:r>
      <w:r>
        <w:t xml:space="preserve">3.2 to</w:t>
      </w:r>
      <w:r>
        <w:t xml:space="preserve"> </w:t>
      </w:r>
      <w:r>
        <w:t xml:space="preserve">4 against a normal operating range of</w:t>
      </w:r>
      <w:r>
        <w:t xml:space="preserve"> </w:t>
      </w:r>
      <w:r>
        <w:t xml:space="preserve">3.4 to 3.6. The low edge is placed</w:t>
      </w:r>
      <w:r>
        <w:t xml:space="preserve"> </w:t>
      </w:r>
      <w:r>
        <w:t xml:space="preserve">above the pH at which antibody precipitation has been observed on the platform, and the</w:t>
      </w:r>
      <w:r>
        <w:t xml:space="preserve"> </w:t>
      </w:r>
      <w:r>
        <w:t xml:space="preserve">high edge is placed above the pH at which the platform expects inactivation to become slow</w:t>
      </w:r>
      <w:r>
        <w:t xml:space="preserve"> </w:t>
      </w:r>
      <w:r>
        <w:t xml:space="preserve">within the shortest hold studied. Hold time will be studied from</w:t>
      </w:r>
      <w:r>
        <w:t xml:space="preserve"> </w:t>
      </w:r>
      <w:r>
        <w:t xml:space="preserve">60 to 180 min against a</w:t>
      </w:r>
      <w:r>
        <w:t xml:space="preserve"> </w:t>
      </w:r>
      <w:r>
        <w:t xml:space="preserve">normal operating range of 60 to</w:t>
      </w:r>
      <w:r>
        <w:t xml:space="preserve"> </w:t>
      </w:r>
      <w:r>
        <w:t xml:space="preserve">120 min. The minimum is what a clearance claim must be assured</w:t>
      </w:r>
      <w:r>
        <w:t xml:space="preserve"> </w:t>
      </w:r>
      <w:r>
        <w:t xml:space="preserve">at and the maximum is a deliberate challenge to the aggregate response, since it is a hold</w:t>
      </w:r>
      <w:r>
        <w:t xml:space="preserve"> </w:t>
      </w:r>
      <w:r>
        <w:t xml:space="preserve">half again as long as the longest hold the process allows. Temperature will be studied</w:t>
      </w:r>
      <w:r>
        <w:t xml:space="preserve"> </w:t>
      </w:r>
      <w:r>
        <w:t xml:space="preserve">from 15 to 25 °C, which</w:t>
      </w:r>
      <w:r>
        <w:t xml:space="preserve"> </w:t>
      </w:r>
      <w:r>
        <w:t xml:space="preserve">brackets what a manufacturing suite delivers around a normal operating range of</w:t>
      </w:r>
      <w:r>
        <w:t xml:space="preserve"> </w:t>
      </w:r>
      <w:r>
        <w:t xml:space="preserve">19 to 23 °C.</w:t>
      </w:r>
    </w:p>
    <w:p>
      <w:pPr>
        <w:pStyle w:val="BodyText"/>
      </w:pPr>
      <w:r>
        <w:t xml:space="preserve">The three multivariate factors are coded A to C for the design matrices, in the order given</w:t>
      </w:r>
      <w:r>
        <w:t xml:space="preserve"> </w:t>
      </w:r>
      <w:r>
        <w:t xml:space="preserve">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 same letters are used in the screening design, in the response-surface</w:t>
      </w:r>
      <w:r>
        <w:t xml:space="preserve"> </w:t>
      </w:r>
      <w:r>
        <w:t xml:space="preserve">design and in the model terms reported in PCR-006.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ec-screening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full factorial in the 3 multivariate factors with</w:t>
      </w:r>
      <w:r>
        <w:t xml:space="preserve"> </w:t>
      </w:r>
      <w:r>
        <w:t xml:space="preserve">3 centre-point replicates, which is 8 factorial runs and</w:t>
      </w:r>
      <w:r>
        <w:t xml:space="preserve"> </w:t>
      </w:r>
      <w:r>
        <w:t xml:space="preserve">11 runs in total. The planned coded matrix is given in Appendix A. A full</w:t>
      </w:r>
      <w:r>
        <w:t xml:space="preserve"> </w:t>
      </w:r>
      <w:r>
        <w:t xml:space="preserve">factorial was chosen over a fractional design because three factors is small enough that</w:t>
      </w:r>
      <w:r>
        <w:t xml:space="preserve"> </w:t>
      </w:r>
      <w:r>
        <w:t xml:space="preserve">the full design costs only 8 runs, and because a full factorial confounds</w:t>
      </w:r>
      <w:r>
        <w:t xml:space="preserve"> </w:t>
      </w:r>
      <w:r>
        <w:t xml:space="preserve">no main effect with an interaction. Hold time integrates a rate constant that pH</w:t>
      </w:r>
      <w:r>
        <w:t xml:space="preserve"> </w:t>
      </w:r>
      <w:r>
        <w:t xml:space="preserve">sets, so pH and hold time interact in the log reduction, and that interaction must be</w:t>
      </w:r>
      <w:r>
        <w:t xml:space="preserve"> </w:t>
      </w:r>
      <w:r>
        <w:t xml:space="preserve">estimated cleanly and not aliased with a main effect.</w:t>
      </w:r>
    </w:p>
    <w:p>
      <w:pPr>
        <w:pStyle w:val="BodyText"/>
      </w:pPr>
      <w:r>
        <w:t xml:space="preserve">The centre points serve two purposes. Their replicate results give the pure error of the</w:t>
      </w:r>
      <w:r>
        <w:t xml:space="preserve"> </w:t>
      </w:r>
      <w:r>
        <w:t xml:space="preserve">step and the analytical methods together, which is the reproducibility figure the report</w:t>
      </w:r>
      <w:r>
        <w:t xml:space="preserve"> </w:t>
      </w:r>
      <w:r>
        <w:t xml:space="preserve">will quote. Their mean, compared with the mean of the factorial points, tests each</w:t>
      </w:r>
      <w:r>
        <w:t xml:space="preserve"> </w:t>
      </w:r>
      <w:r>
        <w:t xml:space="preserve">response for curvature. Curvature is expected in the XMuLV response, because first-order</w:t>
      </w:r>
      <w:r>
        <w:t xml:space="preserve"> </w:t>
      </w:r>
      <w:r>
        <w:t xml:space="preserve">inactivation kinetics are linear in the log reduction against time but not against pH.</w:t>
      </w:r>
    </w:p>
    <w:p>
      <w:pPr>
        <w:pStyle w:val="BodyText"/>
      </w:pPr>
      <w:r>
        <w:t xml:space="preserve">The screening study will run first and its outcome decides nothing about which factors</w:t>
      </w:r>
      <w:r>
        <w:t xml:space="preserve"> </w:t>
      </w:r>
      <w:r>
        <w:t xml:space="preserve">continue. All 3 factors will be carried into the response-surface design</w:t>
      </w:r>
      <w:r>
        <w:t xml:space="preserve"> </w:t>
      </w:r>
      <w:r>
        <w:t xml:space="preserve">whatever the screening result. A lower pH, a longer hold and a warmer hold each raise the</w:t>
      </w:r>
      <w:r>
        <w:t xml:space="preserve"> </w:t>
      </w:r>
      <w:r>
        <w:t xml:space="preserve">log reduction of XMuLV and the aggregate content of the pool, and the control range of</w:t>
      </w:r>
      <w:r>
        <w:t xml:space="preserve"> </w:t>
      </w:r>
      <w:r>
        <w:t xml:space="preserve">each has to be justified in the report whether or not the screening design resolves its</w:t>
      </w:r>
      <w:r>
        <w:t xml:space="preserve"> </w:t>
      </w:r>
      <w:r>
        <w:t xml:space="preserve">effect.</w:t>
      </w:r>
    </w:p>
    <w:bookmarkEnd w:id="33"/>
    <w:bookmarkStart w:id="34" w:name="sec-rsm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design in the same</w:t>
      </w:r>
      <w:r>
        <w:t xml:space="preserve"> </w:t>
      </w:r>
      <w:r>
        <w:t xml:space="preserve">3 factors. It comprises 8 factorial runs, 6</w:t>
      </w:r>
      <w:r>
        <w:t xml:space="preserve"> </w:t>
      </w:r>
      <w:r>
        <w:t xml:space="preserve">axial runs and 4 centre-point replicates, which is 18 runs in</w:t>
      </w:r>
      <w:r>
        <w:t xml:space="preserve"> </w:t>
      </w:r>
      <w:r>
        <w:t xml:space="preserve">total. The planned coded matrix is given in Appendix B. Placing the axial points on the</w:t>
      </w:r>
      <w:r>
        <w:t xml:space="preserve"> </w:t>
      </w:r>
      <w:r>
        <w:t xml:space="preserve">faces of the cube, at coded ±1 rather than beyond it, keeps every run inside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The design therefore never requires a setting outside the range the plan</w:t>
      </w:r>
      <w:r>
        <w:t xml:space="preserve"> </w:t>
      </w:r>
      <w:r>
        <w:t xml:space="preserve">commits to studying, and the fitted model is never asked to extrapolate.</w:t>
      </w:r>
    </w:p>
    <w:p>
      <w:pPr>
        <w:pStyle w:val="BodyText"/>
      </w:pPr>
      <w:r>
        <w:t xml:space="preserve">The centre of the design is inactivation pH 3.6, hold time</w:t>
      </w:r>
      <w:r>
        <w:t xml:space="preserve"> </w:t>
      </w:r>
      <w:r>
        <w:t xml:space="preserve">120 min and temperature 20 °C, and the</w:t>
      </w:r>
      <w:r>
        <w:t xml:space="preserve"> </w:t>
      </w:r>
      <w:r>
        <w:t xml:space="preserve">4 centre-point replicates are run at those settings. The axial runs are what</w:t>
      </w:r>
      <w:r>
        <w:t xml:space="preserve"> </w:t>
      </w:r>
      <w:r>
        <w:t xml:space="preserve">allow the pure quadratic terms to be estimated.</w:t>
      </w:r>
    </w:p>
    <w:p>
      <w:pPr>
        <w:pStyle w:val="BodyText"/>
      </w:pPr>
      <w:r>
        <w:t xml:space="preserve">The two designs will be executed on the same Protein A pool where the material supply</w:t>
      </w:r>
      <w:r>
        <w:t xml:space="preserve"> </w:t>
      </w:r>
      <w:r>
        <w:t xml:space="preserve">allows it. Where a second pool is required, the pool will be treated as a block in the</w:t>
      </w:r>
      <w:r>
        <w:t xml:space="preserve"> </w:t>
      </w:r>
      <w:r>
        <w:t xml:space="preserve">analysis and the block effect will be reported. Executing both designs gives</w:t>
      </w:r>
      <w:r>
        <w:t xml:space="preserve"> </w:t>
      </w:r>
      <w:r>
        <w:t xml:space="preserve">29 runs on the same step. The report will present the two designs</w:t>
      </w:r>
      <w:r>
        <w:t xml:space="preserve"> </w:t>
      </w:r>
      <w:r>
        <w:t xml:space="preserve">separately, because the screening design estimates effects and only the response-surface</w:t>
      </w:r>
      <w:r>
        <w:t xml:space="preserve"> </w:t>
      </w:r>
      <w:r>
        <w:t xml:space="preserve">design predicts a response at a setting that was not run.</w:t>
      </w:r>
    </w:p>
    <w:bookmarkEnd w:id="34"/>
    <w:bookmarkStart w:id="35" w:name="sec-univariate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A-Mab concentration will be assessed one factor at a time. The pool will be adjusted to</w:t>
      </w:r>
      <w:r>
        <w:t xml:space="preserve"> </w:t>
      </w:r>
      <w:r>
        <w:t xml:space="preserve">settings across the range 5 to</w:t>
      </w:r>
      <w:r>
        <w:t xml:space="preserve"> </w:t>
      </w:r>
      <w:r>
        <w:t xml:space="preserve">35 g/L, and the other three parameters</w:t>
      </w:r>
      <w:r>
        <w:t xml:space="preserve"> </w:t>
      </w:r>
      <w:r>
        <w:t xml:space="preserve">will be held at their set-points. Aggregate content, acidic charge variant content and</w:t>
      </w:r>
      <w:r>
        <w:t xml:space="preserve"> </w:t>
      </w:r>
      <w:r>
        <w:t xml:space="preserve">XMuLV log reduction will be measured on every run.</w:t>
      </w:r>
    </w:p>
    <w:p>
      <w:pPr>
        <w:pStyle w:val="BodyText"/>
      </w:pPr>
      <w:r>
        <w:t xml:space="preserve">A univariate design cannot resolve an interaction between concentration and the other</w:t>
      </w:r>
      <w:r>
        <w:t xml:space="preserve"> </w:t>
      </w:r>
      <w:r>
        <w:t xml:space="preserve">parameters, and it is not asked to. The mechanism gives concentration no part in the</w:t>
      </w:r>
      <w:r>
        <w:t xml:space="preserve"> </w:t>
      </w:r>
      <w:r>
        <w:t xml:space="preserve">inactivation chemistry, and its effect on aggregation is expected to act independently of</w:t>
      </w:r>
      <w:r>
        <w:t xml:space="preserve"> </w:t>
      </w:r>
      <w:r>
        <w:t xml:space="preserve">the pH and the temperature of the hold. Should the univariate results contradict that</w:t>
      </w:r>
      <w:r>
        <w:t xml:space="preserve"> </w:t>
      </w:r>
      <w:r>
        <w:t xml:space="preserve">expectation, the report will say so and the parameter will be brought into a multivariate</w:t>
      </w:r>
      <w:r>
        <w:t xml:space="preserve"> </w:t>
      </w:r>
      <w:r>
        <w:t xml:space="preserve">study rather than supported by this design.</w:t>
      </w:r>
    </w:p>
    <w:bookmarkEnd w:id="35"/>
    <w:bookmarkEnd w:id="36"/>
    <w:bookmarkStart w:id="41" w:name="sec-acceptance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criteria in this section are fixed before the study is executed. They are the</w:t>
      </w:r>
      <w:r>
        <w:t xml:space="preserve"> </w:t>
      </w:r>
      <w:r>
        <w:t xml:space="preserve">yardsticks against which the results in PCR-006 will be judged, and they will not be</w:t>
      </w:r>
      <w:r>
        <w:t xml:space="preserve"> </w:t>
      </w:r>
      <w:r>
        <w:t xml:space="preserve">revised after the data are seen.</w:t>
      </w:r>
    </w:p>
    <w:bookmarkStart w:id="38" w:name="acceptance-criteria-for-the-responses"/>
    <w:p>
      <w:pPr>
        <w:pStyle w:val="Heading2"/>
      </w:pPr>
      <w:r>
        <w:t xml:space="preserve">7.1 Acceptance criteria for the responses</w:t>
      </w:r>
    </w:p>
    <w:p>
      <w:pPr>
        <w:pStyle w:val="FirstParagraph"/>
      </w:pPr>
      <w:hyperlink w:anchor="tbl-acc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criterion that applies to each response, the quality attribute it</w:t>
      </w:r>
      <w:r>
        <w:t xml:space="preserve"> </w:t>
      </w:r>
      <w:r>
        <w:t xml:space="preserve">belongs to and the basis on which the criterion was derived.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c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Acceptance criteria for the study responses and their basis.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09"/>
              <w:gridCol w:w="2550"/>
              <w:gridCol w:w="1610"/>
              <w:gridCol w:w="23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 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limit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back-calculated step contribution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 specification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The XMuLV criterion is the contribution this step must make for the cumulative claim to</w:t>
      </w:r>
      <w:r>
        <w:t xml:space="preserve"> </w:t>
      </w:r>
      <w:r>
        <w:t xml:space="preserve">hold. The drug substance requires a cumulative enveloped virus clearance of at least</w:t>
      </w:r>
      <w:r>
        <w:t xml:space="preserve"> </w:t>
      </w:r>
      <w:r>
        <w:t xml:space="preserve">16.7 log10 across the train. Anion exchange and virus filtration</w:t>
      </w:r>
      <w:r>
        <w:t xml:space="preserve"> </w:t>
      </w:r>
      <w:r>
        <w:t xml:space="preserve">are credited with their own demonstrated contributions, and the difference between the</w:t>
      </w:r>
      <w:r>
        <w:t xml:space="preserve"> </w:t>
      </w:r>
      <w:r>
        <w:t xml:space="preserve">cumulative requirement and that credit is what this step must deliver, which is</w:t>
      </w:r>
      <w:r>
        <w:t xml:space="preserve"> </w:t>
      </w:r>
      <w:r>
        <w:t xml:space="preserve">4.93 log10.</w:t>
      </w:r>
    </w:p>
    <w:p>
      <w:pPr>
        <w:pStyle w:val="BodyText"/>
      </w:pPr>
      <w:r>
        <w:t xml:space="preserve">The aggregate criterion is an in-process limit of 2.17 %, not the</w:t>
      </w:r>
      <w:r>
        <w:t xml:space="preserve"> </w:t>
      </w:r>
      <w:r>
        <w:t xml:space="preserve">drug substance specification of 5 %. The neutralised pool is an</w:t>
      </w:r>
      <w:r>
        <w:t xml:space="preserve"> </w:t>
      </w:r>
      <w:r>
        <w:t xml:space="preserve">intermediate, and cation exchange reduces its aggregate content before the material becomes</w:t>
      </w:r>
      <w:r>
        <w:t xml:space="preserve"> </w:t>
      </w:r>
      <w:r>
        <w:t xml:space="preserve">drug substance. The in-process limit is derived by carrying the drug substance</w:t>
      </w:r>
      <w:r>
        <w:t xml:space="preserve"> </w:t>
      </w:r>
      <w:r>
        <w:t xml:space="preserve">specification back through the aggregate clearance the steps after the hold deliver,</w:t>
      </w:r>
      <w:r>
        <w:t xml:space="preserve"> </w:t>
      </w:r>
      <w:r>
        <w:t xml:space="preserve">subtracting the aggregate those steps add, and then dividing by a safety factor so that</w:t>
      </w:r>
      <w:r>
        <w:t xml:space="preserve"> </w:t>
      </w:r>
      <w:r>
        <w:t xml:space="preserve">the drug substance does not depend on every downstream step delivering its nominal</w:t>
      </w:r>
      <w:r>
        <w:t xml:space="preserve"> </w:t>
      </w:r>
      <w:r>
        <w:t xml:space="preserve">clearance exactly. Acidic charge</w:t>
      </w:r>
      <w:r>
        <w:t xml:space="preserve"> </w:t>
      </w:r>
      <w:r>
        <w:t xml:space="preserve">variants are judged against the drug substance specification of</w:t>
      </w:r>
      <w:r>
        <w:t xml:space="preserve"> </w:t>
      </w:r>
      <w:r>
        <w:t xml:space="preserve">40 %, because no downstream step of the train modifies them.</w:t>
      </w:r>
    </w:p>
    <w:bookmarkEnd w:id="38"/>
    <w:bookmarkStart w:id="39" w:name="model-adequacy-criteria"/>
    <w:p>
      <w:pPr>
        <w:pStyle w:val="Heading2"/>
      </w:pPr>
      <w:r>
        <w:t xml:space="preserve">7.2 Model adequacy criteria</w:t>
      </w:r>
    </w:p>
    <w:p>
      <w:pPr>
        <w:pStyle w:val="FirstParagraph"/>
      </w:pPr>
      <w:r>
        <w:t xml:space="preserve">A response-surface model will be accepted as adequate for prediction when its regression is</w:t>
      </w:r>
      <w:r>
        <w:t xml:space="preserve"> </w:t>
      </w:r>
      <w:r>
        <w:t xml:space="preserve">significant at α = 0.05, its lack of fit is not significant at α = 0.05 against pure error,</w:t>
      </w:r>
      <w:r>
        <w:t xml:space="preserve"> </w:t>
      </w:r>
      <w:r>
        <w:t xml:space="preserve">and its residual diagnostics show no structure. A model that fails any of these will not be</w:t>
      </w:r>
      <w:r>
        <w:t xml:space="preserve"> </w:t>
      </w:r>
      <w:r>
        <w:t xml:space="preserve">used to define an operating region or a proven acceptable range for its response.</w:t>
      </w:r>
    </w:p>
    <w:p>
      <w:pPr>
        <w:pStyle w:val="BodyText"/>
      </w:pPr>
      <w:r>
        <w:t xml:space="preserve">Two outcomes are anticipated and will be handled as follows. Where a response varies so</w:t>
      </w:r>
      <w:r>
        <w:t xml:space="preserve"> </w:t>
      </w:r>
      <w:r>
        <w:t xml:space="preserve">little across the region that its regression is not significant, the report will state that</w:t>
      </w:r>
      <w:r>
        <w:t xml:space="preserve"> </w:t>
      </w:r>
      <w:r>
        <w:t xml:space="preserve">the parameters have no detectable effect on it over the ranges studied and will support the</w:t>
      </w:r>
      <w:r>
        <w:t xml:space="preserve"> </w:t>
      </w:r>
      <w:r>
        <w:t xml:space="preserve">ranges from the observed values instead of from a model. Where the pure error of a response</w:t>
      </w:r>
      <w:r>
        <w:t xml:space="preserve"> </w:t>
      </w:r>
      <w:r>
        <w:t xml:space="preserve">is very small relative to its fitted values, the lack-of-fit F ratio may become large for</w:t>
      </w:r>
      <w:r>
        <w:t xml:space="preserve"> </w:t>
      </w:r>
      <w:r>
        <w:t xml:space="preserve">differences too small to matter, and the report should then judge adequacy on the size of</w:t>
      </w:r>
      <w:r>
        <w:t xml:space="preserve"> </w:t>
      </w:r>
      <w:r>
        <w:t xml:space="preserve">the residuals against the acceptance criterion rather than on the F test alone. Neither</w:t>
      </w:r>
      <w:r>
        <w:t xml:space="preserve"> </w:t>
      </w:r>
      <w:r>
        <w:t xml:space="preserve">outcome is a reason to refit a different model.</w:t>
      </w:r>
    </w:p>
    <w:bookmarkEnd w:id="39"/>
    <w:bookmarkStart w:id="40" w:name="X3c89e24512defafb39cc0e863f60b47ac90b51e"/>
    <w:p>
      <w:pPr>
        <w:pStyle w:val="Heading2"/>
      </w:pPr>
      <w:r>
        <w:t xml:space="preserve">7.3 Decision criteria for the operating region</w:t>
      </w:r>
    </w:p>
    <w:p>
      <w:pPr>
        <w:pStyle w:val="FirstParagraph"/>
      </w:pPr>
      <w:r>
        <w:t xml:space="preserve">The operating region of the step is the part of the characterized region in which every</w:t>
      </w:r>
      <w:r>
        <w:t xml:space="preserve"> </w:t>
      </w:r>
      <w:r>
        <w:t xml:space="preserve">criterion in</w:t>
      </w:r>
      <w:r>
        <w:t xml:space="preserve"> </w:t>
      </w:r>
      <w:hyperlink w:anchor="tbl-acc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met at the same time. It will be established from the fitted</w:t>
      </w:r>
      <w:r>
        <w:t xml:space="preserve"> </w:t>
      </w:r>
      <w:r>
        <w:t xml:space="preserve">response-surface models by evaluating all 3 responses over a grid spanning</w:t>
      </w:r>
      <w:r>
        <w:t xml:space="preserve"> </w:t>
      </w:r>
      <w:r>
        <w:t xml:space="preserve">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retaining the settings that satisfy every criterion. The</w:t>
      </w:r>
      <w:r>
        <w:t xml:space="preserve"> </w:t>
      </w:r>
      <w:r>
        <w:t xml:space="preserve">proportion of the characterized region that satisfies every criterion will be reported.</w:t>
      </w:r>
    </w:p>
    <w:p>
      <w:pPr>
        <w:pStyle w:val="BodyText"/>
      </w:pPr>
      <w:r>
        <w:t xml:space="preserve">The study will be considered to have met its objectives when the scale-down model is</w:t>
      </w:r>
      <w:r>
        <w:t xml:space="preserve"> </w:t>
      </w:r>
      <w:r>
        <w:t xml:space="preserve">qualified, when both designs are executed as planned or with documented deviations whose</w:t>
      </w:r>
      <w:r>
        <w:t xml:space="preserve"> </w:t>
      </w:r>
      <w:r>
        <w:t xml:space="preserve">impact is assessed, when an adequate model is obtained for each response or the absence of</w:t>
      </w:r>
      <w:r>
        <w:t xml:space="preserve"> </w:t>
      </w:r>
      <w:r>
        <w:t xml:space="preserve">an effect is demonstrated, and when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lie inside</w:t>
      </w:r>
      <w:r>
        <w:t xml:space="preserve"> </w:t>
      </w:r>
      <w:r>
        <w:t xml:space="preserve">the operating region. If a normal operating range is found to extend outside the operating</w:t>
      </w:r>
      <w:r>
        <w:t xml:space="preserve"> </w:t>
      </w:r>
      <w:r>
        <w:t xml:space="preserve">region, the report will define the edge of failure, and the normal operating range should</w:t>
      </w:r>
      <w:r>
        <w:t xml:space="preserve"> </w:t>
      </w:r>
      <w:r>
        <w:t xml:space="preserve">be narrowed in the control strategy rather than the criterion relaxed.</w:t>
      </w:r>
    </w:p>
    <w:bookmarkEnd w:id="40"/>
    <w:bookmarkEnd w:id="41"/>
    <w:bookmarkStart w:id="42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a parameter over which the step has been</w:t>
      </w:r>
      <w:r>
        <w:t xml:space="preserve"> </w:t>
      </w:r>
      <w:r>
        <w:t xml:space="preserve">demonstrated to meet its acceptance criteria</w:t>
      </w:r>
      <w:r>
        <w:t xml:space="preserve"> </w:t>
      </w:r>
      <w:r>
        <w:t xml:space="preserve">(International Council for Harmonisation 2009)</w:t>
      </w:r>
      <w:r>
        <w:t xml:space="preserve">. For each quality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and each multivariate parameter, a proven acceptable range will be derived from</w:t>
      </w:r>
      <w:r>
        <w:t xml:space="preserve"> </w:t>
      </w:r>
      <w:r>
        <w:t xml:space="preserve">the fitted response-surface model of the corresponding response, against the criterion for</w:t>
      </w:r>
      <w:r>
        <w:t xml:space="preserve"> </w:t>
      </w:r>
      <w:r>
        <w:t xml:space="preserve">that response in</w:t>
      </w:r>
      <w:r>
        <w:t xml:space="preserve"> </w:t>
      </w:r>
      <w:hyperlink w:anchor="tbl-acc">
        <w:r>
          <w:rPr>
            <w:rStyle w:val="Hyperlink"/>
          </w:rPr>
          <w:t xml:space="preserve">Table 9</w:t>
        </w:r>
      </w:hyperlink>
      <w:r>
        <w:t xml:space="preserve">.</w:t>
      </w:r>
    </w:p>
    <w:p>
      <w:pPr>
        <w:pStyle w:val="BodyText"/>
      </w:pPr>
      <w:r>
        <w:t xml:space="preserve">Two analyses will be run for every combination of attribute and parameter. The first holds</w:t>
      </w:r>
      <w:r>
        <w:t xml:space="preserve"> </w:t>
      </w:r>
      <w:r>
        <w:t xml:space="preserve">the other parameters at their set-points and scans the parameter of interest across its</w:t>
      </w:r>
      <w:r>
        <w:t xml:space="preserve"> </w:t>
      </w:r>
      <w:r>
        <w:t xml:space="preserve">characterization range. It answers what the parameter may do while the rest of the step is</w:t>
      </w:r>
      <w:r>
        <w:t xml:space="preserve"> </w:t>
      </w:r>
      <w:r>
        <w:t xml:space="preserve">running as intended. The second propagates the normal operating ranges of the other</w:t>
      </w:r>
      <w:r>
        <w:t xml:space="preserve"> </w:t>
      </w:r>
      <w:r>
        <w:t xml:space="preserve">parameters. At each of 81 points across the characterization range of the</w:t>
      </w:r>
      <w:r>
        <w:t xml:space="preserve"> </w:t>
      </w:r>
      <w:r>
        <w:t xml:space="preserve">parameter of interest, 2,000 Monte-Carlo draws are taken with the other</w:t>
      </w:r>
      <w:r>
        <w:t xml:space="preserve"> </w:t>
      </w:r>
      <w:r>
        <w:t xml:space="preserve">parameters sampled within their normal operating ranges, the fitted model is evaluated at</w:t>
      </w:r>
      <w:r>
        <w:t xml:space="preserve"> </w:t>
      </w:r>
      <w:r>
        <w:t xml:space="preserve">each draw with its prediction uncertainty included, and the criterion is applied to the</w:t>
      </w:r>
      <w:r>
        <w:t xml:space="preserve"> </w:t>
      </w:r>
      <w:r>
        <w:t xml:space="preserve">result. It answers what the parameter may do while the rest of the step varies as it is</w:t>
      </w:r>
      <w:r>
        <w:t xml:space="preserve"> </w:t>
      </w:r>
      <w:r>
        <w:t xml:space="preserve">permitted to.</w:t>
      </w:r>
    </w:p>
    <w:p>
      <w:pPr>
        <w:pStyle w:val="BodyText"/>
      </w:pPr>
      <w:r>
        <w:t xml:space="preserve">The proven acceptable range returned by each analysis is the contiguous interval around the</w:t>
      </w:r>
      <w:r>
        <w:t xml:space="preserve"> </w:t>
      </w:r>
      <w:r>
        <w:t xml:space="preserve">design centre over which the criterion is met. An interval is reported only where it is</w:t>
      </w:r>
      <w:r>
        <w:t xml:space="preserve"> </w:t>
      </w:r>
      <w:r>
        <w:t xml:space="preserve">contiguous, because a parameter that meets a criterion in two separated intervals is not</w:t>
      </w:r>
      <w:r>
        <w:t xml:space="preserve"> </w:t>
      </w:r>
      <w:r>
        <w:t xml:space="preserve">supported by a range and should be reported as an edge of failure instead. Where the two</w:t>
      </w:r>
      <w:r>
        <w:t xml:space="preserve"> </w:t>
      </w:r>
      <w:r>
        <w:t xml:space="preserve">analyses disagree, the narrower range is the one that will be carried into the control</w:t>
      </w:r>
      <w:r>
        <w:t xml:space="preserve"> </w:t>
      </w:r>
      <w:r>
        <w:t xml:space="preserve">strategy, and both will be shown in the report.</w:t>
      </w:r>
    </w:p>
    <w:p>
      <w:pPr>
        <w:pStyle w:val="BodyText"/>
      </w:pPr>
      <w:r>
        <w:t xml:space="preserve">Each proven acceptable range will be reported with a plot of the response against the</w:t>
      </w:r>
      <w:r>
        <w:t xml:space="preserve"> </w:t>
      </w:r>
      <w:r>
        <w:t xml:space="preserve">parameter, with the acceptable region shaded green, the set-point marked and the normal</w:t>
      </w:r>
      <w:r>
        <w:t xml:space="preserve"> </w:t>
      </w:r>
      <w:r>
        <w:t xml:space="preserve">operating range marked. The plot shows how steeply the response approaches its</w:t>
      </w:r>
      <w:r>
        <w:t xml:space="preserve"> </w:t>
      </w:r>
      <w:r>
        <w:t xml:space="preserve">criterion. A parameter whose response crosses its</w:t>
      </w:r>
      <w:r>
        <w:t xml:space="preserve"> </w:t>
      </w:r>
      <w:r>
        <w:t xml:space="preserve">criterion steeply needs tighter control than one whose response approaches it slowly, even</w:t>
      </w:r>
      <w:r>
        <w:t xml:space="preserve"> </w:t>
      </w:r>
      <w:r>
        <w:t xml:space="preserve">where the two proven acceptable ranges are equally wide.</w:t>
      </w:r>
    </w:p>
    <w:p>
      <w:pPr>
        <w:pStyle w:val="BodyText"/>
      </w:pPr>
      <w:r>
        <w:t xml:space="preserve">Two limits apply to every proven acceptable range this study will produce. The range is</w:t>
      </w:r>
      <w:r>
        <w:t xml:space="preserve"> </w:t>
      </w:r>
      <w:r>
        <w:t xml:space="preserve">proven only within the characterization range that was studied, and a range reported as</w:t>
      </w:r>
      <w:r>
        <w:t xml:space="preserve"> </w:t>
      </w:r>
      <w:r>
        <w:t xml:space="preserve">the full characterization range means that no edge was found inside it rather than that</w:t>
      </w:r>
      <w:r>
        <w:t xml:space="preserve"> </w:t>
      </w:r>
      <w:r>
        <w:t xml:space="preserve">none exists. The range is also conditioned on the scale-down model, and it transfers to the</w:t>
      </w:r>
      <w:r>
        <w:t xml:space="preserve"> </w:t>
      </w:r>
      <w:r>
        <w:t xml:space="preserve">commercial step only under the qualification in</w:t>
      </w:r>
      <w:r>
        <w:t xml:space="preserve"> 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.</w:t>
      </w:r>
    </w:p>
    <w:bookmarkEnd w:id="42"/>
    <w:bookmarkStart w:id="43" w:name="sec-data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Raw data from the study will be recorded contemporaneously and will meet the ALCOA+</w:t>
      </w:r>
      <w:r>
        <w:t xml:space="preserve"> </w:t>
      </w:r>
      <w:r>
        <w:t xml:space="preserve">attributes throughout. Process data from the hold vessels, which are the pH and temperature</w:t>
      </w:r>
      <w:r>
        <w:t xml:space="preserve"> </w:t>
      </w:r>
      <w:r>
        <w:t xml:space="preserve">traces and the recorded times, will be captured by the instrument systems and retained as</w:t>
      </w:r>
      <w:r>
        <w:t xml:space="preserve"> </w:t>
      </w:r>
      <w:r>
        <w:t xml:space="preserve">the original electronic records. Analytical results will be reported from the validated</w:t>
      </w:r>
      <w:r>
        <w:t xml:space="preserve"> </w:t>
      </w:r>
      <w:r>
        <w:t xml:space="preserve">methods into the laboratory information management system, and the instrument data files</w:t>
      </w:r>
      <w:r>
        <w:t xml:space="preserve"> </w:t>
      </w:r>
      <w:r>
        <w:t xml:space="preserve">will be retained under the record retention policy of the site.</w:t>
      </w:r>
    </w:p>
    <w:p>
      <w:pPr>
        <w:pStyle w:val="BodyText"/>
      </w:pPr>
      <w:r>
        <w:t xml:space="preserve">Manual entries will be made in the controlled study notebook and will carry the date and</w:t>
      </w:r>
      <w:r>
        <w:t xml:space="preserve"> </w:t>
      </w:r>
      <w:r>
        <w:t xml:space="preserve">the identity of the person making them. Corrections will be made so that the original entry</w:t>
      </w:r>
      <w:r>
        <w:t xml:space="preserve"> </w:t>
      </w:r>
      <w:r>
        <w:t xml:space="preserve">remains legible, with the reason recorded. No result may be excluded from the analysis</w:t>
      </w:r>
      <w:r>
        <w:t xml:space="preserve"> </w:t>
      </w:r>
      <w:r>
        <w:t xml:space="preserve">without a documented investigation, and any exclusion will be reported in PCR-006 with its</w:t>
      </w:r>
      <w:r>
        <w:t xml:space="preserve"> </w:t>
      </w:r>
      <w:r>
        <w:t xml:space="preserve">justification.</w:t>
      </w:r>
    </w:p>
    <w:p>
      <w:pPr>
        <w:pStyle w:val="BodyText"/>
      </w:pPr>
      <w:r>
        <w:t xml:space="preserve">The statistical analysis will be executed from version-controlled scripts under SOP-1002</w:t>
      </w:r>
      <w:r>
        <w:t xml:space="preserve"> </w:t>
      </w:r>
      <w:r>
        <w:t xml:space="preserve">against a locked dataset. The dataset, the script version and the software environment will</w:t>
      </w:r>
      <w:r>
        <w:t xml:space="preserve"> </w:t>
      </w:r>
      <w:r>
        <w:t xml:space="preserve">be recorded in the report, so that the analysis can be re-executed and returns the same</w:t>
      </w:r>
      <w:r>
        <w:t xml:space="preserve"> </w:t>
      </w:r>
      <w:r>
        <w:t xml:space="preserve">result. A second reviewer independent of the analyst will verify the transcription of the</w:t>
      </w:r>
      <w:r>
        <w:t xml:space="preserve"> </w:t>
      </w:r>
      <w:r>
        <w:t xml:space="preserve">results into the report and the correctness of every value quoted from the analysis.</w:t>
      </w:r>
    </w:p>
    <w:bookmarkEnd w:id="43"/>
    <w:bookmarkStart w:id="45" w:name="sec-rol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functions responsible for the study and their responsibilities are given in</w:t>
      </w:r>
      <w:r>
        <w:t xml:space="preserve"> </w:t>
      </w:r>
      <w:hyperlink w:anchor="tbl-roles">
        <w:r>
          <w:rPr>
            <w:rStyle w:val="Hyperlink"/>
          </w:rPr>
          <w:t xml:space="preserve">Table 10</w:t>
        </w:r>
      </w:hyperlink>
      <w:r>
        <w:t xml:space="preserve">.</w:t>
      </w:r>
      <w:r>
        <w:t xml:space="preserve"> </w:t>
      </w:r>
      <w:r>
        <w:t xml:space="preserve">The named signatories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Functions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Authors this plan, executes the scale-down runs, interprets the results and authors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size variant and charge variant methods and maintains their validated state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XMuLV spiking runs and the infectivity assay, and calculates the log reduction factors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Confirms that the scale-down model represents the commercial step and that the ranges studied cover commercial operation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designs, executes the analysis and approves the model adequacy and range conclusions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PCR-006 and confirms that the study was executed under the governing procedures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Process Development owns the study and is accountable for its execution against this plan.</w:t>
      </w:r>
      <w:r>
        <w:t xml:space="preserve"> </w:t>
      </w:r>
      <w:r>
        <w:t xml:space="preserve">Statistics is accountable for the analysis and for the conclusions drawn from the models,</w:t>
      </w:r>
      <w:r>
        <w:t xml:space="preserve"> </w:t>
      </w:r>
      <w:r>
        <w:t xml:space="preserve">and no range or classification will be reported without that approval. Quality Assurance</w:t>
      </w:r>
      <w:r>
        <w:t xml:space="preserve"> </w:t>
      </w:r>
      <w:r>
        <w:t xml:space="preserve">approves the plan before execution begins and approves the report before its conclusions</w:t>
      </w:r>
      <w:r>
        <w:t xml:space="preserve"> </w:t>
      </w:r>
      <w:r>
        <w:t xml:space="preserve">enter the control strategy.</w:t>
      </w:r>
    </w:p>
    <w:bookmarkEnd w:id="45"/>
    <w:bookmarkStart w:id="47" w:name="sec-deliverables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the Process Characterization Report for the step, PCR-006.</w:t>
      </w:r>
      <w:r>
        <w:t xml:space="preserve"> </w:t>
      </w:r>
      <w:r>
        <w:t xml:space="preserve">It will report the qualification of the scale-down model, the executed designs, the fitted</w:t>
      </w:r>
      <w:r>
        <w:t xml:space="preserve"> </w:t>
      </w:r>
      <w:r>
        <w:t xml:space="preserve">models with their adequacy, the operating region, the proven acceptable ranges, the</w:t>
      </w:r>
      <w:r>
        <w:t xml:space="preserve"> </w:t>
      </w:r>
      <w:r>
        <w:t xml:space="preserve">classification of each parameter and the contribution of the step to the enveloped virus</w:t>
      </w:r>
      <w:r>
        <w:t xml:space="preserve"> </w:t>
      </w:r>
      <w:r>
        <w:t xml:space="preserve">clearance claim. Any deviation from this plan will be recorded in that report with its</w:t>
      </w:r>
      <w:r>
        <w:t xml:space="preserve"> </w:t>
      </w:r>
      <w:r>
        <w:t xml:space="preserve">impact on the conclusions.</w:t>
      </w:r>
    </w:p>
    <w:p>
      <w:pPr>
        <w:pStyle w:val="BodyText"/>
      </w:pPr>
      <w:r>
        <w:t xml:space="preserve">The study runs in four phases in the order given in</w:t>
      </w:r>
      <w:r>
        <w:t xml:space="preserve"> </w:t>
      </w:r>
      <w:hyperlink w:anchor="tbl-sched">
        <w:r>
          <w:rPr>
            <w:rStyle w:val="Hyperlink"/>
          </w:rPr>
          <w:t xml:space="preserve">Table 11</w:t>
        </w:r>
      </w:hyperlink>
      <w:r>
        <w:t xml:space="preserve">. No calendar dates are fixed</w:t>
      </w:r>
      <w:r>
        <w:t xml:space="preserve"> </w:t>
      </w:r>
      <w:r>
        <w:t xml:space="preserve">in this plan. Each phase begins on completion of the one before it. The</w:t>
      </w:r>
      <w:r>
        <w:t xml:space="preserve"> </w:t>
      </w:r>
      <w:r>
        <w:t xml:space="preserve">characterization runs will not begin until the scale-down model has been accepted, because</w:t>
      </w:r>
      <w:r>
        <w:t xml:space="preserve"> </w:t>
      </w:r>
      <w:r>
        <w:t xml:space="preserve">results from an unqualified model cannot support a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sch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Study phases and the gate at the end of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Gate to the next phase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accepted under SOP-1001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design and univariate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Designs executed and data locked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 surface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executed and data locked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Proven acceptable ranges, classification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PCR-006 approved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The results of this study feed the master report PCMR-001, which consolidates the</w:t>
      </w:r>
      <w:r>
        <w:t xml:space="preserve"> </w:t>
      </w:r>
      <w:r>
        <w:t xml:space="preserve">cumulative viral clearance claim across the three orthogonal steps and the control strategy</w:t>
      </w:r>
      <w:r>
        <w:t xml:space="preserve"> </w:t>
      </w:r>
      <w:r>
        <w:t xml:space="preserve">across the train. PCR-006 is therefore required before the cumulative claim can be closed.</w:t>
      </w:r>
    </w:p>
    <w:bookmarkEnd w:id="47"/>
    <w:bookmarkStart w:id="48" w:name="sec-risk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study rests on four assumptions and carries four risks, and each is stated here so that</w:t>
      </w:r>
      <w:r>
        <w:t xml:space="preserve"> </w:t>
      </w:r>
      <w:r>
        <w:t xml:space="preserve">the report can confirm or correct it.</w:t>
      </w:r>
    </w:p>
    <w:p>
      <w:pPr>
        <w:pStyle w:val="BodyText"/>
      </w:pPr>
      <w:r>
        <w:t xml:space="preserve">The first assumption is that the scale-down model represents the commercial hold. It is</w:t>
      </w:r>
      <w:r>
        <w:t xml:space="preserve"> </w:t>
      </w:r>
      <w:r>
        <w:t xml:space="preserve">tested directly by the qualification in</w:t>
      </w:r>
      <w:r>
        <w:t xml:space="preserve"> 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, and the risk it carries is that a</w:t>
      </w:r>
      <w:r>
        <w:t xml:space="preserve"> </w:t>
      </w:r>
      <w:r>
        <w:t xml:space="preserve">difference between scales is present but too small to detect in replicate runs. The</w:t>
      </w:r>
      <w:r>
        <w:t xml:space="preserve"> </w:t>
      </w:r>
      <w:r>
        <w:t xml:space="preserve">consequence would be a range that is proven at small scale and narrower at commercial</w:t>
      </w:r>
      <w:r>
        <w:t xml:space="preserve"> </w:t>
      </w:r>
      <w:r>
        <w:t xml:space="preserve">scale. Confirmation at commercial scale during process performance qualification is what</w:t>
      </w:r>
      <w:r>
        <w:t xml:space="preserve"> </w:t>
      </w:r>
      <w:r>
        <w:t xml:space="preserve">bounds that risk, and this plan claims nothing about the edges of the ranges at commercial</w:t>
      </w:r>
      <w:r>
        <w:t xml:space="preserve"> </w:t>
      </w:r>
      <w:r>
        <w:t xml:space="preserve">scale.</w:t>
      </w:r>
    </w:p>
    <w:p>
      <w:pPr>
        <w:pStyle w:val="BodyText"/>
      </w:pPr>
      <w:r>
        <w:t xml:space="preserve">The second assumption is that a single Protein A pool represents the material the step will</w:t>
      </w:r>
      <w:r>
        <w:t xml:space="preserve"> </w:t>
      </w:r>
      <w:r>
        <w:t xml:space="preserve">receive. The pool fixes the input aggregate content, the input acidic variant content and</w:t>
      </w:r>
      <w:r>
        <w:t xml:space="preserve"> </w:t>
      </w:r>
      <w:r>
        <w:t xml:space="preserve">the antibody concentration, and a pool with an unusual input would move all the responses</w:t>
      </w:r>
      <w:r>
        <w:t xml:space="preserve"> </w:t>
      </w:r>
      <w:r>
        <w:t xml:space="preserve">together. The risk is mitigated by characterizing the pool before the study and by</w:t>
      </w:r>
      <w:r>
        <w:t xml:space="preserve"> </w:t>
      </w:r>
      <w:r>
        <w:t xml:space="preserve">reporting its values as the input condition, so that a reader can see what the model is</w:t>
      </w:r>
      <w:r>
        <w:t xml:space="preserve"> </w:t>
      </w:r>
      <w:r>
        <w:t xml:space="preserve">conditioned on. The univariate assessment in</w:t>
      </w:r>
      <w:r>
        <w:t xml:space="preserve"> </w:t>
      </w:r>
      <w:hyperlink w:anchor="sec-univariate">
        <w:r>
          <w:rPr>
            <w:rStyle w:val="Hyperlink"/>
          </w:rPr>
          <w:t xml:space="preserve">Section 6.4</w:t>
        </w:r>
      </w:hyperlink>
      <w:r>
        <w:t xml:space="preserve"> </w:t>
      </w:r>
      <w:r>
        <w:t xml:space="preserve">covers the concentration part</w:t>
      </w:r>
      <w:r>
        <w:t xml:space="preserve"> </w:t>
      </w:r>
      <w:r>
        <w:t xml:space="preserve">of that dependence across the full range the capture step delivers.</w:t>
      </w:r>
    </w:p>
    <w:p>
      <w:pPr>
        <w:pStyle w:val="BodyText"/>
      </w:pPr>
      <w:r>
        <w:t xml:space="preserve">The third assumption is that the spiked runs behave as the unspiked step does. The spike is</w:t>
      </w:r>
      <w:r>
        <w:t xml:space="preserve"> </w:t>
      </w:r>
      <w:r>
        <w:t xml:space="preserve">a virus preparation added to the pool, and it carries its own matrix. The volume ratio in</w:t>
      </w:r>
      <w:r>
        <w:t xml:space="preserve"> </w:t>
      </w:r>
      <w:r>
        <w:t xml:space="preserve">SOP-2009 keeps that matrix to a small fraction of the hold, and the product quality</w:t>
      </w:r>
      <w:r>
        <w:t xml:space="preserve"> </w:t>
      </w:r>
      <w:r>
        <w:t xml:space="preserve">responses of the spiked runs will be compared with those of the qualification runs to</w:t>
      </w:r>
      <w:r>
        <w:t xml:space="preserve"> </w:t>
      </w:r>
      <w:r>
        <w:t xml:space="preserve">confirm that the spike did not shift them.</w:t>
      </w:r>
    </w:p>
    <w:p>
      <w:pPr>
        <w:pStyle w:val="BodyText"/>
      </w:pPr>
      <w:r>
        <w:t xml:space="preserve">The fourth assumption is that the analytical methods resolve the differences the study</w:t>
      </w:r>
      <w:r>
        <w:t xml:space="preserve"> </w:t>
      </w:r>
      <w:r>
        <w:t xml:space="preserve">needs to see. The risk is largest for the infectivity assay near complete inactivation,</w:t>
      </w:r>
      <w:r>
        <w:t xml:space="preserve"> </w:t>
      </w:r>
      <w:r>
        <w:t xml:space="preserve">where the end of hold titre may fall below the limit of detection and the log reduction can</w:t>
      </w:r>
      <w:r>
        <w:t xml:space="preserve"> </w:t>
      </w:r>
      <w:r>
        <w:t xml:space="preserve">only be reported as a greater-than value. Several such runs at the low pH corner would</w:t>
      </w:r>
      <w:r>
        <w:t xml:space="preserve"> </w:t>
      </w:r>
      <w:r>
        <w:t xml:space="preserve">flatten the fitted surface there and would make the model conservative rather than wrong.</w:t>
      </w:r>
      <w:r>
        <w:t xml:space="preserve"> </w:t>
      </w:r>
      <w:r>
        <w:t xml:space="preserve">The report will identify any run reported that way and will state what it does to the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One further risk is procedural. Material supply may force the two designs onto different</w:t>
      </w:r>
      <w:r>
        <w:t xml:space="preserve"> </w:t>
      </w:r>
      <w:r>
        <w:t xml:space="preserve">Protein A pools, which introduces a block effect.</w:t>
      </w:r>
      <w:r>
        <w:t xml:space="preserve"> </w:t>
      </w:r>
      <w:hyperlink w:anchor="sec-rsm">
        <w:r>
          <w:rPr>
            <w:rStyle w:val="Hyperlink"/>
          </w:rPr>
          <w:t xml:space="preserve">Section 6.3</w:t>
        </w:r>
      </w:hyperlink>
      <w:r>
        <w:t xml:space="preserve"> </w:t>
      </w:r>
      <w:r>
        <w:t xml:space="preserve">sets out how that would be</w:t>
      </w:r>
      <w:r>
        <w:t xml:space="preserve"> </w:t>
      </w:r>
      <w:r>
        <w:t xml:space="preserve">handled, and the analysis would report the block effect rather than absorb it into the</w:t>
      </w:r>
      <w:r>
        <w:t xml:space="preserve"> </w:t>
      </w:r>
      <w:r>
        <w:t xml:space="preserve">parameter estimates.</w:t>
      </w:r>
    </w:p>
    <w:bookmarkEnd w:id="48"/>
    <w:bookmarkStart w:id="49" w:name="sec-approvals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becomes effective when it has been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Execution of the studies described here may not begin before that approval.</w:t>
      </w:r>
      <w:r>
        <w:t xml:space="preserve"> </w:t>
      </w:r>
      <w:r>
        <w:t xml:space="preserve">Amendments to the plan will be issued as a new version and approved by the same functions,</w:t>
      </w:r>
      <w:r>
        <w:t xml:space="preserve"> </w:t>
      </w:r>
      <w:r>
        <w:t xml:space="preserve">and any amendment made after execution has begun will be reported in PCR-006 with the</w:t>
      </w:r>
      <w:r>
        <w:t xml:space="preserve"> </w:t>
      </w:r>
      <w:r>
        <w:t xml:space="preserve">reason for it.</w:t>
      </w:r>
    </w:p>
    <w:bookmarkEnd w:id="49"/>
    <w:bookmarkStart w:id="54" w:name="sec-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appendices give the planned design matrices in coded form. No results appear in them,</w:t>
      </w:r>
      <w:r>
        <w:t xml:space="preserve"> </w:t>
      </w:r>
      <w:r>
        <w:t xml:space="preserve">because none exist at the time this plan is issued. The natural-unit setting for each coded</w:t>
      </w:r>
      <w:r>
        <w:t xml:space="preserve"> </w:t>
      </w:r>
      <w:r>
        <w:t xml:space="preserve">level follows from the range of the factor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where coded −1 is the low edge</w:t>
      </w:r>
      <w:r>
        <w:t xml:space="preserve"> </w:t>
      </w:r>
      <w:r>
        <w:t xml:space="preserve">of the range studied, coded +1 is the high edge and coded 0 is the midpoint between them.</w:t>
      </w:r>
      <w:r>
        <w:t xml:space="preserve"> </w:t>
      </w:r>
      <w:r>
        <w:t xml:space="preserve">The factor letters are those of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</w:t>
      </w:r>
    </w:p>
    <w:bookmarkStart w:id="51" w:name="sec-appa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screening design matrix in coded units. Runs will be executed in randomized order.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0"/>
          <w:p/>
        </w:tc>
      </w:tr>
    </w:tbl>
    <w:bookmarkEnd w:id="51"/>
    <w:bookmarkStart w:id="53" w:name="sec-appb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response-surface design matrix in coded units. Runs will be executed in randomized order.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bookmarkEnd w:id="53"/>
    <w:bookmarkEnd w:id="54"/>
    <w:bookmarkStart w:id="59" w:name="references"/>
    <w:p>
      <w:pPr>
        <w:pStyle w:val="Heading1"/>
      </w:pPr>
      <w:r>
        <w:t xml:space="preserve">References</w:t>
      </w:r>
    </w:p>
    <w:bookmarkStart w:id="58" w:name="refs"/>
    <w:bookmarkStart w:id="5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5"/>
    <w:bookmarkStart w:id="56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6"/>
    <w:bookmarkStart w:id="57" w:name="ref-ichq5a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2026-08-20T16:16:43Z</dcterms:created>
  <dcterms:modified xsi:type="dcterms:W3CDTF">2026-08-20T16:16:43Z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PCP-006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