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Small-Virus Retentive Filtration (Step 9) — PCP-009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ALCOA+, attributable, legible, contemporaneous, original</w:t>
      </w:r>
      <w:r>
        <w:t xml:space="preserve"> </w:t>
      </w:r>
      <w:r>
        <w:t xml:space="preserve">and accurate, plus complete, consistent, enduring and available; AMV, analytical method</w:t>
      </w:r>
      <w:r>
        <w:t xml:space="preserve"> </w:t>
      </w:r>
      <w:r>
        <w:t xml:space="preserve">validation; BLA, Biologics License Application; CPP, critical process parameter; CQA,</w:t>
      </w:r>
      <w:r>
        <w:t xml:space="preserve"> </w:t>
      </w:r>
      <w:r>
        <w:t xml:space="preserve">critical quality attribute; DoE, design of experiments; DS, drug substance; ELN, electronic</w:t>
      </w:r>
      <w:r>
        <w:t xml:space="preserve"> </w:t>
      </w:r>
      <w:r>
        <w:t xml:space="preserve">laboratory notebook; GPP, general process parameter; ICH, International Council for</w:t>
      </w:r>
      <w:r>
        <w:t xml:space="preserve"> </w:t>
      </w:r>
      <w:r>
        <w:t xml:space="preserve">Harmonisation; KPP, key process parameter; LIMS, laboratory information management system;</w:t>
      </w:r>
      <w:r>
        <w:t xml:space="preserve"> </w:t>
      </w:r>
      <w:r>
        <w:t xml:space="preserve">LRF, log reduction factor; MSAT, Manufacturing Science and Technology; MVM, minute virus of</w:t>
      </w:r>
      <w:r>
        <w:t xml:space="preserve"> </w:t>
      </w:r>
      <w:r>
        <w:t xml:space="preserve">mice; NOR, normal operating range; PAR, proven acceptable range; PD, Process Development;</w:t>
      </w:r>
      <w:r>
        <w:t xml:space="preserve"> </w:t>
      </w:r>
      <w:r>
        <w:t xml:space="preserve">QA, Quality Assurance; qPCR, quantitative polymerase chain reaction; RSM, response surface</w:t>
      </w:r>
      <w:r>
        <w:t xml:space="preserve"> </w:t>
      </w:r>
      <w:r>
        <w:t xml:space="preserve">methodology; SDM, scale-down model; SOP, standard operating procedure; TCID50, fifty percent</w:t>
      </w:r>
      <w:r>
        <w:t xml:space="preserve"> </w:t>
      </w:r>
      <w:r>
        <w:t xml:space="preserve">tissue culture infective dose; WC-CPP, well controlled critical process parameter; XMuLV,</w:t>
      </w:r>
      <w:r>
        <w:t xml:space="preserve"> </w:t>
      </w:r>
      <w:r>
        <w:t xml:space="preserve">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The A-Mab drug substance process is being transferred from Novacyte Biologics — Cambridge, MA (Development) to</w:t>
      </w:r>
      <w:r>
        <w:t xml:space="preserve"> </w:t>
      </w:r>
      <w:r>
        <w:t xml:space="preserve">Novacyte Biologics — Grafton, WI (Commercial DS). Stage 1 process characterization supports that transfer by</w:t>
      </w:r>
      <w:r>
        <w:t xml:space="preserve"> </w:t>
      </w:r>
      <w:r>
        <w:t xml:space="preserve">establishing which process parameters affect product quality and by defining the ranges</w:t>
      </w:r>
      <w:r>
        <w:t xml:space="preserve"> </w:t>
      </w:r>
      <w:r>
        <w:t xml:space="preserve">within which the commercial process may be operated</w:t>
      </w:r>
      <w:r>
        <w:t xml:space="preserve"> </w:t>
      </w:r>
      <w:r>
        <w:t xml:space="preserve">(U.S. Food and Drug Administration 2011)</w:t>
      </w:r>
      <w:r>
        <w:t xml:space="preserve">. This plan describes the</w:t>
      </w:r>
      <w:r>
        <w:t xml:space="preserve"> </w:t>
      </w:r>
      <w:r>
        <w:t xml:space="preserve">characterization study for Step 9 of the drug substance train, the</w:t>
      </w:r>
      <w:r>
        <w:t xml:space="preserve"> </w:t>
      </w:r>
      <w:r>
        <w:t xml:space="preserve">small virus retentive filtration step, and it is issued before any characterization data</w:t>
      </w:r>
      <w:r>
        <w:t xml:space="preserve"> </w:t>
      </w:r>
      <w:r>
        <w:t xml:space="preserve">have been generated. The commercial process runs at a production bioreactor scale of</w:t>
      </w:r>
      <w:r>
        <w:t xml:space="preserve"> </w:t>
      </w:r>
      <w:r>
        <w:t xml:space="preserve">15,000 L.</w:t>
      </w:r>
    </w:p>
    <w:p>
      <w:pPr>
        <w:pStyle w:val="BodyText"/>
      </w:pPr>
      <w:r>
        <w:t xml:space="preserve">The step is the dedicated small virus removal operation of the purification train and the</w:t>
      </w:r>
      <w:r>
        <w:t xml:space="preserve"> </w:t>
      </w:r>
      <w:r>
        <w:t xml:space="preserve">principal source of MVM clearance. Its clearance is orthogonal to the two other viral</w:t>
      </w:r>
      <w:r>
        <w:t xml:space="preserve"> </w:t>
      </w:r>
      <w:r>
        <w:t xml:space="preserve">safety steps, low pH inactivation (Step 6) and anion exchange chromatography (Step 8),</w:t>
      </w:r>
      <w:r>
        <w:t xml:space="preserve"> </w:t>
      </w:r>
      <w:r>
        <w:t xml:space="preserve">because it removes virus by size rather than by inactivation or by binding</w:t>
      </w:r>
      <w:r>
        <w:t xml:space="preserve"> </w:t>
      </w:r>
      <w:r>
        <w:t xml:space="preserve">(International Council for Harmonisation 2023a)</w:t>
      </w:r>
      <w:r>
        <w:t xml:space="preserve">. The</w:t>
      </w:r>
      <w:r>
        <w:t xml:space="preserve"> </w:t>
      </w:r>
      <w:r>
        <w:t xml:space="preserve">study covers the 2 process parameters of the step and the</w:t>
      </w:r>
      <w:r>
        <w:t xml:space="preserve"> </w:t>
      </w:r>
      <w:r>
        <w:t xml:space="preserve">3 responses listed in</w:t>
      </w:r>
      <w:r>
        <w:t xml:space="preserve"> </w:t>
      </w:r>
      <w:hyperlink w:anchor="tbl-crit">
        <w:r>
          <w:rPr>
            <w:rStyle w:val="Hyperlink"/>
          </w:rPr>
          <w:t xml:space="preserve">Table 8</w:t>
        </w:r>
      </w:hyperlink>
      <w:r>
        <w:t xml:space="preserve">. It will be executed on a qualified</w:t>
      </w:r>
      <w:r>
        <w:t xml:space="preserve"> </w:t>
      </w:r>
      <w:r>
        <w:t xml:space="preserve">scale-down model, on load material representative of the anion exchange pool that feeds</w:t>
      </w:r>
      <w:r>
        <w:t xml:space="preserve"> </w:t>
      </w:r>
      <w:r>
        <w:t xml:space="preserve">the step at commercial scale.</w:t>
      </w:r>
    </w:p>
    <w:p>
      <w:pPr>
        <w:pStyle w:val="BodyText"/>
      </w:pPr>
      <w:r>
        <w:t xml:space="preserve">Three things are outside the scope of this plan. Qualification of the membrane itself is</w:t>
      </w:r>
      <w:r>
        <w:t xml:space="preserve"> </w:t>
      </w:r>
      <w:r>
        <w:t xml:space="preserve">held by the filter manufacturer and is not repeated here. The cumulative viral clearance</w:t>
      </w:r>
      <w:r>
        <w:t xml:space="preserve"> </w:t>
      </w:r>
      <w:r>
        <w:t xml:space="preserve">claim for the drug substance is consolidated across all three viral safety steps in</w:t>
      </w:r>
      <w:r>
        <w:t xml:space="preserve"> </w:t>
      </w:r>
      <w:r>
        <w:t xml:space="preserve">PCMR-001, and this study establishes only the contribution of Step</w:t>
      </w:r>
      <w:r>
        <w:t xml:space="preserve"> </w:t>
      </w:r>
      <w:r>
        <w:t xml:space="preserve">9. Process validation at commercial scale is covered by the</w:t>
      </w:r>
      <w:r>
        <w:t xml:space="preserve"> </w:t>
      </w:r>
      <w:r>
        <w:t xml:space="preserve">validation programme and not by this study.</w:t>
      </w:r>
    </w:p>
    <w:p>
      <w:pPr>
        <w:pStyle w:val="BodyText"/>
      </w:pPr>
      <w:r>
        <w:t xml:space="preserve">The deliverable of the study is PCR-009, the process characterization report for this</w:t>
      </w:r>
      <w:r>
        <w:t xml:space="preserve"> </w:t>
      </w:r>
      <w:r>
        <w:t xml:space="preserve">step.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the following objectives.</w:t>
      </w:r>
    </w:p>
    <w:p>
      <w:pPr>
        <w:pStyle w:val="Compact"/>
        <w:numPr>
          <w:ilvl w:val="0"/>
          <w:numId w:val="1001"/>
        </w:numPr>
      </w:pPr>
      <w:r>
        <w:t xml:space="preserve">Qualify a scale-down model of the small virus retentive filtration step, and show that</w:t>
      </w:r>
      <w:r>
        <w:t xml:space="preserve"> </w:t>
      </w:r>
      <w:r>
        <w:t xml:space="preserve">it represents the commercial step for virus retention, for flux decay and for step</w:t>
      </w:r>
      <w:r>
        <w:t xml:space="preserve"> </w:t>
      </w:r>
      <w:r>
        <w:t xml:space="preserve">yield.</w:t>
      </w:r>
    </w:p>
    <w:p>
      <w:pPr>
        <w:pStyle w:val="Compact"/>
        <w:numPr>
          <w:ilvl w:val="0"/>
          <w:numId w:val="1001"/>
        </w:numPr>
      </w:pPr>
      <w:r>
        <w:t xml:space="preserve">Determine which of the parameters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affect the two viral clearance</w:t>
      </w:r>
      <w:r>
        <w:t xml:space="preserve"> </w:t>
      </w:r>
      <w:r>
        <w:t xml:space="preserve">responses and the step yield, in what direction and by how much.</w:t>
      </w:r>
    </w:p>
    <w:p>
      <w:pPr>
        <w:pStyle w:val="Compact"/>
        <w:numPr>
          <w:ilvl w:val="0"/>
          <w:numId w:val="1001"/>
        </w:numPr>
      </w:pPr>
      <w:r>
        <w:t xml:space="preserve">Fit a response-surface model for each response over the characterization ranges, and</w:t>
      </w:r>
      <w:r>
        <w:t xml:space="preserve"> </w:t>
      </w:r>
      <w:r>
        <w:t xml:space="preserve">establish whether it predicts the mean response adequately.</w:t>
      </w:r>
    </w:p>
    <w:p>
      <w:pPr>
        <w:pStyle w:val="Compact"/>
        <w:numPr>
          <w:ilvl w:val="0"/>
          <w:numId w:val="1001"/>
        </w:numPr>
      </w:pPr>
      <w:r>
        <w:t xml:space="preserve">Derive a proven acceptable range for each parameter against each of the two viral</w:t>
      </w:r>
      <w:r>
        <w:t xml:space="preserve"> </w:t>
      </w:r>
      <w:r>
        <w:t xml:space="preserve">clearance responses, using the criteria in §7 and the method in §8.</w:t>
      </w:r>
    </w:p>
    <w:p>
      <w:pPr>
        <w:pStyle w:val="Compact"/>
        <w:numPr>
          <w:ilvl w:val="0"/>
          <w:numId w:val="1001"/>
        </w:numPr>
      </w:pPr>
      <w:r>
        <w:t xml:space="preserve">Classify each parameter under SOP-4001 and define what the step contributes to the</w:t>
      </w:r>
      <w:r>
        <w:t xml:space="preserve"> </w:t>
      </w:r>
      <w:r>
        <w:t xml:space="preserve">control strategy and to the modular viral clearance claim.</w:t>
      </w:r>
    </w:p>
    <w:p>
      <w:pPr>
        <w:pStyle w:val="FirstParagraph"/>
      </w:pPr>
      <w:r>
        <w:t xml:space="preserve">The screening design identifies the parameters that have an effect. The response-surface</w:t>
      </w:r>
      <w:r>
        <w:t xml:space="preserve"> </w:t>
      </w:r>
      <w:r>
        <w:t xml:space="preserve">model is the predictive model, and every range claimed in PCR-009 will be derived from</w:t>
      </w:r>
      <w:r>
        <w:t xml:space="preserve"> </w:t>
      </w:r>
      <w:r>
        <w:t xml:space="preserve">it.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that scope this plan and the documents that depend on it.</w:t>
      </w:r>
      <w:r>
        <w:t xml:space="preserve"> </w:t>
      </w:r>
      <w:r>
        <w:t xml:space="preserve">RA-001 sets the study scope, PCP-009 plans the study and PCR-009 reports it, and PCR-009</w:t>
      </w:r>
      <w:r>
        <w:t xml:space="preserve"> </w:t>
      </w:r>
      <w:r>
        <w:t xml:space="preserve">rolls up into PCMR-001.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(Small-Virus Retentive Filtration (Step 9))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controlled procedures and validated analytical methods the study will</w:t>
      </w:r>
      <w:r>
        <w:t xml:space="preserve"> </w:t>
      </w:r>
      <w:r>
        <w:t xml:space="preserve">be executed under. SOP-2012 governs operation of the step and the pre-use and post-use</w:t>
      </w:r>
      <w:r>
        <w:t xml:space="preserve"> </w:t>
      </w:r>
      <w:r>
        <w:t xml:space="preserve">integrity tests, and the two method validations cover the infectivity assays for the model</w:t>
      </w:r>
      <w:r>
        <w:t xml:space="preserve"> </w:t>
      </w:r>
      <w:r>
        <w:t xml:space="preserve">viruses.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analytical methods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removes virus by size. The membrane carries a pore size distribution chosen to</w:t>
      </w:r>
      <w:r>
        <w:t xml:space="preserve"> </w:t>
      </w:r>
      <w:r>
        <w:t xml:space="preserve">retain the smallest viruses of concern, the parvoviruses, while the antibody passes</w:t>
      </w:r>
      <w:r>
        <w:t xml:space="preserve"> </w:t>
      </w:r>
      <w:r>
        <w:t xml:space="preserve">through. Retention is a sieving mechanism, so it depends on the integrity of the pore</w:t>
      </w:r>
      <w:r>
        <w:t xml:space="preserve"> </w:t>
      </w:r>
      <w:r>
        <w:t xml:space="preserve">structure and on how the effective pore size of the membrane changes as it fouls over the</w:t>
      </w:r>
      <w:r>
        <w:t xml:space="preserve"> </w:t>
      </w:r>
      <w:r>
        <w:t xml:space="preserve">course of a batch.</w:t>
      </w:r>
    </w:p>
    <w:p>
      <w:pPr>
        <w:pStyle w:val="BodyText"/>
      </w:pPr>
      <w:r>
        <w:t xml:space="preserve">MVM sits close to the pore size cut-off, and its retention depends on the fraction of</w:t>
      </w:r>
      <w:r>
        <w:t xml:space="preserve"> </w:t>
      </w:r>
      <w:r>
        <w:t xml:space="preserve">pores at the large end of the distribution and on the flow through them. As the membrane</w:t>
      </w:r>
      <w:r>
        <w:t xml:space="preserve"> </w:t>
      </w:r>
      <w:r>
        <w:t xml:space="preserve">fouls with product and with residual impurity, flux redistributes toward the least fouled</w:t>
      </w:r>
      <w:r>
        <w:t xml:space="preserve"> </w:t>
      </w:r>
      <w:r>
        <w:t xml:space="preserve">and largest pores, and small virus can pass. MVM breakthrough therefore rises with the</w:t>
      </w:r>
      <w:r>
        <w:t xml:space="preserve"> </w:t>
      </w:r>
      <w:r>
        <w:t xml:space="preserve">volume filtered per unit area, and the highest load of a batch is the point at which</w:t>
      </w:r>
      <w:r>
        <w:t xml:space="preserve"> </w:t>
      </w:r>
      <w:r>
        <w:t xml:space="preserve">retention is weakest. A low transmembrane pressure or an interruption of flow can also allow</w:t>
      </w:r>
      <w:r>
        <w:t xml:space="preserve"> </w:t>
      </w:r>
      <w:r>
        <w:t xml:space="preserve">virus held within the pore structure to diffuse through, so pressure is controlled as well</w:t>
      </w:r>
      <w:r>
        <w:t xml:space="preserve"> </w:t>
      </w:r>
      <w:r>
        <w:t xml:space="preserve">as volume.</w:t>
      </w:r>
    </w:p>
    <w:p>
      <w:pPr>
        <w:pStyle w:val="BodyText"/>
      </w:pPr>
      <w:r>
        <w:t xml:space="preserve">XMuLV is many times larger than the pores. It is retained completely while the membrane is</w:t>
      </w:r>
      <w:r>
        <w:t xml:space="preserve"> </w:t>
      </w:r>
      <w:r>
        <w:t xml:space="preserve">intact, and its clearance is insensitive to the operating parameters over any range that</w:t>
      </w:r>
      <w:r>
        <w:t xml:space="preserve"> </w:t>
      </w:r>
      <w:r>
        <w:t xml:space="preserve">can be run. Membrane integrity is confirmed after each batch by the post-use integrity</w:t>
      </w:r>
      <w:r>
        <w:t xml:space="preserve"> </w:t>
      </w:r>
      <w:r>
        <w:t xml:space="preserve">test under SOP-2012, and a membrane that passes that test has no pore large enough to pass</w:t>
      </w:r>
      <w:r>
        <w:t xml:space="preserve"> </w:t>
      </w:r>
      <w:r>
        <w:t xml:space="preserve">a retrovirus.</w:t>
      </w:r>
    </w:p>
    <w:p>
      <w:pPr>
        <w:pStyle w:val="BodyText"/>
      </w:pPr>
      <w:r>
        <w:t xml:space="preserve">Step yield is limited only by product held up in the fouled membrane and in the system,</w:t>
      </w:r>
      <w:r>
        <w:t xml:space="preserve"> </w:t>
      </w:r>
      <w:r>
        <w:t xml:space="preserve">because the antibody is small enough to pass the pores freely. Yield is therefore expected</w:t>
      </w:r>
      <w:r>
        <w:t xml:space="preserve"> </w:t>
      </w:r>
      <w:r>
        <w:t xml:space="preserve">to be high and to fall slowly as the volumetric load rises.</w:t>
      </w:r>
    </w:p>
    <w:p>
      <w:pPr>
        <w:pStyle w:val="BodyText"/>
      </w:pPr>
      <w:r>
        <w:t xml:space="preserve">The step is a platform operation. It has been used to manufacture three previously</w:t>
      </w:r>
      <w:r>
        <w:t xml:space="preserve"> </w:t>
      </w:r>
      <w:r>
        <w:t xml:space="preserve">licensed humanized IgG1 antibodies, X-Mab, Y-Mab and Z-Mab, and to supply A-Mab clinical</w:t>
      </w:r>
      <w:r>
        <w:t xml:space="preserve"> </w:t>
      </w:r>
      <w:r>
        <w:t xml:space="preserve">material, with the same filter type and the same mode of operation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mechanism of removal is size exclusion and does not depend on the identity of the</w:t>
      </w:r>
      <w:r>
        <w:t xml:space="preserve"> </w:t>
      </w:r>
      <w:r>
        <w:t xml:space="preserve">antibody, so the platform experience justifies the ranges chosen in §6.1 and supports the</w:t>
      </w:r>
      <w:r>
        <w:t xml:space="preserve"> </w:t>
      </w:r>
      <w:r>
        <w:t xml:space="preserve">expectation that MVM retention falls with volumetric load while XMuLV retention does not.</w:t>
      </w:r>
      <w:r>
        <w:t xml:space="preserve"> </w:t>
      </w:r>
      <w:r>
        <w:t xml:space="preserve">Prior knowledge does not remove the need for the study. The material presented to the</w:t>
      </w:r>
      <w:r>
        <w:t xml:space="preserve"> </w:t>
      </w:r>
      <w:r>
        <w:t xml:space="preserve">filter is the anion exchange flow-through pool of the A-Mab process, and how that pool</w:t>
      </w:r>
      <w:r>
        <w:t xml:space="preserve"> </w:t>
      </w:r>
      <w:r>
        <w:t xml:space="preserve">fouls the membrane is specific to the product, so the maximum load and the pressure range</w:t>
      </w:r>
      <w:r>
        <w:t xml:space="preserve"> </w:t>
      </w:r>
      <w:r>
        <w:t xml:space="preserve">will be established on A-Mab material.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forms no quality attribute. It contributes log reduction to the two viral safety</w:t>
      </w:r>
      <w:r>
        <w:t xml:space="preserve"> </w:t>
      </w:r>
      <w:r>
        <w:t xml:space="preserve">attributes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both of which are cumulative requirements on the drug substance</w:t>
      </w:r>
      <w:r>
        <w:t xml:space="preserve"> </w:t>
      </w:r>
      <w:r>
        <w:t xml:space="preserve">and are met by several steps 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the step contributes clearance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Both attributes are of very high criticality, and the risk they carry is patient safety</w:t>
      </w:r>
      <w:r>
        <w:t xml:space="preserve"> </w:t>
      </w:r>
      <w:r>
        <w:t xml:space="preserve">rather than efficacy. MVM is the harder of the two for this step. The low pH inactivation</w:t>
      </w:r>
      <w:r>
        <w:t xml:space="preserve"> </w:t>
      </w:r>
      <w:r>
        <w:t xml:space="preserve">step is not credited with any MVM clearance, because MVM is non-enveloped and low pH acts</w:t>
      </w:r>
      <w:r>
        <w:t xml:space="preserve"> </w:t>
      </w:r>
      <w:r>
        <w:t xml:space="preserve">on the lipid envelope, so the cumulative MVM requirement rests on anion exchange</w:t>
      </w:r>
      <w:r>
        <w:t xml:space="preserve"> </w:t>
      </w:r>
      <w:r>
        <w:t xml:space="preserve">chromatography and on this step alone. XMuLV is cleared by all three viral safety steps</w:t>
      </w:r>
      <w:r>
        <w:t xml:space="preserve"> </w:t>
      </w:r>
      <w:r>
        <w:t xml:space="preserve">and by the chromatography steps that make no claim, so the cumulative XMuLV requirement is</w:t>
      </w:r>
      <w:r>
        <w:t xml:space="preserve"> </w:t>
      </w:r>
      <w:r>
        <w:t xml:space="preserve">met with a wide margin.</w:t>
      </w:r>
    </w:p>
    <w:p>
      <w:pPr>
        <w:pStyle w:val="BodyText"/>
      </w:pPr>
      <w:r>
        <w:t xml:space="preserve">The acceptance values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cumulative across the process and cannot be applied</w:t>
      </w:r>
      <w:r>
        <w:t xml:space="preserve"> </w:t>
      </w:r>
      <w:r>
        <w:t xml:space="preserve">to one step. What this step must deliver is derived from them in §7.</w:t>
      </w:r>
    </w:p>
    <w:p>
      <w:pPr>
        <w:pStyle w:val="BodyText"/>
      </w:pPr>
      <w:r>
        <w:t xml:space="preserve">Step yield is a process performance response. No drug substance attribute maps to it, so</w:t>
      </w:r>
      <w:r>
        <w:t xml:space="preserve"> </w:t>
      </w:r>
      <w:r>
        <w:t xml:space="preserve">it will be measured and reported but judged against no quality criterion.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every unit operation twice, once for the potential impact</w:t>
      </w:r>
      <w:r>
        <w:t xml:space="preserve"> </w:t>
      </w:r>
      <w:r>
        <w:t xml:space="preserve">of the parameter on quality attributes and once for its potential to interact with other</w:t>
      </w:r>
      <w:r>
        <w:t xml:space="preserve"> </w:t>
      </w:r>
      <w:r>
        <w:t xml:space="preserve">parameters</w:t>
      </w:r>
      <w:r>
        <w:t xml:space="preserve"> </w:t>
      </w:r>
      <w:r>
        <w:t xml:space="preserve">(International Council for Harmonisation 2023b)</w:t>
      </w:r>
      <w:r>
        <w:t xml:space="preserve">. Parameters scoring high on either ranking were assigned to</w:t>
      </w:r>
      <w:r>
        <w:t xml:space="preserve"> </w:t>
      </w:r>
      <w:r>
        <w:t xml:space="preserve">multivariate study, parameters scoring lower were assigned to univariate study, and</w:t>
      </w:r>
      <w:r>
        <w:t xml:space="preserve"> </w:t>
      </w:r>
      <w:r>
        <w:t xml:space="preserve">parameters supported by platform knowledge alone were assigned to neither.</w:t>
      </w:r>
    </w:p>
    <w:p>
      <w:pPr>
        <w:pStyle w:val="BodyText"/>
      </w:pPr>
      <w:r>
        <w:t xml:space="preserve">For this step the assessment placed 2 parameters in the multivariate</w:t>
      </w:r>
      <w:r>
        <w:t xml:space="preserve"> </w:t>
      </w:r>
      <w:r>
        <w:t xml:space="preserve">group and 0 in the univariate group. Filtration volume was ranked high</w:t>
      </w:r>
      <w:r>
        <w:t xml:space="preserve"> </w:t>
      </w:r>
      <w:r>
        <w:t xml:space="preserve">because MVM retention falls as the volume filtered per unit area rises, once fouling has</w:t>
      </w:r>
      <w:r>
        <w:t xml:space="preserve"> </w:t>
      </w:r>
      <w:r>
        <w:t xml:space="preserve">carried the flux onto the largest pores. Filtration pressure was ranked high because a</w:t>
      </w:r>
      <w:r>
        <w:t xml:space="preserve"> </w:t>
      </w:r>
      <w:r>
        <w:t xml:space="preserve">loss of pressure or a stop in flow lets MVM already held in the pore structure diffuse</w:t>
      </w:r>
      <w:r>
        <w:t xml:space="preserve"> </w:t>
      </w:r>
      <w:r>
        <w:t xml:space="preserve">forward into the filtrate, and because a rise in pressure drives more filtrate through the</w:t>
      </w:r>
      <w:r>
        <w:t xml:space="preserve"> </w:t>
      </w:r>
      <w:r>
        <w:t xml:space="preserve">pores that remain open. Filtration volume decides how much of the membrane is still open</w:t>
      </w:r>
      <w:r>
        <w:t xml:space="preserve"> </w:t>
      </w:r>
      <w:r>
        <w:t xml:space="preserve">and pressure decides how fast the filtrate crosses what is left, so the fall in MVM</w:t>
      </w:r>
      <w:r>
        <w:t xml:space="preserve"> </w:t>
      </w:r>
      <w:r>
        <w:t xml:space="preserve">retention with load is expected to be steeper at the top of the pressure range than at the</w:t>
      </w:r>
      <w:r>
        <w:t xml:space="preserve"> </w:t>
      </w:r>
      <w:r>
        <w:t xml:space="preserve">bottom. The designs must be able to estimate that interaction.</w:t>
      </w:r>
    </w:p>
    <w:p>
      <w:pPr>
        <w:pStyle w:val="BodyText"/>
      </w:pPr>
      <w:r>
        <w:t xml:space="preserve">No parameter of this step was left out of the study on the basis of prior knowledge alone.</w:t>
      </w:r>
      <w:r>
        <w:t xml:space="preserve"> </w:t>
      </w:r>
      <w:r>
        <w:t xml:space="preserve">The risk assessment recorded that the platform claim for this step is a viral safety</w:t>
      </w:r>
      <w:r>
        <w:t xml:space="preserve"> </w:t>
      </w:r>
      <w:r>
        <w:t xml:space="preserve">claim, and that a claim of that kind should be supported by product specific data even</w:t>
      </w:r>
      <w:r>
        <w:t xml:space="preserve"> </w:t>
      </w:r>
      <w:r>
        <w:t xml:space="preserve">where the mechanism is well understood.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run on a laboratory scale filtration system fitted with the same</w:t>
      </w:r>
      <w:r>
        <w:t xml:space="preserve"> </w:t>
      </w:r>
      <w:r>
        <w:t xml:space="preserve">membrane type and the same membrane chemistry as the commercial step. The model is scaled</w:t>
      </w:r>
      <w:r>
        <w:t xml:space="preserve"> </w:t>
      </w:r>
      <w:r>
        <w:t xml:space="preserve">on membrane area, so that the volumetric load in L/m2, the transmembrane pressure and the</w:t>
      </w:r>
      <w:r>
        <w:t xml:space="preserve"> </w:t>
      </w:r>
      <w:r>
        <w:t xml:space="preserve">flux per unit area are the same as at commercial scale. Load material will be matched</w:t>
      </w:r>
      <w:r>
        <w:t xml:space="preserve"> </w:t>
      </w:r>
      <w:r>
        <w:t xml:space="preserve">because the product and the residual impurity the pool carries are what foul the membrane,</w:t>
      </w:r>
      <w:r>
        <w:t xml:space="preserve"> </w:t>
      </w:r>
      <w:r>
        <w:t xml:space="preserve">and a cleaner pool fouls it more slowly. Filtration temperature will be matched because a</w:t>
      </w:r>
      <w:r>
        <w:t xml:space="preserve"> </w:t>
      </w:r>
      <w:r>
        <w:t xml:space="preserve">higher temperature lowers the viscosity of the pool and raises the flux at a given</w:t>
      </w:r>
      <w:r>
        <w:t xml:space="preserve"> </w:t>
      </w:r>
      <w:r>
        <w:t xml:space="preserve">pressure. The hold-up volume per unit area will be matched because it fixes how much</w:t>
      </w:r>
      <w:r>
        <w:t xml:space="preserve"> </w:t>
      </w:r>
      <w:r>
        <w:t xml:space="preserve">product is left wetting the membrane and the tubing at the end of a run, which is what</w:t>
      </w:r>
      <w:r>
        <w:t xml:space="preserve"> </w:t>
      </w:r>
      <w:r>
        <w:t xml:space="preserve">limits the step yield.</w:t>
      </w:r>
    </w:p>
    <w:p>
      <w:pPr>
        <w:pStyle w:val="BodyText"/>
      </w:pPr>
      <w:r>
        <w:t xml:space="preserve">Qualification will follow SOP-1001. Triplicate runs of the scale-down system will be</w:t>
      </w:r>
      <w:r>
        <w:t xml:space="preserve"> </w:t>
      </w:r>
      <w:r>
        <w:t xml:space="preserve">operated at the set-points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on representative anion exchange pool, and the</w:t>
      </w:r>
      <w:r>
        <w:t xml:space="preserve"> </w:t>
      </w:r>
      <w:r>
        <w:t xml:space="preserve">flux decay profile, the step yield and the post-use integrity test result will be compared</w:t>
      </w:r>
      <w:r>
        <w:t xml:space="preserve"> </w:t>
      </w:r>
      <w:r>
        <w:t xml:space="preserve">with the corresponding manufacturing scale records. The model will be accepted where no</w:t>
      </w:r>
      <w:r>
        <w:t xml:space="preserve"> </w:t>
      </w:r>
      <w:r>
        <w:t xml:space="preserve">statistically significant difference is found between the scales in yield or in flux decay</w:t>
      </w:r>
      <w:r>
        <w:t xml:space="preserve"> </w:t>
      </w:r>
      <w:r>
        <w:t xml:space="preserve">at the end of the load.</w:t>
      </w:r>
    </w:p>
    <w:p>
      <w:pPr>
        <w:pStyle w:val="BodyText"/>
      </w:pPr>
      <w:r>
        <w:t xml:space="preserve">Virus cannot be spiked into a manufacturing batch, so every clearance figure claimed for</w:t>
      </w:r>
      <w:r>
        <w:t xml:space="preserve"> </w:t>
      </w:r>
      <w:r>
        <w:t xml:space="preserve">this step comes from the scale-down model</w:t>
      </w:r>
      <w:r>
        <w:t xml:space="preserve"> </w:t>
      </w:r>
      <w:r>
        <w:t xml:space="preserve">(International Council for Harmonisation 2023a)</w:t>
      </w:r>
      <w:r>
        <w:t xml:space="preserve">. The weight of the claim therefore</w:t>
      </w:r>
      <w:r>
        <w:t xml:space="preserve"> </w:t>
      </w:r>
      <w:r>
        <w:t xml:space="preserve">rests on this qualification. The qualification will be repeated if the membrane type, the</w:t>
      </w:r>
      <w:r>
        <w:t xml:space="preserve"> </w:t>
      </w:r>
      <w:r>
        <w:t xml:space="preserve">filtration temperature or the composition of the load material changes, and PCR-009 will</w:t>
      </w:r>
      <w:r>
        <w:t xml:space="preserve"> </w:t>
      </w:r>
      <w:r>
        <w:t xml:space="preserve">state the qualification result before it reports any log reduction.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load is the flow-through pool of the anion exchange step. Each run will be operated at</w:t>
      </w:r>
      <w:r>
        <w:t xml:space="preserve"> </w:t>
      </w:r>
      <w:r>
        <w:t xml:space="preserve">constant transmembrane pressure to the volumetric load set by the design point, and the</w:t>
      </w:r>
      <w:r>
        <w:t xml:space="preserve"> </w:t>
      </w:r>
      <w:r>
        <w:t xml:space="preserve">filtrate will be collected in fractions across the load.</w:t>
      </w:r>
    </w:p>
    <w:p>
      <w:pPr>
        <w:pStyle w:val="BodyText"/>
      </w:pPr>
      <w:r>
        <w:t xml:space="preserve">Before each run the filter will be wetted and its integrity tested, and after each run the</w:t>
      </w:r>
      <w:r>
        <w:t xml:space="preserve"> </w:t>
      </w:r>
      <w:r>
        <w:t xml:space="preserve">post-use integrity test will be performed, both under SOP-2012. A run whose post-use</w:t>
      </w:r>
      <w:r>
        <w:t xml:space="preserve"> </w:t>
      </w:r>
      <w:r>
        <w:t xml:space="preserve">integrity test fails will be excluded from the analysis and recorded as a deviation,</w:t>
      </w:r>
      <w:r>
        <w:t xml:space="preserve"> </w:t>
      </w:r>
      <w:r>
        <w:t xml:space="preserve">because a failed integrity test means the membrane was not intact and the log reduction</w:t>
      </w:r>
      <w:r>
        <w:t xml:space="preserve"> </w:t>
      </w:r>
      <w:r>
        <w:t xml:space="preserve">measured across it says nothing about the step.</w:t>
      </w:r>
    </w:p>
    <w:p>
      <w:pPr>
        <w:pStyle w:val="BodyText"/>
      </w:pPr>
      <w:r>
        <w:t xml:space="preserve">Each design point will be executed once, with both model viruses spiked into the load</w:t>
      </w:r>
      <w:r>
        <w:t xml:space="preserve"> </w:t>
      </w:r>
      <w:r>
        <w:t xml:space="preserve">before filtration. Step yield will be determined from the same run by protein mass</w:t>
      </w:r>
      <w:r>
        <w:t xml:space="preserve"> </w:t>
      </w:r>
      <w:r>
        <w:t xml:space="preserve">balance, from the ultraviolet absorbance of the load and of the pooled filtrate. Runs will</w:t>
      </w:r>
      <w:r>
        <w:t xml:space="preserve"> </w:t>
      </w:r>
      <w:r>
        <w:t xml:space="preserve">be executed in randomized order within each design.</w:t>
      </w:r>
    </w:p>
    <w:p>
      <w:pPr>
        <w:pStyle w:val="BodyText"/>
      </w:pPr>
      <w:r>
        <w:t xml:space="preserve">Filtration will be continuous. The claim made from this study applies to uninterrupted</w:t>
      </w:r>
      <w:r>
        <w:t xml:space="preserve"> </w:t>
      </w:r>
      <w:r>
        <w:t xml:space="preserve">operation, because an interruption of flow allows virus held in the pore structure to</w:t>
      </w:r>
      <w:r>
        <w:t xml:space="preserve"> </w:t>
      </w:r>
      <w:r>
        <w:t xml:space="preserve">diffuse through it. An interruption at commercial scale is a deviation and lies outside</w:t>
      </w:r>
      <w:r>
        <w:t xml:space="preserve"> </w:t>
      </w:r>
      <w:r>
        <w:t xml:space="preserve">the operating region this study will define.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Virus titre will be determined by the validated methods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 MVM will be</w:t>
      </w:r>
      <w:r>
        <w:t xml:space="preserve"> </w:t>
      </w:r>
      <w:r>
        <w:t xml:space="preserve">titred by TCID50 with qPCR confirmation, and XMuLV by TCID50.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viral clearance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log reduction factor of a run is the base ten logarithm of the total virus in the</w:t>
      </w:r>
      <w:r>
        <w:t xml:space="preserve"> </w:t>
      </w:r>
      <w:r>
        <w:t xml:space="preserve">spiked load divided by the total virus in the filtrate, with both totals taken over the</w:t>
      </w:r>
      <w:r>
        <w:t xml:space="preserve"> </w:t>
      </w:r>
      <w:r>
        <w:t xml:space="preserve">volume actually filtered. Cytotoxicity and interference controls will be run for the load</w:t>
      </w:r>
      <w:r>
        <w:t xml:space="preserve"> </w:t>
      </w:r>
      <w:r>
        <w:t xml:space="preserve">matrix and the filtrate matrix, and a spike recovery control will be run for each virus</w:t>
      </w:r>
      <w:r>
        <w:t xml:space="preserve"> </w:t>
      </w:r>
      <w:r>
        <w:t xml:space="preserve">stock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Where no virus is detected in the filtrate, the titre will be reported at the limit of</w:t>
      </w:r>
      <w:r>
        <w:t xml:space="preserve"> </w:t>
      </w:r>
      <w:r>
        <w:t xml:space="preserve">detection of the assay and the log reduction reported as a lower bound rather than as a</w:t>
      </w:r>
      <w:r>
        <w:t xml:space="preserve"> </w:t>
      </w:r>
      <w:r>
        <w:t xml:space="preserve">point value. The infectivity assays carry their own variability, and the acceptance</w:t>
      </w:r>
      <w:r>
        <w:t xml:space="preserve"> </w:t>
      </w:r>
      <w:r>
        <w:t xml:space="preserve">criteria in §7 allow 0.35 log10 for it.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from the load before spiking, from the spiked load, and from the</w:t>
      </w:r>
      <w:r>
        <w:t xml:space="preserve"> </w:t>
      </w:r>
      <w:r>
        <w:t xml:space="preserve">filtrate. The filtrate will be sampled as sequential fractions across the volumetric load</w:t>
      </w:r>
      <w:r>
        <w:t xml:space="preserve"> </w:t>
      </w:r>
      <w:r>
        <w:t xml:space="preserve">and as a pool at the end of the run. Fractionating the filtrate allows the log reduction</w:t>
      </w:r>
      <w:r>
        <w:t xml:space="preserve"> </w:t>
      </w:r>
      <w:r>
        <w:t xml:space="preserve">to be resolved against the volume filtered within a single run, which is the variable that</w:t>
      </w:r>
      <w:r>
        <w:t xml:space="preserve"> </w:t>
      </w:r>
      <w:r>
        <w:t xml:space="preserve">degrades MVM retention as the membrane fouls.</w:t>
      </w:r>
    </w:p>
    <w:p>
      <w:pPr>
        <w:pStyle w:val="BodyText"/>
      </w:pPr>
      <w:r>
        <w:t xml:space="preserve">Each spiked load sample and each filtrate sample will be assayed for both model viruses.</w:t>
      </w:r>
      <w:r>
        <w:t xml:space="preserve"> </w:t>
      </w:r>
      <w:r>
        <w:t xml:space="preserve">The unspiked load and the unspiked filtrate pool will be assayed for protein concentration</w:t>
      </w:r>
      <w:r>
        <w:t xml:space="preserve"> </w:t>
      </w:r>
      <w:r>
        <w:t xml:space="preserve">for the yield calculation. Samples may be held frozen before assay where the method</w:t>
      </w:r>
      <w:r>
        <w:t xml:space="preserve"> </w:t>
      </w:r>
      <w:r>
        <w:t xml:space="preserve">validation supports it.</w:t>
      </w:r>
    </w:p>
    <w:p>
      <w:pPr>
        <w:pStyle w:val="BodyText"/>
      </w:pPr>
      <w:r>
        <w:t xml:space="preserve">Every sample will be identified by run number and by the volumetric load at which it was</w:t>
      </w:r>
      <w:r>
        <w:t xml:space="preserve"> </w:t>
      </w:r>
      <w:r>
        <w:t xml:space="preserve">taken, and the identity will be recorded at the time of sampling.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Both factors will be coded to the interval -1 to +1 across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so that the estimated effects are comparable between the two factors and</w:t>
      </w:r>
      <w:r>
        <w:t xml:space="preserve"> </w:t>
      </w:r>
      <w:r>
        <w:t xml:space="preserve">between the two designs. Effects will be reported as the change in the response over half</w:t>
      </w:r>
      <w:r>
        <w:t xml:space="preserve"> </w:t>
      </w:r>
      <w:r>
        <w:t xml:space="preserve">the characterization range.</w:t>
      </w:r>
    </w:p>
    <w:p>
      <w:pPr>
        <w:pStyle w:val="BodyText"/>
      </w:pPr>
      <w:r>
        <w:t xml:space="preserve">The screening design will be analysed with a model carrying both main effects and their</w:t>
      </w:r>
      <w:r>
        <w:t xml:space="preserve"> </w:t>
      </w:r>
      <w:r>
        <w:t xml:space="preserve">interaction. The response-surface design will be analysed with the full quadratic model in</w:t>
      </w:r>
      <w:r>
        <w:t xml:space="preserve"> </w:t>
      </w:r>
      <w:r>
        <w:t xml:space="preserve">both factors. Coefficients will be reported with their standard errors and p-values, and</w:t>
      </w:r>
      <w:r>
        <w:t xml:space="preserve"> </w:t>
      </w:r>
      <w:r>
        <w:t xml:space="preserve">effects significant at α = 0.05 will be treated as real.</w:t>
      </w:r>
    </w:p>
    <w:p>
      <w:pPr>
        <w:pStyle w:val="BodyText"/>
      </w:pPr>
      <w:r>
        <w:t xml:space="preserve">Model adequacy will be judged from three things. The lack of fit will be tested against</w:t>
      </w:r>
      <w:r>
        <w:t xml:space="preserve"> </w:t>
      </w:r>
      <w:r>
        <w:t xml:space="preserve">the pure error estimated from the centre point replicates. The residuals will be plotted</w:t>
      </w:r>
      <w:r>
        <w:t xml:space="preserve"> </w:t>
      </w:r>
      <w:r>
        <w:t xml:space="preserve">against the predicted value and on a normal quantile plot. The coefficient of</w:t>
      </w:r>
      <w:r>
        <w:t xml:space="preserve"> </w:t>
      </w:r>
      <w:r>
        <w:t xml:space="preserve">determination and the residual standard error will be reported for each response. The</w:t>
      </w:r>
      <w:r>
        <w:t xml:space="preserve"> </w:t>
      </w:r>
      <w:r>
        <w:t xml:space="preserve">centre point replicates also give the reproducibility of each response, which will be</w:t>
      </w:r>
      <w:r>
        <w:t xml:space="preserve"> </w:t>
      </w:r>
      <w:r>
        <w:t xml:space="preserve">reported as a coefficient of variation and used as the pure error term.</w:t>
      </w:r>
    </w:p>
    <w:p>
      <w:pPr>
        <w:pStyle w:val="BodyText"/>
      </w:pPr>
      <w:r>
        <w:t xml:space="preserve">Analyses will be performed under SOP-1002. The analysis will be run from a script under</w:t>
      </w:r>
      <w:r>
        <w:t xml:space="preserve"> </w:t>
      </w:r>
      <w:r>
        <w:t xml:space="preserve">version control with a fixed random seed, so that every number in PCR-009 can be</w:t>
      </w:r>
      <w:r>
        <w:t xml:space="preserve"> </w:t>
      </w:r>
      <w:r>
        <w:t xml:space="preserve">regenerated from the raw data.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lists the parameters of the step, their set-points, the ranges that will be</w:t>
      </w:r>
      <w:r>
        <w:t xml:space="preserve"> </w:t>
      </w:r>
      <w:r>
        <w:t xml:space="preserve">studied and the normal operating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94"/>
              <w:gridCol w:w="736"/>
              <w:gridCol w:w="1197"/>
              <w:gridCol w:w="1565"/>
              <w:gridCol w:w="736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Both parameters will be studied multivariately. The characterization range for the</w:t>
      </w:r>
      <w:r>
        <w:t xml:space="preserve"> </w:t>
      </w:r>
      <w:r>
        <w:t xml:space="preserve">filtration volume runs from the lower NOR edge to 140</w:t>
      </w:r>
      <w:r>
        <w:t xml:space="preserve"> </w:t>
      </w:r>
      <w:r>
        <w:t xml:space="preserve">L/m2, which lies above the upper NOR edge of</w:t>
      </w:r>
      <w:r>
        <w:t xml:space="preserve"> </w:t>
      </w:r>
      <w:r>
        <w:t xml:space="preserve">105 L/m2. The range was</w:t>
      </w:r>
      <w:r>
        <w:t xml:space="preserve"> </w:t>
      </w:r>
      <w:r>
        <w:t xml:space="preserve">widened upward only, because MVM retention falls as the volumetric load rises and holds</w:t>
      </w:r>
      <w:r>
        <w:t xml:space="preserve"> </w:t>
      </w:r>
      <w:r>
        <w:t xml:space="preserve">steady below the set-point. The edge of acceptable performance therefore lies above the NOR and</w:t>
      </w:r>
      <w:r>
        <w:t xml:space="preserve"> </w:t>
      </w:r>
      <w:r>
        <w:t xml:space="preserve">not below it, and a range extended downward would consume runs where nothing changes.</w:t>
      </w:r>
    </w:p>
    <w:p>
      <w:pPr>
        <w:pStyle w:val="BodyText"/>
      </w:pPr>
      <w:r>
        <w:t xml:space="preserve">The pressure range runs from 8 to</w:t>
      </w:r>
      <w:r>
        <w:t xml:space="preserve"> </w:t>
      </w:r>
      <w:r>
        <w:t xml:space="preserve">30 psi and is widened on both sides of the</w:t>
      </w:r>
      <w:r>
        <w:t xml:space="preserve"> </w:t>
      </w:r>
      <w:r>
        <w:t xml:space="preserve">NOR of 10 to 20</w:t>
      </w:r>
      <w:r>
        <w:t xml:space="preserve"> </w:t>
      </w:r>
      <w:r>
        <w:t xml:space="preserve">psi. Low pressures are</w:t>
      </w:r>
      <w:r>
        <w:t xml:space="preserve"> </w:t>
      </w:r>
      <w:r>
        <w:t xml:space="preserve">included because a low transmembrane pressure allows retained virus to diffuse through the</w:t>
      </w:r>
      <w:r>
        <w:t xml:space="preserve"> </w:t>
      </w:r>
      <w:r>
        <w:t xml:space="preserve">pore structure. High pressures are included because they raise the flux and compress the</w:t>
      </w:r>
      <w:r>
        <w:t xml:space="preserve"> </w:t>
      </w:r>
      <w:r>
        <w:t xml:space="preserve">fouling layer, so more filtrate passes through the largest open pores and MVM retention is</w:t>
      </w:r>
      <w:r>
        <w:t xml:space="preserve"> </w:t>
      </w:r>
      <w:r>
        <w:t xml:space="preserve">expected to fall. Both edges are reachable</w:t>
      </w:r>
      <w:r>
        <w:t xml:space="preserve"> </w:t>
      </w:r>
      <w:r>
        <w:t xml:space="preserve">by the commercial equipment, so a range that covers them supports the deviation assessment</w:t>
      </w:r>
      <w:r>
        <w:t xml:space="preserve"> </w:t>
      </w:r>
      <w:r>
        <w:t xml:space="preserve">as well as the operating limits.</w:t>
      </w:r>
    </w:p>
    <w:p>
      <w:pPr>
        <w:pStyle w:val="BodyText"/>
      </w:pP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letters used for the two factors in the design matrices of</w:t>
      </w:r>
      <w:r>
        <w:t xml:space="preserve"> </w:t>
      </w:r>
      <w:r>
        <w:t xml:space="preserve">Appendices A and B and in the effect tables of PCR-009.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will be a two-level factorial in both factors with centre point</w:t>
      </w:r>
      <w:r>
        <w:t xml:space="preserve"> </w:t>
      </w:r>
      <w:r>
        <w:t xml:space="preserve">replicates, 7 runs in total. 4 runs are the</w:t>
      </w:r>
      <w:r>
        <w:t xml:space="preserve"> </w:t>
      </w:r>
      <w:r>
        <w:t xml:space="preserve">factorial points at the corners of the characterization ranges and</w:t>
      </w:r>
      <w:r>
        <w:t xml:space="preserve"> </w:t>
      </w:r>
      <w:r>
        <w:t xml:space="preserve">3 are replicates of the centre point.</w:t>
      </w:r>
    </w:p>
    <w:p>
      <w:pPr>
        <w:pStyle w:val="BodyText"/>
      </w:pPr>
      <w:r>
        <w:t xml:space="preserve">With 2 factors the full factorial is executed, so both main effects</w:t>
      </w:r>
      <w:r>
        <w:t xml:space="preserve"> </w:t>
      </w:r>
      <w:r>
        <w:t xml:space="preserve">and the interaction are estimated free of aliasing. A two-level design carries no estimate</w:t>
      </w:r>
      <w:r>
        <w:t xml:space="preserve"> </w:t>
      </w:r>
      <w:r>
        <w:t xml:space="preserve">of curvature, which is tested at the response-surface stage. The screening runs establish</w:t>
      </w:r>
      <w:r>
        <w:t xml:space="preserve"> </w:t>
      </w:r>
      <w:r>
        <w:t xml:space="preserve">the size and direction of the two effects, and the reproducibility of the infectivity</w:t>
      </w:r>
      <w:r>
        <w:t xml:space="preserve"> </w:t>
      </w:r>
      <w:r>
        <w:t xml:space="preserve">assays from the centre point replicates, before the response-surface runs are</w:t>
      </w:r>
      <w:r>
        <w:t xml:space="preserve"> </w:t>
      </w:r>
      <w:r>
        <w:t xml:space="preserve">committed.</w:t>
      </w:r>
    </w:p>
    <w:p>
      <w:pPr>
        <w:pStyle w:val="BodyText"/>
      </w:pPr>
      <w:r>
        <w:t xml:space="preserve">The planned coded settings are given in 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will be a face-centred central composite design in both</w:t>
      </w:r>
      <w:r>
        <w:t xml:space="preserve"> </w:t>
      </w:r>
      <w:r>
        <w:t xml:space="preserve">factors, 12 runs in total. It is made up of</w:t>
      </w:r>
      <w:r>
        <w:t xml:space="preserve"> </w:t>
      </w:r>
      <w:r>
        <w:t xml:space="preserve">4 factorial points, 4 axial points and</w:t>
      </w:r>
      <w:r>
        <w:t xml:space="preserve"> </w:t>
      </w:r>
      <w:r>
        <w:t xml:space="preserve">4 centre point replicates.</w:t>
      </w:r>
    </w:p>
    <w:p>
      <w:pPr>
        <w:pStyle w:val="BodyText"/>
      </w:pPr>
      <w:r>
        <w:t xml:space="preserve">The axial points sit on the edges of the characterization ranges rather than beyond them.</w:t>
      </w:r>
      <w:r>
        <w:t xml:space="preserve"> </w:t>
      </w:r>
      <w:r>
        <w:t xml:space="preserve">A rotatable design would place them outside those edges, and settings outside the ranges</w:t>
      </w:r>
      <w:r>
        <w:t xml:space="preserve"> </w:t>
      </w:r>
      <w:r>
        <w:t xml:space="preserve">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are not settings the step may be claimed for, so the face-centred form is</w:t>
      </w:r>
      <w:r>
        <w:t xml:space="preserve"> </w:t>
      </w:r>
      <w:r>
        <w:t xml:space="preserve">used. The design supports the full quadratic model, which allows the response to curve</w:t>
      </w:r>
      <w:r>
        <w:t xml:space="preserve"> </w:t>
      </w:r>
      <w:r>
        <w:t xml:space="preserve">against the volumetric load. Curvature is expected there, because the flux redistribution</w:t>
      </w:r>
      <w:r>
        <w:t xml:space="preserve"> </w:t>
      </w:r>
      <w:r>
        <w:t xml:space="preserve">that lets small virus through accelerates as the membrane fouls, and a model that could</w:t>
      </w:r>
      <w:r>
        <w:t xml:space="preserve"> </w:t>
      </w:r>
      <w:r>
        <w:t xml:space="preserve">only fit a straight line would over-predict retention at the top of the range.</w:t>
      </w:r>
    </w:p>
    <w:p>
      <w:pPr>
        <w:pStyle w:val="BodyText"/>
      </w:pPr>
      <w:r>
        <w:t xml:space="preserve">Four replicates of the centre point give the pure error term for the lack of fit test in</w:t>
      </w:r>
      <w:r>
        <w:t xml:space="preserve"> </w:t>
      </w:r>
      <w:r>
        <w:t xml:space="preserve">§5.5 and an estimate of run to run reproducibility that does not depend on the model. The</w:t>
      </w:r>
      <w:r>
        <w:t xml:space="preserve"> </w:t>
      </w:r>
      <w:r>
        <w:t xml:space="preserve">planned coded and natural unit settings are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No parameter of this step is assigned to univariate study. Both parameters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are factors of the two designs above, and the remaining operating variables of the step</w:t>
      </w:r>
      <w:r>
        <w:t xml:space="preserve"> </w:t>
      </w:r>
      <w:r>
        <w:t xml:space="preserve">are held at their set-points under SOP-2012 and are supported by platform experience.</w:t>
      </w:r>
    </w:p>
    <w:p>
      <w:pPr>
        <w:pStyle w:val="BodyText"/>
      </w:pPr>
      <w:r>
        <w:t xml:space="preserve">Where the study finds an effect that the two designs cannot separate, a univariate</w:t>
      </w:r>
      <w:r>
        <w:t xml:space="preserve"> </w:t>
      </w:r>
      <w:r>
        <w:t xml:space="preserve">confirmation run may be added. Any such run will be justified against the data that</w:t>
      </w:r>
      <w:r>
        <w:t xml:space="preserve"> </w:t>
      </w:r>
      <w:r>
        <w:t xml:space="preserve">prompted it and reported in PCR-009 with the same acceptance criteria as the designed</w:t>
      </w:r>
      <w:r>
        <w:t xml:space="preserve"> </w:t>
      </w:r>
      <w:r>
        <w:t xml:space="preserve">runs.</w:t>
      </w:r>
    </w:p>
    <w:bookmarkEnd w:id="34"/>
    <w:bookmarkEnd w:id="35"/>
    <w:bookmarkStart w:id="37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Three kinds of criterion apply to this study. One applies to the scale-down model, one to</w:t>
      </w:r>
      <w:r>
        <w:t xml:space="preserve"> </w:t>
      </w:r>
      <w:r>
        <w:t xml:space="preserve">the fitted models, and one to the responses themselves.</w:t>
      </w:r>
    </w:p>
    <w:p>
      <w:pPr>
        <w:pStyle w:val="BodyText"/>
      </w:pPr>
      <w:r>
        <w:t xml:space="preserve">The scale-down model criterion is stated in §5.1. The screening runs will not begin until</w:t>
      </w:r>
      <w:r>
        <w:t xml:space="preserve"> </w:t>
      </w:r>
      <w:r>
        <w:t xml:space="preserve">it has been met, because a model that does not represent the commercial step cannot</w:t>
      </w:r>
      <w:r>
        <w:t xml:space="preserve"> </w:t>
      </w:r>
      <w:r>
        <w:t xml:space="preserve">support a viral clearance claim from it.</w:t>
      </w:r>
    </w:p>
    <w:p>
      <w:pPr>
        <w:pStyle w:val="BodyText"/>
      </w:pPr>
      <w:r>
        <w:t xml:space="preserve">A fitted response-surface model will be accepted as predictive where the lack of fit test</w:t>
      </w:r>
      <w:r>
        <w:t xml:space="preserve"> </w:t>
      </w:r>
      <w:r>
        <w:t xml:space="preserve">is not significant at α = 0.05 against the pure error from the centre point replicates,</w:t>
      </w:r>
      <w:r>
        <w:t xml:space="preserve"> </w:t>
      </w:r>
      <w:r>
        <w:t xml:space="preserve">where the residuals show no trend against the predicted value and no material departure</w:t>
      </w:r>
      <w:r>
        <w:t xml:space="preserve"> </w:t>
      </w:r>
      <w:r>
        <w:t xml:space="preserve">from normality, and where the residual standard error is small against the distance</w:t>
      </w:r>
      <w:r>
        <w:t xml:space="preserve"> </w:t>
      </w:r>
      <w:r>
        <w:t xml:space="preserve">between the predicted response and its criterion. Where a model fails these checks, the</w:t>
      </w:r>
      <w:r>
        <w:t xml:space="preserve"> </w:t>
      </w:r>
      <w:r>
        <w:t xml:space="preserve">affected response will be reported descriptively and no range will be claimed from it.</w:t>
      </w:r>
    </w:p>
    <w:p>
      <w:pPr>
        <w:pStyle w:val="BodyText"/>
      </w:pPr>
      <w:hyperlink w:anchor="tbl-crit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criterion each response will be judged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r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Acceptance criteria for the study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5.47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two viral clearance responses are judged against an in-process criterion rather than</w:t>
      </w:r>
      <w:r>
        <w:t xml:space="preserve"> </w:t>
      </w:r>
      <w:r>
        <w:t xml:space="preserve">against the drug substance requirement. The requirement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cumulative, at</w:t>
      </w:r>
      <w:r>
        <w:t xml:space="preserve"> </w:t>
      </w:r>
      <w:r>
        <w:t xml:space="preserve">8.6 log10 for MVM and 16.7 log10 for</w:t>
      </w:r>
      <w:r>
        <w:t xml:space="preserve"> </w:t>
      </w:r>
      <w:r>
        <w:t xml:space="preserve">XMuLV. Subtracting the clearance credited to the other steps of the train leaves this step</w:t>
      </w:r>
      <w:r>
        <w:t xml:space="preserve"> </w:t>
      </w:r>
      <w:r>
        <w:t xml:space="preserve">a floor of 3.89 log10 for MVM and</w:t>
      </w:r>
      <w:r>
        <w:t xml:space="preserve"> </w:t>
      </w:r>
      <w:r>
        <w:t xml:space="preserve">3.65 log10 for XMuLV. The criteria in</w:t>
      </w:r>
      <w:r>
        <w:t xml:space="preserve"> </w:t>
      </w:r>
      <w:hyperlink w:anchor="tbl-crit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are tighter</w:t>
      </w:r>
      <w:r>
        <w:t xml:space="preserve"> </w:t>
      </w:r>
      <w:r>
        <w:t xml:space="preserve">than those floors, because each is set from the log reduction credited to this step in the</w:t>
      </w:r>
      <w:r>
        <w:t xml:space="preserve"> </w:t>
      </w:r>
      <w:r>
        <w:t xml:space="preserve">modular clearance strategy, less the assay allowance of</w:t>
      </w:r>
      <w:r>
        <w:t xml:space="preserve"> </w:t>
      </w:r>
      <w:r>
        <w:t xml:space="preserve">0.35 log10 described in §5.3. The criteria in</w:t>
      </w:r>
      <w:r>
        <w:t xml:space="preserve"> </w:t>
      </w:r>
      <w:hyperlink w:anchor="tbl-crit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are the</w:t>
      </w:r>
      <w:r>
        <w:t xml:space="preserve"> </w:t>
      </w:r>
      <w:r>
        <w:t xml:space="preserve">tighter of the two, so the study will be judged against them, and PCR-009 will quote the</w:t>
      </w:r>
      <w:r>
        <w:t xml:space="preserve"> </w:t>
      </w:r>
      <w:r>
        <w:t xml:space="preserve">floors only to show the margin the cumulative claim retains.</w:t>
      </w:r>
    </w:p>
    <w:p>
      <w:pPr>
        <w:pStyle w:val="BodyText"/>
      </w:pPr>
      <w:r>
        <w:t xml:space="preserve">Step yield carries no criterion. It will be reported with the operating region and used to</w:t>
      </w:r>
      <w:r>
        <w:t xml:space="preserve"> </w:t>
      </w:r>
      <w:r>
        <w:t xml:space="preserve">show what the region costs in product, and no acceptance decision will rest on it.</w:t>
      </w:r>
    </w:p>
    <w:p>
      <w:pPr>
        <w:pStyle w:val="BodyText"/>
      </w:pPr>
      <w:r>
        <w:t xml:space="preserve">An operating range for a parameter will be declared where the response-surface model</w:t>
      </w:r>
      <w:r>
        <w:t xml:space="preserve"> </w:t>
      </w:r>
      <w:r>
        <w:t xml:space="preserve">predicts that both viral clearance responses meet their criteria across that range. The design</w:t>
      </w:r>
      <w:r>
        <w:t xml:space="preserve"> </w:t>
      </w:r>
      <w:r>
        <w:t xml:space="preserve">space for the step is the part of the characterized region where both viral clearance</w:t>
      </w:r>
      <w:r>
        <w:t xml:space="preserve"> </w:t>
      </w:r>
      <w:r>
        <w:t xml:space="preserve">responses meet their criteria at the same time, and PCR-009 will report its size from the</w:t>
      </w:r>
      <w:r>
        <w:t xml:space="preserve"> </w:t>
      </w:r>
      <w:r>
        <w:t xml:space="preserve">fitted models rather than assert that it is the whole characterized region.</w:t>
      </w:r>
    </w:p>
    <w:p>
      <w:pPr>
        <w:pStyle w:val="BodyText"/>
      </w:pPr>
      <w:r>
        <w:t xml:space="preserve">Each parameter will be classified under SOP-4001 from the outcome of the study. A</w:t>
      </w:r>
      <w:r>
        <w:t xml:space="preserve"> </w:t>
      </w:r>
      <w:r>
        <w:t xml:space="preserve">parameter whose variability affects a critical quality attribute will be classified as a</w:t>
      </w:r>
      <w:r>
        <w:t xml:space="preserve"> </w:t>
      </w:r>
      <w:r>
        <w:t xml:space="preserve">CPP, or as a WC-CPP where the risk of operating outside the design space is low given the</w:t>
      </w:r>
      <w:r>
        <w:t xml:space="preserve"> </w:t>
      </w:r>
      <w:r>
        <w:t xml:space="preserve">control capability of the commercial equipment. A parameter that affects process</w:t>
      </w:r>
      <w:r>
        <w:t xml:space="preserve"> </w:t>
      </w:r>
      <w:r>
        <w:t xml:space="preserve">performance but no quality attribute will be classified as a KPP, and a parameter with</w:t>
      </w:r>
      <w:r>
        <w:t xml:space="preserve"> </w:t>
      </w:r>
      <w:r>
        <w:t xml:space="preserve">neither effect as a GPP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The study will be considered successful where the scale-down model is qualified, both</w:t>
      </w:r>
      <w:r>
        <w:t xml:space="preserve"> </w:t>
      </w:r>
      <w:r>
        <w:t xml:space="preserve">viral clearance models are accepted as predictive, and a proven acceptable range</w:t>
      </w:r>
      <w:r>
        <w:t xml:space="preserve"> </w:t>
      </w:r>
      <w:r>
        <w:t xml:space="preserve">containing the NOR is established for each parameter against each of the two viral</w:t>
      </w:r>
      <w:r>
        <w:t xml:space="preserve"> </w:t>
      </w:r>
      <w:r>
        <w:t xml:space="preserve">clearance responses. Where</w:t>
      </w:r>
      <w:r>
        <w:t xml:space="preserve"> </w:t>
      </w:r>
      <w:r>
        <w:t xml:space="preserve">no such range exists, PCR-009 will report the range that does exist and the operating</w:t>
      </w:r>
      <w:r>
        <w:t xml:space="preserve"> </w:t>
      </w:r>
      <w:r>
        <w:t xml:space="preserve">limit that follows from it.</w:t>
      </w:r>
    </w:p>
    <w:bookmarkEnd w:id="37"/>
    <w:bookmarkStart w:id="38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a parameter over which the response meets its</w:t>
      </w:r>
      <w:r>
        <w:t xml:space="preserve"> </w:t>
      </w:r>
      <w:r>
        <w:t xml:space="preserve">criterion, given a stated treatment of the other parameters</w:t>
      </w:r>
      <w:r>
        <w:t xml:space="preserve"> </w:t>
      </w:r>
      <w:r>
        <w:t xml:space="preserve">(International Council for Harmonisation 2009)</w:t>
      </w:r>
      <w:r>
        <w:t xml:space="preserve">. Two analyses will be</w:t>
      </w:r>
      <w:r>
        <w:t xml:space="preserve"> </w:t>
      </w:r>
      <w:r>
        <w:t xml:space="preserve">run for each parameter and each of the two viral clearance responses, and both will be</w:t>
      </w:r>
      <w:r>
        <w:t xml:space="preserve"> </w:t>
      </w:r>
      <w:r>
        <w:t xml:space="preserve">reported.</w:t>
      </w:r>
    </w:p>
    <w:p>
      <w:pPr>
        <w:pStyle w:val="BodyText"/>
      </w:pPr>
      <w:r>
        <w:t xml:space="preserve">The first holds the other parameter at its set-point and scans the parameter of interest</w:t>
      </w:r>
      <w:r>
        <w:t xml:space="preserve"> </w:t>
      </w:r>
      <w:r>
        <w:t xml:space="preserve">across its characterization range on a grid of 201 points, using</w:t>
      </w:r>
      <w:r>
        <w:t xml:space="preserve"> </w:t>
      </w:r>
      <w:r>
        <w:t xml:space="preserve">the fitted response-surface model. It answers what the parameter may do while the rest of</w:t>
      </w:r>
      <w:r>
        <w:t xml:space="preserve"> </w:t>
      </w:r>
      <w:r>
        <w:t xml:space="preserve">the step is operated at target.</w:t>
      </w:r>
    </w:p>
    <w:p>
      <w:pPr>
        <w:pStyle w:val="BodyText"/>
      </w:pPr>
      <w:r>
        <w:t xml:space="preserve">The second varies the other parameter within its NOR by Monte-Carlo simulation of the</w:t>
      </w:r>
      <w:r>
        <w:t xml:space="preserve"> </w:t>
      </w:r>
      <w:r>
        <w:t xml:space="preserve">fitted model, with 2,000 draws at each of</w:t>
      </w:r>
      <w:r>
        <w:t xml:space="preserve"> </w:t>
      </w:r>
      <w:r>
        <w:t xml:space="preserve">81 grid points, and takes the range over which the 95 %</w:t>
      </w:r>
      <w:r>
        <w:t xml:space="preserve"> </w:t>
      </w:r>
      <w:r>
        <w:t xml:space="preserve">prediction interval of the response stays within acceptance. The draws carry the residual</w:t>
      </w:r>
      <w:r>
        <w:t xml:space="preserve"> </w:t>
      </w:r>
      <w:r>
        <w:t xml:space="preserve">variability of the model as well as the variability of the other parameter, so this range</w:t>
      </w:r>
      <w:r>
        <w:t xml:space="preserve"> </w:t>
      </w:r>
      <w:r>
        <w:t xml:space="preserve">will normally be the narrower of the two. Where the two analyses disagree, the range from</w:t>
      </w:r>
      <w:r>
        <w:t xml:space="preserve"> </w:t>
      </w:r>
      <w:r>
        <w:t xml:space="preserve">the second is the one carried into the control strategy, because the commercial process</w:t>
      </w:r>
      <w:r>
        <w:t xml:space="preserve"> </w:t>
      </w:r>
      <w:r>
        <w:t xml:space="preserve">holds each parameter somewhere within its normal operating range and not at its</w:t>
      </w:r>
      <w:r>
        <w:t xml:space="preserve"> </w:t>
      </w:r>
      <w:r>
        <w:t xml:space="preserve">set-point.</w:t>
      </w:r>
    </w:p>
    <w:p>
      <w:pPr>
        <w:pStyle w:val="BodyText"/>
      </w:pPr>
      <w:r>
        <w:t xml:space="preserve">The reported range in each case is the contiguous interval that contains the set-point.</w:t>
      </w:r>
      <w:r>
        <w:t xml:space="preserve"> </w:t>
      </w:r>
      <w:r>
        <w:t xml:space="preserve">Where the predicted response leaves acceptance inside the characterization range, the</w:t>
      </w:r>
      <w:r>
        <w:t xml:space="preserve"> </w:t>
      </w:r>
      <w:r>
        <w:t xml:space="preserve">proven acceptable range is narrower than the range studied, and PCR-009 will state the</w:t>
      </w:r>
      <w:r>
        <w:t xml:space="preserve"> </w:t>
      </w:r>
      <w:r>
        <w:t xml:space="preserve">value at which the response crosses its criterion.</w:t>
      </w:r>
    </w:p>
    <w:p>
      <w:pPr>
        <w:pStyle w:val="BodyText"/>
      </w:pPr>
      <w:r>
        <w:t xml:space="preserve">Each proven acceptable range will be reported with a plot of the response against the</w:t>
      </w:r>
      <w:r>
        <w:t xml:space="preserve"> </w:t>
      </w:r>
      <w:r>
        <w:t xml:space="preserve">parameter, with the acceptance limit drawn, the acceptable region shaded green, and the</w:t>
      </w:r>
      <w:r>
        <w:t xml:space="preserve"> </w:t>
      </w:r>
      <w:r>
        <w:t xml:space="preserve">set-point and the NOR marked. The two analyses will be shown as the two panels of one</w:t>
      </w:r>
      <w:r>
        <w:t xml:space="preserve"> </w:t>
      </w:r>
      <w:r>
        <w:t xml:space="preserve">figure, so that the cost of the robustness criterion is visible.</w:t>
      </w:r>
    </w:p>
    <w:p>
      <w:pPr>
        <w:pStyle w:val="BodyText"/>
      </w:pPr>
      <w:r>
        <w:t xml:space="preserve">The ranges themselves will be reported in PCR-009.</w:t>
      </w:r>
    </w:p>
    <w:bookmarkEnd w:id="38"/>
    <w:bookmarkStart w:id="39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Raw data will be recorded at the time of the activity, in the electronic laboratory</w:t>
      </w:r>
      <w:r>
        <w:t xml:space="preserve"> </w:t>
      </w:r>
      <w:r>
        <w:t xml:space="preserve">notebook for the process runs and in the laboratory information management system for the</w:t>
      </w:r>
      <w:r>
        <w:t xml:space="preserve"> </w:t>
      </w:r>
      <w:r>
        <w:t xml:space="preserve">analytical results. Records will meet the ALCOA+ expectations, and the audit trails of</w:t>
      </w:r>
      <w:r>
        <w:t xml:space="preserve"> </w:t>
      </w:r>
      <w:r>
        <w:t xml:space="preserve">both systems will be retained for the life of the application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Analytical results will be transferred to the analysis by controlled file export. The</w:t>
      </w:r>
      <w:r>
        <w:t xml:space="preserve"> </w:t>
      </w:r>
      <w:r>
        <w:t xml:space="preserve">fitted models, the tables and the figures of PCR-009 will be generated from the exported</w:t>
      </w:r>
      <w:r>
        <w:t xml:space="preserve"> </w:t>
      </w:r>
      <w:r>
        <w:t xml:space="preserve">data by a single reproducible run of the analysis script, and a second reviewer will</w:t>
      </w:r>
      <w:r>
        <w:t xml:space="preserve"> </w:t>
      </w:r>
      <w:r>
        <w:t xml:space="preserve">confirm that the reported numbers come from that run. Any manual entry of a value into the</w:t>
      </w:r>
      <w:r>
        <w:t xml:space="preserve"> </w:t>
      </w:r>
      <w:r>
        <w:t xml:space="preserve">analysis is a data integrity finding and will be handled as one.</w:t>
      </w:r>
    </w:p>
    <w:p>
      <w:pPr>
        <w:pStyle w:val="BodyText"/>
      </w:pPr>
      <w:r>
        <w:t xml:space="preserve">Deviations from this plan will be recorded when they occur and reported in PCR-009 with</w:t>
      </w:r>
      <w:r>
        <w:t xml:space="preserve"> </w:t>
      </w:r>
      <w:r>
        <w:t xml:space="preserve">their assessed impact on the study. A deviation that invalidates a design point will be</w:t>
      </w:r>
      <w:r>
        <w:t xml:space="preserve"> </w:t>
      </w:r>
      <w:r>
        <w:t xml:space="preserve">dispositioned before the affected runs are analysed, and where the disposition is to</w:t>
      </w:r>
      <w:r>
        <w:t xml:space="preserve"> </w:t>
      </w:r>
      <w:r>
        <w:t xml:space="preserve">repeat the affected runs, the superseded data will be retained and referenced rather than</w:t>
      </w:r>
      <w:r>
        <w:t xml:space="preserve"> </w:t>
      </w:r>
      <w:r>
        <w:t xml:space="preserve">deleted.</w:t>
      </w:r>
    </w:p>
    <w:bookmarkEnd w:id="39"/>
    <w:bookmarkStart w:id="41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hyperlink w:anchor="tbl-role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functions involved in the study and what each is accountable for. The</w:t>
      </w:r>
      <w:r>
        <w:t xml:space="preserve"> </w:t>
      </w:r>
      <w:r>
        <w:t xml:space="preserve">named individuals are recorded in the approval table of each document rather than here, so</w:t>
      </w:r>
      <w:r>
        <w:t xml:space="preserve"> </w:t>
      </w:r>
      <w:r>
        <w:t xml:space="preserve">that a change of personnel does not require a revision of this plan.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Functions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plan, executes the filtration runs, authors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infectivity assays and the protein determinations under the validated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Designs the experiments, performs the analysis, reviews model adequacy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Science,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operating ranges against the control capability of the commercial equipment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PCR-009, and dispositions deviations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receiving site reviews the ranges before they are fixed, because a range the</w:t>
      </w:r>
      <w:r>
        <w:t xml:space="preserve"> </w:t>
      </w:r>
      <w:r>
        <w:t xml:space="preserve">commercial equipment cannot hold is of no use in the control strategy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41"/>
    <w:bookmarkStart w:id="42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the study is PCR-009. It will report the qualification of the</w:t>
      </w:r>
      <w:r>
        <w:t xml:space="preserve"> </w:t>
      </w:r>
      <w:r>
        <w:t xml:space="preserve">scale-down model, the screening effects, the response-surface models with their</w:t>
      </w:r>
      <w:r>
        <w:t xml:space="preserve"> </w:t>
      </w:r>
      <w:r>
        <w:t xml:space="preserve">diagnostics, the proven acceptable ranges, the design space of the step, the parameter</w:t>
      </w:r>
      <w:r>
        <w:t xml:space="preserve"> </w:t>
      </w:r>
      <w:r>
        <w:t xml:space="preserve">classification and the contribution of the step to the control strategy and to the modular</w:t>
      </w:r>
      <w:r>
        <w:t xml:space="preserve"> </w:t>
      </w:r>
      <w:r>
        <w:t xml:space="preserve">viral clearance claim.</w:t>
      </w:r>
    </w:p>
    <w:p>
      <w:pPr>
        <w:pStyle w:val="BodyText"/>
      </w:pPr>
      <w:r>
        <w:t xml:space="preserve">The study will be executed in four phases, in this order.</w:t>
      </w:r>
    </w:p>
    <w:p>
      <w:pPr>
        <w:pStyle w:val="Compact"/>
        <w:numPr>
          <w:ilvl w:val="0"/>
          <w:numId w:val="1002"/>
        </w:numPr>
      </w:pPr>
      <w:r>
        <w:t xml:space="preserve">Qualification of the scale-down model, against the criterion in §5.1.</w:t>
      </w:r>
    </w:p>
    <w:p>
      <w:pPr>
        <w:pStyle w:val="Compact"/>
        <w:numPr>
          <w:ilvl w:val="0"/>
          <w:numId w:val="1002"/>
        </w:numPr>
      </w:pPr>
      <w:r>
        <w:t xml:space="preserve">The screening runs and their analysis.</w:t>
      </w:r>
    </w:p>
    <w:p>
      <w:pPr>
        <w:pStyle w:val="Compact"/>
        <w:numPr>
          <w:ilvl w:val="0"/>
          <w:numId w:val="1002"/>
        </w:numPr>
      </w:pPr>
      <w:r>
        <w:t xml:space="preserve">The response-surface runs and their analysis.</w:t>
      </w:r>
    </w:p>
    <w:p>
      <w:pPr>
        <w:pStyle w:val="Compact"/>
        <w:numPr>
          <w:ilvl w:val="0"/>
          <w:numId w:val="1002"/>
        </w:numPr>
      </w:pPr>
      <w:r>
        <w:t xml:space="preserve">The proven acceptable range analysis, the classification and the report.</w:t>
      </w:r>
    </w:p>
    <w:p>
      <w:pPr>
        <w:pStyle w:val="FirstParagraph"/>
      </w:pPr>
      <w:r>
        <w:t xml:space="preserve">Each phase begins when the preceding phase has met its criterion in §7. No calendar dates</w:t>
      </w:r>
      <w:r>
        <w:t xml:space="preserve"> </w:t>
      </w:r>
      <w:r>
        <w:t xml:space="preserve">are fixed in this plan. The study is scheduled against the transfer programme in PTP-001,</w:t>
      </w:r>
      <w:r>
        <w:t xml:space="preserve"> </w:t>
      </w:r>
      <w:r>
        <w:t xml:space="preserve">and its report rolls up into PCMR-001 with the reports of the other two viral safety</w:t>
      </w:r>
      <w:r>
        <w:t xml:space="preserve"> </w:t>
      </w:r>
      <w:r>
        <w:t xml:space="preserve">steps.</w:t>
      </w:r>
    </w:p>
    <w:bookmarkEnd w:id="42"/>
    <w:bookmarkStart w:id="43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clearance claim for this step rests entirely on a scale-down model, because virus</w:t>
      </w:r>
      <w:r>
        <w:t xml:space="preserve"> </w:t>
      </w:r>
      <w:r>
        <w:t xml:space="preserve">cannot be spiked at manufacturing scale. If the qualification in §5.1 fails, the study</w:t>
      </w:r>
      <w:r>
        <w:t xml:space="preserve"> </w:t>
      </w:r>
      <w:r>
        <w:t xml:space="preserve">cannot proceed. The mitigation is to re-scale the model on membrane area and on hold-up</w:t>
      </w:r>
      <w:r>
        <w:t xml:space="preserve"> </w:t>
      </w:r>
      <w:r>
        <w:t xml:space="preserve">volume and to repeat the qualification, and any change made to the model will be recorded</w:t>
      </w:r>
      <w:r>
        <w:t xml:space="preserve"> </w:t>
      </w:r>
      <w:r>
        <w:t xml:space="preserve">in PCR-009.</w:t>
      </w:r>
    </w:p>
    <w:p>
      <w:pPr>
        <w:pStyle w:val="BodyText"/>
      </w:pPr>
      <w:r>
        <w:t xml:space="preserve">Spiking adds material to the load, and retention depends on how the membrane fouls. A</w:t>
      </w:r>
      <w:r>
        <w:t xml:space="preserve"> </w:t>
      </w:r>
      <w:r>
        <w:t xml:space="preserve">spike that fouls the membrane differently from unspiked process material would bias the</w:t>
      </w:r>
      <w:r>
        <w:t xml:space="preserve"> </w:t>
      </w:r>
      <w:r>
        <w:t xml:space="preserve">measured log reduction, and the bias would be largest at the top of the volumetric range,</w:t>
      </w:r>
      <w:r>
        <w:t xml:space="preserve"> </w:t>
      </w:r>
      <w:r>
        <w:t xml:space="preserve">which is the part of the range the claim depends on. The virus stock will therefore be</w:t>
      </w:r>
      <w:r>
        <w:t xml:space="preserve"> </w:t>
      </w:r>
      <w:r>
        <w:t xml:space="preserve">clarified before addition and its volume kept small against the load volume, and the flux</w:t>
      </w:r>
      <w:r>
        <w:t xml:space="preserve"> </w:t>
      </w:r>
      <w:r>
        <w:t xml:space="preserve">decay of the spiked runs will be compared with that of the unspiked qualification runs.</w:t>
      </w:r>
    </w:p>
    <w:p>
      <w:pPr>
        <w:pStyle w:val="BodyText"/>
      </w:pPr>
      <w:r>
        <w:t xml:space="preserve">The log reduction that can be measured is bounded by the titre of the spiked load and by</w:t>
      </w:r>
      <w:r>
        <w:t xml:space="preserve"> </w:t>
      </w:r>
      <w:r>
        <w:t xml:space="preserve">the limit of detection of the infectivity assay. Where no virus is detected in the</w:t>
      </w:r>
      <w:r>
        <w:t xml:space="preserve"> </w:t>
      </w:r>
      <w:r>
        <w:t xml:space="preserve">filtrate, the result is a lower bound, and a lower bound that falls short of the criterion</w:t>
      </w:r>
      <w:r>
        <w:t xml:space="preserve"> </w:t>
      </w:r>
      <w:r>
        <w:t xml:space="preserve">in §7 cannot be resolved by repeating the assay. The load will therefore be spiked to a</w:t>
      </w:r>
      <w:r>
        <w:t xml:space="preserve"> </w:t>
      </w:r>
      <w:r>
        <w:t xml:space="preserve">titre that allows the criterion to be demonstrated with margin, and the achieved titre will</w:t>
      </w:r>
      <w:r>
        <w:t xml:space="preserve"> </w:t>
      </w:r>
      <w:r>
        <w:t xml:space="preserve">be reported with each run.</w:t>
      </w:r>
    </w:p>
    <w:p>
      <w:pPr>
        <w:pStyle w:val="BodyText"/>
      </w:pPr>
      <w:r>
        <w:t xml:space="preserve">The study assumes that the anion exchange pool used in the runs represents commercial</w:t>
      </w:r>
      <w:r>
        <w:t xml:space="preserve"> </w:t>
      </w:r>
      <w:r>
        <w:t xml:space="preserve">material. Anion exchange is the step immediately upstream and its own characterization is</w:t>
      </w:r>
      <w:r>
        <w:t xml:space="preserve"> </w:t>
      </w:r>
      <w:r>
        <w:t xml:space="preserve">reported in PCR-008. Pool from a run that was itself out of trend will not be used, and</w:t>
      </w:r>
      <w:r>
        <w:t xml:space="preserve"> </w:t>
      </w:r>
      <w:r>
        <w:t xml:space="preserve">the load material used in each filtration run will be identified in PCR-009.</w:t>
      </w:r>
    </w:p>
    <w:p>
      <w:pPr>
        <w:pStyle w:val="BodyText"/>
      </w:pPr>
      <w:r>
        <w:t xml:space="preserve">The study assumes uninterrupted filtration, as stated in §5.2. The ranges it produces do</w:t>
      </w:r>
      <w:r>
        <w:t xml:space="preserve"> </w:t>
      </w:r>
      <w:r>
        <w:t xml:space="preserve">not cover an interruption of flow, and an interruption at commercial scale will be</w:t>
      </w:r>
      <w:r>
        <w:t xml:space="preserve"> </w:t>
      </w:r>
      <w:r>
        <w:t xml:space="preserve">assessed as a deviation against the mechanism in §4.1 rather than against these ranges.</w:t>
      </w:r>
    </w:p>
    <w:p>
      <w:pPr>
        <w:pStyle w:val="BodyText"/>
      </w:pPr>
      <w:r>
        <w:t xml:space="preserve">Material supply is the principal risk to the schedule. Each design point consumes anion</w:t>
      </w:r>
      <w:r>
        <w:t xml:space="preserve"> </w:t>
      </w:r>
      <w:r>
        <w:t xml:space="preserve">exchange pool, and the runs will be scheduled against pool availability rather than</w:t>
      </w:r>
      <w:r>
        <w:t xml:space="preserve"> </w:t>
      </w:r>
      <w:r>
        <w:t xml:space="preserve">against a fixed calendar.</w:t>
      </w:r>
    </w:p>
    <w:bookmarkEnd w:id="43"/>
    <w:bookmarkStart w:id="44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Approval records that the study design in §6, the acceptance criteria in §7 and the data</w:t>
      </w:r>
      <w:r>
        <w:t xml:space="preserve"> </w:t>
      </w:r>
      <w:r>
        <w:t xml:space="preserve">management provisions in §9 are adequate to support the transfer and the viral clearance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A change to the factors, to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or to the acceptance criteria in</w:t>
      </w:r>
      <w:r>
        <w:t xml:space="preserve"> </w:t>
      </w:r>
      <w:hyperlink w:anchor="tbl-crit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after approval requires a revision of this plan and re-approval before the</w:t>
      </w:r>
      <w:r>
        <w:t xml:space="preserve"> </w:t>
      </w:r>
      <w:r>
        <w:t xml:space="preserve">affected runs are executed. A change made after the affected runs have been executed will</w:t>
      </w:r>
      <w:r>
        <w:t xml:space="preserve"> </w:t>
      </w:r>
      <w:r>
        <w:t xml:space="preserve">be reported in PCR-009 as a deviation from this plan.</w:t>
      </w:r>
    </w:p>
    <w:p>
      <w:r>
        <w:br w:type="page"/>
      </w:r>
    </w:p>
    <w:bookmarkEnd w:id="44"/>
    <w:bookmarkStart w:id="47" w:name="X7149527b81b82ac7e9fc876cc411d0dd5d45eb6"/>
    <w:p>
      <w:pPr>
        <w:pStyle w:val="Heading1"/>
      </w:pPr>
      <w:r>
        <w:t xml:space="preserve">14. Appendix A — Planned screening design matrix</w:t>
      </w:r>
    </w:p>
    <w:p>
      <w:pPr>
        <w:pStyle w:val="FirstParagraph"/>
      </w:pPr>
      <w:hyperlink w:anchor="tbl-appa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coded settings of the 7 screening runs. The letters</w:t>
      </w:r>
      <w:r>
        <w:t xml:space="preserve"> </w:t>
      </w:r>
      <w:r>
        <w:t xml:space="preserve">are those of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the coded levels -1, 0 and +1 correspond to the low edge, the</w:t>
      </w:r>
      <w:r>
        <w:t xml:space="preserve"> </w:t>
      </w:r>
      <w:r>
        <w:t xml:space="preserve">midpoint and the high edge of each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hyperlink w:anchor="tbl-appan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same design in the units the runs will be executed 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pp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design, natural unit settings.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The executed matrices with their measured responses will appear in the appendices of</w:t>
      </w:r>
      <w:r>
        <w:t xml:space="preserve"> </w:t>
      </w:r>
      <w:r>
        <w:t xml:space="preserve">PCR-009.</w:t>
      </w:r>
    </w:p>
    <w:bookmarkEnd w:id="47"/>
    <w:bookmarkStart w:id="50" w:name="Xd035249cb2928fc67e6106bc8a61a8b12039d8a"/>
    <w:p>
      <w:pPr>
        <w:pStyle w:val="Heading1"/>
      </w:pPr>
      <w:r>
        <w:t xml:space="preserve">15. Appendix B — Planned response-surface design matrix</w:t>
      </w:r>
    </w:p>
    <w:p>
      <w:pPr>
        <w:pStyle w:val="FirstParagraph"/>
      </w:pPr>
      <w:hyperlink w:anchor="tbl-appb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coded settings of the 12 response-surface runs, in</w:t>
      </w:r>
      <w:r>
        <w:t xml:space="preserve"> </w:t>
      </w:r>
      <w:r>
        <w:t xml:space="preserve">the same coding as Appendix A. The axial runs carry one factor at an edge of its</w:t>
      </w:r>
      <w:r>
        <w:t xml:space="preserve"> </w:t>
      </w:r>
      <w:r>
        <w:t xml:space="preserve">characterization range and the other at the midpoint, and the centre point is replicated</w:t>
      </w:r>
      <w:r>
        <w:t xml:space="preserve"> </w:t>
      </w:r>
      <w:r>
        <w:t xml:space="preserve">4 times.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hyperlink w:anchor="tbl-appbn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same design in natural units.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design, natural unit settings.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The execution order within each design will be randomized, so the run numbers in these</w:t>
      </w:r>
      <w:r>
        <w:t xml:space="preserve"> </w:t>
      </w:r>
      <w:r>
        <w:t xml:space="preserve">tables identify the design point and not the sequence in which it will be run.</w:t>
      </w:r>
    </w:p>
    <w:bookmarkEnd w:id="50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1"/>
    <w:bookmarkStart w:id="52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52"/>
    <w:bookmarkStart w:id="5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3"/>
    <w:bookmarkStart w:id="54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2026-08-20T16:17:29Z</dcterms:created>
  <dcterms:modified xsi:type="dcterms:W3CDTF">2026-08-20T16:17:29Z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PCP-009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