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Ultrafiltration / Diafiltration (Step 10) — PCP-010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Ultrafiltration / Diafiltration (Step 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A280, protein concentration measured by ultraviolet absorbance. ALCOA+, the data</w:t>
      </w:r>
      <w:r>
        <w:t xml:space="preserve"> </w:t>
      </w:r>
      <w:r>
        <w:t xml:space="preserve">integrity attributes (attributable, legible, contemporaneous, original, accurate, and</w:t>
      </w:r>
      <w:r>
        <w:t xml:space="preserve"> </w:t>
      </w:r>
      <w:r>
        <w:t xml:space="preserve">complete, consistent, enduring and available). AMV, analytical method validation. BLA,</w:t>
      </w:r>
      <w:r>
        <w:t xml:space="preserve"> </w:t>
      </w:r>
      <w:r>
        <w:t xml:space="preserve">Biologics License Application. CQA, critical quality attribute. DS, drug substance. DV,</w:t>
      </w:r>
      <w:r>
        <w:t xml:space="preserve"> </w:t>
      </w:r>
      <w:r>
        <w:t xml:space="preserve">diavolume. HMW, high molecular weight. icIEF, imaged capillary isoelectric focusing.</w:t>
      </w:r>
      <w:r>
        <w:t xml:space="preserve"> </w:t>
      </w:r>
      <w:r>
        <w:t xml:space="preserve">MSAT, Manufacturing Science and Technology. NOR, normal operating range. PAR, proven</w:t>
      </w:r>
      <w:r>
        <w:t xml:space="preserve"> </w:t>
      </w:r>
      <w:r>
        <w:t xml:space="preserve">acceptable range. PD, Process Development. QA, Quality Assurance. SDM, scale-down model.</w:t>
      </w:r>
      <w:r>
        <w:t xml:space="preserve"> </w:t>
      </w:r>
      <w:r>
        <w:t xml:space="preserve">SEC, size exclusion chromatography. SOP, standard operating procedure. TFF, tangential</w:t>
      </w:r>
      <w:r>
        <w:t xml:space="preserve"> </w:t>
      </w:r>
      <w:r>
        <w:t xml:space="preserve">flow filtration. TMP, transmembrane pressure. UF/DF, ultrafiltration and diafiltration.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plan defines the process characterization studies for the ultrafiltration and</w:t>
      </w:r>
      <w:r>
        <w:t xml:space="preserve"> </w:t>
      </w:r>
      <w:r>
        <w:t xml:space="preserve">diafiltration step of the A-Mab drug substance process, which is Step 10</w:t>
      </w:r>
      <w:r>
        <w:t xml:space="preserve"> </w:t>
      </w:r>
      <w:r>
        <w:t xml:space="preserve">and the last step of the drug substance train. The process is being transferred from</w:t>
      </w:r>
      <w:r>
        <w:t xml:space="preserve"> </w:t>
      </w:r>
      <w:r>
        <w:t xml:space="preserve">development in Cambridge to the commercial drug substance facility in Grafton, and the</w:t>
      </w:r>
      <w:r>
        <w:t xml:space="preserve"> </w:t>
      </w:r>
      <w:r>
        <w:t xml:space="preserve">studies described here form part of the Stage 1 process design record that supports the</w:t>
      </w:r>
      <w:r>
        <w:t xml:space="preserve"> </w:t>
      </w:r>
      <w:r>
        <w:t xml:space="preserve">transfer and the Biologics License Application</w:t>
      </w:r>
      <w:r>
        <w:t xml:space="preserve"> </w:t>
      </w:r>
      <w:r>
        <w:t xml:space="preserve">(U.S. Food and Drug Administration 2011; International Council for Harmonisation 2008)</w:t>
      </w:r>
      <w:r>
        <w:t xml:space="preserve">. The commercial</w:t>
      </w:r>
      <w:r>
        <w:t xml:space="preserve"> </w:t>
      </w:r>
      <w:r>
        <w:t xml:space="preserve">process is operated at a production bioreactor working volume of 15,000 L</w:t>
      </w:r>
      <w:r>
        <w:t xml:space="preserve"> </w:t>
      </w:r>
      <w:r>
        <w:t xml:space="preserve">and the step delivers drug substance at 75 g/L.</w:t>
      </w:r>
    </w:p>
    <w:p>
      <w:pPr>
        <w:pStyle w:val="BodyText"/>
      </w:pPr>
      <w:r>
        <w:t xml:space="preserve">The plan covers the three process parameters listed in §6.1, the scale-down model on</w:t>
      </w:r>
      <w:r>
        <w:t xml:space="preserve"> </w:t>
      </w:r>
      <w:r>
        <w:t xml:space="preserve">which they will be studied, the analytical methods and sampling, the acceptance and</w:t>
      </w:r>
      <w:r>
        <w:t xml:space="preserve"> </w:t>
      </w:r>
      <w:r>
        <w:t xml:space="preserve">decision criteria, and the analysis by which a proven acceptable range will be assigned</w:t>
      </w:r>
      <w:r>
        <w:t xml:space="preserve"> </w:t>
      </w:r>
      <w:r>
        <w:t xml:space="preserve">to each parameter. It applies to the drug substance process only. Drug product</w:t>
      </w:r>
      <w:r>
        <w:t xml:space="preserve"> </w:t>
      </w:r>
      <w:r>
        <w:t xml:space="preserve">manufacture and the development of the formulation itself are covered by the drug product</w:t>
      </w:r>
      <w:r>
        <w:t xml:space="preserve"> </w:t>
      </w:r>
      <w:r>
        <w:t xml:space="preserve">programme and are not in scope here. The composition of the formulation buffer is fixed by</w:t>
      </w:r>
      <w:r>
        <w:t xml:space="preserve"> </w:t>
      </w:r>
      <w:r>
        <w:t xml:space="preserve">that programme and is treated in these studies as a constant.</w:t>
      </w:r>
    </w:p>
    <w:p>
      <w:pPr>
        <w:pStyle w:val="BodyText"/>
      </w:pPr>
      <w:r>
        <w:t xml:space="preserve">The step is not where the quality attributes of A-Mab are formed. Concentration and buffer</w:t>
      </w:r>
      <w:r>
        <w:t xml:space="preserve"> </w:t>
      </w:r>
      <w:r>
        <w:t xml:space="preserve">exchange neither create nor remove the glycan and impurity attributes. What the step can</w:t>
      </w:r>
      <w:r>
        <w:t xml:space="preserve"> </w:t>
      </w:r>
      <w:r>
        <w:t xml:space="preserve">add to the size variants and to the charge variants is described in §4.1, and the studies</w:t>
      </w:r>
      <w:r>
        <w:t xml:space="preserve"> </w:t>
      </w:r>
      <w:r>
        <w:t xml:space="preserve">measure that increment against the material Step 9 delivers. No viral clearance is claimed</w:t>
      </w:r>
      <w:r>
        <w:t xml:space="preserve"> </w:t>
      </w:r>
      <w:r>
        <w:t xml:space="preserve">for this step. Clearance is credited to the low pH hold, the</w:t>
      </w:r>
      <w:r>
        <w:t xml:space="preserve"> </w:t>
      </w:r>
      <w:r>
        <w:t xml:space="preserve">anion exchange step and the small virus retentive filtration step, and the cumulative</w:t>
      </w:r>
      <w:r>
        <w:t xml:space="preserve"> </w:t>
      </w:r>
      <w:r>
        <w:t xml:space="preserve">claim is consolidated in PCMR-001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studies described in this plan will meet five objectives.</w:t>
      </w:r>
    </w:p>
    <w:p>
      <w:pPr>
        <w:numPr>
          <w:ilvl w:val="0"/>
          <w:numId w:val="1001"/>
        </w:numPr>
      </w:pPr>
      <w:r>
        <w:t xml:space="preserve">Qualify a bench scale TFF model of the commercial skid and demonstrate that it</w:t>
      </w:r>
      <w:r>
        <w:t xml:space="preserve"> </w:t>
      </w:r>
      <w:r>
        <w:t xml:space="preserve">represents the commercial step for the responses this plan measures.</w:t>
      </w:r>
    </w:p>
    <w:p>
      <w:pPr>
        <w:numPr>
          <w:ilvl w:val="0"/>
          <w:numId w:val="1001"/>
        </w:numPr>
      </w:pPr>
      <w:r>
        <w:t xml:space="preserve">Determine the effect of the number of diavolumes, the transmembrane pressure and</w:t>
      </w:r>
      <w:r>
        <w:t xml:space="preserve"> </w:t>
      </w:r>
      <w:r>
        <w:t xml:space="preserve">the final DS concentration on the aggregate content and the charge variant distribution</w:t>
      </w:r>
      <w:r>
        <w:t xml:space="preserve"> </w:t>
      </w:r>
      <w:r>
        <w:t xml:space="preserve">of the drug substance, over the characterization ranges given in §6.1.</w:t>
      </w:r>
    </w:p>
    <w:p>
      <w:pPr>
        <w:numPr>
          <w:ilvl w:val="0"/>
          <w:numId w:val="1001"/>
        </w:numPr>
      </w:pPr>
      <w:r>
        <w:t xml:space="preserve">Establish the number of diavolumes at which the retentate reaches the formulation</w:t>
      </w:r>
      <w:r>
        <w:t xml:space="preserve"> </w:t>
      </w:r>
      <w:r>
        <w:t xml:space="preserve">buffer, so that the lower edge of the operating range rests on data for A-Mab rather than</w:t>
      </w:r>
      <w:r>
        <w:t xml:space="preserve"> </w:t>
      </w:r>
      <w:r>
        <w:t xml:space="preserve">on platform practice alone.</w:t>
      </w:r>
    </w:p>
    <w:p>
      <w:pPr>
        <w:numPr>
          <w:ilvl w:val="0"/>
          <w:numId w:val="1001"/>
        </w:numPr>
      </w:pPr>
      <w:r>
        <w:t xml:space="preserve">Establish a PAR for each of the three parameters against the drug substance</w:t>
      </w:r>
      <w:r>
        <w:t xml:space="preserve"> </w:t>
      </w:r>
      <w:r>
        <w:t xml:space="preserve">acceptance criteria in §4.2, by the analysis described in §8.</w:t>
      </w:r>
    </w:p>
    <w:p>
      <w:pPr>
        <w:numPr>
          <w:ilvl w:val="0"/>
          <w:numId w:val="1001"/>
        </w:numPr>
      </w:pPr>
      <w:r>
        <w:t xml:space="preserve">Provide the evidence on which the three parameters will be classified under</w:t>
      </w:r>
      <w:r>
        <w:t xml:space="preserve"> </w:t>
      </w:r>
      <w:r>
        <w:t xml:space="preserve">SOP-4001, and deliver that classification to the control strategy through PCR-010 and</w:t>
      </w:r>
      <w:r>
        <w:t xml:space="preserve"> </w:t>
      </w:r>
      <w:r>
        <w:t xml:space="preserve">PCMR-001.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sits under the transfer plan and the master plan, takes its study scope from</w:t>
      </w:r>
      <w:r>
        <w:t xml:space="preserve"> </w:t>
      </w:r>
      <w:r>
        <w:t xml:space="preserve">the pre-characterization risk assessment, and is executed and reported by PCR-010.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20"/>
              <w:gridCol w:w="4727"/>
              <w:gridCol w:w="227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(Ultrafiltration / Diafiltration (Step 10))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procedures and validated methods that apply to the studies are 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. Operation of the step follows SOP-2013, qualification of the scale-down model</w:t>
      </w:r>
      <w:r>
        <w:t xml:space="preserve"> </w:t>
      </w:r>
      <w:r>
        <w:t xml:space="preserve">follows SOP-1001, and the classification of the parameters after the studies follows</w:t>
      </w:r>
      <w:r>
        <w:t xml:space="preserve"> </w:t>
      </w:r>
      <w:r>
        <w:t xml:space="preserve">SOP-4001.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Controlled procedures and validated analytical methods for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19"/>
              <w:gridCol w:w="5410"/>
              <w:gridCol w:w="14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Ultrafiltration / Diafiltration (Formulation)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UF/DF step concentrates the antibody and exchanges the process buffer for the</w:t>
      </w:r>
      <w:r>
        <w:t xml:space="preserve"> </w:t>
      </w:r>
      <w:r>
        <w:t xml:space="preserve">formulation buffer. Both operations run across a tangential flow membrane whose pores</w:t>
      </w:r>
      <w:r>
        <w:t xml:space="preserve"> </w:t>
      </w:r>
      <w:r>
        <w:t xml:space="preserve">pass buffer salts and retain the antibody. Ultrafiltration removes permeate at constant</w:t>
      </w:r>
      <w:r>
        <w:t xml:space="preserve"> </w:t>
      </w:r>
      <w:r>
        <w:t xml:space="preserve">membrane area and raises the antibody concentration in the retentate. Diafiltration adds</w:t>
      </w:r>
      <w:r>
        <w:t xml:space="preserve"> </w:t>
      </w:r>
      <w:r>
        <w:t xml:space="preserve">formulation buffer at the rate at which permeate leaves, so the volume is constant and</w:t>
      </w:r>
      <w:r>
        <w:t xml:space="preserve"> </w:t>
      </w:r>
      <w:r>
        <w:t xml:space="preserve">the permeable species are washed out. Each diavolume removes a fixed fraction of the</w:t>
      </w:r>
      <w:r>
        <w:t xml:space="preserve"> </w:t>
      </w:r>
      <w:r>
        <w:t xml:space="preserve">permeable species that remain, and the residual process buffer components therefore fall</w:t>
      </w:r>
      <w:r>
        <w:t xml:space="preserve"> </w:t>
      </w:r>
      <w:r>
        <w:t xml:space="preserve">exponentially with the number of diavolumes. The step ends with a second concentration to</w:t>
      </w:r>
      <w:r>
        <w:t xml:space="preserve"> </w:t>
      </w:r>
      <w:r>
        <w:t xml:space="preserve">the DS target of 75 g/L and a buffer flush that recovers the retentate.</w:t>
      </w:r>
    </w:p>
    <w:p>
      <w:pPr>
        <w:pStyle w:val="BodyText"/>
      </w:pPr>
      <w:r>
        <w:t xml:space="preserve">The principal route from the step to the product is mechanical. The antibody the membrane</w:t>
      </w:r>
      <w:r>
        <w:t xml:space="preserve"> </w:t>
      </w:r>
      <w:r>
        <w:t xml:space="preserve">retains accumulates at the membrane wall in a polarisation layer, where its concentration is</w:t>
      </w:r>
      <w:r>
        <w:t xml:space="preserve"> </w:t>
      </w:r>
      <w:r>
        <w:t xml:space="preserve">higher than in the bulk retentate, and the whole retentate passes repeatedly through the</w:t>
      </w:r>
      <w:r>
        <w:t xml:space="preserve"> </w:t>
      </w:r>
      <w:r>
        <w:t xml:space="preserve">recirculation pump. Aggregate can form in both places. The risk rises with the final</w:t>
      </w:r>
      <w:r>
        <w:t xml:space="preserve"> </w:t>
      </w:r>
      <w:r>
        <w:t xml:space="preserve">concentration, with the transmembrane pressure that raises the antibody concentration at</w:t>
      </w:r>
      <w:r>
        <w:t xml:space="preserve"> </w:t>
      </w:r>
      <w:r>
        <w:t xml:space="preserve">the wall, and with the number of passes through the pump. Within the normal operating</w:t>
      </w:r>
      <w:r>
        <w:t xml:space="preserve"> </w:t>
      </w:r>
      <w:r>
        <w:t xml:space="preserve">ranges the exposure is short and the effect is expected to be small.</w:t>
      </w:r>
    </w:p>
    <w:p>
      <w:pPr>
        <w:pStyle w:val="BodyText"/>
      </w:pPr>
      <w:r>
        <w:t xml:space="preserve">The step also holds the antibody in the formulation buffer for the length of the</w:t>
      </w:r>
      <w:r>
        <w:t xml:space="preserve"> </w:t>
      </w:r>
      <w:r>
        <w:t xml:space="preserve">operation, and the chemical routes that run in solution continue during that hold.</w:t>
      </w:r>
      <w:r>
        <w:t xml:space="preserve"> </w:t>
      </w:r>
      <w:r>
        <w:t xml:space="preserve">Deamidation of asparagine residues is the one that bears on a measured attribute, and it</w:t>
      </w:r>
      <w:r>
        <w:t xml:space="preserve"> </w:t>
      </w:r>
      <w:r>
        <w:t xml:space="preserve">raises the acidic charge variants at a rate that rises with pH and with the length of the</w:t>
      </w:r>
      <w:r>
        <w:t xml:space="preserve"> </w:t>
      </w:r>
      <w:r>
        <w:t xml:space="preserve">hold. The number of diavolumes sets how long the hold lasts, which is why the diavolume</w:t>
      </w:r>
      <w:r>
        <w:t xml:space="preserve"> </w:t>
      </w:r>
      <w:r>
        <w:t xml:space="preserve">series is assayed for charge variants as well as for aggregate.</w:t>
      </w:r>
    </w:p>
    <w:p>
      <w:pPr>
        <w:pStyle w:val="BodyText"/>
      </w:pPr>
      <w:r>
        <w:t xml:space="preserve">The step has been operated on the Novacyte humanized IgG1 platform for X-Mab, Y-Mab and</w:t>
      </w:r>
      <w:r>
        <w:t xml:space="preserve"> </w:t>
      </w:r>
      <w:r>
        <w:t xml:space="preserve">Z-Mab, with the same membrane chemistry and the same mode of operation as is proposed for</w:t>
      </w:r>
      <w:r>
        <w:t xml:space="preserve"> </w:t>
      </w:r>
      <w:r>
        <w:t xml:space="preserve">A-Mab</w:t>
      </w:r>
      <w:r>
        <w:t xml:space="preserve"> </w:t>
      </w:r>
      <w:r>
        <w:t xml:space="preserve">(CMC Biotech Working Group 2009)</w:t>
      </w:r>
      <w:r>
        <w:t xml:space="preserve">. The mechanisms above do not depend on the sequence of the antibody, so</w:t>
      </w:r>
      <w:r>
        <w:t xml:space="preserve"> </w:t>
      </w:r>
      <w:r>
        <w:t xml:space="preserve">the platform experience applies directly to the qualitative behaviour of the step. The</w:t>
      </w:r>
      <w:r>
        <w:t xml:space="preserve"> </w:t>
      </w:r>
      <w:r>
        <w:t xml:space="preserve">viscosity of the retentate does depend on the product, and it rises steeply as the</w:t>
      </w:r>
      <w:r>
        <w:t xml:space="preserve"> </w:t>
      </w:r>
      <w:r>
        <w:t xml:space="preserve">antibody concentration approaches the DS target. A higher viscosity raises the pressure</w:t>
      </w:r>
      <w:r>
        <w:t xml:space="preserve"> </w:t>
      </w:r>
      <w:r>
        <w:t xml:space="preserve">drop along the feed channel and the shear the antibody sees near the end of the</w:t>
      </w:r>
      <w:r>
        <w:t xml:space="preserve"> </w:t>
      </w:r>
      <w:r>
        <w:t xml:space="preserve">concentration. For this reason the final DS concentration is studied here rather than</w:t>
      </w:r>
      <w:r>
        <w:t xml:space="preserve"> </w:t>
      </w:r>
      <w:r>
        <w:t xml:space="preserve">carried over from the platform.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Two drug substance attributes are measured across the step, and they are listed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with their acceptance criteria and their criticality from the A-Mab attribute</w:t>
      </w:r>
      <w:r>
        <w:t xml:space="preserve"> </w:t>
      </w:r>
      <w:r>
        <w:t xml:space="preserve">assessment</w:t>
      </w:r>
      <w:r>
        <w:t xml:space="preserve"> </w:t>
      </w:r>
      <w:r>
        <w:t xml:space="preserve">(CMC Biotech Working Group 2009; International Council for Harmonisation 2023b)</w:t>
      </w:r>
      <w:r>
        <w:t xml:space="preserve">. The Tool #1 column carries the score of the first</w:t>
      </w:r>
      <w:r>
        <w:t xml:space="preserve"> </w:t>
      </w:r>
      <w:r>
        <w:t xml:space="preserve">criticality tool of that assessment, which is the impact of the attribute on safety and</w:t>
      </w:r>
      <w:r>
        <w:t xml:space="preserve"> </w:t>
      </w:r>
      <w:r>
        <w:t xml:space="preserve">efficacy multiplied by the uncertainty in that impact. The criticality level is assigned</w:t>
      </w:r>
      <w:r>
        <w:t xml:space="preserve"> </w:t>
      </w:r>
      <w:r>
        <w:t xml:space="preserve">separately and is not read off that score. An attribute whose impact is well established</w:t>
      </w:r>
      <w:r>
        <w:t xml:space="preserve"> </w:t>
      </w:r>
      <w:r>
        <w:t xml:space="preserve">carries a low uncertainty factor, so a low score can sit against a high level.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measured across the step, with drug substance acceptance criteria.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9"/>
              <w:gridCol w:w="1254"/>
              <w:gridCol w:w="1646"/>
              <w:gridCol w:w="1176"/>
              <w:gridCol w:w="86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Aggregates are the attribute most at risk at this step, by the mechanical route described</w:t>
      </w:r>
      <w:r>
        <w:t xml:space="preserve"> </w:t>
      </w:r>
      <w:r>
        <w:t xml:space="preserve">in §4.1, and they carry a criticality of H. The acceptance criterion is</w:t>
      </w:r>
      <w:r>
        <w:t xml:space="preserve"> </w:t>
      </w:r>
      <w:r>
        <w:t xml:space="preserve">0–5 % HMW (SEC). Acidic charge variants carry a criticality of VL and</w:t>
      </w:r>
      <w:r>
        <w:t xml:space="preserve"> </w:t>
      </w:r>
      <w:r>
        <w:t xml:space="preserve">a criterion of 18–40 % (CEX/icIEF). They are measured because deamidation of asparagine</w:t>
      </w:r>
      <w:r>
        <w:t xml:space="preserve"> </w:t>
      </w:r>
      <w:r>
        <w:t xml:space="preserve">residues continues while the antibody is held in the formulation buffer, and the rate of</w:t>
      </w:r>
      <w:r>
        <w:t xml:space="preserve"> </w:t>
      </w:r>
      <w:r>
        <w:t xml:space="preserve">deamidation rises with pH and with the length of the hold. A rise in acidic species across</w:t>
      </w:r>
      <w:r>
        <w:t xml:space="preserve"> </w:t>
      </w:r>
      <w:r>
        <w:t xml:space="preserve">the step would show that the hold has altered the molecule. Both attributes arrive with</w:t>
      </w:r>
      <w:r>
        <w:t xml:space="preserve"> </w:t>
      </w:r>
      <w:r>
        <w:t xml:space="preserve">the load. Aggregate and the acidic charge variants are formed in the production bioreactor,</w:t>
      </w:r>
      <w:r>
        <w:t xml:space="preserve"> </w:t>
      </w:r>
      <w:r>
        <w:t xml:space="preserve">and aggregate is reduced again at the cation exchange step. The study measures what this</w:t>
      </w:r>
      <w:r>
        <w:t xml:space="preserve"> </w:t>
      </w:r>
      <w:r>
        <w:t xml:space="preserve">step adds to each, against what Step 9 delivers.</w:t>
      </w:r>
    </w:p>
    <w:p>
      <w:pPr>
        <w:pStyle w:val="BodyText"/>
      </w:pPr>
      <w:r>
        <w:t xml:space="preserve">The remaining attributes of the register are not measured across the step. The glycan</w:t>
      </w:r>
      <w:r>
        <w:t xml:space="preserve"> </w:t>
      </w:r>
      <w:r>
        <w:t xml:space="preserve">attributes and high mannose are formed in the production bioreactor and are not modified</w:t>
      </w:r>
      <w:r>
        <w:t xml:space="preserve"> </w:t>
      </w:r>
      <w:r>
        <w:t xml:space="preserve">by downstream processing, so no measurement at this step would inform them. Host cell</w:t>
      </w:r>
      <w:r>
        <w:t xml:space="preserve"> </w:t>
      </w:r>
      <w:r>
        <w:t xml:space="preserve">protein, DNA and leached Protein A are cleared upstream. The membrane retains these</w:t>
      </w:r>
      <w:r>
        <w:t xml:space="preserve"> </w:t>
      </w:r>
      <w:r>
        <w:t xml:space="preserve">impurities with the antibody, so the impurity to product ratio that Step 9 delivers</w:t>
      </w:r>
      <w:r>
        <w:t xml:space="preserve"> </w:t>
      </w:r>
      <w:r>
        <w:t xml:space="preserve">carries through the step unchanged and the step neither clears nor concentrates them</w:t>
      </w:r>
      <w:r>
        <w:t xml:space="preserve"> </w:t>
      </w:r>
      <w:r>
        <w:t xml:space="preserve">relative to the antibody. Viral clearance is not measured here, for the reason given in</w:t>
      </w:r>
      <w:r>
        <w:t xml:space="preserve"> </w:t>
      </w:r>
      <w:r>
        <w:t xml:space="preserve">§1.</w:t>
      </w:r>
    </w:p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ranked the parameters of every step of the drug substance process for their</w:t>
      </w:r>
      <w:r>
        <w:t xml:space="preserve"> </w:t>
      </w:r>
      <w:r>
        <w:t xml:space="preserve">potential impact on the CQAs and for their potential to interact with other parameters</w:t>
      </w:r>
      <w:r>
        <w:t xml:space="preserve"> </w:t>
      </w:r>
      <w:r>
        <w:t xml:space="preserve">(International Council for Harmonisation 2023b)</w:t>
      </w:r>
      <w:r>
        <w:t xml:space="preserve">. The study type of each parameter was assigned from that ranking. For this step</w:t>
      </w:r>
      <w:r>
        <w:t xml:space="preserve"> </w:t>
      </w:r>
      <w:r>
        <w:t xml:space="preserve">the assessment placed all 3 parameters below the threshold that warrants</w:t>
      </w:r>
      <w:r>
        <w:t xml:space="preserve"> </w:t>
      </w:r>
      <w:r>
        <w:t xml:space="preserve">a multivariate design, because the step sets no CQA of its own and the three parameters</w:t>
      </w:r>
      <w:r>
        <w:t xml:space="preserve"> </w:t>
      </w:r>
      <w:r>
        <w:t xml:space="preserve">reach the product by different routes. More diavolumes wash more of the permeable process buffer</w:t>
      </w:r>
      <w:r>
        <w:t xml:space="preserve"> </w:t>
      </w:r>
      <w:r>
        <w:t xml:space="preserve">components out of the retentate, and they add time on the skid and passes through the</w:t>
      </w:r>
      <w:r>
        <w:t xml:space="preserve"> </w:t>
      </w:r>
      <w:r>
        <w:t xml:space="preserve">pump. Higher transmembrane pressure raises the permeate flux until the polarisation layer</w:t>
      </w:r>
      <w:r>
        <w:t xml:space="preserve"> </w:t>
      </w:r>
      <w:r>
        <w:t xml:space="preserve">limits it, and beyond that point it raises the antibody concentration at the membrane wall</w:t>
      </w:r>
      <w:r>
        <w:t xml:space="preserve"> </w:t>
      </w:r>
      <w:r>
        <w:t xml:space="preserve">without raising throughput. A higher final DS concentration raises the bulk concentration</w:t>
      </w:r>
      <w:r>
        <w:t xml:space="preserve"> </w:t>
      </w:r>
      <w:r>
        <w:t xml:space="preserve">of the retentate, and with it the viscosity, the pressure drop along the feed channel and</w:t>
      </w:r>
      <w:r>
        <w:t xml:space="preserve"> </w:t>
      </w:r>
      <w:r>
        <w:t xml:space="preserve">the antibody concentration at the membrane wall.</w:t>
      </w:r>
    </w:p>
    <w:p>
      <w:pPr>
        <w:pStyle w:val="BodyText"/>
      </w:pPr>
      <w:r>
        <w:t xml:space="preserve">Both the transmembrane pressure and the final DS concentration raise the antibody</w:t>
      </w:r>
      <w:r>
        <w:t xml:space="preserve"> </w:t>
      </w:r>
      <w:r>
        <w:t xml:space="preserve">concentration at the membrane wall, the first by driving more permeate through the layer</w:t>
      </w:r>
      <w:r>
        <w:t xml:space="preserve"> </w:t>
      </w:r>
      <w:r>
        <w:t xml:space="preserve">and the second by raising the bulk concentration that supplies it. An interaction between</w:t>
      </w:r>
      <w:r>
        <w:t xml:space="preserve"> </w:t>
      </w:r>
      <w:r>
        <w:t xml:space="preserve">them is therefore possible. A study that varies one factor at a time cannot resolve such</w:t>
      </w:r>
      <w:r>
        <w:t xml:space="preserve"> </w:t>
      </w:r>
      <w:r>
        <w:t xml:space="preserve">an interaction. What the design does bound is the effect of each parameter at</w:t>
      </w:r>
      <w:r>
        <w:t xml:space="preserve"> </w:t>
      </w:r>
      <w:r>
        <w:t xml:space="preserve">the edge of its characterization range with the other parameters at the values the</w:t>
      </w:r>
      <w:r>
        <w:t xml:space="preserve"> </w:t>
      </w:r>
      <w:r>
        <w:t xml:space="preserve">commercial step will hold. Where a measured attribute approaches its acceptance criterion</w:t>
      </w:r>
      <w:r>
        <w:t xml:space="preserve"> </w:t>
      </w:r>
      <w:r>
        <w:t xml:space="preserve">at an edge, the study should be extended to the combination of edges before a range is</w:t>
      </w:r>
      <w:r>
        <w:t xml:space="preserve"> </w:t>
      </w:r>
      <w:r>
        <w:t xml:space="preserve">claimed, and the extension should be agreed with Statistics and QA before it is executed.</w:t>
      </w:r>
    </w:p>
    <w:bookmarkEnd w:id="20"/>
    <w:bookmarkEnd w:id="21"/>
    <w:bookmarkStart w:id="28" w:name="materials-and-methods"/>
    <w:p>
      <w:pPr>
        <w:pStyle w:val="Heading1"/>
      </w:pPr>
      <w:r>
        <w:t xml:space="preserve">5. Materials and methods</w:t>
      </w:r>
    </w:p>
    <w:bookmarkStart w:id="22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studies will be run on the bench scale TFF skid EQ-TFF-142, which is</w:t>
      </w:r>
      <w:r>
        <w:t xml:space="preserve"> </w:t>
      </w:r>
      <w:r>
        <w:t xml:space="preserve">registered as the ultrafiltration / diafiltration TFF skid and is held under calibration and change</w:t>
      </w:r>
      <w:r>
        <w:t xml:space="preserve"> </w:t>
      </w:r>
      <w:r>
        <w:t xml:space="preserve">control. Its calibration status at execution will be recorded in the study record.</w:t>
      </w:r>
    </w:p>
    <w:p>
      <w:pPr>
        <w:pStyle w:val="BodyText"/>
      </w:pPr>
      <w:r>
        <w:t xml:space="preserve">Two quantities decide what the antibody experiences in the step, and the model holds both</w:t>
      </w:r>
      <w:r>
        <w:t xml:space="preserve"> </w:t>
      </w:r>
      <w:r>
        <w:t xml:space="preserve">at their commercial values. The membrane loading in grams of antibody per square metre</w:t>
      </w:r>
      <w:r>
        <w:t xml:space="preserve"> </w:t>
      </w:r>
      <w:r>
        <w:t xml:space="preserve">fixes the bulk concentration the step reaches and the time the antibody spends on the</w:t>
      </w:r>
      <w:r>
        <w:t xml:space="preserve"> </w:t>
      </w:r>
      <w:r>
        <w:t xml:space="preserve">skid. The crossflow per unit membrane area sweeps retained antibody from the membrane wall</w:t>
      </w:r>
      <w:r>
        <w:t xml:space="preserve"> </w:t>
      </w:r>
      <w:r>
        <w:t xml:space="preserve">back into the bulk, so a higher crossflow lowers the antibody concentration in the</w:t>
      </w:r>
      <w:r>
        <w:t xml:space="preserve"> </w:t>
      </w:r>
      <w:r>
        <w:t xml:space="preserve">polarisation layer. The membrane chemistry, the nominal molecular weight cut-off and the</w:t>
      </w:r>
      <w:r>
        <w:t xml:space="preserve"> </w:t>
      </w:r>
      <w:r>
        <w:t xml:space="preserve">feed channel geometry are the same as on the commercial skid. Transmembrane pressure and</w:t>
      </w:r>
      <w:r>
        <w:t xml:space="preserve"> </w:t>
      </w:r>
      <w:r>
        <w:t xml:space="preserve">the number of diavolumes are scale independent and are set at the values under study.</w:t>
      </w:r>
    </w:p>
    <w:p>
      <w:pPr>
        <w:pStyle w:val="BodyText"/>
      </w:pPr>
      <w:r>
        <w:t xml:space="preserve">One quantity cannot be matched. The ratio of pump displacement to system hold up volume is</w:t>
      </w:r>
      <w:r>
        <w:t xml:space="preserve"> </w:t>
      </w:r>
      <w:r>
        <w:t xml:space="preserve">larger at bench scale, so the antibody passes through the pump more often per gram</w:t>
      </w:r>
      <w:r>
        <w:t xml:space="preserve"> </w:t>
      </w:r>
      <w:r>
        <w:t xml:space="preserve">processed than it does at commercial scale. The bench model is therefore conservative for</w:t>
      </w:r>
      <w:r>
        <w:t xml:space="preserve"> </w:t>
      </w:r>
      <w:r>
        <w:t xml:space="preserve">aggregate formation by shear.</w:t>
      </w:r>
    </w:p>
    <w:p>
      <w:pPr>
        <w:pStyle w:val="BodyText"/>
      </w:pPr>
      <w:r>
        <w:t xml:space="preserve">Qualification follows SOP-1001. Triplicate runs at the set-point condition will be</w:t>
      </w:r>
      <w:r>
        <w:t xml:space="preserve"> </w:t>
      </w:r>
      <w:r>
        <w:t xml:space="preserve">compared with the pilot and commercial record on step yield, on permeate flux at the</w:t>
      </w:r>
      <w:r>
        <w:t xml:space="preserve"> </w:t>
      </w:r>
      <w:r>
        <w:t xml:space="preserve">set-point transmembrane pressure, on the final concentration achieved, and on the change</w:t>
      </w:r>
      <w:r>
        <w:t xml:space="preserve"> </w:t>
      </w:r>
      <w:r>
        <w:t xml:space="preserve">in aggregate content across the step. The acceptance criteria for the comparison are given</w:t>
      </w:r>
      <w:r>
        <w:t xml:space="preserve"> </w:t>
      </w:r>
      <w:r>
        <w:t xml:space="preserve">in §7.1. No characterization run will be executed until the model has been accepted. If</w:t>
      </w:r>
      <w:r>
        <w:t xml:space="preserve"> </w:t>
      </w:r>
      <w:r>
        <w:t xml:space="preserve">the comparison does not meet its criteria, the cause should be investigated and the model</w:t>
      </w:r>
      <w:r>
        <w:t xml:space="preserve"> </w:t>
      </w:r>
      <w:r>
        <w:t xml:space="preserve">modified before the exercise is repeated.</w:t>
      </w:r>
    </w:p>
    <w:bookmarkEnd w:id="22"/>
    <w:bookmarkStart w:id="23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step receives the filtrate pool from the small virus retentive filtration step. The</w:t>
      </w:r>
      <w:r>
        <w:t xml:space="preserve"> </w:t>
      </w:r>
      <w:r>
        <w:t xml:space="preserve">pool is concentrated by ultrafiltration, diafiltered at constant volume against</w:t>
      </w:r>
      <w:r>
        <w:t xml:space="preserve"> </w:t>
      </w:r>
      <w:r>
        <w:t xml:space="preserve">formulation buffer for the planned number of diavolumes, concentrated a second time to the</w:t>
      </w:r>
      <w:r>
        <w:t xml:space="preserve"> </w:t>
      </w:r>
      <w:r>
        <w:t xml:space="preserve">final target, and recovered with a buffer flush. Operation follows SOP-2013. At the</w:t>
      </w:r>
      <w:r>
        <w:t xml:space="preserve"> </w:t>
      </w:r>
      <w:r>
        <w:t xml:space="preserve">set-point condition the step runs 8 DV at a transmembrane</w:t>
      </w:r>
      <w:r>
        <w:t xml:space="preserve"> </w:t>
      </w:r>
      <w:r>
        <w:t xml:space="preserve">pressure of 12 psi to a final concentration of</w:t>
      </w:r>
      <w:r>
        <w:t xml:space="preserve"> </w:t>
      </w:r>
      <w:r>
        <w:t xml:space="preserve">75 g/L.</w:t>
      </w:r>
    </w:p>
    <w:p>
      <w:pPr>
        <w:pStyle w:val="BodyText"/>
      </w:pPr>
      <w:r>
        <w:t xml:space="preserve">All runs in the study will be loaded from a single Step 9 pool, so that the variability of</w:t>
      </w:r>
      <w:r>
        <w:t xml:space="preserve"> </w:t>
      </w:r>
      <w:r>
        <w:t xml:space="preserve">the load does not confound the comparison between levels of a parameter. The bridging rule</w:t>
      </w:r>
      <w:r>
        <w:t xml:space="preserve"> </w:t>
      </w:r>
      <w:r>
        <w:t xml:space="preserve">that applies if one pool is not sufficient is given in §12.</w:t>
      </w:r>
    </w:p>
    <w:bookmarkEnd w:id="23"/>
    <w:bookmarkStart w:id="24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The validated methods are 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. Aggregate is measured by SEC under AMV-3011</w:t>
      </w:r>
      <w:r>
        <w:t xml:space="preserve"> </w:t>
      </w:r>
      <w:r>
        <w:t xml:space="preserve">and reported as the percentage of high molecular weight species. Protein concentration is</w:t>
      </w:r>
      <w:r>
        <w:t xml:space="preserve"> </w:t>
      </w:r>
      <w:r>
        <w:t xml:space="preserve">measured by A280 under AMV-3019, and it is the measurement on which the mass balance and</w:t>
      </w:r>
      <w:r>
        <w:t xml:space="preserve"> </w:t>
      </w:r>
      <w:r>
        <w:t xml:space="preserve">the final concentration decision rest. Charge variants are measured by icIEF under</w:t>
      </w:r>
      <w:r>
        <w:t xml:space="preserve"> </w:t>
      </w:r>
      <w:r>
        <w:t xml:space="preserve">AMV-3013 and reported as the percentage of acidic species. The completeness of the buffer</w:t>
      </w:r>
      <w:r>
        <w:t xml:space="preserve"> </w:t>
      </w:r>
      <w:r>
        <w:t xml:space="preserve">exchange is followed by the conductivity and the pH of the retentate. These are in-process</w:t>
      </w:r>
      <w:r>
        <w:t xml:space="preserve"> </w:t>
      </w:r>
      <w:r>
        <w:t xml:space="preserve">measurements read from the skid instrumentation and are not validated assays, so they are</w:t>
      </w:r>
      <w:r>
        <w:t xml:space="preserve"> </w:t>
      </w:r>
      <w:r>
        <w:t xml:space="preserve">used to characterize the exchange curve and not to release a run.</w:t>
      </w:r>
    </w:p>
    <w:p>
      <w:pPr>
        <w:pStyle w:val="BodyText"/>
      </w:pPr>
      <w:r>
        <w:t xml:space="preserve">The aggregate content of A-Mab drug substance is low, and a change across this step may be</w:t>
      </w:r>
      <w:r>
        <w:t xml:space="preserve"> </w:t>
      </w:r>
      <w:r>
        <w:t xml:space="preserve">of the same size as the repeatability of the SEC method. Analytical Development will report</w:t>
      </w:r>
      <w:r>
        <w:t xml:space="preserve"> </w:t>
      </w:r>
      <w:r>
        <w:t xml:space="preserve">the method variability that applies over the range in which the samples fall. A measured</w:t>
      </w:r>
      <w:r>
        <w:t xml:space="preserve"> </w:t>
      </w:r>
      <w:r>
        <w:t xml:space="preserve">change is judged against the pure error estimate described in §5.5 rather than against the</w:t>
      </w:r>
      <w:r>
        <w:t xml:space="preserve"> </w:t>
      </w:r>
      <w:r>
        <w:t xml:space="preserve">nominal precision of the method.</w:t>
      </w:r>
    </w:p>
    <w:bookmarkEnd w:id="24"/>
    <w:bookmarkStart w:id="26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Samples will be taken at the points listed in</w:t>
      </w:r>
      <w:r>
        <w:t xml:space="preserve"> </w:t>
      </w:r>
      <w:hyperlink w:anchor="tbl-sampling">
        <w:r>
          <w:rPr>
            <w:rStyle w:val="Hyperlink"/>
          </w:rPr>
          <w:t xml:space="preserve">Table 5</w:t>
        </w:r>
      </w:hyperlink>
      <w:r>
        <w:t xml:space="preserve">. The acceptance criteria of</w:t>
      </w:r>
      <w:r>
        <w:t xml:space="preserve"> </w:t>
      </w:r>
      <w:r>
        <w:t xml:space="preserve">§7.2 apply to the final retentate. The other samples support the mass balance, the buffer</w:t>
      </w:r>
      <w:r>
        <w:t xml:space="preserve"> </w:t>
      </w:r>
      <w:r>
        <w:t xml:space="preserve">exchange curve and the confirmation that the membrane retains the antibody.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sampl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Sampling plan for each characterization run.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62"/>
              <w:gridCol w:w="2522"/>
              <w:gridCol w:w="908"/>
              <w:gridCol w:w="30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 in the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Purpose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pool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9 filtrate, before ultrafiltration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A280, SEC,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Fixes the input to every run in the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Pre-diafiltration retentate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the first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A280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Confirms the concentration at which diafiltration starts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Diafiltration series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After each diavolume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Conductivity,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Builds the buffer exchange curve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retentate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After the final concentration and recovery flush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A280, SEC,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drug substance sample the acceptance criteria apply 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Permeate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Composite over the 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A280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Confirms that the membrane retains the antibody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Every sample will be assayed within the stability period established for the matrix, and</w:t>
      </w:r>
      <w:r>
        <w:t xml:space="preserve"> </w:t>
      </w:r>
      <w:r>
        <w:t xml:space="preserve">the load pool sample will be assayed once for the whole study rather than once per run.</w:t>
      </w:r>
      <w:r>
        <w:t xml:space="preserve"> </w:t>
      </w:r>
      <w:r>
        <w:t xml:space="preserve">Where a run is repeated, the repeat carries its own sample set.</w:t>
      </w:r>
    </w:p>
    <w:bookmarkEnd w:id="26"/>
    <w:bookmarkStart w:id="27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For each parameter and each response, the measured values will be regressed on the level</w:t>
      </w:r>
      <w:r>
        <w:t xml:space="preserve"> </w:t>
      </w:r>
      <w:r>
        <w:t xml:space="preserve">of the parameter over the characterization range, and the slope will be tested against</w:t>
      </w:r>
      <w:r>
        <w:t xml:space="preserve"> </w:t>
      </w:r>
      <w:r>
        <w:t xml:space="preserve">zero at α = 0.05. The set-point condition is shared by the three series and will be run</w:t>
      </w:r>
      <w:r>
        <w:t xml:space="preserve"> </w:t>
      </w:r>
      <w:r>
        <w:t xml:space="preserve">3 times. Those replicates give the pure error estimate of the</w:t>
      </w:r>
      <w:r>
        <w:t xml:space="preserve"> </w:t>
      </w:r>
      <w:r>
        <w:t xml:space="preserve">combined process and assay variability, which is the band against which a change across a</w:t>
      </w:r>
      <w:r>
        <w:t xml:space="preserve"> </w:t>
      </w:r>
      <w:r>
        <w:t xml:space="preserve">range is read.</w:t>
      </w:r>
    </w:p>
    <w:p>
      <w:pPr>
        <w:pStyle w:val="BodyText"/>
      </w:pPr>
      <w:r>
        <w:t xml:space="preserve">Statistical significance and practical significance will be reported separately. A slope</w:t>
      </w:r>
      <w:r>
        <w:t xml:space="preserve"> </w:t>
      </w:r>
      <w:r>
        <w:t xml:space="preserve">that is significant at α = 0.05 but predicts a change across the range that is small</w:t>
      </w:r>
      <w:r>
        <w:t xml:space="preserve"> </w:t>
      </w:r>
      <w:r>
        <w:t xml:space="preserve">against the acceptance criterion will be described in those terms, and the criterion rather</w:t>
      </w:r>
      <w:r>
        <w:t xml:space="preserve"> </w:t>
      </w:r>
      <w:r>
        <w:t xml:space="preserve">than the p-value decides whether the range is acceptable. No response surface model will be</w:t>
      </w:r>
      <w:r>
        <w:t xml:space="preserve"> </w:t>
      </w:r>
      <w:r>
        <w:t xml:space="preserve">fitted for this step, because the design carries no factorial structure and no interaction</w:t>
      </w:r>
      <w:r>
        <w:t xml:space="preserve"> </w:t>
      </w:r>
      <w:r>
        <w:t xml:space="preserve">or curvature term can be estimated from it.</w:t>
      </w:r>
    </w:p>
    <w:p>
      <w:pPr>
        <w:pStyle w:val="BodyText"/>
      </w:pPr>
      <w:r>
        <w:t xml:space="preserve">The buffer exchange will be analysed separately. The conductivity of the retentate will be</w:t>
      </w:r>
      <w:r>
        <w:t xml:space="preserve"> </w:t>
      </w:r>
      <w:r>
        <w:t xml:space="preserve">plotted against the number of diavolumes, and the exponential decay expected from §4.1</w:t>
      </w:r>
      <w:r>
        <w:t xml:space="preserve"> </w:t>
      </w:r>
      <w:r>
        <w:t xml:space="preserve">will be fitted to the series. The analysis reports the number of diavolumes at which the</w:t>
      </w:r>
      <w:r>
        <w:t xml:space="preserve"> </w:t>
      </w:r>
      <w:r>
        <w:t xml:space="preserve">conductivity of the retentate has reached the plateau set by the formulation buffer and no</w:t>
      </w:r>
      <w:r>
        <w:t xml:space="preserve"> </w:t>
      </w:r>
      <w:r>
        <w:t xml:space="preserve">further change is measured over the following diavolume.</w:t>
      </w:r>
    </w:p>
    <w:bookmarkEnd w:id="27"/>
    <w:bookmarkEnd w:id="28"/>
    <w:bookmarkStart w:id="32" w:name="study-design"/>
    <w:p>
      <w:pPr>
        <w:pStyle w:val="Heading1"/>
      </w:pPr>
      <w:r>
        <w:t xml:space="preserve">6. Study design</w:t>
      </w:r>
    </w:p>
    <w:bookmarkStart w:id="30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The parameters to be studied, their set-points, the ranges to be characterized and the</w:t>
      </w:r>
      <w:r>
        <w:t xml:space="preserve"> </w:t>
      </w:r>
      <w:r>
        <w:t xml:space="preserve">normal operating ranges are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 All three are studied one at a time, for</w:t>
      </w:r>
      <w:r>
        <w:t xml:space="preserve"> </w:t>
      </w:r>
      <w:r>
        <w:t xml:space="preserve">the reasons given in §4.3.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Parameters, characterization ranges and study type for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90"/>
              <w:gridCol w:w="763"/>
              <w:gridCol w:w="1240"/>
              <w:gridCol w:w="1622"/>
              <w:gridCol w:w="667"/>
              <w:gridCol w:w="13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7–9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65–85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Each characterization range is wider than the corresponding NOR, and it is extended in the</w:t>
      </w:r>
      <w:r>
        <w:t xml:space="preserve"> </w:t>
      </w:r>
      <w:r>
        <w:t xml:space="preserve">direction in which the mechanism of §4.1 places the risk. The number of diavolumes is</w:t>
      </w:r>
      <w:r>
        <w:t xml:space="preserve"> </w:t>
      </w:r>
      <w:r>
        <w:t xml:space="preserve">studied from 7 to 10 DV against a NOR of 7 to 9 DV.</w:t>
      </w:r>
      <w:r>
        <w:t xml:space="preserve"> </w:t>
      </w:r>
      <w:r>
        <w:t xml:space="preserve">The range is extended above the NOR because more diavolumes mean more time on the skid and</w:t>
      </w:r>
      <w:r>
        <w:t xml:space="preserve"> </w:t>
      </w:r>
      <w:r>
        <w:t xml:space="preserve">more passes through the pump. Its lower edge coincides with the lower edge of the NOR,</w:t>
      </w:r>
      <w:r>
        <w:t xml:space="preserve"> </w:t>
      </w:r>
      <w:r>
        <w:t xml:space="preserve">which is the lowest count the commercial step will run, and the buffer exchange curve</w:t>
      </w:r>
      <w:r>
        <w:t xml:space="preserve"> </w:t>
      </w:r>
      <w:r>
        <w:t xml:space="preserve">characterizes the step at that value. Transmembrane pressure is studied from</w:t>
      </w:r>
      <w:r>
        <w:t xml:space="preserve"> </w:t>
      </w:r>
      <w:r>
        <w:t xml:space="preserve">10 to 15 psi against a NOR of 10 to 14 psi, and the range</w:t>
      </w:r>
      <w:r>
        <w:t xml:space="preserve"> </w:t>
      </w:r>
      <w:r>
        <w:t xml:space="preserve">is extended above the NOR because pressure above the flux limit compresses the polarisation</w:t>
      </w:r>
      <w:r>
        <w:t xml:space="preserve"> </w:t>
      </w:r>
      <w:r>
        <w:t xml:space="preserve">layer without raising throughput.</w:t>
      </w:r>
    </w:p>
    <w:p>
      <w:pPr>
        <w:pStyle w:val="BodyText"/>
      </w:pPr>
      <w:r>
        <w:t xml:space="preserve">The final DS concentration is studied from 65 to 85 g/L against a NOR</w:t>
      </w:r>
      <w:r>
        <w:t xml:space="preserve"> </w:t>
      </w:r>
      <w:r>
        <w:t xml:space="preserve">of 70 to 80 g/L, and the range is extended on both sides. An</w:t>
      </w:r>
      <w:r>
        <w:t xml:space="preserve"> </w:t>
      </w:r>
      <w:r>
        <w:t xml:space="preserve">excursion above the target carries the aggregation risk described in §4.1. An excursion</w:t>
      </w:r>
      <w:r>
        <w:t xml:space="preserve"> </w:t>
      </w:r>
      <w:r>
        <w:t xml:space="preserve">below the target leaves the drug substance below the concentration the drug product</w:t>
      </w:r>
      <w:r>
        <w:t xml:space="preserve"> </w:t>
      </w:r>
      <w:r>
        <w:t xml:space="preserve">programme expects, and it has to be dispositioned as readily as an excursion above it.</w:t>
      </w:r>
    </w:p>
    <w:p>
      <w:pPr>
        <w:pStyle w:val="BodyText"/>
      </w:pPr>
      <w:r>
        <w:t xml:space="preserve">The step will not be characterized outside these ranges, and no range wider than the</w:t>
      </w:r>
      <w:r>
        <w:t xml:space="preserve"> </w:t>
      </w:r>
      <w:r>
        <w:t xml:space="preserve">range studied will be proposed in PCR-010.</w:t>
      </w:r>
    </w:p>
    <w:bookmarkEnd w:id="30"/>
    <w:bookmarkStart w:id="31" w:name="univariate-assessment"/>
    <w:p>
      <w:pPr>
        <w:pStyle w:val="Heading2"/>
      </w:pPr>
      <w:r>
        <w:t xml:space="preserve">6.2 Univariate assessment</w:t>
      </w:r>
    </w:p>
    <w:p>
      <w:pPr>
        <w:pStyle w:val="FirstParagraph"/>
      </w:pPr>
      <w:r>
        <w:t xml:space="preserve">Each parameter will be run at 3 levels, which are the two edges of its</w:t>
      </w:r>
      <w:r>
        <w:t xml:space="preserve"> </w:t>
      </w:r>
      <w:r>
        <w:t xml:space="preserve">characterization range and the set-point, with the other two parameters held at their</w:t>
      </w:r>
      <w:r>
        <w:t xml:space="preserve"> </w:t>
      </w:r>
      <w:r>
        <w:t xml:space="preserve">set-points. The set-point condition is common to all three series, so the study consists of</w:t>
      </w:r>
      <w:r>
        <w:t xml:space="preserve"> </w:t>
      </w:r>
      <w:r>
        <w:t xml:space="preserve">6 edge runs and 3 replicates of the set-point</w:t>
      </w:r>
      <w:r>
        <w:t xml:space="preserve"> </w:t>
      </w:r>
      <w:r>
        <w:t xml:space="preserve">condition, which is 9 runs in total. The planned levels are listed in §14.</w:t>
      </w:r>
    </w:p>
    <w:p>
      <w:pPr>
        <w:pStyle w:val="BodyText"/>
      </w:pPr>
      <w:r>
        <w:t xml:space="preserve">The order of execution will be randomized across the whole study, subject to the constraint</w:t>
      </w:r>
      <w:r>
        <w:t xml:space="preserve"> </w:t>
      </w:r>
      <w:r>
        <w:t xml:space="preserve">that all runs draw from the load pool of §5.2. Each run will be sampled as described in</w:t>
      </w:r>
      <w:r>
        <w:t xml:space="preserve"> </w:t>
      </w:r>
      <w:r>
        <w:t xml:space="preserve">§5.4 and the final retentate will be assayed for the panel of §5.3. The diavolume series</w:t>
      </w:r>
      <w:r>
        <w:t xml:space="preserve"> </w:t>
      </w:r>
      <w:r>
        <w:t xml:space="preserve">carries the additional in-process sampling that builds the buffer exchange curve.</w:t>
      </w:r>
    </w:p>
    <w:p>
      <w:pPr>
        <w:pStyle w:val="BodyText"/>
      </w:pPr>
      <w:r>
        <w:t xml:space="preserve">The design gives no estimate of an interaction between parameters.</w:t>
      </w:r>
    </w:p>
    <w:bookmarkEnd w:id="31"/>
    <w:bookmarkEnd w:id="32"/>
    <w:bookmarkStart w:id="37" w:name="acceptance-and-decision-criteria"/>
    <w:p>
      <w:pPr>
        <w:pStyle w:val="Heading1"/>
      </w:pPr>
      <w:r>
        <w:t xml:space="preserve">7. Acceptance and decision criteria</w:t>
      </w:r>
    </w:p>
    <w:bookmarkStart w:id="33" w:name="scale-down-model"/>
    <w:p>
      <w:pPr>
        <w:pStyle w:val="Heading2"/>
      </w:pPr>
      <w:r>
        <w:t xml:space="preserve">7.1 Scale-down model</w:t>
      </w:r>
    </w:p>
    <w:p>
      <w:pPr>
        <w:pStyle w:val="FirstParagraph"/>
      </w:pPr>
      <w:r>
        <w:t xml:space="preserve">The model will be accepted when the mean step yield, the permeate flux and the change in</w:t>
      </w:r>
      <w:r>
        <w:t xml:space="preserve"> </w:t>
      </w:r>
      <w:r>
        <w:t xml:space="preserve">aggregate content across the step do not differ from the pilot and commercial record at</w:t>
      </w:r>
      <w:r>
        <w:t xml:space="preserve"> </w:t>
      </w:r>
      <w:r>
        <w:t xml:space="preserve">α = 0.05, and when the final concentration achieved is within the reported variability of</w:t>
      </w:r>
      <w:r>
        <w:t xml:space="preserve"> </w:t>
      </w:r>
      <w:r>
        <w:t xml:space="preserve">the A280 method. A difference that is statistically significant will be assessed for its</w:t>
      </w:r>
      <w:r>
        <w:t xml:space="preserve"> </w:t>
      </w:r>
      <w:r>
        <w:t xml:space="preserve">size against the acceptance criteria of §7.2 before the model is rejected, because a small</w:t>
      </w:r>
      <w:r>
        <w:t xml:space="preserve"> </w:t>
      </w:r>
      <w:r>
        <w:t xml:space="preserve">and well understood offset may still support a conservative model. Any such judgement will</w:t>
      </w:r>
      <w:r>
        <w:t xml:space="preserve"> </w:t>
      </w:r>
      <w:r>
        <w:t xml:space="preserve">be documented in the qualification record and approved by Statistics and QA.</w:t>
      </w:r>
    </w:p>
    <w:bookmarkEnd w:id="33"/>
    <w:bookmarkStart w:id="34" w:name="product-quality"/>
    <w:p>
      <w:pPr>
        <w:pStyle w:val="Heading2"/>
      </w:pPr>
      <w:r>
        <w:t xml:space="preserve">7.2 Product quality</w:t>
      </w:r>
    </w:p>
    <w:p>
      <w:pPr>
        <w:pStyle w:val="FirstParagraph"/>
      </w:pPr>
      <w:r>
        <w:t xml:space="preserve">The acceptance criteria applied to the final retentate are the drug substance criteria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Aggregate must fall within 0–5 % HMW (SEC) and acidic charge variants within</w:t>
      </w:r>
      <w:r>
        <w:t xml:space="preserve"> </w:t>
      </w:r>
      <w:r>
        <w:t xml:space="preserve">18–40 % (CEX/icIEF). These criteria apply directly at this step and are not reduced to an</w:t>
      </w:r>
      <w:r>
        <w:t xml:space="preserve"> </w:t>
      </w:r>
      <w:r>
        <w:t xml:space="preserve">in-process limit. The step is the last of the drug substance process, and no step</w:t>
      </w:r>
      <w:r>
        <w:t xml:space="preserve"> </w:t>
      </w:r>
      <w:r>
        <w:t xml:space="preserve">downstream of it clears or modifies either attribute, so there is no clearance chain</w:t>
      </w:r>
      <w:r>
        <w:t xml:space="preserve"> </w:t>
      </w:r>
      <w:r>
        <w:t xml:space="preserve">through which a tighter in-process limit could be calculated backwards.</w:t>
      </w:r>
    </w:p>
    <w:p>
      <w:pPr>
        <w:pStyle w:val="BodyText"/>
      </w:pPr>
      <w:r>
        <w:t xml:space="preserve">The buffer exchange is accepted when the conductivity and the pH of the retentate have</w:t>
      </w:r>
      <w:r>
        <w:t xml:space="preserve"> </w:t>
      </w:r>
      <w:r>
        <w:t xml:space="preserve">reached the plateau of the formulation buffer, by the analysis of §5.5, at or below the</w:t>
      </w:r>
      <w:r>
        <w:t xml:space="preserve"> </w:t>
      </w:r>
      <w:r>
        <w:t xml:space="preserve">lower edge of the diavolume NOR of 7 DV.</w:t>
      </w:r>
    </w:p>
    <w:bookmarkEnd w:id="34"/>
    <w:bookmarkStart w:id="35" w:name="decision-rules"/>
    <w:p>
      <w:pPr>
        <w:pStyle w:val="Heading2"/>
      </w:pPr>
      <w:r>
        <w:t xml:space="preserve">7.3 Decision rules</w:t>
      </w:r>
    </w:p>
    <w:p>
      <w:pPr>
        <w:pStyle w:val="FirstParagraph"/>
      </w:pPr>
      <w:r>
        <w:t xml:space="preserve">A level of a parameter is acceptable when every attribute measured on the final retentate</w:t>
      </w:r>
      <w:r>
        <w:t xml:space="preserve"> </w:t>
      </w:r>
      <w:r>
        <w:t xml:space="preserve">of that run meets its criterion. A parameter passes over its characterization range when</w:t>
      </w:r>
      <w:r>
        <w:t xml:space="preserve"> </w:t>
      </w:r>
      <w:r>
        <w:t xml:space="preserve">every level in the range is acceptable and the change measured across the range is small</w:t>
      </w:r>
      <w:r>
        <w:t xml:space="preserve"> </w:t>
      </w:r>
      <w:r>
        <w:t xml:space="preserve">against the criterion.</w:t>
      </w:r>
    </w:p>
    <w:p>
      <w:pPr>
        <w:pStyle w:val="BodyText"/>
      </w:pPr>
      <w:r>
        <w:t xml:space="preserve">Where a level fails, the range is truncated at the last acceptable level and the failing</w:t>
      </w:r>
      <w:r>
        <w:t xml:space="preserve"> </w:t>
      </w:r>
      <w:r>
        <w:t xml:space="preserve">level is reported as an edge of failure. Where a failure occurs at a level inside the NOR,</w:t>
      </w:r>
      <w:r>
        <w:t xml:space="preserve"> </w:t>
      </w:r>
      <w:r>
        <w:t xml:space="preserve">execution will stop and the operating range will be reviewed with the receiving site and</w:t>
      </w:r>
      <w:r>
        <w:t xml:space="preserve"> </w:t>
      </w:r>
      <w:r>
        <w:t xml:space="preserve">with QA before the study continues. Where a run fails for a reason attributable to the</w:t>
      </w:r>
      <w:r>
        <w:t xml:space="preserve"> </w:t>
      </w:r>
      <w:r>
        <w:t xml:space="preserve">equipment or to the method rather than to the parameter under study, the run may be</w:t>
      </w:r>
      <w:r>
        <w:t xml:space="preserve"> </w:t>
      </w:r>
      <w:r>
        <w:t xml:space="preserve">repeated once, and both the original and the repeat will be reported in PCR-010.</w:t>
      </w:r>
    </w:p>
    <w:bookmarkEnd w:id="35"/>
    <w:bookmarkStart w:id="36" w:name="classification"/>
    <w:p>
      <w:pPr>
        <w:pStyle w:val="Heading2"/>
      </w:pPr>
      <w:r>
        <w:t xml:space="preserve">7.4 Classification</w:t>
      </w:r>
    </w:p>
    <w:p>
      <w:pPr>
        <w:pStyle w:val="FirstParagraph"/>
      </w:pPr>
      <w:r>
        <w:t xml:space="preserve">Each parameter will be classified under SOP-4001 from the outcome of these studies</w:t>
      </w:r>
      <w:r>
        <w:t xml:space="preserve"> </w:t>
      </w:r>
      <w:r>
        <w:t xml:space="preserve">(International Council for Harmonisation 2009, 2012)</w:t>
      </w:r>
      <w:r>
        <w:t xml:space="preserve">. A parameter whose variation over the characterized range affects no</w:t>
      </w:r>
      <w:r>
        <w:t xml:space="preserve"> </w:t>
      </w:r>
      <w:r>
        <w:t xml:space="preserve">quality attribute, but whose control is needed for the step to perform consistently, is</w:t>
      </w:r>
      <w:r>
        <w:t xml:space="preserve"> </w:t>
      </w:r>
      <w:r>
        <w:t xml:space="preserve">classified as a key process parameter. A parameter whose variation affects a quality</w:t>
      </w:r>
      <w:r>
        <w:t xml:space="preserve"> </w:t>
      </w:r>
      <w:r>
        <w:t xml:space="preserve">attribute is classified as critical, or as well controlled critical where the risk of</w:t>
      </w:r>
      <w:r>
        <w:t xml:space="preserve"> </w:t>
      </w:r>
      <w:r>
        <w:t xml:space="preserve">falling outside the design space is low. The classification is an outcome of the studies</w:t>
      </w:r>
      <w:r>
        <w:t xml:space="preserve"> </w:t>
      </w:r>
      <w:r>
        <w:t xml:space="preserve">and is reported in PCR-010.</w:t>
      </w:r>
    </w:p>
    <w:bookmarkEnd w:id="36"/>
    <w:bookmarkEnd w:id="37"/>
    <w:bookmarkStart w:id="38" w:name="X6e399b04be57e9d5f909b4238f9408193405dfd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A PAR will be assigned to each parameter from its univariate series. The acceptance basis</w:t>
      </w:r>
      <w:r>
        <w:t xml:space="preserve"> </w:t>
      </w:r>
      <w:r>
        <w:t xml:space="preserve">is the drug substance criteria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, for the reason given in §7.2. The PAR of a</w:t>
      </w:r>
      <w:r>
        <w:t xml:space="preserve"> </w:t>
      </w:r>
      <w:r>
        <w:t xml:space="preserve">parameter is the contiguous span of levels over which every attribute measured on the</w:t>
      </w:r>
      <w:r>
        <w:t xml:space="preserve"> </w:t>
      </w:r>
      <w:r>
        <w:t xml:space="preserve">final retentate met its criterion, with the other parameters at their set-points. Each PAR</w:t>
      </w:r>
      <w:r>
        <w:t xml:space="preserve"> </w:t>
      </w:r>
      <w:r>
        <w:t xml:space="preserve">will be reported in PCR-010 together with the measured series and the criterion against</w:t>
      </w:r>
      <w:r>
        <w:t xml:space="preserve"> </w:t>
      </w:r>
      <w:r>
        <w:t xml:space="preserve">which it was read.</w:t>
      </w:r>
    </w:p>
    <w:p>
      <w:pPr>
        <w:pStyle w:val="BodyText"/>
      </w:pPr>
      <w:r>
        <w:t xml:space="preserve">Three bounds apply to a PAR determined this way, and PCR-010 will state them where it</w:t>
      </w:r>
      <w:r>
        <w:t xml:space="preserve"> </w:t>
      </w:r>
      <w:r>
        <w:t xml:space="preserve">states the ranges.</w:t>
      </w:r>
    </w:p>
    <w:p>
      <w:pPr>
        <w:pStyle w:val="BodyText"/>
      </w:pPr>
      <w:r>
        <w:t xml:space="preserve">First, a univariate PAR holds with the other parameters at their set-points. It does not</w:t>
      </w:r>
      <w:r>
        <w:t xml:space="preserve"> </w:t>
      </w:r>
      <w:r>
        <w:t xml:space="preserve">describe the step when two parameters sit at their range edges at the same time. Second,</w:t>
      </w:r>
      <w:r>
        <w:t xml:space="preserve"> </w:t>
      </w:r>
      <w:r>
        <w:t xml:space="preserve">no Monte Carlo propagation of the other parameters within their normal operating ranges</w:t>
      </w:r>
      <w:r>
        <w:t xml:space="preserve"> </w:t>
      </w:r>
      <w:r>
        <w:t xml:space="preserve">will be performed. That analysis predicts a response at settings the design did not run,</w:t>
      </w:r>
      <w:r>
        <w:t xml:space="preserve"> </w:t>
      </w:r>
      <w:r>
        <w:t xml:space="preserve">which requires a fitted multivariate model, and no such model exists for this step. Third,</w:t>
      </w:r>
      <w:r>
        <w:t xml:space="preserve"> </w:t>
      </w:r>
      <w:r>
        <w:t xml:space="preserve">a PAR cannot be wider than the range studied. Where every level in a range is acceptable,</w:t>
      </w:r>
      <w:r>
        <w:t xml:space="preserve"> </w:t>
      </w:r>
      <w:r>
        <w:t xml:space="preserve">the claimed PAR is the characterization range of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and nothing beyond it.</w:t>
      </w:r>
    </w:p>
    <w:p>
      <w:pPr>
        <w:pStyle w:val="BodyText"/>
      </w:pPr>
      <w:r>
        <w:t xml:space="preserve">The ranges reported under this analysis become the basis of the operating ranges the</w:t>
      </w:r>
      <w:r>
        <w:t xml:space="preserve"> </w:t>
      </w:r>
      <w:r>
        <w:t xml:space="preserve">receiving site runs to, together with the classification of §7.4. Where a PAR is wider</w:t>
      </w:r>
      <w:r>
        <w:t xml:space="preserve"> </w:t>
      </w:r>
      <w:r>
        <w:t xml:space="preserve">than the NOR, the margin between them is what a deviation is dispositioned against. Where</w:t>
      </w:r>
      <w:r>
        <w:t xml:space="preserve"> </w:t>
      </w:r>
      <w:r>
        <w:t xml:space="preserve">a PAR is truncated at an edge of failure, the NOR should be reviewed against the truncated</w:t>
      </w:r>
      <w:r>
        <w:t xml:space="preserve"> </w:t>
      </w:r>
      <w:r>
        <w:t xml:space="preserve">range before the step is transferred.</w:t>
      </w:r>
    </w:p>
    <w:bookmarkEnd w:id="38"/>
    <w:bookmarkStart w:id="39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Data generated under this plan will be recorded so that they are attributable, legible,</w:t>
      </w:r>
      <w:r>
        <w:t xml:space="preserve"> </w:t>
      </w:r>
      <w:r>
        <w:t xml:space="preserve">contemporaneous, original and accurate, and so that they remain complete, consistent,</w:t>
      </w:r>
      <w:r>
        <w:t xml:space="preserve"> </w:t>
      </w:r>
      <w:r>
        <w:t xml:space="preserve">enduring and available. Run records will be captured in the electronic notebook under the</w:t>
      </w:r>
      <w:r>
        <w:t xml:space="preserve"> </w:t>
      </w:r>
      <w:r>
        <w:t xml:space="preserve">study number. Analytical results will be captured in the laboratory information management</w:t>
      </w:r>
      <w:r>
        <w:t xml:space="preserve"> </w:t>
      </w:r>
      <w:r>
        <w:t xml:space="preserve">system and reported against the sample identifiers of</w:t>
      </w:r>
      <w:r>
        <w:t xml:space="preserve"> </w:t>
      </w:r>
      <w:hyperlink w:anchor="tbl-sampling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BodyText"/>
      </w:pPr>
      <w:r>
        <w:t xml:space="preserve">The statistical analysis of §5.5 will be scripted and held under version control, so that</w:t>
      </w:r>
      <w:r>
        <w:t xml:space="preserve"> </w:t>
      </w:r>
      <w:r>
        <w:t xml:space="preserve">it can be re-executed on the retained raw data and return the same result. Every</w:t>
      </w:r>
      <w:r>
        <w:t xml:space="preserve"> </w:t>
      </w:r>
      <w:r>
        <w:t xml:space="preserve">calculation will be reviewed by a second qualified person. A change to a record after it</w:t>
      </w:r>
      <w:r>
        <w:t xml:space="preserve"> </w:t>
      </w:r>
      <w:r>
        <w:t xml:space="preserve">has been made carries an audit trail with the reason for the change. Values quoted in</w:t>
      </w:r>
      <w:r>
        <w:t xml:space="preserve"> </w:t>
      </w:r>
      <w:r>
        <w:t xml:space="preserve">PCR-010 will be read from the retained data set rather than re-entered by hand. Records</w:t>
      </w:r>
      <w:r>
        <w:t xml:space="preserve"> </w:t>
      </w:r>
      <w:r>
        <w:t xml:space="preserve">will be retained under the sponsor’s record retention procedure for the life of the</w:t>
      </w:r>
      <w:r>
        <w:t xml:space="preserve"> </w:t>
      </w:r>
      <w:r>
        <w:t xml:space="preserve">product.</w:t>
      </w:r>
    </w:p>
    <w:bookmarkEnd w:id="39"/>
    <w:bookmarkStart w:id="41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The functions responsible for the study and their responsibilities are listed in</w:t>
      </w:r>
      <w:r>
        <w:t xml:space="preserve"> </w:t>
      </w:r>
      <w:hyperlink w:anchor="tbl-roles">
        <w:r>
          <w:rPr>
            <w:rStyle w:val="Hyperlink"/>
          </w:rPr>
          <w:t xml:space="preserve">Table 7</w:t>
        </w:r>
      </w:hyperlink>
      <w:r>
        <w:t xml:space="preserve">. Process Development owns the study. Quality Assurance approves this plan</w:t>
      </w:r>
      <w:r>
        <w:t xml:space="preserve"> </w:t>
      </w:r>
      <w:r>
        <w:t xml:space="preserve">before any run is executed.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Functions responsible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15"/>
              <w:gridCol w:w="560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Designs the study, executes the runs, analyses the data and drafts PCR-010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Manufacturing Science and Technology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Owns the scale-down model and its qualification, and carries the outcome into the transfer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Releases the methods, runs the assays and reports method variability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Reviews the design before execution and the analysis before report approval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Approves this plan and PCR-010, and dispositions any deviation from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Receiving site process science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Reviews the resulting ranges against the commercial skid and confirms they are achievable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receiving site is represented in the review of this plan and in the review of PCR-010,</w:t>
      </w:r>
      <w:r>
        <w:t xml:space="preserve"> </w:t>
      </w:r>
      <w:r>
        <w:t xml:space="preserve">so that the ranges the studies support are assessed against the commercial skid before they</w:t>
      </w:r>
      <w:r>
        <w:t xml:space="preserve"> </w:t>
      </w:r>
      <w:r>
        <w:t xml:space="preserve">are written into the control strategy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bookmarkEnd w:id="41"/>
    <w:bookmarkStart w:id="42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PCR-010, the process characterization report for the step.</w:t>
      </w:r>
      <w:r>
        <w:t xml:space="preserve"> </w:t>
      </w:r>
      <w:r>
        <w:t xml:space="preserve">PCR-010 reports the qualification of the scale-down model, the three univariate series,</w:t>
      </w:r>
      <w:r>
        <w:t xml:space="preserve"> </w:t>
      </w:r>
      <w:r>
        <w:t xml:space="preserve">the buffer exchange curve, the PARs and the parameter classification, and it rolls up into</w:t>
      </w:r>
      <w:r>
        <w:t xml:space="preserve"> </w:t>
      </w:r>
      <w:r>
        <w:t xml:space="preserve">PCMR-001.</w:t>
      </w:r>
    </w:p>
    <w:p>
      <w:pPr>
        <w:pStyle w:val="BodyText"/>
      </w:pPr>
      <w:r>
        <w:t xml:space="preserve">The work runs in five phases. The scale-down model is qualified first, and it is accepted</w:t>
      </w:r>
      <w:r>
        <w:t xml:space="preserve"> </w:t>
      </w:r>
      <w:r>
        <w:t xml:space="preserve">against §7.1 before any characterization run starts. The characterization runs of §6.2 are</w:t>
      </w:r>
      <w:r>
        <w:t xml:space="preserve"> </w:t>
      </w:r>
      <w:r>
        <w:t xml:space="preserve">executed next, from a single load pool. The analysis of §5.5 and the PAR determination of</w:t>
      </w:r>
      <w:r>
        <w:t xml:space="preserve"> </w:t>
      </w:r>
      <w:r>
        <w:t xml:space="preserve">§8 follow the last run. PCR-010 is then drafted, reviewed and approved. The classification</w:t>
      </w:r>
      <w:r>
        <w:t xml:space="preserve"> </w:t>
      </w:r>
      <w:r>
        <w:t xml:space="preserve">and the ranges are finally carried into the control strategy and into PCMR-001. No calendar</w:t>
      </w:r>
      <w:r>
        <w:t xml:space="preserve"> </w:t>
      </w:r>
      <w:r>
        <w:t xml:space="preserve">dates are given here. The campaign schedule is held in PCMP-001 and the transfer milestones</w:t>
      </w:r>
      <w:r>
        <w:t xml:space="preserve"> </w:t>
      </w:r>
      <w:r>
        <w:t xml:space="preserve">in PTP-001.</w:t>
      </w:r>
    </w:p>
    <w:bookmarkEnd w:id="42"/>
    <w:bookmarkStart w:id="43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The scale-down model gives more passes through the pump per gram of antibody than the</w:t>
      </w:r>
      <w:r>
        <w:t xml:space="preserve"> </w:t>
      </w:r>
      <w:r>
        <w:t xml:space="preserve">commercial skid, as stated in §5.1. The model is therefore conservative for aggregate</w:t>
      </w:r>
      <w:r>
        <w:t xml:space="preserve"> </w:t>
      </w:r>
      <w:r>
        <w:t xml:space="preserve">formation, and a result that meets the criterion at bench scale is expected to hold at</w:t>
      </w:r>
      <w:r>
        <w:t xml:space="preserve"> </w:t>
      </w:r>
      <w:r>
        <w:t xml:space="preserve">commercial scale. If aggregate fails its criterion at bench</w:t>
      </w:r>
      <w:r>
        <w:t xml:space="preserve"> </w:t>
      </w:r>
      <w:r>
        <w:t xml:space="preserve">scale, the condition will be repeated at pilot scale before an operating range is narrowed</w:t>
      </w:r>
      <w:r>
        <w:t xml:space="preserve"> </w:t>
      </w:r>
      <w:r>
        <w:t xml:space="preserve">on the strength of the bench result.</w:t>
      </w:r>
    </w:p>
    <w:p>
      <w:pPr>
        <w:pStyle w:val="BodyText"/>
      </w:pPr>
      <w:r>
        <w:t xml:space="preserve">The study depends on a single Step 9 pool for its load. If one pool is not sufficient for</w:t>
      </w:r>
      <w:r>
        <w:t xml:space="preserve"> </w:t>
      </w:r>
      <w:r>
        <w:t xml:space="preserve">the whole study, a second pool will be bridged by running the set-point condition on both</w:t>
      </w:r>
      <w:r>
        <w:t xml:space="preserve"> </w:t>
      </w:r>
      <w:r>
        <w:t xml:space="preserve">pools and comparing the responses against the pure error band of §5.5. A difference larger</w:t>
      </w:r>
      <w:r>
        <w:t xml:space="preserve"> </w:t>
      </w:r>
      <w:r>
        <w:t xml:space="preserve">than that band will be investigated before the second pool is used, and the runs executed</w:t>
      </w:r>
      <w:r>
        <w:t xml:space="preserve"> </w:t>
      </w:r>
      <w:r>
        <w:t xml:space="preserve">on each pool will be identified in PCR-010.</w:t>
      </w:r>
    </w:p>
    <w:p>
      <w:pPr>
        <w:pStyle w:val="BodyText"/>
      </w:pPr>
      <w:r>
        <w:t xml:space="preserve">Aggregate levels in A-Mab drug substance sit well inside the criterion, and the measured</w:t>
      </w:r>
      <w:r>
        <w:t xml:space="preserve"> </w:t>
      </w:r>
      <w:r>
        <w:t xml:space="preserve">change across the step may be small against the variability of the SEC method. Noise near</w:t>
      </w:r>
      <w:r>
        <w:t xml:space="preserve"> </w:t>
      </w:r>
      <w:r>
        <w:t xml:space="preserve">the low end of the method range will be attributed to the assay rather than to the</w:t>
      </w:r>
      <w:r>
        <w:t xml:space="preserve"> </w:t>
      </w:r>
      <w:r>
        <w:t xml:space="preserve">parameter under study, unless the change measured across the range is larger than the pure</w:t>
      </w:r>
      <w:r>
        <w:t xml:space="preserve"> </w:t>
      </w:r>
      <w:r>
        <w:t xml:space="preserve">error band of §5.5.</w:t>
      </w:r>
    </w:p>
    <w:p>
      <w:pPr>
        <w:pStyle w:val="BodyText"/>
      </w:pPr>
      <w:r>
        <w:t xml:space="preserve">Three assumptions underlie the plan. The composition of the formulation buffer is fixed by</w:t>
      </w:r>
      <w:r>
        <w:t xml:space="preserve"> </w:t>
      </w:r>
      <w:r>
        <w:t xml:space="preserve">the drug product programme. A change to the formulation would change the target of the</w:t>
      </w:r>
      <w:r>
        <w:t xml:space="preserve"> </w:t>
      </w:r>
      <w:r>
        <w:t xml:space="preserve">buffer exchange and would invalidate the diavolume study. The membrane chemistry and the</w:t>
      </w:r>
      <w:r>
        <w:t xml:space="preserve"> </w:t>
      </w:r>
      <w:r>
        <w:t xml:space="preserve">membrane supplier are as qualified, and a change to either requires a new risk assessment</w:t>
      </w:r>
      <w:r>
        <w:t xml:space="preserve"> </w:t>
      </w:r>
      <w:r>
        <w:t xml:space="preserve">before these data are applied. The material entering the step arrives within the</w:t>
      </w:r>
      <w:r>
        <w:t xml:space="preserve"> </w:t>
      </w:r>
      <w:r>
        <w:t xml:space="preserve">in-process limits of Step 9. The study characterizes the step under representative load,</w:t>
      </w:r>
      <w:r>
        <w:t xml:space="preserve"> </w:t>
      </w:r>
      <w:r>
        <w:t xml:space="preserve">and it does not challenge the step with material that is already outside those limits.</w:t>
      </w:r>
    </w:p>
    <w:bookmarkEnd w:id="43"/>
    <w:bookmarkStart w:id="44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takes effect when it has been approved by the functions recorded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 A</w:t>
      </w:r>
      <w:r>
        <w:t xml:space="preserve"> </w:t>
      </w:r>
      <w:r>
        <w:t xml:space="preserve">change to the design, to the ranges or to the acceptance criteria after approval requires a</w:t>
      </w:r>
      <w:r>
        <w:t xml:space="preserve"> </w:t>
      </w:r>
      <w:r>
        <w:t xml:space="preserve">revision of this plan, approved by the same functions, before the affected runs are</w:t>
      </w:r>
      <w:r>
        <w:t xml:space="preserve"> </w:t>
      </w:r>
      <w:r>
        <w:t xml:space="preserve">executed. A departure from the plan during execution will be recorded as a deviation,</w:t>
      </w:r>
      <w:r>
        <w:t xml:space="preserve"> </w:t>
      </w:r>
      <w:r>
        <w:t xml:space="preserve">dispositioned by QA, and reported with its impact assessment in PCR-010.</w:t>
      </w:r>
    </w:p>
    <w:bookmarkEnd w:id="44"/>
    <w:bookmarkStart w:id="46" w:name="Xa10ecb1df6e28aa7562baa175bf36288486d86b"/>
    <w:p>
      <w:pPr>
        <w:pStyle w:val="Heading1"/>
      </w:pPr>
      <w:r>
        <w:t xml:space="preserve">14. Appendix A. Planned univariate level schedule</w:t>
      </w:r>
    </w:p>
    <w:p>
      <w:pPr>
        <w:pStyle w:val="FirstParagraph"/>
      </w:pPr>
      <w:hyperlink w:anchor="tbl-levels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lists the levels at which each parameter will be run. The low and high levels</w:t>
      </w:r>
      <w:r>
        <w:t xml:space="preserve"> </w:t>
      </w:r>
      <w:r>
        <w:t xml:space="preserve">are the edges of the characterization range and the set-point level is common to all three</w:t>
      </w:r>
      <w:r>
        <w:t xml:space="preserve"> </w:t>
      </w:r>
      <w:r>
        <w:t xml:space="preserve">series. No coded design matrix is given for this step, because the study carries no</w:t>
      </w:r>
      <w:r>
        <w:t xml:space="preserve"> </w:t>
      </w:r>
      <w:r>
        <w:t xml:space="preserve">factorial design. The design matrices of the multivariate steps are held in their own</w:t>
      </w:r>
      <w:r>
        <w:t xml:space="preserve"> </w:t>
      </w:r>
      <w:r>
        <w:t xml:space="preserve">plans.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leve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Planned levels for the univariate studies.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1072"/>
              <w:gridCol w:w="1072"/>
              <w:gridCol w:w="1155"/>
              <w:gridCol w:w="825"/>
              <w:gridCol w:w="11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 level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level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to 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 to 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 to 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45"/>
          <w:p/>
        </w:tc>
      </w:tr>
    </w:tbl>
    <w:bookmarkEnd w:id="46"/>
    <w:bookmarkStart w:id="55" w:name="references"/>
    <w:p>
      <w:pPr>
        <w:pStyle w:val="Heading1"/>
      </w:pPr>
      <w:r>
        <w:t xml:space="preserve">References</w:t>
      </w:r>
    </w:p>
    <w:bookmarkStart w:id="54" w:name="refs"/>
    <w:bookmarkStart w:id="47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7"/>
    <w:bookmarkStart w:id="48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48"/>
    <w:bookmarkStart w:id="49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49"/>
    <w:bookmarkStart w:id="50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50"/>
    <w:bookmarkStart w:id="51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51"/>
    <w:bookmarkStart w:id="52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52"/>
    <w:bookmarkStart w:id="53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2026-08-20T16:17:51Z</dcterms:created>
  <dcterms:modified xsi:type="dcterms:W3CDTF">2026-08-20T16:17:51Z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Ultrafiltration / Diafiltration (Step 10) — PCP-010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