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6.png" ContentType="image/png"/>
  <Override PartName="/word/media/rId64.png" ContentType="image/png"/>
  <Override PartName="/word/media/rId60.png" ContentType="image/png"/>
  <Override PartName="/word/media/rId81.png" ContentType="image/png"/>
  <Override PartName="/word/media/rId73.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Anion Exchange Chromatography (Step 8) — PCR-008</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PCR-008</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Anion Exchange Chromatography (Step 8)</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ADCC, antibody-dependent cell-mediated cytotoxicity; AEX, anion exchange chromatography;</w:t>
      </w:r>
      <w:r>
        <w:t xml:space="preserve"> </w:t>
      </w:r>
      <w:r>
        <w:t xml:space="preserve">AMV, analytical method validation; CEX, cation exchange chromatography; CPP, critical</w:t>
      </w:r>
      <w:r>
        <w:t xml:space="preserve"> </w:t>
      </w:r>
      <w:r>
        <w:t xml:space="preserve">process parameter; CQA, critical quality attribute; DNA, deoxyribonucleic acid; DoE, design</w:t>
      </w:r>
      <w:r>
        <w:t xml:space="preserve"> </w:t>
      </w:r>
      <w:r>
        <w:t xml:space="preserve">of experiments; DS, drug substance; ELISA, enzyme-linked immunosorbent assay; GPP, general</w:t>
      </w:r>
      <w:r>
        <w:t xml:space="preserve"> </w:t>
      </w:r>
      <w:r>
        <w:t xml:space="preserve">process parameter; HCP, host cell protein; icIEF, imaged capillary isoelectric focusing;</w:t>
      </w:r>
      <w:r>
        <w:t xml:space="preserve"> </w:t>
      </w:r>
      <w:r>
        <w:t xml:space="preserve">ICH, International Council for Harmonisation; IgG1, immunoglobulin G, first subclass; KPP,</w:t>
      </w:r>
      <w:r>
        <w:t xml:space="preserve"> </w:t>
      </w:r>
      <w:r>
        <w:t xml:space="preserve">key process parameter; LOQ, limit of quantitation; LRF, log reduction factor; mAU,</w:t>
      </w:r>
      <w:r>
        <w:t xml:space="preserve"> </w:t>
      </w:r>
      <w:r>
        <w:t xml:space="preserve">milli-absorbance units; MSAT, Manufacturing Science and Technology; MVM, minute virus of</w:t>
      </w:r>
      <w:r>
        <w:t xml:space="preserve"> </w:t>
      </w:r>
      <w:r>
        <w:t xml:space="preserve">mice; NOR, normal operating range; PAR, proven acceptable range; PCP, Process</w:t>
      </w:r>
      <w:r>
        <w:t xml:space="preserve"> </w:t>
      </w:r>
      <w:r>
        <w:t xml:space="preserve">Characterization Plan; PCR, Process Characterization Report; qPCR, quantitative polymerase</w:t>
      </w:r>
      <w:r>
        <w:t xml:space="preserve"> </w:t>
      </w:r>
      <w:r>
        <w:t xml:space="preserve">chain reaction; SD, standard deviation; SOP, standard operating procedure; TCID50, fifty</w:t>
      </w:r>
      <w:r>
        <w:t xml:space="preserve"> </w:t>
      </w:r>
      <w:r>
        <w:t xml:space="preserve">percent tissue culture infectious dose; UV, ultraviolet; WC-CPP, well-controlled critical</w:t>
      </w:r>
      <w:r>
        <w:t xml:space="preserve"> </w:t>
      </w:r>
      <w:r>
        <w:t xml:space="preserve">process parameter; XMuLV, xenotropic murine leukaemia virus.</w:t>
      </w:r>
    </w:p>
    <w:p>
      <w:r>
        <w:br w:type="page"/>
      </w:r>
    </w:p>
    <w:bookmarkEnd w:id="11"/>
    <w:bookmarkStart w:id="12" w:name="executive-summary"/>
    <w:p>
      <w:pPr>
        <w:pStyle w:val="Heading1"/>
      </w:pPr>
      <w:r>
        <w:t xml:space="preserve">Executive summary</w:t>
      </w:r>
    </w:p>
    <w:p>
      <w:pPr>
        <w:pStyle w:val="FirstParagraph"/>
      </w:pPr>
      <w:r>
        <w:t xml:space="preserve">Anion exchange chromatography (AEX) is the final purification step in the A-Mab drug substance</w:t>
      </w:r>
      <w:r>
        <w:t xml:space="preserve"> </w:t>
      </w:r>
      <w:r>
        <w:t xml:space="preserve">process, and it is operated in flow-through mode so that the antibody passes through the column</w:t>
      </w:r>
      <w:r>
        <w:t xml:space="preserve"> </w:t>
      </w:r>
      <w:r>
        <w:t xml:space="preserve">while acidic impurities bind to the resin. The step sets the cumulative clearance claim for minute virus of mice (MVM). It clears xenotropic murine leukaemia virus (XMuLV), host cell</w:t>
      </w:r>
      <w:r>
        <w:t xml:space="preserve"> </w:t>
      </w:r>
      <w:r>
        <w:t xml:space="preserve">protein (HCP), residual DNA and leached Protein A. This report presents the study defined in</w:t>
      </w:r>
      <w:r>
        <w:t xml:space="preserve"> </w:t>
      </w:r>
      <w:r>
        <w:t xml:space="preserve">PCP-008 as it was executed on a qualified scale-down model, under the lifecycle approach to</w:t>
      </w:r>
      <w:r>
        <w:t xml:space="preserve"> </w:t>
      </w:r>
      <w:r>
        <w:t xml:space="preserve">process validation</w:t>
      </w:r>
      <w:r>
        <w:t xml:space="preserve"> </w:t>
      </w:r>
      <w:r>
        <w:t xml:space="preserve">(U.S. Food and Drug Administration 2011)</w:t>
      </w:r>
      <w:r>
        <w:t xml:space="preserve"> </w:t>
      </w:r>
      <w:r>
        <w:t xml:space="preserve">and the enhanced development approach of ICH Q8, Q9 and Q11</w:t>
      </w:r>
      <w:r>
        <w:t xml:space="preserve"> </w:t>
      </w:r>
      <w:r>
        <w:t xml:space="preserve">(International Council for Harmonisation 2009, 2023b, 2012)</w:t>
      </w:r>
      <w:r>
        <w:t xml:space="preserve">. Viral clearance was evaluated within the framework of ICH Q5A</w:t>
      </w:r>
      <w:r>
        <w:t xml:space="preserve"> </w:t>
      </w:r>
      <w:r>
        <w:t xml:space="preserve">(International Council for Harmonisation 2023a)</w:t>
      </w:r>
      <w:r>
        <w:t xml:space="preserve">. The process model, the quality attribute register and the risk methodology all</w:t>
      </w:r>
      <w:r>
        <w:t xml:space="preserve"> </w:t>
      </w:r>
      <w:r>
        <w:t xml:space="preserve">follow the A-Mab case study</w:t>
      </w:r>
      <w:r>
        <w:t xml:space="preserve"> </w:t>
      </w:r>
      <w:r>
        <w:t xml:space="preserve">(CMC Biotech Working Group 2009)</w:t>
      </w:r>
      <w:r>
        <w:t xml:space="preserve">.</w:t>
      </w:r>
    </w:p>
    <w:p>
      <w:pPr>
        <w:pStyle w:val="BodyText"/>
      </w:pPr>
      <w:r>
        <w:t xml:space="preserve">The study characterized 5 process parameters, of which</w:t>
      </w:r>
      <w:r>
        <w:t xml:space="preserve"> </w:t>
      </w:r>
      <w:r>
        <w:t xml:space="preserve">4 were studied multivariately and one univariately, and all of</w:t>
      </w:r>
      <w:r>
        <w:t xml:space="preserve"> </w:t>
      </w:r>
      <w:r>
        <w:t xml:space="preserve">them were classified as well-controlled critical process parameters (WC-CPP). Screening over</w:t>
      </w:r>
      <w:r>
        <w:t xml:space="preserve"> </w:t>
      </w:r>
      <w:r>
        <w:t xml:space="preserve">19 runs identified load pH, equilibration/wash-1 conductivity and load conductivity (factors A, B and C in</w:t>
      </w:r>
      <w:r>
        <w:t xml:space="preserve"> </w:t>
      </w:r>
      <w:hyperlink w:anchor="tbl-legend">
        <w:r>
          <w:rPr>
            <w:rStyle w:val="Hyperlink"/>
          </w:rPr>
          <w:t xml:space="preserve">Table 8</w:t>
        </w:r>
      </w:hyperlink>
      <w:r>
        <w:t xml:space="preserve">) as the active factors, whereas protein load had no significant effect on any</w:t>
      </w:r>
      <w:r>
        <w:t xml:space="preserve"> </w:t>
      </w:r>
      <w:r>
        <w:t xml:space="preserve">response across a range that extends above the maximum commercial load. A face-centred</w:t>
      </w:r>
      <w:r>
        <w:t xml:space="preserve"> </w:t>
      </w:r>
      <w:r>
        <w:t xml:space="preserve">central composite design of 28 runs then fitted a response-surface model</w:t>
      </w:r>
      <w:r>
        <w:t xml:space="preserve"> </w:t>
      </w:r>
      <w:r>
        <w:t xml:space="preserve">for each of the 4 measured responses. The screening design identifies which factors matter, and the response-surface model is the predictive model on which the</w:t>
      </w:r>
      <w:r>
        <w:t xml:space="preserve"> </w:t>
      </w:r>
      <w:r>
        <w:t xml:space="preserve">operating region described in §6 is based.</w:t>
      </w:r>
    </w:p>
    <w:p>
      <w:pPr>
        <w:pStyle w:val="BodyText"/>
      </w:pPr>
      <w:r>
        <w:t xml:space="preserve">Every governed attribute meets its acceptance criterion across the characterized region. At</w:t>
      </w:r>
      <w:r>
        <w:t xml:space="preserve"> </w:t>
      </w:r>
      <w:r>
        <w:t xml:space="preserve">the worst corner of that region the model predicts an MVM log reduction factor (LRF) of</w:t>
      </w:r>
      <w:r>
        <w:t xml:space="preserve"> </w:t>
      </w:r>
      <w:r>
        <w:t xml:space="preserve">3.53 log₁₀ against a required step contribution of</w:t>
      </w:r>
      <w:r>
        <w:t xml:space="preserve"> </w:t>
      </w:r>
      <w:r>
        <w:t xml:space="preserve">3.28 log₁₀. Pool HCP at the corresponding purity corner is predicted at 31.9 ng/mg against an acceptance</w:t>
      </w:r>
      <w:r>
        <w:t xml:space="preserve"> </w:t>
      </w:r>
      <w:r>
        <w:t xml:space="preserve">criterion of 100 ng/mg. Over 2,000 simulated</w:t>
      </w:r>
      <w:r>
        <w:t xml:space="preserve"> </w:t>
      </w:r>
      <w:r>
        <w:t xml:space="preserve">commercial batches the cumulative MVM claim carries a capability index of</w:t>
      </w:r>
      <w:r>
        <w:t xml:space="preserve"> </w:t>
      </w:r>
      <w:r>
        <w:t xml:space="preserve">1.51, with a predicted mean of 10.38 log₁₀</w:t>
      </w:r>
      <w:r>
        <w:t xml:space="preserve"> </w:t>
      </w:r>
      <w:r>
        <w:t xml:space="preserve">against a requirement of 8.6 log₁₀, and that is the lowest capability</w:t>
      </w:r>
      <w:r>
        <w:t xml:space="preserve"> </w:t>
      </w:r>
      <w:r>
        <w:t xml:space="preserve">index anywhere in the drug substance process. This step contributes</w:t>
      </w:r>
      <w:r>
        <w:t xml:space="preserve"> </w:t>
      </w:r>
      <w:r>
        <w:t xml:space="preserve">4.71 log₁₀ of the cumulative MVM figure</w:t>
      </w:r>
      <w:r>
        <w:t xml:space="preserve"> </w:t>
      </w:r>
      <w:r>
        <w:t xml:space="preserve">(47% of the total), and the remainder comes from small-virus</w:t>
      </w:r>
      <w:r>
        <w:t xml:space="preserve"> </w:t>
      </w:r>
      <w:r>
        <w:t xml:space="preserve">retentive filtration (Step 9).</w:t>
      </w:r>
    </w:p>
    <w:p>
      <w:pPr>
        <w:pStyle w:val="BodyText"/>
      </w:pPr>
      <w:r>
        <w:t xml:space="preserve">Three deviations were recorded during execution. The most serious of them invalidated the first</w:t>
      </w:r>
      <w:r>
        <w:t xml:space="preserve"> </w:t>
      </w:r>
      <w:r>
        <w:t xml:space="preserve">execution of both designs, because the load material carried an elevated acidic charge variant</w:t>
      </w:r>
      <w:r>
        <w:t xml:space="preserve"> </w:t>
      </w:r>
      <w:r>
        <w:t xml:space="preserve">burden and was not representative of the commercial feed, and both designs were re-executed in</w:t>
      </w:r>
      <w:r>
        <w:t xml:space="preserve"> </w:t>
      </w:r>
      <w:r>
        <w:t xml:space="preserve">full on requalified material. The other two were resolved by correction and by retention with a</w:t>
      </w:r>
      <w:r>
        <w:t xml:space="preserve"> </w:t>
      </w:r>
      <w:r>
        <w:t xml:space="preserve">bounded impact assessment. None of the three altered a parameter classification or a boundary of</w:t>
      </w:r>
      <w:r>
        <w:t xml:space="preserve"> </w:t>
      </w:r>
      <w:r>
        <w:t xml:space="preserve">the operating region, and §13 gives the full account.</w:t>
      </w:r>
    </w:p>
    <w:p>
      <w:pPr>
        <w:pStyle w:val="BodyText"/>
      </w:pPr>
      <w:r>
        <w:t xml:space="preserve">The step now provides a defined multivariate operating region over which viral clearance and</w:t>
      </w:r>
      <w:r>
        <w:t xml:space="preserve"> </w:t>
      </w:r>
      <w:r>
        <w:t xml:space="preserve">pool purity both meet their criteria, together with a proven acceptable range (PAR) for every</w:t>
      </w:r>
      <w:r>
        <w:t xml:space="preserve"> </w:t>
      </w:r>
      <w:r>
        <w:t xml:space="preserve">characterized parameter. It does not assure viral safety on its own, since the cumulative MVM</w:t>
      </w:r>
      <w:r>
        <w:t xml:space="preserve"> </w:t>
      </w:r>
      <w:r>
        <w:t xml:space="preserve">claim also rests on small-virus retentive filtration and the cumulative XMuLV claim rests on the</w:t>
      </w:r>
      <w:r>
        <w:t xml:space="preserve"> </w:t>
      </w:r>
      <w:r>
        <w:t xml:space="preserve">low-pH hold as well (PCR-006, PCR-009). No claim is made at this step for glycan variants,</w:t>
      </w:r>
      <w:r>
        <w:t xml:space="preserve"> </w:t>
      </w:r>
      <w:r>
        <w:t xml:space="preserve">charge variants or aggregate. The step’s contribution is consolidated with the rest of the train in PCMR-001.</w:t>
      </w:r>
    </w:p>
    <w:p>
      <w:r>
        <w:br w:type="page"/>
      </w:r>
    </w:p>
    <w:bookmarkEnd w:id="12"/>
    <w:bookmarkStart w:id="19" w:name="introduction"/>
    <w:p>
      <w:pPr>
        <w:pStyle w:val="Heading1"/>
      </w:pPr>
      <w:r>
        <w:t xml:space="preserve">1. Introduction</w:t>
      </w:r>
    </w:p>
    <w:bookmarkStart w:id="14" w:name="product-and-unit-operation"/>
    <w:p>
      <w:pPr>
        <w:pStyle w:val="Heading2"/>
      </w:pPr>
      <w:r>
        <w:t xml:space="preserve">1.1 Product and unit operation</w:t>
      </w:r>
    </w:p>
    <w:p>
      <w:pPr>
        <w:pStyle w:val="FirstParagraph"/>
      </w:pPr>
      <w:r>
        <w:t xml:space="preserve">A-Mab is a humanized IgG1 monoclonal antibody whose principal mechanism of action is</w:t>
      </w:r>
      <w:r>
        <w:t xml:space="preserve"> </w:t>
      </w:r>
      <w:r>
        <w:t xml:space="preserve">antibody-dependent cell-mediated cytotoxicity (ADCC), so the glycan attributes that govern</w:t>
      </w:r>
      <w:r>
        <w:t xml:space="preserve"> </w:t>
      </w:r>
      <w:r>
        <w:t xml:space="preserve">effector function are formed upstream in the production bioreactor (Step 3). The drug substance</w:t>
      </w:r>
      <w:r>
        <w:t xml:space="preserve"> </w:t>
      </w:r>
      <w:r>
        <w:t xml:space="preserve">is purified by a platform train whose steps and roles are listed in</w:t>
      </w:r>
      <w:r>
        <w:t xml:space="preserve"> </w:t>
      </w:r>
      <w:hyperlink w:anchor="tbl-trai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tbl-train"/>
          <w:p>
            <w:pPr>
              <w:jc w:val="center"/>
            </w:pPr>
            <w:pPr>
              <w:jc w:val="left"/>
              <w:spacing w:before="200"/>
              <w:pStyle w:val="ImageCaption"/>
            </w:pPr>
            <w:r>
              <w:t xml:space="preserve">Table 2: The A-Mab drug substance process train and the principal role of each step.</w:t>
            </w:r>
          </w:p>
          <w:tbl>
            <w:tblPr>
              <w:tblStyle w:val="Table"/>
              <w:tblW w:type="pct" w:w="5000"/>
              <w:tblLayout w:type="fixed"/>
              <w:tblLook w:firstRow="1" w:lastRow="0" w:firstColumn="0" w:lastColumn="0" w:noHBand="0" w:noVBand="0" w:val="0020"/>
            </w:tblPr>
            <w:tblGrid>
              <w:gridCol w:w="528"/>
              <w:gridCol w:w="2244"/>
              <w:gridCol w:w="5148"/>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forms no product-quality CQA</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sets leached Protein A; principal HCP and DNA clearance</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sets the cumulative XMuLV (enveloped) clearance</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sets the cumulative MVM clearance; clears XMuLV/HCP/DNA</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principal MVM clearance</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13"/>
          <w:p/>
        </w:tc>
      </w:tr>
    </w:tbl>
    <w:p>
      <w:pPr>
        <w:pStyle w:val="BodyText"/>
      </w:pPr>
      <w:r>
        <w:t xml:space="preserve">Anion exchange chromatography is the last purification step in that train. It receives the cation exchange (CEX) pool after adjustment to the target pH and conductivity. The column is</w:t>
      </w:r>
      <w:r>
        <w:t xml:space="preserve"> </w:t>
      </w:r>
      <w:r>
        <w:t xml:space="preserve">operated in flow-through mode, which means that at the load pH the antibody carries a net</w:t>
      </w:r>
      <w:r>
        <w:t xml:space="preserve"> </w:t>
      </w:r>
      <w:r>
        <w:t xml:space="preserve">positive charge and passes through the strong anion exchanger while acidic impurities bind and</w:t>
      </w:r>
      <w:r>
        <w:t xml:space="preserve"> </w:t>
      </w:r>
      <w:r>
        <w:t xml:space="preserve">are retained. Product is collected across the load and the equilibration wash on ultraviolet</w:t>
      </w:r>
      <w:r>
        <w:t xml:space="preserve"> </w:t>
      </w:r>
      <w:r>
        <w:t xml:space="preserve">(UV) absorbance. Because the mechanism is adsorptive for the impurities and non-adsorptive for</w:t>
      </w:r>
      <w:r>
        <w:t xml:space="preserve"> </w:t>
      </w:r>
      <w:r>
        <w:t xml:space="preserve">the product, the column is not loaded to a product breakthrough limit, and the step tolerates a high protein load.</w:t>
      </w:r>
    </w:p>
    <w:p>
      <w:pPr>
        <w:pStyle w:val="BodyText"/>
      </w:pPr>
      <w:r>
        <w:t xml:space="preserve">This is the step at which the cumulative clearance claim for MVM is set. Charge-based</w:t>
      </w:r>
      <w:r>
        <w:t xml:space="preserve"> </w:t>
      </w:r>
      <w:r>
        <w:t xml:space="preserve">partitioning of a small non-enveloped parvovirus is efficient at the operating pH, and the mechanism is independent of the size-based mechanism used at the small-virus retentive filter (Step 9, PCR-009), which is what allows the two contributions to be added. The step also clears XMuLV, HCP, residual DNA and leached Protein A, and at the nominal commercial operating point it reduces HCP from 117 ng/mg in the load to</w:t>
      </w:r>
      <w:r>
        <w:t xml:space="preserve"> </w:t>
      </w:r>
      <w:r>
        <w:t xml:space="preserve">19 ng/mg in the pool, a clearance factor of 6.2, at a step yield of about 97.3%. No claim is</w:t>
      </w:r>
      <w:r>
        <w:t xml:space="preserve"> </w:t>
      </w:r>
      <w:r>
        <w:t xml:space="preserve">made at this step for glycan variants, charge variants or aggregate, because those attributes</w:t>
      </w:r>
      <w:r>
        <w:t xml:space="preserve"> </w:t>
      </w:r>
      <w:r>
        <w:t xml:space="preserve">are formed at Step 3 and controlled at Step 3 and Step 7, and anion exchange does not discriminate</w:t>
      </w:r>
      <w:r>
        <w:t xml:space="preserve"> </w:t>
      </w:r>
      <w:r>
        <w:t xml:space="preserve">between them under platform conditions.</w:t>
      </w:r>
    </w:p>
    <w:bookmarkEnd w:id="14"/>
    <w:bookmarkStart w:id="15" w:name="objectives"/>
    <w:p>
      <w:pPr>
        <w:pStyle w:val="Heading2"/>
      </w:pPr>
      <w:r>
        <w:t xml:space="preserve">1.2 Objectives</w:t>
      </w:r>
    </w:p>
    <w:p>
      <w:pPr>
        <w:pStyle w:val="FirstParagraph"/>
      </w:pPr>
      <w:r>
        <w:t xml:space="preserve">The study had five objectives.</w:t>
      </w:r>
    </w:p>
    <w:p>
      <w:pPr>
        <w:pStyle w:val="Compact"/>
        <w:numPr>
          <w:ilvl w:val="0"/>
          <w:numId w:val="1001"/>
        </w:numPr>
      </w:pPr>
    </w:p>
    <w:p>
      <w:pPr>
        <w:pStyle w:val="Compact"/>
        <w:numPr>
          <w:ilvl w:val="1"/>
          <w:numId w:val="1002"/>
        </w:numPr>
      </w:pPr>
      <w:r>
        <w:t xml:space="preserve">Quantify the relationship between each characterized process parameter and each measured</w:t>
      </w:r>
      <w:r>
        <w:t xml:space="preserve"> </w:t>
      </w:r>
      <w:r>
        <w:t xml:space="preserve">response, over ranges deliberately wider than the intended commercial control ranges.</w:t>
      </w:r>
    </w:p>
    <w:p>
      <w:pPr>
        <w:pStyle w:val="Compact"/>
        <w:numPr>
          <w:ilvl w:val="0"/>
          <w:numId w:val="1001"/>
        </w:numPr>
      </w:pPr>
    </w:p>
    <w:p>
      <w:pPr>
        <w:pStyle w:val="Compact"/>
        <w:numPr>
          <w:ilvl w:val="1"/>
          <w:numId w:val="1003"/>
        </w:numPr>
      </w:pPr>
      <w:r>
        <w:t xml:space="preserve">Define a multivariate operating region over which the governed quality attributes remain</w:t>
      </w:r>
      <w:r>
        <w:t xml:space="preserve"> </w:t>
      </w:r>
      <w:r>
        <w:t xml:space="preserve">within their acceptance criteria.</w:t>
      </w:r>
    </w:p>
    <w:p>
      <w:pPr>
        <w:pStyle w:val="Compact"/>
        <w:numPr>
          <w:ilvl w:val="0"/>
          <w:numId w:val="1001"/>
        </w:numPr>
      </w:pPr>
    </w:p>
    <w:p>
      <w:pPr>
        <w:pStyle w:val="Compact"/>
        <w:numPr>
          <w:ilvl w:val="1"/>
          <w:numId w:val="1004"/>
        </w:numPr>
      </w:pPr>
      <w:r>
        <w:t xml:space="preserve">Establish a proven acceptable range for each characterized parameter, both at set-point</w:t>
      </w:r>
      <w:r>
        <w:t xml:space="preserve"> </w:t>
      </w:r>
      <w:r>
        <w:t xml:space="preserve">and with the remaining parameters varying within their normal operating ranges (NOR).</w:t>
      </w:r>
    </w:p>
    <w:p>
      <w:pPr>
        <w:pStyle w:val="Compact"/>
        <w:numPr>
          <w:ilvl w:val="0"/>
          <w:numId w:val="1001"/>
        </w:numPr>
      </w:pPr>
    </w:p>
    <w:p>
      <w:pPr>
        <w:pStyle w:val="Compact"/>
        <w:numPr>
          <w:ilvl w:val="1"/>
          <w:numId w:val="1005"/>
        </w:numPr>
      </w:pPr>
      <w:r>
        <w:t xml:space="preserve">Classify each process parameter against the decision criteria in SOP-4001.</w:t>
      </w:r>
    </w:p>
    <w:p>
      <w:pPr>
        <w:pStyle w:val="Compact"/>
        <w:numPr>
          <w:ilvl w:val="0"/>
          <w:numId w:val="1001"/>
        </w:numPr>
      </w:pPr>
    </w:p>
    <w:p>
      <w:pPr>
        <w:pStyle w:val="Compact"/>
        <w:numPr>
          <w:ilvl w:val="1"/>
          <w:numId w:val="1006"/>
        </w:numPr>
      </w:pPr>
      <w:r>
        <w:t xml:space="preserve">Justify the Stage 2 operating ranges and the step’s contribution to the control strategy</w:t>
      </w:r>
      <w:r>
        <w:t xml:space="preserve"> </w:t>
      </w:r>
      <w:r>
        <w:t xml:space="preserve">for transfer to the commercial facility.</w:t>
      </w:r>
    </w:p>
    <w:bookmarkEnd w:id="15"/>
    <w:bookmarkStart w:id="16" w:name="regulatory-and-scientific-basis"/>
    <w:p>
      <w:pPr>
        <w:pStyle w:val="Heading2"/>
      </w:pPr>
      <w:r>
        <w:t xml:space="preserve">1.3 Regulatory and scientific basis</w:t>
      </w:r>
    </w:p>
    <w:p>
      <w:pPr>
        <w:pStyle w:val="FirstParagraph"/>
      </w:pPr>
      <w:r>
        <w:t xml:space="preserve">The study is a Stage 1 process design activity under the lifecycle approach to process</w:t>
      </w:r>
      <w:r>
        <w:t xml:space="preserve"> </w:t>
      </w:r>
      <w:r>
        <w:t xml:space="preserve">validation</w:t>
      </w:r>
      <w:r>
        <w:t xml:space="preserve"> </w:t>
      </w:r>
      <w:r>
        <w:t xml:space="preserve">(U.S. Food and Drug Administration 2011)</w:t>
      </w:r>
      <w:r>
        <w:t xml:space="preserve">. It follows the enhanced development approach of ICH Q8 together with the</w:t>
      </w:r>
      <w:r>
        <w:t xml:space="preserve"> </w:t>
      </w:r>
      <w:r>
        <w:t xml:space="preserve">risk management principles of ICH Q9, which are applied through the criticality framework of §2.2</w:t>
      </w:r>
      <w:r>
        <w:t xml:space="preserve"> </w:t>
      </w:r>
      <w:r>
        <w:t xml:space="preserve">(International Council for Harmonisation 2009, 2023b)</w:t>
      </w:r>
      <w:r>
        <w:t xml:space="preserve">. Criticality is treated as a continuum and not as a binary</w:t>
      </w:r>
      <w:r>
        <w:t xml:space="preserve"> </w:t>
      </w:r>
      <w:r>
        <w:t xml:space="preserve">label, and attributes of high or very high criticality are called critical. ICH Q11 provides the</w:t>
      </w:r>
      <w:r>
        <w:t xml:space="preserve"> </w:t>
      </w:r>
      <w:r>
        <w:t xml:space="preserve">basis for linking parameter ranges to a design space for the drug substance</w:t>
      </w:r>
      <w:r>
        <w:t xml:space="preserve"> </w:t>
      </w:r>
      <w:r>
        <w:t xml:space="preserve">(International Council for Harmonisation 2012)</w:t>
      </w:r>
      <w:r>
        <w:t xml:space="preserve">. The viral</w:t>
      </w:r>
      <w:r>
        <w:t xml:space="preserve"> </w:t>
      </w:r>
      <w:r>
        <w:t xml:space="preserve">clearance work follows ICH Q5A</w:t>
      </w:r>
      <w:r>
        <w:t xml:space="preserve"> </w:t>
      </w:r>
      <w:r>
        <w:t xml:space="preserve">(International Council for Harmonisation 2023a)</w:t>
      </w:r>
      <w:r>
        <w:t xml:space="preserve">, under which clearance is claimed on a modular basis,</w:t>
      </w:r>
      <w:r>
        <w:t xml:space="preserve"> </w:t>
      </w:r>
      <w:r>
        <w:t xml:space="preserve">with each step evaluated independently in a qualified small-scale spiking model. The process</w:t>
      </w:r>
      <w:r>
        <w:t xml:space="preserve"> </w:t>
      </w:r>
      <w:r>
        <w:t xml:space="preserve">model, the quality attribute register and the risk methodology are all taken from the published A-Mab case study</w:t>
      </w:r>
      <w:r>
        <w:t xml:space="preserve"> </w:t>
      </w:r>
      <w:r>
        <w:t xml:space="preserve">(CMC Biotech Working Group 2009)</w:t>
      </w:r>
      <w:r>
        <w:t xml:space="preserve">.</w:t>
      </w:r>
    </w:p>
    <w:bookmarkEnd w:id="16"/>
    <w:bookmarkStart w:id="18" w:name="related-documents"/>
    <w:p>
      <w:pPr>
        <w:pStyle w:val="Heading2"/>
      </w:pPr>
      <w:r>
        <w:t xml:space="preserve">1.4 Related documents</w:t>
      </w:r>
    </w:p>
    <w:p>
      <w:pPr>
        <w:pStyle w:val="FirstParagraph"/>
      </w:pPr>
      <w:r>
        <w:t xml:space="preserve">The documents that scope this study, and the document into which it rolls up, are listed in</w:t>
      </w:r>
      <w:r>
        <w:t xml:space="preserve"> </w:t>
      </w:r>
      <w:hyperlink w:anchor="tbl-related">
        <w:r>
          <w:rPr>
            <w:rStyle w:val="Hyperlink"/>
          </w:rPr>
          <w:t xml:space="preserve">Table 3</w:t>
        </w:r>
      </w:hyperlink>
      <w:r>
        <w:t xml:space="preserve">. The paired protocol is PCP-008 and the risk basis is RA-001.</w:t>
      </w:r>
    </w:p>
    <w:tbl>
      <w:tblPr>
        <w:tblStyle w:val="Table"/>
        <w:tblW w:type="pct" w:w="5000"/>
        <w:tblLayout w:type="fixed"/>
        <w:tblLook w:firstRow="0" w:lastRow="0" w:firstColumn="0" w:lastColumn="0" w:noHBand="0" w:noVBand="0" w:val="0000"/>
      </w:tblPr>
      <w:tblGrid>
        <w:gridCol w:w="7920"/>
      </w:tblGrid>
      <w:tr>
        <w:tc>
          <w:tcPr/>
          <w:bookmarkStart w:id="17" w:name="tbl-related"/>
          <w:p>
            <w:pPr>
              <w:jc w:val="center"/>
            </w:pPr>
            <w:pPr>
              <w:jc w:val="left"/>
              <w:spacing w:before="200"/>
              <w:pStyle w:val="ImageCaption"/>
            </w:pPr>
            <w:r>
              <w:t xml:space="preserve">Table 3: Related documents in the A-Mab characterization package.</w:t>
            </w:r>
          </w:p>
          <w:tbl>
            <w:tblPr>
              <w:tblStyle w:val="Table"/>
              <w:tblW w:type="pct" w:w="5000"/>
              <w:tblLayout w:type="fixed"/>
              <w:tblLook w:firstRow="1" w:lastRow="0" w:firstColumn="0" w:lastColumn="0" w:noHBand="0" w:noVBand="0" w:val="0020"/>
            </w:tblPr>
            <w:tblGrid>
              <w:gridCol w:w="958"/>
              <w:gridCol w:w="4598"/>
              <w:gridCol w:w="236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PCP-008</w:t>
                  </w:r>
                </w:p>
              </w:tc>
              <w:tc>
                <w:tcPr/>
                <w:p>
                  <w:pPr>
                    <w:pStyle w:val="Compact"/>
                    <w:jc w:val="left"/>
                    <w:jc w:val="center"/>
                  </w:pPr>
                  <w:r>
                    <w:t xml:space="preserve">Process Characterization Plan (Anion Exchange Chromatography (Step 8))</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7"/>
          <w:p/>
        </w:tc>
      </w:tr>
    </w:tbl>
    <w:p>
      <w:r>
        <w:br w:type="page"/>
      </w:r>
    </w:p>
    <w:bookmarkEnd w:id="18"/>
    <w:bookmarkEnd w:id="19"/>
    <w:bookmarkStart w:id="25" w:name="prior-knowledge-and-quality-risk-basis"/>
    <w:p>
      <w:pPr>
        <w:pStyle w:val="Heading1"/>
      </w:pPr>
      <w:r>
        <w:t xml:space="preserve">2. Prior knowledge and quality risk basis</w:t>
      </w:r>
    </w:p>
    <w:p>
      <w:pPr>
        <w:pStyle w:val="FirstParagraph"/>
      </w:pPr>
      <w:r>
        <w:t xml:space="preserve">Prior knowledge and the risk assessment recorded in RA-001 together set the factor list and the</w:t>
      </w:r>
      <w:r>
        <w:t xml:space="preserve"> </w:t>
      </w:r>
      <w:r>
        <w:t xml:space="preserve">ranges used in this study. The platform behaviour of a flow-through anion exchange step is well</w:t>
      </w:r>
      <w:r>
        <w:t xml:space="preserve"> </w:t>
      </w:r>
      <w:r>
        <w:t xml:space="preserve">established for this antibody class, so the work described here confirms and bounds that</w:t>
      </w:r>
      <w:r>
        <w:t xml:space="preserve"> </w:t>
      </w:r>
      <w:r>
        <w:t xml:space="preserve">behaviour for A-Mab and is not a discovery study. The mechanistic expectation is therefore given</w:t>
      </w:r>
      <w:r>
        <w:t xml:space="preserve"> </w:t>
      </w:r>
      <w:r>
        <w:t xml:space="preserve">first, then the attributes in scope, and then the parameter selection that follows from both.</w:t>
      </w:r>
    </w:p>
    <w:bookmarkStart w:id="20" w:name="platform-and-prior-product-knowledge"/>
    <w:p>
      <w:pPr>
        <w:pStyle w:val="Heading2"/>
      </w:pPr>
      <w:r>
        <w:t xml:space="preserve">2.1 Platform and prior-product knowledge</w:t>
      </w:r>
    </w:p>
    <w:p>
      <w:pPr>
        <w:pStyle w:val="FirstParagraph"/>
      </w:pPr>
      <w:r>
        <w:t xml:space="preserve">The A-Mab downstream process is a platform train with an extensive performance history. The same</w:t>
      </w:r>
      <w:r>
        <w:t xml:space="preserve"> </w:t>
      </w:r>
      <w:r>
        <w:t xml:space="preserve">anion exchange polishing step has been operated for three previous humanized IgG1 antibodies</w:t>
      </w:r>
      <w:r>
        <w:t xml:space="preserve"> </w:t>
      </w:r>
      <w:r>
        <w:t xml:space="preserve">(X-Mab, Y-Mab and Z-Mab) and throughout A-Mab clinical and engineering manufacture, and that</w:t>
      </w:r>
      <w:r>
        <w:t xml:space="preserve"> </w:t>
      </w:r>
      <w:r>
        <w:t xml:space="preserve">experience establishes three expectations against which the present results can be tested.</w:t>
      </w:r>
    </w:p>
    <w:p>
      <w:pPr>
        <w:pStyle w:val="BodyText"/>
      </w:pPr>
      <w:r>
        <w:t xml:space="preserve">The first expectation concerns viral clearance. Removal of both model viruses on a strong anion</w:t>
      </w:r>
      <w:r>
        <w:t xml:space="preserve"> </w:t>
      </w:r>
      <w:r>
        <w:t xml:space="preserve">exchanger is a charge partitioning phenomenon, so clearance falls as the load pH falls, because</w:t>
      </w:r>
      <w:r>
        <w:t xml:space="preserve"> </w:t>
      </w:r>
      <w:r>
        <w:t xml:space="preserve">the virus carries less negative charge and binds the resin less strongly, and it falls again as the load conductivity rises, because counter-ions compete for the same binding sites. Load pH</w:t>
      </w:r>
      <w:r>
        <w:t xml:space="preserve"> </w:t>
      </w:r>
      <w:r>
        <w:t xml:space="preserve">and load conductivity were therefore expected to dominate both viral responses, and to act in</w:t>
      </w:r>
      <w:r>
        <w:t xml:space="preserve"> </w:t>
      </w:r>
      <w:r>
        <w:t xml:space="preserve">the same direction on each of them.</w:t>
      </w:r>
    </w:p>
    <w:p>
      <w:pPr>
        <w:pStyle w:val="BodyText"/>
      </w:pPr>
      <w:r>
        <w:t xml:space="preserve">The second expectation concerns HCP. Host cell protein is a heterogeneous population with a wide</w:t>
      </w:r>
      <w:r>
        <w:t xml:space="preserve"> </w:t>
      </w:r>
      <w:r>
        <w:t xml:space="preserve">range of isoelectric points, so its retention depends on the ionic environment of the column</w:t>
      </w:r>
      <w:r>
        <w:t xml:space="preserve"> </w:t>
      </w:r>
      <w:r>
        <w:t xml:space="preserve">during the flow-through and wash phases, and that environment is set by the conductivity of the</w:t>
      </w:r>
      <w:r>
        <w:t xml:space="preserve"> </w:t>
      </w:r>
      <w:r>
        <w:t xml:space="preserve">equilibration and wash-1 buffer. Prior platform data show that a higher wash conductivity</w:t>
      </w:r>
      <w:r>
        <w:t xml:space="preserve"> </w:t>
      </w:r>
      <w:r>
        <w:t xml:space="preserve">weakens the binding of the more weakly acidic species and releases them into the pool, whereas a higher load pH has the opposite effect because it increases the net negative charge of those same</w:t>
      </w:r>
      <w:r>
        <w:t xml:space="preserve"> </w:t>
      </w:r>
      <w:r>
        <w:t xml:space="preserve">species. An interaction between the two was anticipated on that basis.</w:t>
      </w:r>
    </w:p>
    <w:p>
      <w:pPr>
        <w:pStyle w:val="BodyText"/>
      </w:pPr>
      <w:r>
        <w:t xml:space="preserve">The third expectation concerns capacity. Since the product does not bind, the column is loaded</w:t>
      </w:r>
      <w:r>
        <w:t xml:space="preserve"> </w:t>
      </w:r>
      <w:r>
        <w:t xml:space="preserve">to an impurity breakthrough limit and not to a product breakthrough limit, and platform</w:t>
      </w:r>
      <w:r>
        <w:t xml:space="preserve"> </w:t>
      </w:r>
      <w:r>
        <w:t xml:space="preserve">experience with the prior products places that limit well above the intended commercial load.</w:t>
      </w:r>
      <w:r>
        <w:t xml:space="preserve"> </w:t>
      </w:r>
      <w:r>
        <w:t xml:space="preserve">Protein load was expected to be inactive over a wide range. The study was designed to test</w:t>
      </w:r>
      <w:r>
        <w:t xml:space="preserve"> </w:t>
      </w:r>
      <w:r>
        <w:t xml:space="preserve">that expectation and not to assume it.</w:t>
      </w:r>
    </w:p>
    <w:p>
      <w:pPr>
        <w:pStyle w:val="BodyText"/>
      </w:pPr>
      <w:r>
        <w:t xml:space="preserve">Prior knowledge also fixes what this step is not expected to do. Glycosylation variants are not</w:t>
      </w:r>
      <w:r>
        <w:t xml:space="preserve"> </w:t>
      </w:r>
      <w:r>
        <w:t xml:space="preserve">separated by charge-based chromatography, apart from sialylated species, which are present at</w:t>
      </w:r>
      <w:r>
        <w:t xml:space="preserve"> </w:t>
      </w:r>
      <w:r>
        <w:t xml:space="preserve">very low levels in A-Mab, and aggregate is polished at cation exchange (Step 7). The prior</w:t>
      </w:r>
      <w:r>
        <w:t xml:space="preserve"> </w:t>
      </w:r>
      <w:r>
        <w:t xml:space="preserve">knowledge transfer is limited to mechanism and to the direction of effects. Every quantitative claim in this report rests on the data generated in the executed study.</w:t>
      </w:r>
    </w:p>
    <w:bookmarkEnd w:id="20"/>
    <w:bookmarkStart w:id="23" w:name="quality-attributes-in-scope"/>
    <w:p>
      <w:pPr>
        <w:pStyle w:val="Heading2"/>
      </w:pPr>
      <w:r>
        <w:t xml:space="preserve">2.2 Quality attributes in scope</w:t>
      </w:r>
    </w:p>
    <w:p>
      <w:pPr>
        <w:pStyle w:val="FirstParagraph"/>
      </w:pPr>
      <w:r>
        <w:t xml:space="preserve">The step sets one critical quality attribute (CQA), which is given in</w:t>
      </w:r>
      <w:r>
        <w:t xml:space="preserve"> </w:t>
      </w:r>
      <w:hyperlink w:anchor="tbl-cqa-set">
        <w:r>
          <w:rPr>
            <w:rStyle w:val="Hyperlink"/>
          </w:rPr>
          <w:t xml:space="preserve">Table 4</w:t>
        </w:r>
      </w:hyperlink>
      <w:r>
        <w:t xml:space="preserve"> </w:t>
      </w:r>
      <w:r>
        <w:t xml:space="preserve">with its</w:t>
      </w:r>
      <w:r>
        <w:t xml:space="preserve"> </w:t>
      </w:r>
      <w:r>
        <w:t xml:space="preserve">acceptance criterion and with its criticality score under Tool #1 of the A-Mab framework, a</w:t>
      </w:r>
      <w:r>
        <w:t xml:space="preserve"> </w:t>
      </w:r>
      <w:r>
        <w:t xml:space="preserve">score that combines the impact of the attribute with the uncertainty around it.</w:t>
      </w:r>
    </w:p>
    <w:tbl>
      <w:tblPr>
        <w:tblStyle w:val="Table"/>
        <w:tblW w:type="pct" w:w="5000"/>
        <w:tblLayout w:type="fixed"/>
        <w:tblLook w:firstRow="0" w:lastRow="0" w:firstColumn="0" w:lastColumn="0" w:noHBand="0" w:noVBand="0" w:val="0000"/>
      </w:tblPr>
      <w:tblGrid>
        <w:gridCol w:w="7920"/>
      </w:tblGrid>
      <w:tr>
        <w:tc>
          <w:tcPr/>
          <w:bookmarkStart w:id="21" w:name="tbl-cqa-set"/>
          <w:p>
            <w:pPr>
              <w:jc w:val="center"/>
            </w:pPr>
            <w:pPr>
              <w:jc w:val="left"/>
              <w:spacing w:before="200"/>
              <w:pStyle w:val="ImageCaption"/>
            </w:pPr>
            <w:r>
              <w:t xml:space="preserve">Table 4: Critical quality attribute set by the anion exchange step.</w:t>
            </w:r>
          </w:p>
          <w:tbl>
            <w:tblPr>
              <w:tblStyle w:val="Table"/>
              <w:tblW w:type="pct" w:w="5000"/>
              <w:tblLayout w:type="fixed"/>
              <w:tblLook w:firstRow="1" w:lastRow="0" w:firstColumn="0" w:lastColumn="0" w:noHBand="0" w:noVBand="0" w:val="0020"/>
            </w:tblPr>
            <w:tblGrid>
              <w:gridCol w:w="2768"/>
              <w:gridCol w:w="1076"/>
              <w:gridCol w:w="2076"/>
              <w:gridCol w:w="1153"/>
              <w:gridCol w:w="845"/>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Viral clearance — MVM (parvovirus)</w:t>
                  </w:r>
                </w:p>
              </w:tc>
              <w:tc>
                <w:tcPr/>
                <w:p>
                  <w:pPr>
                    <w:pStyle w:val="Compact"/>
                    <w:jc w:val="left"/>
                    <w:jc w:val="center"/>
                  </w:pPr>
                  <w:r>
                    <w:t xml:space="preserve">viral safety</w:t>
                  </w:r>
                </w:p>
              </w:tc>
              <w:tc>
                <w:tcPr/>
                <w:p>
                  <w:pPr>
                    <w:pStyle w:val="Compact"/>
                    <w:jc w:val="left"/>
                    <w:jc w:val="center"/>
                  </w:pPr>
                  <w:r>
                    <w:t xml:space="preserve">8.6–20 log10 (cumulative)</w:t>
                  </w:r>
                </w:p>
              </w:tc>
              <w:tc>
                <w:tcPr/>
                <w:p>
                  <w:pPr>
                    <w:pStyle w:val="Compact"/>
                    <w:jc w:val="left"/>
                    <w:jc w:val="center"/>
                  </w:pPr>
                  <w:r>
                    <w:t xml:space="preserve">VH</w:t>
                  </w:r>
                </w:p>
              </w:tc>
              <w:tc>
                <w:tcPr/>
                <w:p>
                  <w:pPr>
                    <w:pStyle w:val="Compact"/>
                    <w:jc w:val="right"/>
                    <w:jc w:val="center"/>
                  </w:pPr>
                  <w:r>
                    <w:t xml:space="preserve">20</w:t>
                  </w:r>
                </w:p>
              </w:tc>
            </w:tr>
          </w:tbl>
          <w:bookmarkEnd w:id="21"/>
          <w:p/>
        </w:tc>
      </w:tr>
    </w:tbl>
    <w:p>
      <w:pPr>
        <w:pStyle w:val="BodyText"/>
      </w:pPr>
      <w:r>
        <w:t xml:space="preserve">MVM clearance is of very high criticality, and its acceptance criterion is cumulative across the</w:t>
      </w:r>
      <w:r>
        <w:t xml:space="preserve"> </w:t>
      </w:r>
      <w:r>
        <w:t xml:space="preserve">process and expressed as a log reduction factor, with a requirement of</w:t>
      </w:r>
      <w:r>
        <w:t xml:space="preserve"> </w:t>
      </w:r>
      <w:r>
        <w:t xml:space="preserve">8.6 log₁₀ over the whole train. Anion exchange and small-virus retentive</w:t>
      </w:r>
      <w:r>
        <w:t xml:space="preserve"> </w:t>
      </w:r>
      <w:r>
        <w:t xml:space="preserve">filtration are the only two steps credited with MVM clearance, so subtracting the nominal</w:t>
      </w:r>
      <w:r>
        <w:t xml:space="preserve"> </w:t>
      </w:r>
      <w:r>
        <w:t xml:space="preserve">contribution of Step 9 from the cumulative requirement gives the contribution that this step must</w:t>
      </w:r>
      <w:r>
        <w:t xml:space="preserve"> </w:t>
      </w:r>
      <w:r>
        <w:t xml:space="preserve">deliver, which is 3.28 log₁₀. That back-calculated figure is the</w:t>
      </w:r>
      <w:r>
        <w:t xml:space="preserve"> </w:t>
      </w:r>
      <w:r>
        <w:t xml:space="preserve">step-level acceptance criterion used throughout this report. The same construction applied to XMuLV gives a step-level criterion of 3.78 log₁₀.</w:t>
      </w:r>
    </w:p>
    <w:p>
      <w:pPr>
        <w:pStyle w:val="BodyText"/>
      </w:pPr>
      <w:r>
        <w:t xml:space="preserve">The step also clears four attributes that it does not set (</w:t>
      </w:r>
      <w:hyperlink w:anchor="tbl-cqa-clear">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 w:name="tbl-cqa-clear"/>
          <w:p>
            <w:pPr>
              <w:jc w:val="center"/>
            </w:pPr>
            <w:pPr>
              <w:jc w:val="left"/>
              <w:spacing w:before="200"/>
              <w:pStyle w:val="ImageCaption"/>
            </w:pPr>
            <w:r>
              <w:t xml:space="preserve">Table 5: Quality attributes cleared but not set by the anion exchange step.</w:t>
            </w:r>
          </w:p>
          <w:tbl>
            <w:tblPr>
              <w:tblStyle w:val="Table"/>
              <w:tblW w:type="pct" w:w="5000"/>
              <w:tblLayout w:type="fixed"/>
              <w:tblLook w:firstRow="1" w:lastRow="0" w:firstColumn="0" w:lastColumn="0" w:noHBand="0" w:noVBand="0" w:val="0020"/>
            </w:tblPr>
            <w:tblGrid>
              <w:gridCol w:w="2688"/>
              <w:gridCol w:w="1307"/>
              <w:gridCol w:w="2034"/>
              <w:gridCol w:w="1089"/>
              <w:gridCol w:w="799"/>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0–5 ppm</w:t>
                  </w:r>
                </w:p>
              </w:tc>
              <w:tc>
                <w:tcPr/>
                <w:p>
                  <w:pPr>
                    <w:pStyle w:val="Compact"/>
                    <w:jc w:val="left"/>
                    <w:jc w:val="center"/>
                  </w:pPr>
                  <w:r>
                    <w:t xml:space="preserve">L-M</w:t>
                  </w:r>
                </w:p>
              </w:tc>
              <w:tc>
                <w:tcPr/>
                <w:p>
                  <w:pPr>
                    <w:pStyle w:val="Compact"/>
                    <w:jc w:val="right"/>
                    <w:jc w:val="center"/>
                  </w:pPr>
                  <w:r>
                    <w:t xml:space="preserve">16</w:t>
                  </w:r>
                </w:p>
              </w:tc>
            </w:tr>
            <w:tr>
              <w:tc>
                <w:tcPr/>
                <w:p>
                  <w:pPr>
                    <w:pStyle w:val="Compact"/>
                    <w:jc w:val="left"/>
                    <w:jc w:val="center"/>
                  </w:pPr>
                  <w:r>
                    <w:t xml:space="preserve">Viral clearance — XMuLV (enveloped)</w:t>
                  </w:r>
                </w:p>
              </w:tc>
              <w:tc>
                <w:tcPr/>
                <w:p>
                  <w:pPr>
                    <w:pStyle w:val="Compact"/>
                    <w:jc w:val="left"/>
                    <w:jc w:val="center"/>
                  </w:pPr>
                  <w:r>
                    <w:t xml:space="preserve">viral safety</w:t>
                  </w:r>
                </w:p>
              </w:tc>
              <w:tc>
                <w:tcPr/>
                <w:p>
                  <w:pPr>
                    <w:pStyle w:val="Compact"/>
                    <w:jc w:val="left"/>
                    <w:jc w:val="center"/>
                  </w:pPr>
                  <w:r>
                    <w:t xml:space="preserve">16.7–30 log10 (cumulative)</w:t>
                  </w:r>
                </w:p>
              </w:tc>
              <w:tc>
                <w:tcPr/>
                <w:p>
                  <w:pPr>
                    <w:pStyle w:val="Compact"/>
                    <w:jc w:val="left"/>
                    <w:jc w:val="center"/>
                  </w:pPr>
                  <w:r>
                    <w:t xml:space="preserve">VH</w:t>
                  </w:r>
                </w:p>
              </w:tc>
              <w:tc>
                <w:tcPr/>
                <w:p>
                  <w:pPr>
                    <w:pStyle w:val="Compact"/>
                    <w:jc w:val="right"/>
                    <w:jc w:val="center"/>
                  </w:pPr>
                  <w:r>
                    <w:t xml:space="preserve">20</w:t>
                  </w:r>
                </w:p>
              </w:tc>
            </w:tr>
          </w:tbl>
          <w:bookmarkEnd w:id="22"/>
          <w:p/>
        </w:tc>
      </w:tr>
    </w:tbl>
    <w:p>
      <w:pPr>
        <w:pStyle w:val="BodyText"/>
      </w:pPr>
      <w:r>
        <w:t xml:space="preserve">Host cell protein is the attribute in this group with any prospect of constraining the operating</w:t>
      </w:r>
      <w:r>
        <w:t xml:space="preserve"> </w:t>
      </w:r>
      <w:r>
        <w:t xml:space="preserve">region, because it is of moderate to high criticality and anion exchange is the last step that</w:t>
      </w:r>
      <w:r>
        <w:t xml:space="preserve"> </w:t>
      </w:r>
      <w:r>
        <w:t xml:space="preserve">clears it. Neither virus filtration nor ultrafiltration and diafiltration (Step 10) removes HCP,</w:t>
      </w:r>
      <w:r>
        <w:t xml:space="preserve"> </w:t>
      </w:r>
      <w:r>
        <w:t xml:space="preserve">so the concentration in the anion exchange pool carries through to the drug substance (DS), and the</w:t>
      </w:r>
      <w:r>
        <w:t xml:space="preserve"> </w:t>
      </w:r>
      <w:r>
        <w:t xml:space="preserve">drug substance specification is applied directly to the pool. Residual DNA and leached Protein A</w:t>
      </w:r>
      <w:r>
        <w:t xml:space="preserve"> </w:t>
      </w:r>
      <w:r>
        <w:t xml:space="preserve">are cleared with large margins and are reported here for completeness, the step being credited</w:t>
      </w:r>
      <w:r>
        <w:t xml:space="preserve"> </w:t>
      </w:r>
      <w:r>
        <w:t xml:space="preserve">with 4.0 log₁₀ of DNA clearance and 2.0 log₁₀ of</w:t>
      </w:r>
      <w:r>
        <w:t xml:space="preserve"> </w:t>
      </w:r>
      <w:r>
        <w:t xml:space="preserve">leached Protein A clearance at the nominal operating point.</w:t>
      </w:r>
    </w:p>
    <w:bookmarkEnd w:id="23"/>
    <w:bookmarkStart w:id="24" w:name="X8e350aaf11e00001962f0e94cfe08bc5c1a6d7b"/>
    <w:p>
      <w:pPr>
        <w:pStyle w:val="Heading2"/>
      </w:pPr>
      <w:r>
        <w:t xml:space="preserve">2.3 Risk-based prioritization and parameter selection</w:t>
      </w:r>
    </w:p>
    <w:p>
      <w:pPr>
        <w:pStyle w:val="FirstParagraph"/>
      </w:pPr>
      <w:r>
        <w:t xml:space="preserve">RA-001 assessed every operating parameter of the step against its potential impact on quality</w:t>
      </w:r>
      <w:r>
        <w:t xml:space="preserve"> </w:t>
      </w:r>
      <w:r>
        <w:t xml:space="preserve">attributes and against its potential to interact with other parameters. Each parameter was then</w:t>
      </w:r>
      <w:r>
        <w:t xml:space="preserve"> </w:t>
      </w:r>
      <w:r>
        <w:t xml:space="preserve">placed into one of three groups. The first holds parameters warranting multivariate evaluation,</w:t>
      </w:r>
      <w:r>
        <w:t xml:space="preserve"> </w:t>
      </w:r>
      <w:r>
        <w:t xml:space="preserve">and the second holds secondary parameters whose ranges could be supported by univariate study.</w:t>
      </w:r>
      <w:r>
        <w:t xml:space="preserve"> </w:t>
      </w:r>
      <w:r>
        <w:t xml:space="preserve">The third holds parameters needing no new study, because their ranges follow from platform</w:t>
      </w:r>
      <w:r>
        <w:t xml:space="preserve"> </w:t>
      </w:r>
      <w:r>
        <w:t xml:space="preserve">knowledge or from a modular claim established on the prior products. Where no data or rationale</w:t>
      </w:r>
      <w:r>
        <w:t xml:space="preserve"> </w:t>
      </w:r>
      <w:r>
        <w:t xml:space="preserve">were available to support an assessment, the parameter was ranked at the highest level.</w:t>
      </w:r>
    </w:p>
    <w:p>
      <w:pPr>
        <w:pStyle w:val="BodyText"/>
      </w:pPr>
      <w:r>
        <w:t xml:space="preserve">The first group holds 4 parameters. Load pH and load conductivity</w:t>
      </w:r>
      <w:r>
        <w:t xml:space="preserve"> </w:t>
      </w:r>
      <w:r>
        <w:t xml:space="preserve">were ranked high because prior knowledge links both of them directly to viral clearance, and equilibration and wash-1 conductivity was ranked high because it governs the ionic environment</w:t>
      </w:r>
      <w:r>
        <w:t xml:space="preserve"> </w:t>
      </w:r>
      <w:r>
        <w:t xml:space="preserve">during flow-through and because an interaction with load pH was anticipated. Protein load was</w:t>
      </w:r>
      <w:r>
        <w:t xml:space="preserve"> </w:t>
      </w:r>
      <w:r>
        <w:t xml:space="preserve">ranked high on interaction potential and not on main effect, since an impurity breakthrough limit</w:t>
      </w:r>
      <w:r>
        <w:t xml:space="preserve"> </w:t>
      </w:r>
      <w:r>
        <w:t xml:space="preserve">would present itself as a load interaction before it presented itself as a load main effect.</w:t>
      </w:r>
    </w:p>
    <w:p>
      <w:pPr>
        <w:pStyle w:val="BodyText"/>
      </w:pPr>
      <w:r>
        <w:t xml:space="preserve">Operating flow rate fell into the second group, because flow rate acts through residence time,</w:t>
      </w:r>
      <w:r>
        <w:t xml:space="preserve"> </w:t>
      </w:r>
      <w:r>
        <w:t xml:space="preserve">and residence time affects the approach to adsorption equilibrium and not the position of that</w:t>
      </w:r>
      <w:r>
        <w:t xml:space="preserve"> </w:t>
      </w:r>
      <w:r>
        <w:t xml:space="preserve">equilibrium. An interaction with the chemistry factors was not expected on that basis, so a</w:t>
      </w:r>
      <w:r>
        <w:t xml:space="preserve"> </w:t>
      </w:r>
      <w:r>
        <w:t xml:space="preserve">univariate assessment was judged sufficient.</w:t>
      </w:r>
    </w:p>
    <w:p>
      <w:pPr>
        <w:pStyle w:val="BodyText"/>
      </w:pPr>
      <w:r>
        <w:t xml:space="preserve">Column bed height, resin lot, cleaning and regeneration conditions and the buffer salt system</w:t>
      </w:r>
      <w:r>
        <w:t xml:space="preserve"> </w:t>
      </w:r>
      <w:r>
        <w:t xml:space="preserve">fell into the third group. Bed height and linear velocity are fixed by the scale-down convention (§3.1), resin life-cycle behaviour is controlled under SOP-2008 and is supported by</w:t>
      </w:r>
      <w:r>
        <w:t xml:space="preserve"> </w:t>
      </w:r>
      <w:r>
        <w:t xml:space="preserve">the platform data on the prior products, and the buffer salt system is fixed by SOP-2011.</w:t>
      </w:r>
    </w:p>
    <w:p>
      <w:pPr>
        <w:pStyle w:val="BodyText"/>
      </w:pPr>
      <w:r>
        <w:t xml:space="preserve">The characterized ranges were deliberately set wider than the intended commercial control ranges (the NOR), each range being extended to roughly two or three times the routine control range so</w:t>
      </w:r>
      <w:r>
        <w:t xml:space="preserve"> </w:t>
      </w:r>
      <w:r>
        <w:t xml:space="preserve">that process performance could be assessed well beyond the conditions the commercial step will</w:t>
      </w:r>
      <w:r>
        <w:t xml:space="preserve"> </w:t>
      </w:r>
      <w:r>
        <w:t xml:space="preserve">encounter. The wider ranges also supply the process understanding needed to support later</w:t>
      </w:r>
      <w:r>
        <w:t xml:space="preserve"> </w:t>
      </w:r>
      <w:r>
        <w:t xml:space="preserve">movement within the design space. The individual ranges and their justification are given in</w:t>
      </w:r>
      <w:r>
        <w:t xml:space="preserve"> </w:t>
      </w:r>
      <w:r>
        <w:t xml:space="preserve">§4.1.</w:t>
      </w:r>
    </w:p>
    <w:p>
      <w:r>
        <w:br w:type="page"/>
      </w:r>
    </w:p>
    <w:bookmarkEnd w:id="24"/>
    <w:bookmarkEnd w:id="25"/>
    <w:bookmarkStart w:id="32" w:name="materials-and-methods"/>
    <w:p>
      <w:pPr>
        <w:pStyle w:val="Heading1"/>
      </w:pPr>
      <w:r>
        <w:t xml:space="preserve">3. Materials and methods</w:t>
      </w:r>
    </w:p>
    <w:bookmarkStart w:id="26" w:name="scale-down-model-and-its-qualification"/>
    <w:p>
      <w:pPr>
        <w:pStyle w:val="Heading2"/>
      </w:pPr>
      <w:r>
        <w:t xml:space="preserve">3.1 Scale-down model and its qualification</w:t>
      </w:r>
    </w:p>
    <w:p>
      <w:pPr>
        <w:pStyle w:val="FirstParagraph"/>
      </w:pPr>
      <w:r>
        <w:t xml:space="preserve">A laboratory-scale chromatography system was qualified as a model of the commercial step under</w:t>
      </w:r>
      <w:r>
        <w:t xml:space="preserve"> </w:t>
      </w:r>
      <w:r>
        <w:t xml:space="preserve">SOP-1001, and it was built on the standard scaling convention for column chromatography. Column</w:t>
      </w:r>
      <w:r>
        <w:t xml:space="preserve"> </w:t>
      </w:r>
      <w:r>
        <w:t xml:space="preserve">diameter was reduced, while bed height, linear velocity, protein load per litre of resin and</w:t>
      </w:r>
      <w:r>
        <w:t xml:space="preserve"> </w:t>
      </w:r>
      <w:r>
        <w:t xml:space="preserve">load volume expressed in column volumes were all held equal to the commercial values. This</w:t>
      </w:r>
      <w:r>
        <w:t xml:space="preserve"> </w:t>
      </w:r>
      <w:r>
        <w:t xml:space="preserve">convention holds residence time and mass transport constant across scales, and all buffer volumes are expressed in column volumes, so the same proportional quantities are used at both</w:t>
      </w:r>
      <w:r>
        <w:t xml:space="preserve"> </w:t>
      </w:r>
      <w:r>
        <w:t xml:space="preserve">scales.</w:t>
      </w:r>
    </w:p>
    <w:p>
      <w:pPr>
        <w:pStyle w:val="BodyText"/>
      </w:pPr>
      <w:r>
        <w:t xml:space="preserve">Qualification compared the laboratory model with commercial-scale batch data on the input and</w:t>
      </w:r>
      <w:r>
        <w:t xml:space="preserve"> </w:t>
      </w:r>
      <w:r>
        <w:t xml:space="preserve">output attributes of the step (step yield, pool HCP, pool acidic variants and pool aggregate),</w:t>
      </w:r>
      <w:r>
        <w:t xml:space="preserve"> </w:t>
      </w:r>
      <w:r>
        <w:t xml:space="preserve">and column efficiency was compared by the usual measures (plate count and peak asymmetry). No statistically</w:t>
      </w:r>
      <w:r>
        <w:t xml:space="preserve"> </w:t>
      </w:r>
      <w:r>
        <w:t xml:space="preserve">significant difference between scales was found for any of these attributes. The qualification record is held in the scale-down model qualification report referenced by PCP-008.</w:t>
      </w:r>
      <w:r>
        <w:t xml:space="preserve"> </w:t>
      </w:r>
      <w:r>
        <w:t xml:space="preserve">On that basis the model is considered representative of the commercial step, and the operating range claims derived from it are applied to commercial scale.</w:t>
      </w:r>
    </w:p>
    <w:p>
      <w:pPr>
        <w:pStyle w:val="BodyText"/>
      </w:pPr>
      <w:r>
        <w:t xml:space="preserve">Two limits on the scale-down warrant are recorded here. The model reproduces the commercial step</w:t>
      </w:r>
      <w:r>
        <w:t xml:space="preserve"> </w:t>
      </w:r>
      <w:r>
        <w:t xml:space="preserve">at the conditions at which it was qualified, which are the target conditions, and it is not</w:t>
      </w:r>
      <w:r>
        <w:t xml:space="preserve"> </w:t>
      </w:r>
      <w:r>
        <w:t xml:space="preserve">independently qualified at the edges of the characterized ranges. It also uses a single packed</w:t>
      </w:r>
      <w:r>
        <w:t xml:space="preserve"> </w:t>
      </w:r>
      <w:r>
        <w:t xml:space="preserve">column and a single resin lot within a study, so it carries no information about resin lot</w:t>
      </w:r>
      <w:r>
        <w:t xml:space="preserve"> </w:t>
      </w:r>
      <w:r>
        <w:t xml:space="preserve">variability or about end-of-lifetime resin performance, both of which are controlled under SOP-2008 and are addressed in the transfer programme described in PTP-001.</w:t>
      </w:r>
    </w:p>
    <w:p>
      <w:pPr>
        <w:pStyle w:val="BodyText"/>
      </w:pPr>
      <w:r>
        <w:t xml:space="preserve">Viral clearance was measured in a small-scale spiking model derived from the same system, in</w:t>
      </w:r>
      <w:r>
        <w:t xml:space="preserve"> </w:t>
      </w:r>
      <w:r>
        <w:t xml:space="preserve">accordance with ICH Q5A</w:t>
      </w:r>
      <w:r>
        <w:t xml:space="preserve"> </w:t>
      </w:r>
      <w:r>
        <w:t xml:space="preserve">(International Council for Harmonisation 2023a)</w:t>
      </w:r>
      <w:r>
        <w:t xml:space="preserve">. Each spiking condition was run in duplicate and the lower of</w:t>
      </w:r>
      <w:r>
        <w:t xml:space="preserve"> </w:t>
      </w:r>
      <w:r>
        <w:t xml:space="preserve">the two log reduction factors was carried forward. The spiking runs were executed under</w:t>
      </w:r>
      <w:r>
        <w:t xml:space="preserve"> </w:t>
      </w:r>
      <w:r>
        <w:t xml:space="preserve">conditions chosen to be conservative for clearance: flow rate and protein load were set at or</w:t>
      </w:r>
      <w:r>
        <w:t xml:space="preserve"> </w:t>
      </w:r>
      <w:r>
        <w:t xml:space="preserve">above the maximum values used in the characterization runs, and bed height and residence time were set at their minimum operating values. The collection criteria were set to include both the</w:t>
      </w:r>
      <w:r>
        <w:t xml:space="preserve"> </w:t>
      </w:r>
      <w:r>
        <w:t xml:space="preserve">earliest and the latest eluting material.</w:t>
      </w:r>
    </w:p>
    <w:p>
      <w:pPr>
        <w:pStyle w:val="BodyText"/>
      </w:pPr>
      <w:r>
        <w:t xml:space="preserve">The centre-point replicates within each design provide the pure-error estimate used in the lack-of-fit test (§5.3). This is a within-study estimate of reproducibility, and it</w:t>
      </w:r>
      <w:r>
        <w:t xml:space="preserve"> </w:t>
      </w:r>
      <w:r>
        <w:t xml:space="preserve">carries both process and assay variation.</w:t>
      </w:r>
    </w:p>
    <w:bookmarkEnd w:id="26"/>
    <w:bookmarkStart w:id="27" w:name="operation"/>
    <w:p>
      <w:pPr>
        <w:pStyle w:val="Heading2"/>
      </w:pPr>
      <w:r>
        <w:t xml:space="preserve">3.2 Operation</w:t>
      </w:r>
    </w:p>
    <w:p>
      <w:pPr>
        <w:pStyle w:val="FirstParagraph"/>
      </w:pPr>
      <w:r>
        <w:t xml:space="preserve">Runs were executed under the step operating procedure (SOP-2011). The cation exchange pool was adjusted to the target load pH</w:t>
      </w:r>
      <w:r>
        <w:t xml:space="preserve"> </w:t>
      </w:r>
      <w:r>
        <w:t xml:space="preserve">and load conductivity with titrant and dilution buffer and held at ambient temperature until</w:t>
      </w:r>
      <w:r>
        <w:t xml:space="preserve"> </w:t>
      </w:r>
      <w:r>
        <w:t xml:space="preserve">loading. The column was equilibrated with the equilibration and wash-1 buffer at the conductivity set for the run, and the load was then applied at the run flow rate. The column was</w:t>
      </w:r>
      <w:r>
        <w:t xml:space="preserve"> </w:t>
      </w:r>
      <w:r>
        <w:t xml:space="preserve">washed with equilibration buffer, and product was collected across the load and the wash on UV</w:t>
      </w:r>
      <w:r>
        <w:t xml:space="preserve"> </w:t>
      </w:r>
      <w:r>
        <w:t xml:space="preserve">absorbance at 280 nm, with collection started and stopped on the ascending and descending</w:t>
      </w:r>
      <w:r>
        <w:t xml:space="preserve"> </w:t>
      </w:r>
      <w:r>
        <w:t xml:space="preserve">absorbance thresholds specified in SOP-2011. A deviation on the descending threshold is recorded below (§13.2).</w:t>
      </w:r>
    </w:p>
    <w:p>
      <w:pPr>
        <w:pStyle w:val="BodyText"/>
      </w:pPr>
      <w:r>
        <w:t xml:space="preserve">Column packing, sanitization, storage and life-cycle control followed SOP-2008, and bed height</w:t>
      </w:r>
      <w:r>
        <w:t xml:space="preserve"> </w:t>
      </w:r>
      <w:r>
        <w:t xml:space="preserve">was held at the commercial value in every run. Buffer preparation and release followed SOP-2103. Inputs that are controlled to platform specification (resin type, buffer salt system</w:t>
      </w:r>
      <w:r>
        <w:t xml:space="preserve"> </w:t>
      </w:r>
      <w:r>
        <w:t xml:space="preserve">and column hardware) were held at their specified values and were not varied, because they are</w:t>
      </w:r>
      <w:r>
        <w:t xml:space="preserve"> </w:t>
      </w:r>
      <w:r>
        <w:t xml:space="preserve">identity and quality controlled and are not characterization variables.</w:t>
      </w:r>
    </w:p>
    <w:bookmarkEnd w:id="27"/>
    <w:bookmarkStart w:id="29" w:name="analytical-methods"/>
    <w:p>
      <w:pPr>
        <w:pStyle w:val="Heading2"/>
      </w:pPr>
      <w:r>
        <w:t xml:space="preserve">3.3 Analytical methods</w:t>
      </w:r>
    </w:p>
    <w:p>
      <w:pPr>
        <w:pStyle w:val="FirstParagraph"/>
      </w:pPr>
      <w:r>
        <w:t xml:space="preserve">Every response was measured by a validated method, and the controlled procedures and method</w:t>
      </w:r>
      <w:r>
        <w:t xml:space="preserve"> </w:t>
      </w:r>
      <w:r>
        <w:t xml:space="preserve">validations that apply to this step are listed in</w:t>
      </w:r>
      <w:r>
        <w:t xml:space="preserve"> </w:t>
      </w:r>
      <w:hyperlink w:anchor="tbl-methods">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methods"/>
          <w:p>
            <w:pPr>
              <w:jc w:val="center"/>
            </w:pPr>
            <w:pPr>
              <w:jc w:val="left"/>
              <w:spacing w:before="200"/>
              <w:pStyle w:val="ImageCaption"/>
            </w:pPr>
            <w:r>
              <w:t xml:space="preserve">Table 6: Controlled procedures and validated analytical methods for the step.</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SOP-2011</w:t>
                  </w:r>
                </w:p>
              </w:tc>
              <w:tc>
                <w:tcPr/>
                <w:p>
                  <w:pPr>
                    <w:pStyle w:val="Compact"/>
                    <w:jc w:val="left"/>
                    <w:jc w:val="center"/>
                  </w:pPr>
                  <w:r>
                    <w:t xml:space="preserve">Operation of the Anion-Exchange Polishing Chromatography Step</w:t>
                  </w:r>
                </w:p>
              </w:tc>
              <w:tc>
                <w:tcPr/>
                <w:p>
                  <w:pPr>
                    <w:pStyle w:val="Compact"/>
                    <w:jc w:val="left"/>
                    <w:jc w:val="center"/>
                  </w:pPr>
                  <w:r>
                    <w:t xml:space="preserve">SOP</w:t>
                  </w:r>
                </w:p>
              </w:tc>
            </w:tr>
            <w:tr>
              <w:tc>
                <w:tcPr/>
                <w:p>
                  <w:pPr>
                    <w:pStyle w:val="Compact"/>
                    <w:jc w:val="left"/>
                    <w:jc w:val="center"/>
                  </w:pPr>
                  <w:r>
                    <w:t xml:space="preserve">SOP-2008</w:t>
                  </w:r>
                </w:p>
              </w:tc>
              <w:tc>
                <w:tcPr/>
                <w:p>
                  <w:pPr>
                    <w:pStyle w:val="Compact"/>
                    <w:jc w:val="left"/>
                    <w:jc w:val="center"/>
                  </w:pPr>
                  <w:r>
                    <w:t xml:space="preserve">Chromatography Resin Life-Cycle, Packing and Sanitization</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left"/>
                    <w:jc w:val="center"/>
                  </w:pPr>
                  <w:r>
                    <w:t xml:space="preserve">Method validation</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left"/>
                    <w:jc w:val="center"/>
                  </w:pPr>
                  <w:r>
                    <w:t xml:space="preserve">Method validation</w:t>
                  </w:r>
                </w:p>
              </w:tc>
            </w:tr>
            <w:tr>
              <w:tc>
                <w:tcPr/>
                <w:p>
                  <w:pPr>
                    <w:pStyle w:val="Compact"/>
                    <w:jc w:val="left"/>
                    <w:jc w:val="center"/>
                  </w:pPr>
                  <w:r>
                    <w:t xml:space="preserve">AMV-3013</w:t>
                  </w:r>
                </w:p>
              </w:tc>
              <w:tc>
                <w:tcPr/>
                <w:p>
                  <w:pPr>
                    <w:pStyle w:val="Compact"/>
                    <w:jc w:val="left"/>
                    <w:jc w:val="center"/>
                  </w:pPr>
                  <w:r>
                    <w:t xml:space="preserve">Charge Variants (icIEF)</w:t>
                  </w:r>
                </w:p>
              </w:tc>
              <w:tc>
                <w:tcPr/>
                <w:p>
                  <w:pPr>
                    <w:pStyle w:val="Compact"/>
                    <w:jc w:val="left"/>
                    <w:jc w:val="center"/>
                  </w:pPr>
                  <w:r>
                    <w:t xml:space="preserve">Method validation</w:t>
                  </w:r>
                </w:p>
              </w:tc>
            </w:tr>
          </w:tbl>
          <w:bookmarkEnd w:id="28"/>
          <w:p/>
        </w:tc>
      </w:tr>
    </w:tbl>
    <w:p>
      <w:pPr>
        <w:pStyle w:val="BodyText"/>
      </w:pPr>
      <w:r>
        <w:t xml:space="preserve">Pool HCP was measured by the process-specific enzyme-linked immunosorbent assay validated under</w:t>
      </w:r>
      <w:r>
        <w:t xml:space="preserve"> </w:t>
      </w:r>
      <w:r>
        <w:t xml:space="preserve">AMV-3012, residual DNA by quantitative polymerase chain reaction (AMV-3014) and leached Protein</w:t>
      </w:r>
      <w:r>
        <w:t xml:space="preserve"> </w:t>
      </w:r>
      <w:r>
        <w:t xml:space="preserve">A by enzyme-linked immunosorbent assay (AMV-3016), while infectivity titres for XMuLV and MVM were determined under AMV-3017 and AMV-3018 respectively. Charge variants were measured by imaged</w:t>
      </w:r>
      <w:r>
        <w:t xml:space="preserve"> </w:t>
      </w:r>
      <w:r>
        <w:t xml:space="preserve">capillary isoelectric focusing (AMV-3013), which was applied to the load material and not to the</w:t>
      </w:r>
      <w:r>
        <w:t xml:space="preserve"> </w:t>
      </w:r>
      <w:r>
        <w:t xml:space="preserve">pool, because the step makes no charge variant claim. That method is reported here because it</w:t>
      </w:r>
      <w:r>
        <w:t xml:space="preserve"> </w:t>
      </w:r>
      <w:r>
        <w:t xml:space="preserve">identified the root cause of the first recorded deviation (§13.1).</w:t>
      </w:r>
    </w:p>
    <w:p>
      <w:pPr>
        <w:pStyle w:val="BodyText"/>
      </w:pPr>
      <w:r>
        <w:t xml:space="preserve">Assay performance matters to the interpretation of the results, and the relevant figures are</w:t>
      </w:r>
      <w:r>
        <w:t xml:space="preserve"> </w:t>
      </w:r>
      <w:r>
        <w:t xml:space="preserve">tabulated in Appendix D. The HCP assay is the least precise of the methods used, with an</w:t>
      </w:r>
      <w:r>
        <w:t xml:space="preserve"> </w:t>
      </w:r>
      <w:r>
        <w:t xml:space="preserve">intermediate precision of 9.5% relative standard deviation and about</w:t>
      </w:r>
      <w:r>
        <w:t xml:space="preserve"> </w:t>
      </w:r>
      <w:r>
        <w:t xml:space="preserve">40% of the observed variance in a pool result attributable to the</w:t>
      </w:r>
      <w:r>
        <w:t xml:space="preserve"> </w:t>
      </w:r>
      <w:r>
        <w:t xml:space="preserve">assay itself. The infectivity assays are considerably more precise on the log₁₀ scale, at</w:t>
      </w:r>
      <w:r>
        <w:t xml:space="preserve"> </w:t>
      </w:r>
      <w:r>
        <w:t xml:space="preserve">0.32 log₁₀ for MVM and 0.30 log₁₀ for XMuLV.</w:t>
      </w:r>
      <w:r>
        <w:t xml:space="preserve"> </w:t>
      </w:r>
      <w:r>
        <w:t xml:space="preserve">Variance in the HCP results is attributed to the assay wherever the magnitude is consistent with these figures. That attribution is made explicit in the results (§5.1).</w:t>
      </w:r>
    </w:p>
    <w:bookmarkEnd w:id="29"/>
    <w:bookmarkStart w:id="30" w:name="sampling-plan"/>
    <w:p>
      <w:pPr>
        <w:pStyle w:val="Heading2"/>
      </w:pPr>
      <w:r>
        <w:t xml:space="preserve">3.4 Sampling plan</w:t>
      </w:r>
    </w:p>
    <w:p>
      <w:pPr>
        <w:pStyle w:val="FirstParagraph"/>
      </w:pPr>
      <w:r>
        <w:t xml:space="preserve">One pool sample was drawn from each run and assayed for HCP, residual DNA and leached Protein A,</w:t>
      </w:r>
      <w:r>
        <w:t xml:space="preserve"> </w:t>
      </w:r>
      <w:r>
        <w:t xml:space="preserve">and step yield was calculated from load and pool protein mass determined by UV absorbance at 280</w:t>
      </w:r>
      <w:r>
        <w:t xml:space="preserve"> </w:t>
      </w:r>
      <w:r>
        <w:t xml:space="preserve">nm. Virus-spiked runs were sampled at the load and across the collected pool, and titres were</w:t>
      </w:r>
      <w:r>
        <w:t xml:space="preserve"> </w:t>
      </w:r>
      <w:r>
        <w:t xml:space="preserve">determined in duplicate. Load material was sampled before each execution and tested for charge</w:t>
      </w:r>
      <w:r>
        <w:t xml:space="preserve"> </w:t>
      </w:r>
      <w:r>
        <w:t xml:space="preserve">variants, HCP and aggregate so that feed representativeness could be verified before the design</w:t>
      </w:r>
      <w:r>
        <w:t xml:space="preserve"> </w:t>
      </w:r>
      <w:r>
        <w:t xml:space="preserve">was run, and it was that verification which detected the first of the recorded deviations (§13.1).</w:t>
      </w:r>
    </w:p>
    <w:p>
      <w:pPr>
        <w:pStyle w:val="BodyText"/>
      </w:pPr>
      <w:r>
        <w:t xml:space="preserve">The screening design carried 3 centre-point runs and the</w:t>
      </w:r>
      <w:r>
        <w:t xml:space="preserve"> </w:t>
      </w:r>
      <w:r>
        <w:t xml:space="preserve">response-surface design carried 4. Centre points were distributed through the run order (never consecutively), and run order was randomized within each</w:t>
      </w:r>
      <w:r>
        <w:t xml:space="preserve"> </w:t>
      </w:r>
      <w:r>
        <w:t xml:space="preserve">design.</w:t>
      </w:r>
    </w:p>
    <w:bookmarkEnd w:id="30"/>
    <w:bookmarkStart w:id="31" w:name="statistical-methods"/>
    <w:p>
      <w:pPr>
        <w:pStyle w:val="Heading2"/>
      </w:pPr>
      <w:r>
        <w:t xml:space="preserve">3.5 Statistical methods</w:t>
      </w:r>
    </w:p>
    <w:p>
      <w:pPr>
        <w:pStyle w:val="FirstParagraph"/>
      </w:pPr>
      <w:r>
        <w:t xml:space="preserve">All factors were analysed in coded units, where the coded levels −1/0/+1 correspond to the low</w:t>
      </w:r>
      <w:r>
        <w:t xml:space="preserve"> </w:t>
      </w:r>
      <w:r>
        <w:t xml:space="preserve">edge, the set-point and the high edge of each characterized range. Coding places the factors on</w:t>
      </w:r>
      <w:r>
        <w:t xml:space="preserve"> </w:t>
      </w:r>
      <w:r>
        <w:t xml:space="preserve">a common scale, so that effect estimates are directly comparable across parameters measured in</w:t>
      </w:r>
      <w:r>
        <w:t xml:space="preserve"> </w:t>
      </w:r>
      <w:r>
        <w:t xml:space="preserve">different units.</w:t>
      </w:r>
    </w:p>
    <w:p>
      <w:pPr>
        <w:pStyle w:val="BodyText"/>
      </w:pPr>
      <w:r>
        <w:t xml:space="preserve">The screening data were fitted by ordinary least squares (SOP-1002) with all main effects and all</w:t>
      </w:r>
      <w:r>
        <w:t xml:space="preserve"> </w:t>
      </w:r>
      <w:r>
        <w:t xml:space="preserve">two-factor interactions, and an effect is reported as twice the coded coefficient, which is the change in the response across the full characterized range of that factor (the coded levels −1 and +1). The response-surface</w:t>
      </w:r>
      <w:r>
        <w:t xml:space="preserve"> </w:t>
      </w:r>
      <w:r>
        <w:t xml:space="preserve">data were fitted with the full quadratic model, which adds the squared terms to the same</w:t>
      </w:r>
      <w:r>
        <w:t xml:space="preserve"> </w:t>
      </w:r>
      <w:r>
        <w:t xml:space="preserve">structure. Significance was assessed at α = 0.05 throughout.</w:t>
      </w:r>
    </w:p>
    <w:p>
      <w:pPr>
        <w:pStyle w:val="BodyText"/>
      </w:pPr>
      <w:r>
        <w:t xml:space="preserve">Model adequacy was judged on four criteria. The first two are the coefficient of determination</w:t>
      </w:r>
      <w:r>
        <w:t xml:space="preserve"> </w:t>
      </w:r>
      <w:r>
        <w:t xml:space="preserve">and its adjusted form, together with the predicted coefficient of determination computed from</w:t>
      </w:r>
      <w:r>
        <w:t xml:space="preserve"> </w:t>
      </w:r>
      <w:r>
        <w:t xml:space="preserve">the prediction sum of squares. The third is the overall model F test, and the fourth is the</w:t>
      </w:r>
      <w:r>
        <w:t xml:space="preserve"> </w:t>
      </w:r>
      <w:r>
        <w:t xml:space="preserve">lack-of-fit test that compares the residual variation not explained by the model with the pure</w:t>
      </w:r>
      <w:r>
        <w:t xml:space="preserve"> </w:t>
      </w:r>
      <w:r>
        <w:t xml:space="preserve">error estimated from the centre-point replicates. A model is treated as adequate when the F test</w:t>
      </w:r>
      <w:r>
        <w:t xml:space="preserve"> </w:t>
      </w:r>
      <w:r>
        <w:t xml:space="preserve">is significant and the lack-of-fit test is not. A factor is treated as inactive when it appears in no significant term.</w:t>
      </w:r>
    </w:p>
    <w:p>
      <w:pPr>
        <w:pStyle w:val="BodyText"/>
      </w:pPr>
      <w:r>
        <w:t xml:space="preserve">Commercial-scale capability was estimated by Monte-Carlo simulation of 2,000</w:t>
      </w:r>
      <w:r>
        <w:t xml:space="preserve"> </w:t>
      </w:r>
      <w:r>
        <w:t xml:space="preserve">batches, in which each parameter was drawn within its NOR, the fitted models were evaluated at</w:t>
      </w:r>
      <w:r>
        <w:t xml:space="preserve"> </w:t>
      </w:r>
      <w:r>
        <w:t xml:space="preserve">the drawn conditions, and process and assay variation were added. Capability is reported as a</w:t>
      </w:r>
      <w:r>
        <w:t xml:space="preserve"> </w:t>
      </w:r>
      <w:r>
        <w:t xml:space="preserve">one-sided process capability index against the relevant acceptance limit. The proven acceptable ranges were computed by the two analyses set out below (§7).</w:t>
      </w:r>
    </w:p>
    <w:p>
      <w:r>
        <w:br w:type="page"/>
      </w:r>
    </w:p>
    <w:bookmarkEnd w:id="31"/>
    <w:bookmarkEnd w:id="32"/>
    <w:bookmarkStart w:id="39" w:name="study-design"/>
    <w:p>
      <w:pPr>
        <w:pStyle w:val="Heading1"/>
      </w:pPr>
      <w:r>
        <w:t xml:space="preserve">4. Study design</w:t>
      </w:r>
    </w:p>
    <w:p>
      <w:pPr>
        <w:pStyle w:val="FirstParagraph"/>
      </w:pPr>
      <w:r>
        <w:t xml:space="preserve">The design has two stages: a screening design that resolves which factors are active and which</w:t>
      </w:r>
      <w:r>
        <w:t xml:space="preserve"> </w:t>
      </w:r>
      <w:r>
        <w:t xml:space="preserve">interactions exist, and a response-surface design that quantifies the surface over those factors</w:t>
      </w:r>
      <w:r>
        <w:t xml:space="preserve"> </w:t>
      </w:r>
      <w:r>
        <w:t xml:space="preserve">and provides the predictive model. A univariate assessment covers the one parameter that was not carried into the multivariate work, and together the three cover the knowledge space defined</w:t>
      </w:r>
      <w:r>
        <w:t xml:space="preserve"> </w:t>
      </w:r>
      <w:r>
        <w:t xml:space="preserve">below.</w:t>
      </w:r>
    </w:p>
    <w:bookmarkStart w:id="35" w:name="factors-ranges-and-the-knowledge-space"/>
    <w:p>
      <w:pPr>
        <w:pStyle w:val="Heading2"/>
      </w:pPr>
      <w:r>
        <w:t xml:space="preserve">4.1 Factors, ranges and the knowledge space</w:t>
      </w:r>
    </w:p>
    <w:p>
      <w:pPr>
        <w:pStyle w:val="FirstParagraph"/>
      </w:pPr>
      <w:r>
        <w:t xml:space="preserve">The characterized parameters are given in</w:t>
      </w:r>
      <w:r>
        <w:t xml:space="preserve"> </w:t>
      </w:r>
      <w:hyperlink w:anchor="tbl-params">
        <w:r>
          <w:rPr>
            <w:rStyle w:val="Hyperlink"/>
          </w:rPr>
          <w:t xml:space="preserve">Table 7</w:t>
        </w:r>
      </w:hyperlink>
      <w:r>
        <w:t xml:space="preserve"> </w:t>
      </w:r>
      <w:r>
        <w:t xml:space="preserve">with their set-points, their normal</w:t>
      </w:r>
      <w:r>
        <w:t xml:space="preserve"> </w:t>
      </w:r>
      <w:r>
        <w:t xml:space="preserve">operating ranges, the ranges studied and their final classification, which is an outcome of the study and is justified below (§9).</w:t>
      </w:r>
    </w:p>
    <w:tbl>
      <w:tblPr>
        <w:tblStyle w:val="Table"/>
        <w:tblW w:type="pct" w:w="5000"/>
        <w:tblLayout w:type="fixed"/>
        <w:tblLook w:firstRow="0" w:lastRow="0" w:firstColumn="0" w:lastColumn="0" w:noHBand="0" w:noVBand="0" w:val="0000"/>
      </w:tblPr>
      <w:tblGrid>
        <w:gridCol w:w="7920"/>
      </w:tblGrid>
      <w:tr>
        <w:tc>
          <w:tcPr/>
          <w:bookmarkStart w:id="33" w:name="tbl-params"/>
          <w:p>
            <w:pPr>
              <w:jc w:val="center"/>
            </w:pPr>
            <w:pPr>
              <w:jc w:val="left"/>
              <w:spacing w:before="200"/>
              <w:pStyle w:val="ImageCaption"/>
            </w:pPr>
            <w:r>
              <w:t xml:space="preserve">Table 7: Characterized process parameters, ranges studied and final classification.</w:t>
            </w:r>
          </w:p>
          <w:tbl>
            <w:tblPr>
              <w:tblStyle w:val="Table"/>
              <w:tblW w:type="pct" w:w="5000"/>
              <w:tblLayout w:type="fixed"/>
              <w:tblLook w:firstRow="1" w:lastRow="0" w:firstColumn="0" w:lastColumn="0" w:noHBand="0" w:noVBand="0" w:val="0020"/>
            </w:tblPr>
            <w:tblGrid>
              <w:gridCol w:w="2138"/>
              <w:gridCol w:w="871"/>
              <w:gridCol w:w="1029"/>
              <w:gridCol w:w="871"/>
              <w:gridCol w:w="1188"/>
              <w:gridCol w:w="712"/>
              <w:gridCol w:w="1108"/>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left"/>
                    <w:jc w:val="center"/>
                  </w:pPr>
                  <w:r>
                    <w:t xml:space="preserve">Char. range</w:t>
                  </w:r>
                </w:p>
              </w:tc>
              <w:tc>
                <w:tcPr/>
                <w:p>
                  <w:pPr>
                    <w:pStyle w:val="Compact"/>
                    <w:jc w:val="left"/>
                    <w:jc w:val="center"/>
                  </w:pPr>
                  <w:r>
                    <w:t xml:space="preserve">Class</w:t>
                  </w:r>
                </w:p>
              </w:tc>
              <w:tc>
                <w:tcPr/>
                <w:p>
                  <w:pPr>
                    <w:pStyle w:val="Compact"/>
                    <w:jc w:val="left"/>
                    <w:jc w:val="center"/>
                  </w:pPr>
                  <w:r>
                    <w:t xml:space="preserve">Study</w:t>
                  </w:r>
                </w:p>
              </w:tc>
            </w:tr>
            <w:tr>
              <w:tc>
                <w:tcPr/>
                <w:p>
                  <w:pPr>
                    <w:pStyle w:val="Compact"/>
                    <w:jc w:val="left"/>
                    <w:jc w:val="center"/>
                  </w:pPr>
                  <w:r>
                    <w:t xml:space="preserve">Load pH</w:t>
                  </w:r>
                </w:p>
              </w:tc>
              <w:tc>
                <w:tcPr/>
                <w:p>
                  <w:pPr>
                    <w:pStyle w:val="Compact"/>
                    <w:jc w:val="left"/>
                    <w:jc w:val="center"/>
                  </w:pPr>
                  <w:r>
                    <w:t xml:space="preserve">pH</w:t>
                  </w:r>
                </w:p>
              </w:tc>
              <w:tc>
                <w:tcPr/>
                <w:p>
                  <w:pPr>
                    <w:pStyle w:val="Compact"/>
                    <w:jc w:val="right"/>
                    <w:jc w:val="center"/>
                  </w:pPr>
                  <w:r>
                    <w:t xml:space="preserve">7.5</w:t>
                  </w:r>
                </w:p>
              </w:tc>
              <w:tc>
                <w:tcPr/>
                <w:p>
                  <w:pPr>
                    <w:pStyle w:val="Compact"/>
                    <w:jc w:val="left"/>
                    <w:jc w:val="center"/>
                  </w:pPr>
                  <w:r>
                    <w:t xml:space="preserve">7.35–7.65</w:t>
                  </w:r>
                </w:p>
              </w:tc>
              <w:tc>
                <w:tcPr/>
                <w:p>
                  <w:pPr>
                    <w:pStyle w:val="Compact"/>
                    <w:jc w:val="left"/>
                    <w:jc w:val="center"/>
                  </w:pPr>
                  <w:r>
                    <w:t xml:space="preserve">7.2–7.8</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Equil/Wash-1 conductivity</w:t>
                  </w:r>
                </w:p>
              </w:tc>
              <w:tc>
                <w:tcPr/>
                <w:p>
                  <w:pPr>
                    <w:pStyle w:val="Compact"/>
                    <w:jc w:val="left"/>
                    <w:jc w:val="center"/>
                  </w:pPr>
                  <w:r>
                    <w:t xml:space="preserve">mS/cm</w:t>
                  </w:r>
                </w:p>
              </w:tc>
              <w:tc>
                <w:tcPr/>
                <w:p>
                  <w:pPr>
                    <w:pStyle w:val="Compact"/>
                    <w:jc w:val="right"/>
                    <w:jc w:val="center"/>
                  </w:pPr>
                  <w:r>
                    <w:t xml:space="preserve">2.6</w:t>
                  </w:r>
                </w:p>
              </w:tc>
              <w:tc>
                <w:tcPr/>
                <w:p>
                  <w:pPr>
                    <w:pStyle w:val="Compact"/>
                    <w:jc w:val="left"/>
                    <w:jc w:val="center"/>
                  </w:pPr>
                  <w:r>
                    <w:t xml:space="preserve">2.1–3.1</w:t>
                  </w:r>
                </w:p>
              </w:tc>
              <w:tc>
                <w:tcPr/>
                <w:p>
                  <w:pPr>
                    <w:pStyle w:val="Compact"/>
                    <w:jc w:val="left"/>
                    <w:jc w:val="center"/>
                  </w:pPr>
                  <w:r>
                    <w:t xml:space="preserve">1.6–3.6</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Load conductivity</w:t>
                  </w:r>
                </w:p>
              </w:tc>
              <w:tc>
                <w:tcPr/>
                <w:p>
                  <w:pPr>
                    <w:pStyle w:val="Compact"/>
                    <w:jc w:val="left"/>
                    <w:jc w:val="center"/>
                  </w:pPr>
                  <w:r>
                    <w:t xml:space="preserve">mS/cm</w:t>
                  </w:r>
                </w:p>
              </w:tc>
              <w:tc>
                <w:tcPr/>
                <w:p>
                  <w:pPr>
                    <w:pStyle w:val="Compact"/>
                    <w:jc w:val="right"/>
                    <w:jc w:val="center"/>
                  </w:pPr>
                  <w:r>
                    <w:t xml:space="preserve">5.5</w:t>
                  </w:r>
                </w:p>
              </w:tc>
              <w:tc>
                <w:tcPr/>
                <w:p>
                  <w:pPr>
                    <w:pStyle w:val="Compact"/>
                    <w:jc w:val="left"/>
                    <w:jc w:val="center"/>
                  </w:pPr>
                  <w:r>
                    <w:t xml:space="preserve">4–7</w:t>
                  </w:r>
                </w:p>
              </w:tc>
              <w:tc>
                <w:tcPr/>
                <w:p>
                  <w:pPr>
                    <w:pStyle w:val="Compact"/>
                    <w:jc w:val="left"/>
                    <w:jc w:val="center"/>
                  </w:pPr>
                  <w:r>
                    <w:t xml:space="preserve">3–8</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200</w:t>
                  </w:r>
                </w:p>
              </w:tc>
              <w:tc>
                <w:tcPr/>
                <w:p>
                  <w:pPr>
                    <w:pStyle w:val="Compact"/>
                    <w:jc w:val="left"/>
                    <w:jc w:val="center"/>
                  </w:pPr>
                  <w:r>
                    <w:t xml:space="preserve">120–280</w:t>
                  </w:r>
                </w:p>
              </w:tc>
              <w:tc>
                <w:tcPr/>
                <w:p>
                  <w:pPr>
                    <w:pStyle w:val="Compact"/>
                    <w:jc w:val="left"/>
                    <w:jc w:val="center"/>
                  </w:pPr>
                  <w:r>
                    <w:t xml:space="preserve">50–300</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Operating flow rate</w:t>
                  </w:r>
                </w:p>
              </w:tc>
              <w:tc>
                <w:tcPr/>
                <w:p>
                  <w:pPr>
                    <w:pStyle w:val="Compact"/>
                    <w:jc w:val="left"/>
                    <w:jc w:val="center"/>
                  </w:pPr>
                  <w:r>
                    <w:t xml:space="preserve">cm/hr</w:t>
                  </w:r>
                </w:p>
              </w:tc>
              <w:tc>
                <w:tcPr/>
                <w:p>
                  <w:pPr>
                    <w:pStyle w:val="Compact"/>
                    <w:jc w:val="right"/>
                    <w:jc w:val="center"/>
                  </w:pPr>
                  <w:r>
                    <w:t xml:space="preserve">300</w:t>
                  </w:r>
                </w:p>
              </w:tc>
              <w:tc>
                <w:tcPr/>
                <w:p>
                  <w:pPr>
                    <w:pStyle w:val="Compact"/>
                    <w:jc w:val="left"/>
                    <w:jc w:val="center"/>
                  </w:pPr>
                  <w:r>
                    <w:t xml:space="preserve">200–400</w:t>
                  </w:r>
                </w:p>
              </w:tc>
              <w:tc>
                <w:tcPr/>
                <w:p>
                  <w:pPr>
                    <w:pStyle w:val="Compact"/>
                    <w:jc w:val="left"/>
                    <w:jc w:val="center"/>
                  </w:pPr>
                  <w:r>
                    <w:t xml:space="preserve">150–450</w:t>
                  </w:r>
                </w:p>
              </w:tc>
              <w:tc>
                <w:tcPr/>
                <w:p>
                  <w:pPr>
                    <w:pStyle w:val="Compact"/>
                    <w:jc w:val="left"/>
                    <w:jc w:val="center"/>
                  </w:pPr>
                  <w:r>
                    <w:t xml:space="preserve">WC-CPP</w:t>
                  </w:r>
                </w:p>
              </w:tc>
              <w:tc>
                <w:tcPr/>
                <w:p>
                  <w:pPr>
                    <w:pStyle w:val="Compact"/>
                    <w:jc w:val="left"/>
                    <w:jc w:val="center"/>
                  </w:pPr>
                  <w:r>
                    <w:t xml:space="preserve">univariate</w:t>
                  </w:r>
                </w:p>
              </w:tc>
            </w:tr>
          </w:tbl>
          <w:bookmarkEnd w:id="33"/>
          <w:p/>
        </w:tc>
      </w:tr>
    </w:tbl>
    <w:p>
      <w:pPr>
        <w:pStyle w:val="BodyText"/>
      </w:pPr>
      <w:r>
        <w:t xml:space="preserve">The characterization range is the knowledge space edge for each parameter and is not a proven acceptable range, since the PAR is a computed, per-attribute quantity (§7). The normal</w:t>
      </w:r>
      <w:r>
        <w:t xml:space="preserve"> </w:t>
      </w:r>
      <w:r>
        <w:t xml:space="preserve">operating range sits inside the characterization range in every case.</w:t>
      </w:r>
    </w:p>
    <w:p>
      <w:pPr>
        <w:pStyle w:val="BodyText"/>
      </w:pPr>
      <w:r>
        <w:t xml:space="preserve">Load pH was studied from 7.2 to 7.8,</w:t>
      </w:r>
      <w:r>
        <w:t xml:space="preserve"> </w:t>
      </w:r>
      <w:r>
        <w:t xml:space="preserve">where the lower edge was set by the viral clearance mechanism, because clearance of both model viruses falls as pH falls. The upper edge was set by the need to keep the antibody comfortably</w:t>
      </w:r>
      <w:r>
        <w:t xml:space="preserve"> </w:t>
      </w:r>
      <w:r>
        <w:t xml:space="preserve">away from its isoelectric point so that it continues to flow through. Equilibration and wash-1</w:t>
      </w:r>
      <w:r>
        <w:t xml:space="preserve"> </w:t>
      </w:r>
      <w:r>
        <w:t xml:space="preserve">conductivity was studied from 1.6 to</w:t>
      </w:r>
      <w:r>
        <w:t xml:space="preserve"> </w:t>
      </w:r>
      <w:r>
        <w:t xml:space="preserve">3.6 mS/cm, the upper edge being set by prior platform data</w:t>
      </w:r>
      <w:r>
        <w:t xml:space="preserve"> </w:t>
      </w:r>
      <w:r>
        <w:t xml:space="preserve">showing loss of HCP retention above that value. Load conductivity was studied from</w:t>
      </w:r>
      <w:r>
        <w:t xml:space="preserve"> </w:t>
      </w:r>
      <w:r>
        <w:t xml:space="preserve">3 to 8 mS/cm, which spans the</w:t>
      </w:r>
      <w:r>
        <w:t xml:space="preserve"> </w:t>
      </w:r>
      <w:r>
        <w:t xml:space="preserve">conductivity that the cation exchange pool can present after adjustment. Protein load was studied</w:t>
      </w:r>
      <w:r>
        <w:t xml:space="preserve"> </w:t>
      </w:r>
      <w:r>
        <w:t xml:space="preserve">from 50 to 300 g/L resin, with the upper</w:t>
      </w:r>
      <w:r>
        <w:t xml:space="preserve"> </w:t>
      </w:r>
      <w:r>
        <w:t xml:space="preserve">edge set above the maximum load the commercial step will apply so that any impurity breakthrough</w:t>
      </w:r>
      <w:r>
        <w:t xml:space="preserve"> </w:t>
      </w:r>
      <w:r>
        <w:t xml:space="preserve">limit would fall inside the studied range. Operating flow rate was studied from</w:t>
      </w:r>
      <w:r>
        <w:t xml:space="preserve"> </w:t>
      </w:r>
      <w:r>
        <w:t xml:space="preserve">150 to 450 cm/hr, which brackets the</w:t>
      </w:r>
      <w:r>
        <w:t xml:space="preserve"> </w:t>
      </w:r>
      <w:r>
        <w:t xml:space="preserve">commercial linear velocity by a wide margin in both directions.</w:t>
      </w:r>
    </w:p>
    <w:p>
      <w:pPr>
        <w:pStyle w:val="BodyText"/>
      </w:pPr>
      <w:r>
        <w:t xml:space="preserve">The letter code used for the factors in the effect and coefficient tables is given in</w:t>
      </w:r>
      <w:r>
        <w:t xml:space="preserve"> </w:t>
      </w:r>
      <w:hyperlink w:anchor="tbl-legend">
        <w:r>
          <w:rPr>
            <w:rStyle w:val="Hyperlink"/>
          </w:rPr>
          <w:t xml:space="preserve">Table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tbl-legend"/>
          <w:p>
            <w:pPr>
              <w:jc w:val="center"/>
            </w:pPr>
            <w:pPr>
              <w:jc w:val="left"/>
              <w:spacing w:before="200"/>
              <w:pStyle w:val="ImageCaption"/>
            </w:pPr>
            <w:r>
              <w:t xml:space="preserve">Table 8: Coded factor legend used in the effect and coefficient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Load pH</w:t>
                  </w:r>
                </w:p>
              </w:tc>
              <w:tc>
                <w:tcPr/>
                <w:p>
                  <w:pPr>
                    <w:pStyle w:val="Compact"/>
                    <w:jc w:val="left"/>
                    <w:jc w:val="center"/>
                  </w:pPr>
                  <w:r>
                    <w:t xml:space="preserve">pH</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Equil/Wash-1 conductivity</w:t>
                  </w:r>
                </w:p>
              </w:tc>
              <w:tc>
                <w:tcPr/>
                <w:p>
                  <w:pPr>
                    <w:pStyle w:val="Compact"/>
                    <w:jc w:val="left"/>
                    <w:jc w:val="center"/>
                  </w:pPr>
                  <w:r>
                    <w:t xml:space="preserve">mS/cm</w:t>
                  </w:r>
                </w:p>
              </w:tc>
              <w:tc>
                <w:tcPr/>
                <w:p>
                  <w:pPr>
                    <w:pStyle w:val="Compact"/>
                    <w:jc w:val="left"/>
                    <w:jc w:val="center"/>
                  </w:pPr>
                  <w:r>
                    <w:t xml:space="preserve">screening + RSM</w:t>
                  </w:r>
                </w:p>
              </w:tc>
            </w:tr>
            <w:tr>
              <w:tc>
                <w:tcPr/>
                <w:p>
                  <w:pPr>
                    <w:pStyle w:val="Compact"/>
                    <w:jc w:val="left"/>
                    <w:jc w:val="center"/>
                  </w:pPr>
                  <w:r>
                    <w:t xml:space="preserve">C</w:t>
                  </w:r>
                </w:p>
              </w:tc>
              <w:tc>
                <w:tcPr/>
                <w:p>
                  <w:pPr>
                    <w:pStyle w:val="Compact"/>
                    <w:jc w:val="left"/>
                    <w:jc w:val="center"/>
                  </w:pPr>
                  <w:r>
                    <w:t xml:space="preserve">Load conductivity</w:t>
                  </w:r>
                </w:p>
              </w:tc>
              <w:tc>
                <w:tcPr/>
                <w:p>
                  <w:pPr>
                    <w:pStyle w:val="Compact"/>
                    <w:jc w:val="left"/>
                    <w:jc w:val="center"/>
                  </w:pPr>
                  <w:r>
                    <w:t xml:space="preserve">mS/cm</w:t>
                  </w:r>
                </w:p>
              </w:tc>
              <w:tc>
                <w:tcPr/>
                <w:p>
                  <w:pPr>
                    <w:pStyle w:val="Compact"/>
                    <w:jc w:val="left"/>
                    <w:jc w:val="center"/>
                  </w:pPr>
                  <w:r>
                    <w:t xml:space="preserve">screening + RSM</w:t>
                  </w:r>
                </w:p>
              </w:tc>
            </w:tr>
            <w:tr>
              <w:tc>
                <w:tcPr/>
                <w:p>
                  <w:pPr>
                    <w:pStyle w:val="Compact"/>
                    <w:jc w:val="left"/>
                    <w:jc w:val="center"/>
                  </w:pPr>
                  <w:r>
                    <w:t xml:space="preserve">D</w:t>
                  </w:r>
                </w:p>
              </w:tc>
              <w:tc>
                <w:tcPr/>
                <w:p>
                  <w:pPr>
                    <w:pStyle w:val="Compact"/>
                    <w:jc w:val="left"/>
                    <w:jc w:val="center"/>
                  </w:pPr>
                  <w:r>
                    <w:t xml:space="preserve">Protein load</w:t>
                  </w:r>
                </w:p>
              </w:tc>
              <w:tc>
                <w:tcPr/>
                <w:p>
                  <w:pPr>
                    <w:pStyle w:val="Compact"/>
                    <w:jc w:val="left"/>
                    <w:jc w:val="center"/>
                  </w:pPr>
                  <w:r>
                    <w:t xml:space="preserve">g/L resin</w:t>
                  </w:r>
                </w:p>
              </w:tc>
              <w:tc>
                <w:tcPr/>
                <w:p>
                  <w:pPr>
                    <w:pStyle w:val="Compact"/>
                    <w:jc w:val="left"/>
                    <w:jc w:val="center"/>
                  </w:pPr>
                  <w:r>
                    <w:t xml:space="preserve">screening + RSM</w:t>
                  </w:r>
                </w:p>
              </w:tc>
            </w:tr>
          </w:tbl>
          <w:bookmarkEnd w:id="34"/>
          <w:p/>
        </w:tc>
      </w:tr>
    </w:tbl>
    <w:p>
      <w:pPr>
        <w:pStyle w:val="BodyText"/>
      </w:pPr>
      <w:r>
        <w:t xml:space="preserve">The designs measured 4 responses on every run. Pool HCP, the XMuLV log reduction</w:t>
      </w:r>
      <w:r>
        <w:t xml:space="preserve"> </w:t>
      </w:r>
      <w:r>
        <w:t xml:space="preserve">factor and the MVM log reduction factor are the quality responses. Step yield is a process performance response and is not linked to a quality attribute.</w:t>
      </w:r>
    </w:p>
    <w:bookmarkEnd w:id="35"/>
    <w:bookmarkStart w:id="36" w:name="screening-design"/>
    <w:p>
      <w:pPr>
        <w:pStyle w:val="Heading2"/>
      </w:pPr>
      <w:r>
        <w:t xml:space="preserve">4.2 Screening design</w:t>
      </w:r>
    </w:p>
    <w:p>
      <w:pPr>
        <w:pStyle w:val="FirstParagraph"/>
      </w:pPr>
      <w:r>
        <w:t xml:space="preserve">The screening design was a two-level full factorial in the 4</w:t>
      </w:r>
      <w:r>
        <w:t xml:space="preserve"> </w:t>
      </w:r>
      <w:r>
        <w:t xml:space="preserve">multivariate factors augmented with 3 centre points, comprising</w:t>
      </w:r>
      <w:r>
        <w:t xml:space="preserve"> </w:t>
      </w:r>
      <w:r>
        <w:t xml:space="preserve">19 runs in total of which 16 are factorial. The design estimates all main effects and all two-factor interactions (six of them) without aliasing. The centre points supply an estimate of pure error together with a test for curvature. The full</w:t>
      </w:r>
      <w:r>
        <w:t xml:space="preserve"> </w:t>
      </w:r>
      <w:r>
        <w:t xml:space="preserve">coded design matrix with its responses is given in Appendix A.</w:t>
      </w:r>
    </w:p>
    <w:bookmarkEnd w:id="36"/>
    <w:bookmarkStart w:id="37" w:name="response-surface-design"/>
    <w:p>
      <w:pPr>
        <w:pStyle w:val="Heading2"/>
      </w:pPr>
      <w:r>
        <w:t xml:space="preserve">4.3 Response-surface design</w:t>
      </w:r>
    </w:p>
    <w:p>
      <w:pPr>
        <w:pStyle w:val="FirstParagraph"/>
      </w:pPr>
      <w:r>
        <w:t xml:space="preserve">The response-surface design was a face-centred central composite design in the same</w:t>
      </w:r>
      <w:r>
        <w:t xml:space="preserve"> </w:t>
      </w:r>
      <w:r>
        <w:t xml:space="preserve">4 factors, comprising 28 runs made up of</w:t>
      </w:r>
      <w:r>
        <w:t xml:space="preserve"> </w:t>
      </w:r>
      <w:r>
        <w:t xml:space="preserve">16 factorial runs, 8 axial runs and</w:t>
      </w:r>
      <w:r>
        <w:t xml:space="preserve"> </w:t>
      </w:r>
      <w:r>
        <w:t xml:space="preserve">4 centre points. The axial points sit on the faces of the cube, so the</w:t>
      </w:r>
      <w:r>
        <w:t xml:space="preserve"> </w:t>
      </w:r>
      <w:r>
        <w:t xml:space="preserve">design stays inside the characterized ranges and requires no setting beyond them, and it supports the full quadratic model, so it resolves curvature in each factor as well as the two-factor</w:t>
      </w:r>
      <w:r>
        <w:t xml:space="preserve"> </w:t>
      </w:r>
      <w:r>
        <w:t xml:space="preserve">interactions. This design was executed on requalified load material, and the full coded design</w:t>
      </w:r>
      <w:r>
        <w:t xml:space="preserve"> </w:t>
      </w:r>
      <w:r>
        <w:t xml:space="preserve">matrix with its responses is given in Appendix B.</w:t>
      </w:r>
    </w:p>
    <w:bookmarkEnd w:id="37"/>
    <w:bookmarkStart w:id="38" w:name="univariate-assessment"/>
    <w:p>
      <w:pPr>
        <w:pStyle w:val="Heading2"/>
      </w:pPr>
      <w:r>
        <w:t xml:space="preserve">4.4 Univariate assessment</w:t>
      </w:r>
    </w:p>
    <w:p>
      <w:pPr>
        <w:pStyle w:val="FirstParagraph"/>
      </w:pPr>
      <w:r>
        <w:t xml:space="preserve">Operating flow rate was assessed one factor at a time across its characterized range with all</w:t>
      </w:r>
      <w:r>
        <w:t xml:space="preserve"> </w:t>
      </w:r>
      <w:r>
        <w:t xml:space="preserve">other parameters held at set-point. It was excluded from the multivariate designs on mechanistic</w:t>
      </w:r>
      <w:r>
        <w:t xml:space="preserve"> </w:t>
      </w:r>
      <w:r>
        <w:t xml:space="preserve">grounds, because it acts on the rate of approach to adsorption equilibrium and not on the</w:t>
      </w:r>
      <w:r>
        <w:t xml:space="preserve"> </w:t>
      </w:r>
      <w:r>
        <w:t xml:space="preserve">position of that equilibrium, so an interaction with pH or conductivity was not expected. The</w:t>
      </w:r>
      <w:r>
        <w:t xml:space="preserve"> </w:t>
      </w:r>
      <w:r>
        <w:t xml:space="preserve">viral clearance spiking runs were executed at the maximum flow rate, which is the conservative</w:t>
      </w:r>
      <w:r>
        <w:t xml:space="preserve"> </w:t>
      </w:r>
      <w:r>
        <w:t xml:space="preserve">condition for a rate-limited mechanism, and clearance was maintained, so flow rate is bounded by direct evidence at the edge of its range for the response most sensitive to residence time.</w:t>
      </w:r>
    </w:p>
    <w:p>
      <w:r>
        <w:br w:type="page"/>
      </w:r>
    </w:p>
    <w:bookmarkEnd w:id="38"/>
    <w:bookmarkEnd w:id="39"/>
    <w:bookmarkStart w:id="70" w:name="results"/>
    <w:p>
      <w:pPr>
        <w:pStyle w:val="Heading1"/>
      </w:pPr>
      <w:r>
        <w:t xml:space="preserve">5. Results</w:t>
      </w:r>
    </w:p>
    <w:bookmarkStart w:id="41" w:name="Xa1d357a057988a4668963a3d4bd6b4df2b4673e"/>
    <w:p>
      <w:pPr>
        <w:pStyle w:val="Heading2"/>
      </w:pPr>
      <w:r>
        <w:t xml:space="preserve">5.1 Centre-point performance and reproducibility</w:t>
      </w:r>
    </w:p>
    <w:p>
      <w:pPr>
        <w:pStyle w:val="FirstParagraph"/>
      </w:pPr>
      <w:r>
        <w:t xml:space="preserve">Reproducibility at the centre point is good for the viral clearance and yield responses and only</w:t>
      </w:r>
      <w:r>
        <w:t xml:space="preserve"> </w:t>
      </w:r>
      <w:r>
        <w:t xml:space="preserve">moderate for HCP. The centre-point mean, standard deviation and coefficient of variation for</w:t>
      </w:r>
      <w:r>
        <w:t xml:space="preserve"> </w:t>
      </w:r>
      <w:r>
        <w:t xml:space="preserve">each response in the response-surface design are given in</w:t>
      </w:r>
      <w:r>
        <w:t xml:space="preserve"> </w:t>
      </w:r>
      <w:hyperlink w:anchor="tbl-centercv">
        <w:r>
          <w:rPr>
            <w:rStyle w:val="Hyperlink"/>
          </w:rPr>
          <w:t xml:space="preserve">Table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centercv"/>
          <w:p>
            <w:pPr>
              <w:jc w:val="center"/>
            </w:pPr>
            <w:pPr>
              <w:jc w:val="left"/>
              <w:spacing w:before="200"/>
              <w:pStyle w:val="ImageCaption"/>
            </w:pPr>
            <w:r>
              <w:t xml:space="preserve">Table 9: Centre-point reproducibility in the response-surface design.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Pool HCP (ng/mg)</w:t>
                  </w:r>
                </w:p>
              </w:tc>
              <w:tc>
                <w:tcPr/>
                <w:p>
                  <w:pPr>
                    <w:pStyle w:val="Compact"/>
                    <w:jc w:val="right"/>
                    <w:jc w:val="center"/>
                  </w:pPr>
                  <w:r>
                    <w:t xml:space="preserve">4</w:t>
                  </w:r>
                </w:p>
              </w:tc>
              <w:tc>
                <w:tcPr/>
                <w:p>
                  <w:pPr>
                    <w:pStyle w:val="Compact"/>
                    <w:jc w:val="right"/>
                    <w:jc w:val="center"/>
                  </w:pPr>
                  <w:r>
                    <w:t xml:space="preserve">13.7</w:t>
                  </w:r>
                </w:p>
              </w:tc>
              <w:tc>
                <w:tcPr/>
                <w:p>
                  <w:pPr>
                    <w:pStyle w:val="Compact"/>
                    <w:jc w:val="right"/>
                    <w:jc w:val="center"/>
                  </w:pPr>
                  <w:r>
                    <w:t xml:space="preserve">2.48</w:t>
                  </w:r>
                </w:p>
              </w:tc>
              <w:tc>
                <w:tcPr/>
                <w:p>
                  <w:pPr>
                    <w:pStyle w:val="Compact"/>
                    <w:jc w:val="right"/>
                    <w:jc w:val="center"/>
                  </w:pPr>
                  <w:r>
                    <w:t xml:space="preserve">18.2</w:t>
                  </w:r>
                </w:p>
              </w:tc>
            </w:tr>
            <w:tr>
              <w:tc>
                <w:tcPr/>
                <w:p>
                  <w:pPr>
                    <w:pStyle w:val="Compact"/>
                    <w:jc w:val="left"/>
                    <w:jc w:val="center"/>
                  </w:pPr>
                  <w:r>
                    <w:t xml:space="preserve">XMuLV LRF (log₁₀)</w:t>
                  </w:r>
                </w:p>
              </w:tc>
              <w:tc>
                <w:tcPr/>
                <w:p>
                  <w:pPr>
                    <w:pStyle w:val="Compact"/>
                    <w:jc w:val="right"/>
                    <w:jc w:val="center"/>
                  </w:pPr>
                  <w:r>
                    <w:t xml:space="preserve">4</w:t>
                  </w:r>
                </w:p>
              </w:tc>
              <w:tc>
                <w:tcPr/>
                <w:p>
                  <w:pPr>
                    <w:pStyle w:val="Compact"/>
                    <w:jc w:val="right"/>
                    <w:jc w:val="center"/>
                  </w:pPr>
                  <w:r>
                    <w:t xml:space="preserve">6.63</w:t>
                  </w:r>
                </w:p>
              </w:tc>
              <w:tc>
                <w:tcPr/>
                <w:p>
                  <w:pPr>
                    <w:pStyle w:val="Compact"/>
                    <w:jc w:val="right"/>
                    <w:jc w:val="center"/>
                  </w:pPr>
                  <w:r>
                    <w:t xml:space="preserve">0.445</w:t>
                  </w:r>
                </w:p>
              </w:tc>
              <w:tc>
                <w:tcPr/>
                <w:p>
                  <w:pPr>
                    <w:pStyle w:val="Compact"/>
                    <w:jc w:val="right"/>
                    <w:jc w:val="center"/>
                  </w:pPr>
                  <w:r>
                    <w:t xml:space="preserve">6.71</w:t>
                  </w:r>
                </w:p>
              </w:tc>
            </w:tr>
            <w:tr>
              <w:tc>
                <w:tcPr/>
                <w:p>
                  <w:pPr>
                    <w:pStyle w:val="Compact"/>
                    <w:jc w:val="left"/>
                    <w:jc w:val="center"/>
                  </w:pPr>
                  <w:r>
                    <w:t xml:space="preserve">MVM LRF (log₁₀)</w:t>
                  </w:r>
                </w:p>
              </w:tc>
              <w:tc>
                <w:tcPr/>
                <w:p>
                  <w:pPr>
                    <w:pStyle w:val="Compact"/>
                    <w:jc w:val="right"/>
                    <w:jc w:val="center"/>
                  </w:pPr>
                  <w:r>
                    <w:t xml:space="preserve">4</w:t>
                  </w:r>
                </w:p>
              </w:tc>
              <w:tc>
                <w:tcPr/>
                <w:p>
                  <w:pPr>
                    <w:pStyle w:val="Compact"/>
                    <w:jc w:val="right"/>
                    <w:jc w:val="center"/>
                  </w:pPr>
                  <w:r>
                    <w:t xml:space="preserve">4.9</w:t>
                  </w:r>
                </w:p>
              </w:tc>
              <w:tc>
                <w:tcPr/>
                <w:p>
                  <w:pPr>
                    <w:pStyle w:val="Compact"/>
                    <w:jc w:val="right"/>
                    <w:jc w:val="center"/>
                  </w:pPr>
                  <w:r>
                    <w:t xml:space="preserve">0.336</w:t>
                  </w:r>
                </w:p>
              </w:tc>
              <w:tc>
                <w:tcPr/>
                <w:p>
                  <w:pPr>
                    <w:pStyle w:val="Compact"/>
                    <w:jc w:val="right"/>
                    <w:jc w:val="center"/>
                  </w:pPr>
                  <w:r>
                    <w:t xml:space="preserve">6.86</w:t>
                  </w:r>
                </w:p>
              </w:tc>
            </w:tr>
            <w:tr>
              <w:tc>
                <w:tcPr/>
                <w:p>
                  <w:pPr>
                    <w:pStyle w:val="Compact"/>
                    <w:jc w:val="left"/>
                    <w:jc w:val="center"/>
                  </w:pPr>
                  <w:r>
                    <w:t xml:space="preserve">Step yield</w:t>
                  </w:r>
                </w:p>
              </w:tc>
              <w:tc>
                <w:tcPr/>
                <w:p>
                  <w:pPr>
                    <w:pStyle w:val="Compact"/>
                    <w:jc w:val="right"/>
                    <w:jc w:val="center"/>
                  </w:pPr>
                  <w:r>
                    <w:t xml:space="preserve">4</w:t>
                  </w:r>
                </w:p>
              </w:tc>
              <w:tc>
                <w:tcPr/>
                <w:p>
                  <w:pPr>
                    <w:pStyle w:val="Compact"/>
                    <w:jc w:val="right"/>
                    <w:jc w:val="center"/>
                  </w:pPr>
                  <w:r>
                    <w:t xml:space="preserve">0.966</w:t>
                  </w:r>
                </w:p>
              </w:tc>
              <w:tc>
                <w:tcPr/>
                <w:p>
                  <w:pPr>
                    <w:pStyle w:val="Compact"/>
                    <w:jc w:val="right"/>
                    <w:jc w:val="center"/>
                  </w:pPr>
                  <w:r>
                    <w:t xml:space="preserve">0.0123</w:t>
                  </w:r>
                </w:p>
              </w:tc>
              <w:tc>
                <w:tcPr/>
                <w:p>
                  <w:pPr>
                    <w:pStyle w:val="Compact"/>
                    <w:jc w:val="right"/>
                    <w:jc w:val="center"/>
                  </w:pPr>
                  <w:r>
                    <w:t xml:space="preserve">1.27</w:t>
                  </w:r>
                </w:p>
              </w:tc>
            </w:tr>
          </w:tbl>
          <w:bookmarkEnd w:id="40"/>
          <w:p/>
        </w:tc>
      </w:tr>
    </w:tbl>
    <w:p>
      <w:pPr>
        <w:pStyle w:val="BodyText"/>
      </w:pPr>
      <w:r>
        <w:t xml:space="preserve">Pool HCP is the least precise of the four responses, at 18.2% coefficient of</w:t>
      </w:r>
      <w:r>
        <w:t xml:space="preserve"> </w:t>
      </w:r>
      <w:r>
        <w:t xml:space="preserve">variation over 4 centre points, against</w:t>
      </w:r>
      <w:r>
        <w:t xml:space="preserve"> </w:t>
      </w:r>
      <w:r>
        <w:t xml:space="preserve">20.6% for the same response in the screening</w:t>
      </w:r>
      <w:r>
        <w:t xml:space="preserve"> </w:t>
      </w:r>
      <w:r>
        <w:t xml:space="preserve">design. The intermediate precision of the HCP assay alone is 9.5% relative standard deviation, and about</w:t>
      </w:r>
      <w:r>
        <w:t xml:space="preserve"> </w:t>
      </w:r>
      <w:r>
        <w:t xml:space="preserve">40% of the variance of a pool result is attributed to the assay (AMV-3012), so most of the observed centre-point scatter in this response is analytical and not</w:t>
      </w:r>
      <w:r>
        <w:t xml:space="preserve"> </w:t>
      </w:r>
      <w:r>
        <w:t xml:space="preserve">processing variation. The two log reduction factor responses reproduce at</w:t>
      </w:r>
      <w:r>
        <w:t xml:space="preserve"> </w:t>
      </w:r>
      <w:r>
        <w:t xml:space="preserve">6.9% and 6.7%, and step yield at</w:t>
      </w:r>
      <w:r>
        <w:t xml:space="preserve"> </w:t>
      </w:r>
      <w:r>
        <w:t xml:space="preserve">1.27%.</w:t>
      </w:r>
    </w:p>
    <w:p>
      <w:pPr>
        <w:pStyle w:val="BodyText"/>
      </w:pPr>
      <w:r>
        <w:t xml:space="preserve">These figures set the resolution of the study. An effect on pool HCP smaller than a few ng/mg cannot be separated from assay noise in a design of this size. The pure error term derived</w:t>
      </w:r>
      <w:r>
        <w:t xml:space="preserve"> </w:t>
      </w:r>
      <w:r>
        <w:t xml:space="preserve">from these replicates is used in the lack-of-fit tests reported in §5.3.</w:t>
      </w:r>
    </w:p>
    <w:bookmarkEnd w:id="41"/>
    <w:bookmarkStart w:id="46" w:name="screening-factor-effects"/>
    <w:p>
      <w:pPr>
        <w:pStyle w:val="Heading2"/>
      </w:pPr>
      <w:r>
        <w:t xml:space="preserve">5.2 Screening: factor effects</w:t>
      </w:r>
    </w:p>
    <w:p>
      <w:pPr>
        <w:pStyle w:val="FirstParagraph"/>
      </w:pPr>
      <w:r>
        <w:t xml:space="preserve">The screening design resolves the factor set to three active factors (A, B and C), and the model summary for</w:t>
      </w:r>
      <w:r>
        <w:t xml:space="preserve"> </w:t>
      </w:r>
      <w:r>
        <w:t xml:space="preserve">each response is given in</w:t>
      </w:r>
      <w:r>
        <w:t xml:space="preserve"> </w:t>
      </w:r>
      <w:hyperlink w:anchor="tbl-fitscr">
        <w:r>
          <w:rPr>
            <w:rStyle w:val="Hyperlink"/>
          </w:rPr>
          <w:t xml:space="preserve">Table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tbl-fitscr"/>
          <w:p>
            <w:pPr>
              <w:jc w:val="center"/>
            </w:pPr>
            <w:pPr>
              <w:jc w:val="left"/>
              <w:spacing w:before="200"/>
              <w:pStyle w:val="ImageCaption"/>
            </w:pPr>
            <w:r>
              <w:t xml:space="preserve">Table 10: Screening model summary for each response.</w:t>
            </w:r>
          </w:p>
          <w:tbl>
            <w:tblPr>
              <w:tblStyle w:val="Table"/>
              <w:tblW w:type="pct" w:w="5000"/>
              <w:tblLayout w:type="fixed"/>
              <w:tblLook w:firstRow="1" w:lastRow="0" w:firstColumn="0" w:lastColumn="0" w:noHBand="0" w:noVBand="0" w:val="0020"/>
            </w:tblPr>
            <w:tblGrid>
              <w:gridCol w:w="1857"/>
              <w:gridCol w:w="488"/>
              <w:gridCol w:w="684"/>
              <w:gridCol w:w="1075"/>
              <w:gridCol w:w="1173"/>
              <w:gridCol w:w="782"/>
              <w:gridCol w:w="1075"/>
              <w:gridCol w:w="782"/>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Pool HCP (ng/mg)</w:t>
                  </w:r>
                </w:p>
              </w:tc>
              <w:tc>
                <w:tcPr/>
                <w:p>
                  <w:pPr>
                    <w:pStyle w:val="Compact"/>
                    <w:jc w:val="right"/>
                    <w:jc w:val="center"/>
                  </w:pPr>
                  <w:r>
                    <w:t xml:space="preserve">19</w:t>
                  </w:r>
                </w:p>
              </w:tc>
              <w:tc>
                <w:tcPr/>
                <w:p>
                  <w:pPr>
                    <w:pStyle w:val="Compact"/>
                    <w:jc w:val="right"/>
                    <w:jc w:val="center"/>
                  </w:pPr>
                  <w:r>
                    <w:t xml:space="preserve">0.966</w:t>
                  </w:r>
                </w:p>
              </w:tc>
              <w:tc>
                <w:tcPr/>
                <w:p>
                  <w:pPr>
                    <w:pStyle w:val="Compact"/>
                    <w:jc w:val="right"/>
                    <w:jc w:val="center"/>
                  </w:pPr>
                  <w:r>
                    <w:t xml:space="preserve">0.923</w:t>
                  </w:r>
                </w:p>
              </w:tc>
              <w:tc>
                <w:tcPr/>
                <w:p>
                  <w:pPr>
                    <w:pStyle w:val="Compact"/>
                    <w:jc w:val="right"/>
                    <w:jc w:val="center"/>
                  </w:pPr>
                  <w:r>
                    <w:t xml:space="preserve">0.841</w:t>
                  </w:r>
                </w:p>
              </w:tc>
              <w:tc>
                <w:tcPr/>
                <w:p>
                  <w:pPr>
                    <w:pStyle w:val="Compact"/>
                    <w:jc w:val="right"/>
                    <w:jc w:val="center"/>
                  </w:pPr>
                  <w:r>
                    <w:t xml:space="preserve">22.6</w:t>
                  </w:r>
                </w:p>
              </w:tc>
              <w:tc>
                <w:tcPr/>
                <w:p>
                  <w:pPr>
                    <w:pStyle w:val="Compact"/>
                    <w:jc w:val="right"/>
                    <w:jc w:val="center"/>
                  </w:pPr>
                  <w:r>
                    <w:t xml:space="preserve">8.55e-05</w:t>
                  </w:r>
                </w:p>
              </w:tc>
              <w:tc>
                <w:tcPr/>
                <w:p>
                  <w:pPr>
                    <w:pStyle w:val="Compact"/>
                    <w:jc w:val="right"/>
                    <w:jc w:val="center"/>
                  </w:pPr>
                  <w:r>
                    <w:t xml:space="preserve">2.45</w:t>
                  </w:r>
                </w:p>
              </w:tc>
            </w:tr>
            <w:tr>
              <w:tc>
                <w:tcPr/>
                <w:p>
                  <w:pPr>
                    <w:pStyle w:val="Compact"/>
                    <w:jc w:val="left"/>
                    <w:jc w:val="center"/>
                  </w:pPr>
                  <w:r>
                    <w:t xml:space="preserve">XMuLV LRF (log₁₀)</w:t>
                  </w:r>
                </w:p>
              </w:tc>
              <w:tc>
                <w:tcPr/>
                <w:p>
                  <w:pPr>
                    <w:pStyle w:val="Compact"/>
                    <w:jc w:val="right"/>
                    <w:jc w:val="center"/>
                  </w:pPr>
                  <w:r>
                    <w:t xml:space="preserve">19</w:t>
                  </w:r>
                </w:p>
              </w:tc>
              <w:tc>
                <w:tcPr/>
                <w:p>
                  <w:pPr>
                    <w:pStyle w:val="Compact"/>
                    <w:jc w:val="right"/>
                    <w:jc w:val="center"/>
                  </w:pPr>
                  <w:r>
                    <w:t xml:space="preserve">0.842</w:t>
                  </w:r>
                </w:p>
              </w:tc>
              <w:tc>
                <w:tcPr/>
                <w:p>
                  <w:pPr>
                    <w:pStyle w:val="Compact"/>
                    <w:jc w:val="right"/>
                    <w:jc w:val="center"/>
                  </w:pPr>
                  <w:r>
                    <w:t xml:space="preserve">0.644</w:t>
                  </w:r>
                </w:p>
              </w:tc>
              <w:tc>
                <w:tcPr/>
                <w:p>
                  <w:pPr>
                    <w:pStyle w:val="Compact"/>
                    <w:jc w:val="right"/>
                    <w:jc w:val="center"/>
                  </w:pPr>
                  <w:r>
                    <w:t xml:space="preserve">-0.106</w:t>
                  </w:r>
                </w:p>
              </w:tc>
              <w:tc>
                <w:tcPr/>
                <w:p>
                  <w:pPr>
                    <w:pStyle w:val="Compact"/>
                    <w:jc w:val="right"/>
                    <w:jc w:val="center"/>
                  </w:pPr>
                  <w:r>
                    <w:t xml:space="preserve">4.25</w:t>
                  </w:r>
                </w:p>
              </w:tc>
              <w:tc>
                <w:tcPr/>
                <w:p>
                  <w:pPr>
                    <w:pStyle w:val="Compact"/>
                    <w:jc w:val="right"/>
                    <w:jc w:val="center"/>
                  </w:pPr>
                  <w:r>
                    <w:t xml:space="preserve">0.0257</w:t>
                  </w:r>
                </w:p>
              </w:tc>
              <w:tc>
                <w:tcPr/>
                <w:p>
                  <w:pPr>
                    <w:pStyle w:val="Compact"/>
                    <w:jc w:val="right"/>
                    <w:jc w:val="center"/>
                  </w:pPr>
                  <w:r>
                    <w:t xml:space="preserve">0.393</w:t>
                  </w:r>
                </w:p>
              </w:tc>
            </w:tr>
            <w:tr>
              <w:tc>
                <w:tcPr/>
                <w:p>
                  <w:pPr>
                    <w:pStyle w:val="Compact"/>
                    <w:jc w:val="left"/>
                    <w:jc w:val="center"/>
                  </w:pPr>
                  <w:r>
                    <w:t xml:space="preserve">MVM LRF (log₁₀)</w:t>
                  </w:r>
                </w:p>
              </w:tc>
              <w:tc>
                <w:tcPr/>
                <w:p>
                  <w:pPr>
                    <w:pStyle w:val="Compact"/>
                    <w:jc w:val="right"/>
                    <w:jc w:val="center"/>
                  </w:pPr>
                  <w:r>
                    <w:t xml:space="preserve">19</w:t>
                  </w:r>
                </w:p>
              </w:tc>
              <w:tc>
                <w:tcPr/>
                <w:p>
                  <w:pPr>
                    <w:pStyle w:val="Compact"/>
                    <w:jc w:val="right"/>
                    <w:jc w:val="center"/>
                  </w:pPr>
                  <w:r>
                    <w:t xml:space="preserve">0.97</w:t>
                  </w:r>
                </w:p>
              </w:tc>
              <w:tc>
                <w:tcPr/>
                <w:p>
                  <w:pPr>
                    <w:pStyle w:val="Compact"/>
                    <w:jc w:val="right"/>
                    <w:jc w:val="center"/>
                  </w:pPr>
                  <w:r>
                    <w:t xml:space="preserve">0.932</w:t>
                  </w:r>
                </w:p>
              </w:tc>
              <w:tc>
                <w:tcPr/>
                <w:p>
                  <w:pPr>
                    <w:pStyle w:val="Compact"/>
                    <w:jc w:val="right"/>
                    <w:jc w:val="center"/>
                  </w:pPr>
                  <w:r>
                    <w:t xml:space="preserve">0.869</w:t>
                  </w:r>
                </w:p>
              </w:tc>
              <w:tc>
                <w:tcPr/>
                <w:p>
                  <w:pPr>
                    <w:pStyle w:val="Compact"/>
                    <w:jc w:val="right"/>
                    <w:jc w:val="center"/>
                  </w:pPr>
                  <w:r>
                    <w:t xml:space="preserve">25.8</w:t>
                  </w:r>
                </w:p>
              </w:tc>
              <w:tc>
                <w:tcPr/>
                <w:p>
                  <w:pPr>
                    <w:pStyle w:val="Compact"/>
                    <w:jc w:val="right"/>
                    <w:jc w:val="center"/>
                  </w:pPr>
                  <w:r>
                    <w:t xml:space="preserve">5.18e-05</w:t>
                  </w:r>
                </w:p>
              </w:tc>
              <w:tc>
                <w:tcPr/>
                <w:p>
                  <w:pPr>
                    <w:pStyle w:val="Compact"/>
                    <w:jc w:val="right"/>
                    <w:jc w:val="center"/>
                  </w:pPr>
                  <w:r>
                    <w:t xml:space="preserve">0.178</w:t>
                  </w:r>
                </w:p>
              </w:tc>
            </w:tr>
            <w:tr>
              <w:tc>
                <w:tcPr/>
                <w:p>
                  <w:pPr>
                    <w:pStyle w:val="Compact"/>
                    <w:jc w:val="left"/>
                    <w:jc w:val="center"/>
                  </w:pPr>
                  <w:r>
                    <w:t xml:space="preserve">Step yield</w:t>
                  </w:r>
                </w:p>
              </w:tc>
              <w:tc>
                <w:tcPr/>
                <w:p>
                  <w:pPr>
                    <w:pStyle w:val="Compact"/>
                    <w:jc w:val="right"/>
                    <w:jc w:val="center"/>
                  </w:pPr>
                  <w:r>
                    <w:t xml:space="preserve">19</w:t>
                  </w:r>
                </w:p>
              </w:tc>
              <w:tc>
                <w:tcPr/>
                <w:p>
                  <w:pPr>
                    <w:pStyle w:val="Compact"/>
                    <w:jc w:val="right"/>
                    <w:jc w:val="center"/>
                  </w:pPr>
                  <w:r>
                    <w:t xml:space="preserve">0.498</w:t>
                  </w:r>
                </w:p>
              </w:tc>
              <w:tc>
                <w:tcPr/>
                <w:p>
                  <w:pPr>
                    <w:pStyle w:val="Compact"/>
                    <w:jc w:val="right"/>
                    <w:jc w:val="center"/>
                  </w:pPr>
                  <w:r>
                    <w:t xml:space="preserve">-0.13</w:t>
                  </w:r>
                </w:p>
              </w:tc>
              <w:tc>
                <w:tcPr/>
                <w:p>
                  <w:pPr>
                    <w:pStyle w:val="Compact"/>
                    <w:jc w:val="right"/>
                    <w:jc w:val="center"/>
                  </w:pPr>
                  <w:r>
                    <w:t xml:space="preserve">-3.64</w:t>
                  </w:r>
                </w:p>
              </w:tc>
              <w:tc>
                <w:tcPr/>
                <w:p>
                  <w:pPr>
                    <w:pStyle w:val="Compact"/>
                    <w:jc w:val="right"/>
                    <w:jc w:val="center"/>
                  </w:pPr>
                  <w:r>
                    <w:t xml:space="preserve">0.792</w:t>
                  </w:r>
                </w:p>
              </w:tc>
              <w:tc>
                <w:tcPr/>
                <w:p>
                  <w:pPr>
                    <w:pStyle w:val="Compact"/>
                    <w:jc w:val="right"/>
                    <w:jc w:val="center"/>
                  </w:pPr>
                  <w:r>
                    <w:t xml:space="preserve">0.642</w:t>
                  </w:r>
                </w:p>
              </w:tc>
              <w:tc>
                <w:tcPr/>
                <w:p>
                  <w:pPr>
                    <w:pStyle w:val="Compact"/>
                    <w:jc w:val="right"/>
                    <w:jc w:val="center"/>
                  </w:pPr>
                  <w:r>
                    <w:t xml:space="preserve">0.0126</w:t>
                  </w:r>
                </w:p>
              </w:tc>
            </w:tr>
          </w:tbl>
          <w:bookmarkEnd w:id="42"/>
          <w:p/>
        </w:tc>
      </w:tr>
    </w:tbl>
    <w:p>
      <w:pPr>
        <w:pStyle w:val="BodyText"/>
      </w:pPr>
      <w:r>
        <w:t xml:space="preserve">Pool HCP and MVM clearance are well described by the screening model, at R² = 0.966 and 0.970. XMuLV clearance is described less well at 0.842 and has a negative predicted R². Step yield is not described by the model at all (F test</w:t>
      </w:r>
      <w:r>
        <w:t xml:space="preserve"> </w:t>
      </w:r>
      <w:r>
        <w:t xml:space="preserve">p = 0.642). The screening model is near-saturated, with</w:t>
      </w:r>
      <w:r>
        <w:t xml:space="preserve"> </w:t>
      </w:r>
      <w:r>
        <w:t xml:space="preserve">10 terms fitted from 19 runs,</w:t>
      </w:r>
      <w:r>
        <w:t xml:space="preserve"> </w:t>
      </w:r>
      <w:r>
        <w:t xml:space="preserve">so these fit statistics identify structure without supporting prediction, and the response-surface models are the predictive models (§5.3).</w:t>
      </w:r>
    </w:p>
    <w:p>
      <w:pPr>
        <w:pStyle w:val="BodyText"/>
      </w:pPr>
      <w:r>
        <w:t xml:space="preserve">Pool HCP is governed by two factors and by their interaction, and the six largest effects are</w:t>
      </w:r>
      <w:r>
        <w:t xml:space="preserve"> </w:t>
      </w:r>
      <w:r>
        <w:t xml:space="preserve">given in</w:t>
      </w:r>
      <w:r>
        <w:t xml:space="preserve"> </w:t>
      </w:r>
      <w:hyperlink w:anchor="tbl-eff-hcp">
        <w:r>
          <w:rPr>
            <w:rStyle w:val="Hyperlink"/>
          </w:rPr>
          <w:t xml:space="preserve">Table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eff-hcp"/>
          <w:p>
            <w:pPr>
              <w:jc w:val="center"/>
            </w:pPr>
            <w:pPr>
              <w:jc w:val="left"/>
              <w:spacing w:before="200"/>
              <w:pStyle w:val="ImageCaption"/>
            </w:pPr>
            <w:r>
              <w:t xml:space="preserve">Table 11: Largest screening effects on pool host cell protein.</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B</w:t>
                  </w:r>
                </w:p>
              </w:tc>
              <w:tc>
                <w:tcPr/>
                <w:p>
                  <w:pPr>
                    <w:pStyle w:val="Compact"/>
                    <w:jc w:val="right"/>
                    <w:jc w:val="center"/>
                  </w:pPr>
                  <w:r>
                    <w:t xml:space="preserve">12.1</w:t>
                  </w:r>
                </w:p>
              </w:tc>
              <w:tc>
                <w:tcPr/>
                <w:p>
                  <w:pPr>
                    <w:pStyle w:val="Compact"/>
                    <w:jc w:val="right"/>
                    <w:jc w:val="center"/>
                  </w:pPr>
                  <w:r>
                    <w:t xml:space="preserve">6.04</w:t>
                  </w:r>
                </w:p>
              </w:tc>
              <w:tc>
                <w:tcPr/>
                <w:p>
                  <w:pPr>
                    <w:pStyle w:val="Compact"/>
                    <w:jc w:val="right"/>
                    <w:jc w:val="center"/>
                  </w:pPr>
                  <w:r>
                    <w:t xml:space="preserve">0.613</w:t>
                  </w:r>
                </w:p>
              </w:tc>
              <w:tc>
                <w:tcPr/>
                <w:p>
                  <w:pPr>
                    <w:pStyle w:val="Compact"/>
                    <w:jc w:val="right"/>
                    <w:jc w:val="center"/>
                  </w:pPr>
                  <w:r>
                    <w:t xml:space="preserve">9.85</w:t>
                  </w:r>
                </w:p>
              </w:tc>
              <w:tc>
                <w:tcPr/>
                <w:p>
                  <w:pPr>
                    <w:pStyle w:val="Compact"/>
                    <w:jc w:val="right"/>
                    <w:jc w:val="center"/>
                  </w:pPr>
                  <w:r>
                    <w:t xml:space="preserve">9.48e-06</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-11.9</w:t>
                  </w:r>
                </w:p>
              </w:tc>
              <w:tc>
                <w:tcPr/>
                <w:p>
                  <w:pPr>
                    <w:pStyle w:val="Compact"/>
                    <w:jc w:val="right"/>
                    <w:jc w:val="center"/>
                  </w:pPr>
                  <w:r>
                    <w:t xml:space="preserve">-5.96</w:t>
                  </w:r>
                </w:p>
              </w:tc>
              <w:tc>
                <w:tcPr/>
                <w:p>
                  <w:pPr>
                    <w:pStyle w:val="Compact"/>
                    <w:jc w:val="right"/>
                    <w:jc w:val="center"/>
                  </w:pPr>
                  <w:r>
                    <w:t xml:space="preserve">0.613</w:t>
                  </w:r>
                </w:p>
              </w:tc>
              <w:tc>
                <w:tcPr/>
                <w:p>
                  <w:pPr>
                    <w:pStyle w:val="Compact"/>
                    <w:jc w:val="right"/>
                    <w:jc w:val="center"/>
                  </w:pPr>
                  <w:r>
                    <w:t xml:space="preserve">-9.72</w:t>
                  </w:r>
                </w:p>
              </w:tc>
              <w:tc>
                <w:tcPr/>
                <w:p>
                  <w:pPr>
                    <w:pStyle w:val="Compact"/>
                    <w:jc w:val="right"/>
                    <w:jc w:val="center"/>
                  </w:pPr>
                  <w:r>
                    <w:t xml:space="preserve">1.05e-05</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-6.63</w:t>
                  </w:r>
                </w:p>
              </w:tc>
              <w:tc>
                <w:tcPr/>
                <w:p>
                  <w:pPr>
                    <w:pStyle w:val="Compact"/>
                    <w:jc w:val="right"/>
                    <w:jc w:val="center"/>
                  </w:pPr>
                  <w:r>
                    <w:t xml:space="preserve">-3.32</w:t>
                  </w:r>
                </w:p>
              </w:tc>
              <w:tc>
                <w:tcPr/>
                <w:p>
                  <w:pPr>
                    <w:pStyle w:val="Compact"/>
                    <w:jc w:val="right"/>
                    <w:jc w:val="center"/>
                  </w:pPr>
                  <w:r>
                    <w:t xml:space="preserve">0.613</w:t>
                  </w:r>
                </w:p>
              </w:tc>
              <w:tc>
                <w:tcPr/>
                <w:p>
                  <w:pPr>
                    <w:pStyle w:val="Compact"/>
                    <w:jc w:val="right"/>
                    <w:jc w:val="center"/>
                  </w:pPr>
                  <w:r>
                    <w:t xml:space="preserve">-5.41</w:t>
                  </w:r>
                </w:p>
              </w:tc>
              <w:tc>
                <w:tcPr/>
                <w:p>
                  <w:pPr>
                    <w:pStyle w:val="Compact"/>
                    <w:jc w:val="right"/>
                    <w:jc w:val="center"/>
                  </w:pPr>
                  <w:r>
                    <w:t xml:space="preserve">0.000642</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-1.66</w:t>
                  </w:r>
                </w:p>
              </w:tc>
              <w:tc>
                <w:tcPr/>
                <w:p>
                  <w:pPr>
                    <w:pStyle w:val="Compact"/>
                    <w:jc w:val="right"/>
                    <w:jc w:val="center"/>
                  </w:pPr>
                  <w:r>
                    <w:t xml:space="preserve">-0.829</w:t>
                  </w:r>
                </w:p>
              </w:tc>
              <w:tc>
                <w:tcPr/>
                <w:p>
                  <w:pPr>
                    <w:pStyle w:val="Compact"/>
                    <w:jc w:val="right"/>
                    <w:jc w:val="center"/>
                  </w:pPr>
                  <w:r>
                    <w:t xml:space="preserve">0.613</w:t>
                  </w:r>
                </w:p>
              </w:tc>
              <w:tc>
                <w:tcPr/>
                <w:p>
                  <w:pPr>
                    <w:pStyle w:val="Compact"/>
                    <w:jc w:val="right"/>
                    <w:jc w:val="center"/>
                  </w:pPr>
                  <w:r>
                    <w:t xml:space="preserve">-1.35</w:t>
                  </w:r>
                </w:p>
              </w:tc>
              <w:tc>
                <w:tcPr/>
                <w:p>
                  <w:pPr>
                    <w:pStyle w:val="Compact"/>
                    <w:jc w:val="right"/>
                    <w:jc w:val="center"/>
                  </w:pPr>
                  <w:r>
                    <w:t xml:space="preserve">0.213</w:t>
                  </w:r>
                </w:p>
              </w:tc>
              <w:tc>
                <w:tcPr/>
                <w:p>
                  <w:pPr>
                    <w:pStyle w:val="Compact"/>
                  </w:pPr>
                </w:p>
              </w:tc>
            </w:tr>
            <w:tr>
              <w:tc>
                <w:tcPr/>
                <w:p>
                  <w:pPr>
                    <w:pStyle w:val="Compact"/>
                    <w:jc w:val="left"/>
                    <w:jc w:val="center"/>
                  </w:pPr>
                  <w:r>
                    <w:t xml:space="preserve">AC</w:t>
                  </w:r>
                </w:p>
              </w:tc>
              <w:tc>
                <w:tcPr/>
                <w:p>
                  <w:pPr>
                    <w:pStyle w:val="Compact"/>
                    <w:jc w:val="right"/>
                    <w:jc w:val="center"/>
                  </w:pPr>
                  <w:r>
                    <w:t xml:space="preserve">1.65</w:t>
                  </w:r>
                </w:p>
              </w:tc>
              <w:tc>
                <w:tcPr/>
                <w:p>
                  <w:pPr>
                    <w:pStyle w:val="Compact"/>
                    <w:jc w:val="right"/>
                    <w:jc w:val="center"/>
                  </w:pPr>
                  <w:r>
                    <w:t xml:space="preserve">0.827</w:t>
                  </w:r>
                </w:p>
              </w:tc>
              <w:tc>
                <w:tcPr/>
                <w:p>
                  <w:pPr>
                    <w:pStyle w:val="Compact"/>
                    <w:jc w:val="right"/>
                    <w:jc w:val="center"/>
                  </w:pPr>
                  <w:r>
                    <w:t xml:space="preserve">0.613</w:t>
                  </w:r>
                </w:p>
              </w:tc>
              <w:tc>
                <w:tcPr/>
                <w:p>
                  <w:pPr>
                    <w:pStyle w:val="Compact"/>
                    <w:jc w:val="right"/>
                    <w:jc w:val="center"/>
                  </w:pPr>
                  <w:r>
                    <w:t xml:space="preserve">1.35</w:t>
                  </w:r>
                </w:p>
              </w:tc>
              <w:tc>
                <w:tcPr/>
                <w:p>
                  <w:pPr>
                    <w:pStyle w:val="Compact"/>
                    <w:jc w:val="right"/>
                    <w:jc w:val="center"/>
                  </w:pPr>
                  <w:r>
                    <w:t xml:space="preserve">0.214</w:t>
                  </w:r>
                </w:p>
              </w:tc>
              <w:tc>
                <w:tcPr/>
                <w:p>
                  <w:pPr>
                    <w:pStyle w:val="Compact"/>
                  </w:pPr>
                </w:p>
              </w:tc>
            </w:tr>
            <w:tr>
              <w:tc>
                <w:tcPr/>
                <w:p>
                  <w:pPr>
                    <w:pStyle w:val="Compact"/>
                    <w:jc w:val="left"/>
                    <w:jc w:val="center"/>
                  </w:pPr>
                  <w:r>
                    <w:t xml:space="preserve">BC</w:t>
                  </w:r>
                </w:p>
              </w:tc>
              <w:tc>
                <w:tcPr/>
                <w:p>
                  <w:pPr>
                    <w:pStyle w:val="Compact"/>
                    <w:jc w:val="right"/>
                    <w:jc w:val="center"/>
                  </w:pPr>
                  <w:r>
                    <w:t xml:space="preserve">-1.21</w:t>
                  </w:r>
                </w:p>
              </w:tc>
              <w:tc>
                <w:tcPr/>
                <w:p>
                  <w:pPr>
                    <w:pStyle w:val="Compact"/>
                    <w:jc w:val="right"/>
                    <w:jc w:val="center"/>
                  </w:pPr>
                  <w:r>
                    <w:t xml:space="preserve">-0.605</w:t>
                  </w:r>
                </w:p>
              </w:tc>
              <w:tc>
                <w:tcPr/>
                <w:p>
                  <w:pPr>
                    <w:pStyle w:val="Compact"/>
                    <w:jc w:val="right"/>
                    <w:jc w:val="center"/>
                  </w:pPr>
                  <w:r>
                    <w:t xml:space="preserve">0.613</w:t>
                  </w:r>
                </w:p>
              </w:tc>
              <w:tc>
                <w:tcPr/>
                <w:p>
                  <w:pPr>
                    <w:pStyle w:val="Compact"/>
                    <w:jc w:val="right"/>
                    <w:jc w:val="center"/>
                  </w:pPr>
                  <w:r>
                    <w:t xml:space="preserve">-0.986</w:t>
                  </w:r>
                </w:p>
              </w:tc>
              <w:tc>
                <w:tcPr/>
                <w:p>
                  <w:pPr>
                    <w:pStyle w:val="Compact"/>
                    <w:jc w:val="right"/>
                    <w:jc w:val="center"/>
                  </w:pPr>
                  <w:r>
                    <w:t xml:space="preserve">0.353</w:t>
                  </w:r>
                </w:p>
              </w:tc>
              <w:tc>
                <w:tcPr/>
                <w:p>
                  <w:pPr>
                    <w:pStyle w:val="Compact"/>
                  </w:pPr>
                </w:p>
              </w:tc>
            </w:tr>
          </w:tbl>
          <w:bookmarkEnd w:id="43"/>
          <w:p/>
        </w:tc>
      </w:tr>
    </w:tbl>
    <w:p>
      <w:pPr>
        <w:pStyle w:val="BodyText"/>
      </w:pPr>
      <w:r>
        <w:t xml:space="preserve">Equilibration and wash-1 conductivity raises pool HCP by</w:t>
      </w:r>
      <w:r>
        <w:t xml:space="preserve"> </w:t>
      </w:r>
      <w:r>
        <w:t xml:space="preserve">12.1 ng/mg across its characterized range, load pH lowers</w:t>
      </w:r>
      <w:r>
        <w:t xml:space="preserve"> </w:t>
      </w:r>
      <w:r>
        <w:t xml:space="preserve">it by 11.9 ng/mg across its own range, and both</w:t>
      </w:r>
      <w:r>
        <w:t xml:space="preserve"> </w:t>
      </w:r>
      <w:r>
        <w:t xml:space="preserve">effects are significant at</w:t>
      </w:r>
      <w:r>
        <w:t xml:space="preserve"> </w:t>
      </w:r>
      <w:r>
        <w:t xml:space="preserve">p &lt; 0.001. The interaction</w:t>
      </w:r>
      <w:r>
        <w:t xml:space="preserve"> </w:t>
      </w:r>
      <w:r>
        <w:t xml:space="preserve">between them is also significant, at -6.6 ng/mg with</w:t>
      </w:r>
      <w:r>
        <w:t xml:space="preserve"> </w:t>
      </w:r>
      <w:r>
        <w:t xml:space="preserve">p &lt; 0.001, and its sign means that the penalty for a high</w:t>
      </w:r>
      <w:r>
        <w:t xml:space="preserve"> </w:t>
      </w:r>
      <w:r>
        <w:t xml:space="preserve">wash conductivity is smaller when the load pH is high. Load conductivity and protein load are not</w:t>
      </w:r>
      <w:r>
        <w:t xml:space="preserve"> </w:t>
      </w:r>
      <w:r>
        <w:t xml:space="preserve">significant for this response.</w:t>
      </w:r>
    </w:p>
    <w:p>
      <w:pPr>
        <w:pStyle w:val="BodyText"/>
      </w:pPr>
      <w:r>
        <w:t xml:space="preserve">MVM clearance is governed by load pH and load conductivity, whose effects are given with the</w:t>
      </w:r>
      <w:r>
        <w:t xml:space="preserve"> </w:t>
      </w:r>
      <w:r>
        <w:t xml:space="preserve">four next largest terms in</w:t>
      </w:r>
      <w:r>
        <w:t xml:space="preserve"> </w:t>
      </w:r>
      <w:hyperlink w:anchor="tbl-eff-mvm">
        <w:r>
          <w:rPr>
            <w:rStyle w:val="Hyperlink"/>
          </w:rPr>
          <w:t xml:space="preserve">Table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 w:name="tbl-eff-mvm"/>
          <w:p>
            <w:pPr>
              <w:jc w:val="center"/>
            </w:pPr>
            <w:pPr>
              <w:jc w:val="left"/>
              <w:spacing w:before="200"/>
              <w:pStyle w:val="ImageCaption"/>
            </w:pPr>
            <w:r>
              <w:t xml:space="preserve">Table 12: Largest screening effects on MVM log reduction factor.</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1.22</w:t>
                  </w:r>
                </w:p>
              </w:tc>
              <w:tc>
                <w:tcPr/>
                <w:p>
                  <w:pPr>
                    <w:pStyle w:val="Compact"/>
                    <w:jc w:val="right"/>
                    <w:jc w:val="center"/>
                  </w:pPr>
                  <w:r>
                    <w:t xml:space="preserve">0.61</w:t>
                  </w:r>
                </w:p>
              </w:tc>
              <w:tc>
                <w:tcPr/>
                <w:p>
                  <w:pPr>
                    <w:pStyle w:val="Compact"/>
                    <w:jc w:val="right"/>
                    <w:jc w:val="center"/>
                  </w:pPr>
                  <w:r>
                    <w:t xml:space="preserve">0.0446</w:t>
                  </w:r>
                </w:p>
              </w:tc>
              <w:tc>
                <w:tcPr/>
                <w:p>
                  <w:pPr>
                    <w:pStyle w:val="Compact"/>
                    <w:jc w:val="right"/>
                    <w:jc w:val="center"/>
                  </w:pPr>
                  <w:r>
                    <w:t xml:space="preserve">13.7</w:t>
                  </w:r>
                </w:p>
              </w:tc>
              <w:tc>
                <w:tcPr/>
                <w:p>
                  <w:pPr>
                    <w:pStyle w:val="Compact"/>
                    <w:jc w:val="right"/>
                    <w:jc w:val="center"/>
                  </w:pPr>
                  <w:r>
                    <w:t xml:space="preserve">7.83e-07</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-0.715</w:t>
                  </w:r>
                </w:p>
              </w:tc>
              <w:tc>
                <w:tcPr/>
                <w:p>
                  <w:pPr>
                    <w:pStyle w:val="Compact"/>
                    <w:jc w:val="right"/>
                    <w:jc w:val="center"/>
                  </w:pPr>
                  <w:r>
                    <w:t xml:space="preserve">-0.357</w:t>
                  </w:r>
                </w:p>
              </w:tc>
              <w:tc>
                <w:tcPr/>
                <w:p>
                  <w:pPr>
                    <w:pStyle w:val="Compact"/>
                    <w:jc w:val="right"/>
                    <w:jc w:val="center"/>
                  </w:pPr>
                  <w:r>
                    <w:t xml:space="preserve">0.0446</w:t>
                  </w:r>
                </w:p>
              </w:tc>
              <w:tc>
                <w:tcPr/>
                <w:p>
                  <w:pPr>
                    <w:pStyle w:val="Compact"/>
                    <w:jc w:val="right"/>
                    <w:jc w:val="center"/>
                  </w:pPr>
                  <w:r>
                    <w:t xml:space="preserve">-8.01</w:t>
                  </w:r>
                </w:p>
              </w:tc>
              <w:tc>
                <w:tcPr/>
                <w:p>
                  <w:pPr>
                    <w:pStyle w:val="Compact"/>
                    <w:jc w:val="right"/>
                    <w:jc w:val="center"/>
                  </w:pPr>
                  <w:r>
                    <w:t xml:space="preserve">4.32e-05</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0.182</w:t>
                  </w:r>
                </w:p>
              </w:tc>
              <w:tc>
                <w:tcPr/>
                <w:p>
                  <w:pPr>
                    <w:pStyle w:val="Compact"/>
                    <w:jc w:val="right"/>
                    <w:jc w:val="center"/>
                  </w:pPr>
                  <w:r>
                    <w:t xml:space="preserve">0.091</w:t>
                  </w:r>
                </w:p>
              </w:tc>
              <w:tc>
                <w:tcPr/>
                <w:p>
                  <w:pPr>
                    <w:pStyle w:val="Compact"/>
                    <w:jc w:val="right"/>
                    <w:jc w:val="center"/>
                  </w:pPr>
                  <w:r>
                    <w:t xml:space="preserve">0.0446</w:t>
                  </w:r>
                </w:p>
              </w:tc>
              <w:tc>
                <w:tcPr/>
                <w:p>
                  <w:pPr>
                    <w:pStyle w:val="Compact"/>
                    <w:jc w:val="right"/>
                    <w:jc w:val="center"/>
                  </w:pPr>
                  <w:r>
                    <w:t xml:space="preserve">2.04</w:t>
                  </w:r>
                </w:p>
              </w:tc>
              <w:tc>
                <w:tcPr/>
                <w:p>
                  <w:pPr>
                    <w:pStyle w:val="Compact"/>
                    <w:jc w:val="right"/>
                    <w:jc w:val="center"/>
                  </w:pPr>
                  <w:r>
                    <w:t xml:space="preserve">0.0757</w:t>
                  </w:r>
                </w:p>
              </w:tc>
              <w:tc>
                <w:tcPr/>
                <w:p>
                  <w:pPr>
                    <w:pStyle w:val="Compact"/>
                  </w:pPr>
                </w:p>
              </w:tc>
            </w:tr>
            <w:tr>
              <w:tc>
                <w:tcPr/>
                <w:p>
                  <w:pPr>
                    <w:pStyle w:val="Compact"/>
                    <w:jc w:val="left"/>
                    <w:jc w:val="center"/>
                  </w:pPr>
                  <w:r>
                    <w:t xml:space="preserve">BD</w:t>
                  </w:r>
                </w:p>
              </w:tc>
              <w:tc>
                <w:tcPr/>
                <w:p>
                  <w:pPr>
                    <w:pStyle w:val="Compact"/>
                    <w:jc w:val="right"/>
                    <w:jc w:val="center"/>
                  </w:pPr>
                  <w:r>
                    <w:t xml:space="preserve">0.107</w:t>
                  </w:r>
                </w:p>
              </w:tc>
              <w:tc>
                <w:tcPr/>
                <w:p>
                  <w:pPr>
                    <w:pStyle w:val="Compact"/>
                    <w:jc w:val="right"/>
                    <w:jc w:val="center"/>
                  </w:pPr>
                  <w:r>
                    <w:t xml:space="preserve">0.0536</w:t>
                  </w:r>
                </w:p>
              </w:tc>
              <w:tc>
                <w:tcPr/>
                <w:p>
                  <w:pPr>
                    <w:pStyle w:val="Compact"/>
                    <w:jc w:val="right"/>
                    <w:jc w:val="center"/>
                  </w:pPr>
                  <w:r>
                    <w:t xml:space="preserve">0.0446</w:t>
                  </w:r>
                </w:p>
              </w:tc>
              <w:tc>
                <w:tcPr/>
                <w:p>
                  <w:pPr>
                    <w:pStyle w:val="Compact"/>
                    <w:jc w:val="right"/>
                    <w:jc w:val="center"/>
                  </w:pPr>
                  <w:r>
                    <w:t xml:space="preserve">1.2</w:t>
                  </w:r>
                </w:p>
              </w:tc>
              <w:tc>
                <w:tcPr/>
                <w:p>
                  <w:pPr>
                    <w:pStyle w:val="Compact"/>
                    <w:jc w:val="right"/>
                    <w:jc w:val="center"/>
                  </w:pPr>
                  <w:r>
                    <w:t xml:space="preserve">0.263</w:t>
                  </w:r>
                </w:p>
              </w:tc>
              <w:tc>
                <w:tcPr/>
                <w:p>
                  <w:pPr>
                    <w:pStyle w:val="Compact"/>
                  </w:pPr>
                </w:p>
              </w:tc>
            </w:tr>
            <w:tr>
              <w:tc>
                <w:tcPr/>
                <w:p>
                  <w:pPr>
                    <w:pStyle w:val="Compact"/>
                    <w:jc w:val="left"/>
                    <w:jc w:val="center"/>
                  </w:pPr>
                  <w:r>
                    <w:t xml:space="preserve">AD</w:t>
                  </w:r>
                </w:p>
              </w:tc>
              <w:tc>
                <w:tcPr/>
                <w:p>
                  <w:pPr>
                    <w:pStyle w:val="Compact"/>
                    <w:jc w:val="right"/>
                    <w:jc w:val="center"/>
                  </w:pPr>
                  <w:r>
                    <w:t xml:space="preserve">-0.0627</w:t>
                  </w:r>
                </w:p>
              </w:tc>
              <w:tc>
                <w:tcPr/>
                <w:p>
                  <w:pPr>
                    <w:pStyle w:val="Compact"/>
                    <w:jc w:val="right"/>
                    <w:jc w:val="center"/>
                  </w:pPr>
                  <w:r>
                    <w:t xml:space="preserve">-0.0314</w:t>
                  </w:r>
                </w:p>
              </w:tc>
              <w:tc>
                <w:tcPr/>
                <w:p>
                  <w:pPr>
                    <w:pStyle w:val="Compact"/>
                    <w:jc w:val="right"/>
                    <w:jc w:val="center"/>
                  </w:pPr>
                  <w:r>
                    <w:t xml:space="preserve">0.0446</w:t>
                  </w:r>
                </w:p>
              </w:tc>
              <w:tc>
                <w:tcPr/>
                <w:p>
                  <w:pPr>
                    <w:pStyle w:val="Compact"/>
                    <w:jc w:val="right"/>
                    <w:jc w:val="center"/>
                  </w:pPr>
                  <w:r>
                    <w:t xml:space="preserve">-0.704</w:t>
                  </w:r>
                </w:p>
              </w:tc>
              <w:tc>
                <w:tcPr/>
                <w:p>
                  <w:pPr>
                    <w:pStyle w:val="Compact"/>
                    <w:jc w:val="right"/>
                    <w:jc w:val="center"/>
                  </w:pPr>
                  <w:r>
                    <w:t xml:space="preserve">0.502</w:t>
                  </w:r>
                </w:p>
              </w:tc>
              <w:tc>
                <w:tcPr/>
                <w:p>
                  <w:pPr>
                    <w:pStyle w:val="Compact"/>
                  </w:pPr>
                </w:p>
              </w:tc>
            </w:tr>
            <w:tr>
              <w:tc>
                <w:tcPr/>
                <w:p>
                  <w:pPr>
                    <w:pStyle w:val="Compact"/>
                    <w:jc w:val="left"/>
                    <w:jc w:val="center"/>
                  </w:pPr>
                  <w:r>
                    <w:t xml:space="preserve">D</w:t>
                  </w:r>
                </w:p>
              </w:tc>
              <w:tc>
                <w:tcPr/>
                <w:p>
                  <w:pPr>
                    <w:pStyle w:val="Compact"/>
                    <w:jc w:val="right"/>
                    <w:jc w:val="center"/>
                  </w:pPr>
                  <w:r>
                    <w:t xml:space="preserve">-0.0451</w:t>
                  </w:r>
                </w:p>
              </w:tc>
              <w:tc>
                <w:tcPr/>
                <w:p>
                  <w:pPr>
                    <w:pStyle w:val="Compact"/>
                    <w:jc w:val="right"/>
                    <w:jc w:val="center"/>
                  </w:pPr>
                  <w:r>
                    <w:t xml:space="preserve">-0.0226</w:t>
                  </w:r>
                </w:p>
              </w:tc>
              <w:tc>
                <w:tcPr/>
                <w:p>
                  <w:pPr>
                    <w:pStyle w:val="Compact"/>
                    <w:jc w:val="right"/>
                    <w:jc w:val="center"/>
                  </w:pPr>
                  <w:r>
                    <w:t xml:space="preserve">0.0446</w:t>
                  </w:r>
                </w:p>
              </w:tc>
              <w:tc>
                <w:tcPr/>
                <w:p>
                  <w:pPr>
                    <w:pStyle w:val="Compact"/>
                    <w:jc w:val="right"/>
                    <w:jc w:val="center"/>
                  </w:pPr>
                  <w:r>
                    <w:t xml:space="preserve">-0.506</w:t>
                  </w:r>
                </w:p>
              </w:tc>
              <w:tc>
                <w:tcPr/>
                <w:p>
                  <w:pPr>
                    <w:pStyle w:val="Compact"/>
                    <w:jc w:val="right"/>
                    <w:jc w:val="center"/>
                  </w:pPr>
                  <w:r>
                    <w:t xml:space="preserve">0.626</w:t>
                  </w:r>
                </w:p>
              </w:tc>
              <w:tc>
                <w:tcPr/>
                <w:p>
                  <w:pPr>
                    <w:pStyle w:val="Compact"/>
                  </w:pPr>
                </w:p>
              </w:tc>
            </w:tr>
          </w:tbl>
          <w:bookmarkEnd w:id="44"/>
          <w:p/>
        </w:tc>
      </w:tr>
    </w:tbl>
    <w:p>
      <w:pPr>
        <w:pStyle w:val="BodyText"/>
      </w:pPr>
      <w:r>
        <w:t xml:space="preserve">Load pH raises the MVM log reduction factor by 1.22 log₁₀</w:t>
      </w:r>
      <w:r>
        <w:t xml:space="preserve"> </w:t>
      </w:r>
      <w:r>
        <w:t xml:space="preserve">across its range and load conductivity lowers it by</w:t>
      </w:r>
      <w:r>
        <w:t xml:space="preserve"> </w:t>
      </w:r>
      <w:r>
        <w:t xml:space="preserve">0.71 log₁₀ across its own, and both are significant at</w:t>
      </w:r>
      <w:r>
        <w:t xml:space="preserve"> </w:t>
      </w:r>
      <w:r>
        <w:t xml:space="preserve">p &lt; 0.001. No interaction term is</w:t>
      </w:r>
      <w:r>
        <w:t xml:space="preserve"> </w:t>
      </w:r>
      <w:r>
        <w:t xml:space="preserve">significant for this response, and equilibration and wash-1 conductivity gives a small positive</w:t>
      </w:r>
      <w:r>
        <w:t xml:space="preserve"> </w:t>
      </w:r>
      <w:r>
        <w:t xml:space="preserve">estimate that does not reach significance (p = 0.076), which is</w:t>
      </w:r>
      <w:r>
        <w:t xml:space="preserve"> </w:t>
      </w:r>
      <w:r>
        <w:t xml:space="preserve">treated here as a null result.</w:t>
      </w:r>
    </w:p>
    <w:p>
      <w:pPr>
        <w:pStyle w:val="BodyText"/>
      </w:pPr>
      <w:r>
        <w:t xml:space="preserve">XMuLV clearance follows the same pattern with smaller magnitudes (</w:t>
      </w:r>
      <w:hyperlink w:anchor="tbl-eff-xmulv">
        <w:r>
          <w:rPr>
            <w:rStyle w:val="Hyperlink"/>
          </w:rPr>
          <w:t xml:space="preserve">Table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eff-xmulv"/>
          <w:p>
            <w:pPr>
              <w:jc w:val="center"/>
            </w:pPr>
            <w:pPr>
              <w:jc w:val="left"/>
              <w:spacing w:before="200"/>
              <w:pStyle w:val="ImageCaption"/>
            </w:pPr>
            <w:r>
              <w:t xml:space="preserve">Table 13: Largest screening effects on XMuLV log reduction factor.</w:t>
            </w:r>
          </w:p>
          <w:tbl>
            <w:tblPr>
              <w:tblStyle w:val="Table"/>
              <w:tblW w:type="pct" w:w="5000"/>
              <w:tblLayout w:type="fixed"/>
              <w:tblLook w:firstRow="1" w:lastRow="0" w:firstColumn="0" w:lastColumn="0" w:noHBand="0" w:noVBand="0" w:val="0020"/>
            </w:tblPr>
            <w:tblGrid>
              <w:gridCol w:w="960"/>
              <w:gridCol w:w="1200"/>
              <w:gridCol w:w="1080"/>
              <w:gridCol w:w="1560"/>
              <w:gridCol w:w="840"/>
              <w:gridCol w:w="1320"/>
              <w:gridCol w:w="960"/>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1</w:t>
                  </w:r>
                </w:p>
              </w:tc>
              <w:tc>
                <w:tcPr/>
                <w:p>
                  <w:pPr>
                    <w:pStyle w:val="Compact"/>
                    <w:jc w:val="right"/>
                    <w:jc w:val="center"/>
                  </w:pPr>
                  <w:r>
                    <w:t xml:space="preserve">0.501</w:t>
                  </w:r>
                </w:p>
              </w:tc>
              <w:tc>
                <w:tcPr/>
                <w:p>
                  <w:pPr>
                    <w:pStyle w:val="Compact"/>
                    <w:jc w:val="right"/>
                    <w:jc w:val="center"/>
                  </w:pPr>
                  <w:r>
                    <w:t xml:space="preserve">0.0982</w:t>
                  </w:r>
                </w:p>
              </w:tc>
              <w:tc>
                <w:tcPr/>
                <w:p>
                  <w:pPr>
                    <w:pStyle w:val="Compact"/>
                    <w:jc w:val="right"/>
                    <w:jc w:val="center"/>
                  </w:pPr>
                  <w:r>
                    <w:t xml:space="preserve">5.1</w:t>
                  </w:r>
                </w:p>
              </w:tc>
              <w:tc>
                <w:tcPr/>
                <w:p>
                  <w:pPr>
                    <w:pStyle w:val="Compact"/>
                    <w:jc w:val="right"/>
                    <w:jc w:val="center"/>
                  </w:pPr>
                  <w:r>
                    <w:t xml:space="preserve">0.000934</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-0.605</w:t>
                  </w:r>
                </w:p>
              </w:tc>
              <w:tc>
                <w:tcPr/>
                <w:p>
                  <w:pPr>
                    <w:pStyle w:val="Compact"/>
                    <w:jc w:val="right"/>
                    <w:jc w:val="center"/>
                  </w:pPr>
                  <w:r>
                    <w:t xml:space="preserve">-0.302</w:t>
                  </w:r>
                </w:p>
              </w:tc>
              <w:tc>
                <w:tcPr/>
                <w:p>
                  <w:pPr>
                    <w:pStyle w:val="Compact"/>
                    <w:jc w:val="right"/>
                    <w:jc w:val="center"/>
                  </w:pPr>
                  <w:r>
                    <w:t xml:space="preserve">0.0982</w:t>
                  </w:r>
                </w:p>
              </w:tc>
              <w:tc>
                <w:tcPr/>
                <w:p>
                  <w:pPr>
                    <w:pStyle w:val="Compact"/>
                    <w:jc w:val="right"/>
                    <w:jc w:val="center"/>
                  </w:pPr>
                  <w:r>
                    <w:t xml:space="preserve">-3.08</w:t>
                  </w:r>
                </w:p>
              </w:tc>
              <w:tc>
                <w:tcPr/>
                <w:p>
                  <w:pPr>
                    <w:pStyle w:val="Compact"/>
                    <w:jc w:val="right"/>
                    <w:jc w:val="center"/>
                  </w:pPr>
                  <w:r>
                    <w:t xml:space="preserve">0.0151</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0.268</w:t>
                  </w:r>
                </w:p>
              </w:tc>
              <w:tc>
                <w:tcPr/>
                <w:p>
                  <w:pPr>
                    <w:pStyle w:val="Compact"/>
                    <w:jc w:val="right"/>
                    <w:jc w:val="center"/>
                  </w:pPr>
                  <w:r>
                    <w:t xml:space="preserve">0.134</w:t>
                  </w:r>
                </w:p>
              </w:tc>
              <w:tc>
                <w:tcPr/>
                <w:p>
                  <w:pPr>
                    <w:pStyle w:val="Compact"/>
                    <w:jc w:val="right"/>
                    <w:jc w:val="center"/>
                  </w:pPr>
                  <w:r>
                    <w:t xml:space="preserve">0.0982</w:t>
                  </w:r>
                </w:p>
              </w:tc>
              <w:tc>
                <w:tcPr/>
                <w:p>
                  <w:pPr>
                    <w:pStyle w:val="Compact"/>
                    <w:jc w:val="right"/>
                    <w:jc w:val="center"/>
                  </w:pPr>
                  <w:r>
                    <w:t xml:space="preserve">1.37</w:t>
                  </w:r>
                </w:p>
              </w:tc>
              <w:tc>
                <w:tcPr/>
                <w:p>
                  <w:pPr>
                    <w:pStyle w:val="Compact"/>
                    <w:jc w:val="right"/>
                    <w:jc w:val="center"/>
                  </w:pPr>
                  <w:r>
                    <w:t xml:space="preserve">0.209</w:t>
                  </w:r>
                </w:p>
              </w:tc>
              <w:tc>
                <w:tcPr/>
                <w:p>
                  <w:pPr>
                    <w:pStyle w:val="Compact"/>
                  </w:pPr>
                </w:p>
              </w:tc>
            </w:tr>
            <w:tr>
              <w:tc>
                <w:tcPr/>
                <w:p>
                  <w:pPr>
                    <w:pStyle w:val="Compact"/>
                    <w:jc w:val="left"/>
                    <w:jc w:val="center"/>
                  </w:pPr>
                  <w:r>
                    <w:t xml:space="preserve">CD</w:t>
                  </w:r>
                </w:p>
              </w:tc>
              <w:tc>
                <w:tcPr/>
                <w:p>
                  <w:pPr>
                    <w:pStyle w:val="Compact"/>
                    <w:jc w:val="right"/>
                    <w:jc w:val="center"/>
                  </w:pPr>
                  <w:r>
                    <w:t xml:space="preserve">-0.255</w:t>
                  </w:r>
                </w:p>
              </w:tc>
              <w:tc>
                <w:tcPr/>
                <w:p>
                  <w:pPr>
                    <w:pStyle w:val="Compact"/>
                    <w:jc w:val="right"/>
                    <w:jc w:val="center"/>
                  </w:pPr>
                  <w:r>
                    <w:t xml:space="preserve">-0.128</w:t>
                  </w:r>
                </w:p>
              </w:tc>
              <w:tc>
                <w:tcPr/>
                <w:p>
                  <w:pPr>
                    <w:pStyle w:val="Compact"/>
                    <w:jc w:val="right"/>
                    <w:jc w:val="center"/>
                  </w:pPr>
                  <w:r>
                    <w:t xml:space="preserve">0.0982</w:t>
                  </w:r>
                </w:p>
              </w:tc>
              <w:tc>
                <w:tcPr/>
                <w:p>
                  <w:pPr>
                    <w:pStyle w:val="Compact"/>
                    <w:jc w:val="right"/>
                    <w:jc w:val="center"/>
                  </w:pPr>
                  <w:r>
                    <w:t xml:space="preserve">-1.3</w:t>
                  </w:r>
                </w:p>
              </w:tc>
              <w:tc>
                <w:tcPr/>
                <w:p>
                  <w:pPr>
                    <w:pStyle w:val="Compact"/>
                    <w:jc w:val="right"/>
                    <w:jc w:val="center"/>
                  </w:pPr>
                  <w:r>
                    <w:t xml:space="preserve">0.23</w:t>
                  </w:r>
                </w:p>
              </w:tc>
              <w:tc>
                <w:tcPr/>
                <w:p>
                  <w:pPr>
                    <w:pStyle w:val="Compact"/>
                  </w:pPr>
                </w:p>
              </w:tc>
            </w:tr>
            <w:tr>
              <w:tc>
                <w:tcPr/>
                <w:p>
                  <w:pPr>
                    <w:pStyle w:val="Compact"/>
                    <w:jc w:val="left"/>
                    <w:jc w:val="center"/>
                  </w:pPr>
                  <w:r>
                    <w:t xml:space="preserve">AD</w:t>
                  </w:r>
                </w:p>
              </w:tc>
              <w:tc>
                <w:tcPr/>
                <w:p>
                  <w:pPr>
                    <w:pStyle w:val="Compact"/>
                    <w:jc w:val="right"/>
                    <w:jc w:val="center"/>
                  </w:pPr>
                  <w:r>
                    <w:t xml:space="preserve">0.25</w:t>
                  </w:r>
                </w:p>
              </w:tc>
              <w:tc>
                <w:tcPr/>
                <w:p>
                  <w:pPr>
                    <w:pStyle w:val="Compact"/>
                    <w:jc w:val="right"/>
                    <w:jc w:val="center"/>
                  </w:pPr>
                  <w:r>
                    <w:t xml:space="preserve">0.125</w:t>
                  </w:r>
                </w:p>
              </w:tc>
              <w:tc>
                <w:tcPr/>
                <w:p>
                  <w:pPr>
                    <w:pStyle w:val="Compact"/>
                    <w:jc w:val="right"/>
                    <w:jc w:val="center"/>
                  </w:pPr>
                  <w:r>
                    <w:t xml:space="preserve">0.0982</w:t>
                  </w:r>
                </w:p>
              </w:tc>
              <w:tc>
                <w:tcPr/>
                <w:p>
                  <w:pPr>
                    <w:pStyle w:val="Compact"/>
                    <w:jc w:val="right"/>
                    <w:jc w:val="center"/>
                  </w:pPr>
                  <w:r>
                    <w:t xml:space="preserve">1.27</w:t>
                  </w:r>
                </w:p>
              </w:tc>
              <w:tc>
                <w:tcPr/>
                <w:p>
                  <w:pPr>
                    <w:pStyle w:val="Compact"/>
                    <w:jc w:val="right"/>
                    <w:jc w:val="center"/>
                  </w:pPr>
                  <w:r>
                    <w:t xml:space="preserve">0.24</w:t>
                  </w:r>
                </w:p>
              </w:tc>
              <w:tc>
                <w:tcPr/>
                <w:p>
                  <w:pPr>
                    <w:pStyle w:val="Compact"/>
                  </w:pPr>
                </w:p>
              </w:tc>
            </w:tr>
            <w:tr>
              <w:tc>
                <w:tcPr/>
                <w:p>
                  <w:pPr>
                    <w:pStyle w:val="Compact"/>
                    <w:jc w:val="left"/>
                    <w:jc w:val="center"/>
                  </w:pPr>
                  <w:r>
                    <w:t xml:space="preserve">B</w:t>
                  </w:r>
                </w:p>
              </w:tc>
              <w:tc>
                <w:tcPr/>
                <w:p>
                  <w:pPr>
                    <w:pStyle w:val="Compact"/>
                    <w:jc w:val="right"/>
                    <w:jc w:val="center"/>
                  </w:pPr>
                  <w:r>
                    <w:t xml:space="preserve">0.198</w:t>
                  </w:r>
                </w:p>
              </w:tc>
              <w:tc>
                <w:tcPr/>
                <w:p>
                  <w:pPr>
                    <w:pStyle w:val="Compact"/>
                    <w:jc w:val="right"/>
                    <w:jc w:val="center"/>
                  </w:pPr>
                  <w:r>
                    <w:t xml:space="preserve">0.0991</w:t>
                  </w:r>
                </w:p>
              </w:tc>
              <w:tc>
                <w:tcPr/>
                <w:p>
                  <w:pPr>
                    <w:pStyle w:val="Compact"/>
                    <w:jc w:val="right"/>
                    <w:jc w:val="center"/>
                  </w:pPr>
                  <w:r>
                    <w:t xml:space="preserve">0.0982</w:t>
                  </w:r>
                </w:p>
              </w:tc>
              <w:tc>
                <w:tcPr/>
                <w:p>
                  <w:pPr>
                    <w:pStyle w:val="Compact"/>
                    <w:jc w:val="right"/>
                    <w:jc w:val="center"/>
                  </w:pPr>
                  <w:r>
                    <w:t xml:space="preserve">1.01</w:t>
                  </w:r>
                </w:p>
              </w:tc>
              <w:tc>
                <w:tcPr/>
                <w:p>
                  <w:pPr>
                    <w:pStyle w:val="Compact"/>
                    <w:jc w:val="right"/>
                    <w:jc w:val="center"/>
                  </w:pPr>
                  <w:r>
                    <w:t xml:space="preserve">0.342</w:t>
                  </w:r>
                </w:p>
              </w:tc>
              <w:tc>
                <w:tcPr/>
                <w:p>
                  <w:pPr>
                    <w:pStyle w:val="Compact"/>
                  </w:pPr>
                </w:p>
              </w:tc>
            </w:tr>
          </w:tbl>
          <w:bookmarkEnd w:id="45"/>
          <w:p/>
        </w:tc>
      </w:tr>
    </w:tbl>
    <w:p>
      <w:pPr>
        <w:pStyle w:val="BodyText"/>
      </w:pPr>
      <w:r>
        <w:t xml:space="preserve">Load pH raises the XMuLV log reduction factor by 1.00 log₁₀</w:t>
      </w:r>
      <w:r>
        <w:t xml:space="preserve"> </w:t>
      </w:r>
      <w:r>
        <w:t xml:space="preserve">across its range (p &lt; 0.001) and load conductivity lowers it by</w:t>
      </w:r>
      <w:r>
        <w:t xml:space="preserve"> </w:t>
      </w:r>
      <w:r>
        <w:t xml:space="preserve">0.60 log₁₀ (p = 0.015),</w:t>
      </w:r>
      <w:r>
        <w:t xml:space="preserve"> </w:t>
      </w:r>
      <w:r>
        <w:t xml:space="preserve">while no other term reaches significance. The direction of both effects matches the direction</w:t>
      </w:r>
      <w:r>
        <w:t xml:space="preserve"> </w:t>
      </w:r>
      <w:r>
        <w:t xml:space="preserve">seen for MVM, which is the behaviour that the charge partitioning mechanism predicts.</w:t>
      </w:r>
    </w:p>
    <w:p>
      <w:pPr>
        <w:pStyle w:val="BodyText"/>
      </w:pPr>
      <w:r>
        <w:t xml:space="preserve">Protein load is inactive on every response, its largest estimate being</w:t>
      </w:r>
      <w:r>
        <w:t xml:space="preserve"> </w:t>
      </w:r>
      <w:r>
        <w:t xml:space="preserve">0.89 ng/mg on pool HCP (p = 0.491). No interaction involving protein load is significant. This is a null result over a range reaching 300 g/L resin,</w:t>
      </w:r>
      <w:r>
        <w:t xml:space="preserve"> </w:t>
      </w:r>
      <w:r>
        <w:t xml:space="preserve">which lies above the maximum commercial load, so protein load is retained in the knowledge space</w:t>
      </w:r>
      <w:r>
        <w:t xml:space="preserve"> </w:t>
      </w:r>
      <w:r>
        <w:t xml:space="preserve">as evidence that the step is robust to it and is classified on that basis in §9. No impurity</w:t>
      </w:r>
      <w:r>
        <w:t xml:space="preserve"> </w:t>
      </w:r>
      <w:r>
        <w:t xml:space="preserve">breakthrough limit was found inside the studied range.</w:t>
      </w:r>
    </w:p>
    <w:p>
      <w:pPr>
        <w:pStyle w:val="BodyText"/>
      </w:pPr>
      <w:r>
        <w:t xml:space="preserve">Step yield is not affected by any factor, since no term reaches significance and the model F test</w:t>
      </w:r>
      <w:r>
        <w:t xml:space="preserve"> </w:t>
      </w:r>
      <w:r>
        <w:t xml:space="preserve">is not significant. Because the centre-point coefficient of variation for yield is</w:t>
      </w:r>
      <w:r>
        <w:t xml:space="preserve"> </w:t>
      </w:r>
      <w:r>
        <w:t xml:space="preserve">1.27%, the response was measured precisely enough for a real</w:t>
      </w:r>
      <w:r>
        <w:t xml:space="preserve"> </w:t>
      </w:r>
      <w:r>
        <w:t xml:space="preserve">effect of any practical size to have been detected, and a flow-through step in which the product does not bind is expected to behave in exactly this way.</w:t>
      </w:r>
    </w:p>
    <w:bookmarkEnd w:id="46"/>
    <w:bookmarkStart w:id="68" w:name="response-surface-models"/>
    <w:p>
      <w:pPr>
        <w:pStyle w:val="Heading2"/>
      </w:pPr>
      <w:r>
        <w:t xml:space="preserve">5.3 Response-surface models</w:t>
      </w:r>
    </w:p>
    <w:p>
      <w:pPr>
        <w:pStyle w:val="FirstParagraph"/>
      </w:pPr>
      <w:r>
        <w:t xml:space="preserve">The response-surface models are adequate for the three quality responses and are the basis of the operating region (§6). The model summary is given in</w:t>
      </w:r>
      <w:r>
        <w:t xml:space="preserve"> </w:t>
      </w:r>
      <w:hyperlink w:anchor="tbl-fitrsm">
        <w:r>
          <w:rPr>
            <w:rStyle w:val="Hyperlink"/>
          </w:rPr>
          <w:t xml:space="preserve">Table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tbl-fitrsm"/>
          <w:p>
            <w:pPr>
              <w:jc w:val="center"/>
            </w:pPr>
            <w:pPr>
              <w:jc w:val="left"/>
              <w:spacing w:before="200"/>
              <w:pStyle w:val="ImageCaption"/>
            </w:pPr>
            <w:r>
              <w:t xml:space="preserve">Table 14: Response-surface model summary for each response.</w:t>
            </w:r>
          </w:p>
          <w:tbl>
            <w:tblPr>
              <w:tblStyle w:val="Table"/>
              <w:tblW w:type="pct" w:w="5000"/>
              <w:tblLayout w:type="fixed"/>
              <w:tblLook w:firstRow="1" w:lastRow="0" w:firstColumn="0" w:lastColumn="0" w:noHBand="0" w:noVBand="0" w:val="0020"/>
            </w:tblPr>
            <w:tblGrid>
              <w:gridCol w:w="1857"/>
              <w:gridCol w:w="488"/>
              <w:gridCol w:w="684"/>
              <w:gridCol w:w="1075"/>
              <w:gridCol w:w="1173"/>
              <w:gridCol w:w="782"/>
              <w:gridCol w:w="1075"/>
              <w:gridCol w:w="782"/>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Pool HCP (ng/mg)</w:t>
                  </w:r>
                </w:p>
              </w:tc>
              <w:tc>
                <w:tcPr/>
                <w:p>
                  <w:pPr>
                    <w:pStyle w:val="Compact"/>
                    <w:jc w:val="right"/>
                    <w:jc w:val="center"/>
                  </w:pPr>
                  <w:r>
                    <w:t xml:space="preserve">28</w:t>
                  </w:r>
                </w:p>
              </w:tc>
              <w:tc>
                <w:tcPr/>
                <w:p>
                  <w:pPr>
                    <w:pStyle w:val="Compact"/>
                    <w:jc w:val="right"/>
                    <w:jc w:val="center"/>
                  </w:pPr>
                  <w:r>
                    <w:t xml:space="preserve">0.934</w:t>
                  </w:r>
                </w:p>
              </w:tc>
              <w:tc>
                <w:tcPr/>
                <w:p>
                  <w:pPr>
                    <w:pStyle w:val="Compact"/>
                    <w:jc w:val="right"/>
                    <w:jc w:val="center"/>
                  </w:pPr>
                  <w:r>
                    <w:t xml:space="preserve">0.864</w:t>
                  </w:r>
                </w:p>
              </w:tc>
              <w:tc>
                <w:tcPr/>
                <w:p>
                  <w:pPr>
                    <w:pStyle w:val="Compact"/>
                    <w:jc w:val="right"/>
                    <w:jc w:val="center"/>
                  </w:pPr>
                  <w:r>
                    <w:t xml:space="preserve">0.66</w:t>
                  </w:r>
                </w:p>
              </w:tc>
              <w:tc>
                <w:tcPr/>
                <w:p>
                  <w:pPr>
                    <w:pStyle w:val="Compact"/>
                    <w:jc w:val="right"/>
                    <w:jc w:val="center"/>
                  </w:pPr>
                  <w:r>
                    <w:t xml:space="preserve">13.2</w:t>
                  </w:r>
                </w:p>
              </w:tc>
              <w:tc>
                <w:tcPr/>
                <w:p>
                  <w:pPr>
                    <w:pStyle w:val="Compact"/>
                    <w:jc w:val="right"/>
                    <w:jc w:val="center"/>
                  </w:pPr>
                  <w:r>
                    <w:t xml:space="preserve">1.83e-05</w:t>
                  </w:r>
                </w:p>
              </w:tc>
              <w:tc>
                <w:tcPr/>
                <w:p>
                  <w:pPr>
                    <w:pStyle w:val="Compact"/>
                    <w:jc w:val="right"/>
                    <w:jc w:val="center"/>
                  </w:pPr>
                  <w:r>
                    <w:t xml:space="preserve">2.65</w:t>
                  </w:r>
                </w:p>
              </w:tc>
            </w:tr>
            <w:tr>
              <w:tc>
                <w:tcPr/>
                <w:p>
                  <w:pPr>
                    <w:pStyle w:val="Compact"/>
                    <w:jc w:val="left"/>
                    <w:jc w:val="center"/>
                  </w:pPr>
                  <w:r>
                    <w:t xml:space="preserve">XMuLV LRF (log₁₀)</w:t>
                  </w:r>
                </w:p>
              </w:tc>
              <w:tc>
                <w:tcPr/>
                <w:p>
                  <w:pPr>
                    <w:pStyle w:val="Compact"/>
                    <w:jc w:val="right"/>
                    <w:jc w:val="center"/>
                  </w:pPr>
                  <w:r>
                    <w:t xml:space="preserve">28</w:t>
                  </w:r>
                </w:p>
              </w:tc>
              <w:tc>
                <w:tcPr/>
                <w:p>
                  <w:pPr>
                    <w:pStyle w:val="Compact"/>
                    <w:jc w:val="right"/>
                    <w:jc w:val="center"/>
                  </w:pPr>
                  <w:r>
                    <w:t xml:space="preserve">0.915</w:t>
                  </w:r>
                </w:p>
              </w:tc>
              <w:tc>
                <w:tcPr/>
                <w:p>
                  <w:pPr>
                    <w:pStyle w:val="Compact"/>
                    <w:jc w:val="right"/>
                    <w:jc w:val="center"/>
                  </w:pPr>
                  <w:r>
                    <w:t xml:space="preserve">0.824</w:t>
                  </w:r>
                </w:p>
              </w:tc>
              <w:tc>
                <w:tcPr/>
                <w:p>
                  <w:pPr>
                    <w:pStyle w:val="Compact"/>
                    <w:jc w:val="right"/>
                    <w:jc w:val="center"/>
                  </w:pPr>
                  <w:r>
                    <w:t xml:space="preserve">0.621</w:t>
                  </w:r>
                </w:p>
              </w:tc>
              <w:tc>
                <w:tcPr/>
                <w:p>
                  <w:pPr>
                    <w:pStyle w:val="Compact"/>
                    <w:jc w:val="right"/>
                    <w:jc w:val="center"/>
                  </w:pPr>
                  <w:r>
                    <w:t xml:space="preserve">10</w:t>
                  </w:r>
                </w:p>
              </w:tc>
              <w:tc>
                <w:tcPr/>
                <w:p>
                  <w:pPr>
                    <w:pStyle w:val="Compact"/>
                    <w:jc w:val="right"/>
                    <w:jc w:val="center"/>
                  </w:pPr>
                  <w:r>
                    <w:t xml:space="preserve">8.69e-05</w:t>
                  </w:r>
                </w:p>
              </w:tc>
              <w:tc>
                <w:tcPr/>
                <w:p>
                  <w:pPr>
                    <w:pStyle w:val="Compact"/>
                    <w:jc w:val="right"/>
                    <w:jc w:val="center"/>
                  </w:pPr>
                  <w:r>
                    <w:t xml:space="preserve">0.314</w:t>
                  </w:r>
                </w:p>
              </w:tc>
            </w:tr>
            <w:tr>
              <w:tc>
                <w:tcPr/>
                <w:p>
                  <w:pPr>
                    <w:pStyle w:val="Compact"/>
                    <w:jc w:val="left"/>
                    <w:jc w:val="center"/>
                  </w:pPr>
                  <w:r>
                    <w:t xml:space="preserve">MVM LRF (log₁₀)</w:t>
                  </w:r>
                </w:p>
              </w:tc>
              <w:tc>
                <w:tcPr/>
                <w:p>
                  <w:pPr>
                    <w:pStyle w:val="Compact"/>
                    <w:jc w:val="right"/>
                    <w:jc w:val="center"/>
                  </w:pPr>
                  <w:r>
                    <w:t xml:space="preserve">28</w:t>
                  </w:r>
                </w:p>
              </w:tc>
              <w:tc>
                <w:tcPr/>
                <w:p>
                  <w:pPr>
                    <w:pStyle w:val="Compact"/>
                    <w:jc w:val="right"/>
                    <w:jc w:val="center"/>
                  </w:pPr>
                  <w:r>
                    <w:t xml:space="preserve">0.898</w:t>
                  </w:r>
                </w:p>
              </w:tc>
              <w:tc>
                <w:tcPr/>
                <w:p>
                  <w:pPr>
                    <w:pStyle w:val="Compact"/>
                    <w:jc w:val="right"/>
                    <w:jc w:val="center"/>
                  </w:pPr>
                  <w:r>
                    <w:t xml:space="preserve">0.787</w:t>
                  </w:r>
                </w:p>
              </w:tc>
              <w:tc>
                <w:tcPr/>
                <w:p>
                  <w:pPr>
                    <w:pStyle w:val="Compact"/>
                    <w:jc w:val="right"/>
                    <w:jc w:val="center"/>
                  </w:pPr>
                  <w:r>
                    <w:t xml:space="preserve">0.394</w:t>
                  </w:r>
                </w:p>
              </w:tc>
              <w:tc>
                <w:tcPr/>
                <w:p>
                  <w:pPr>
                    <w:pStyle w:val="Compact"/>
                    <w:jc w:val="right"/>
                    <w:jc w:val="center"/>
                  </w:pPr>
                  <w:r>
                    <w:t xml:space="preserve">8.14</w:t>
                  </w:r>
                </w:p>
              </w:tc>
              <w:tc>
                <w:tcPr/>
                <w:p>
                  <w:pPr>
                    <w:pStyle w:val="Compact"/>
                    <w:jc w:val="right"/>
                    <w:jc w:val="center"/>
                  </w:pPr>
                  <w:r>
                    <w:t xml:space="preserve">0.000269</w:t>
                  </w:r>
                </w:p>
              </w:tc>
              <w:tc>
                <w:tcPr/>
                <w:p>
                  <w:pPr>
                    <w:pStyle w:val="Compact"/>
                    <w:jc w:val="right"/>
                    <w:jc w:val="center"/>
                  </w:pPr>
                  <w:r>
                    <w:t xml:space="preserve">0.32</w:t>
                  </w:r>
                </w:p>
              </w:tc>
            </w:tr>
            <w:tr>
              <w:tc>
                <w:tcPr/>
                <w:p>
                  <w:pPr>
                    <w:pStyle w:val="Compact"/>
                    <w:jc w:val="left"/>
                    <w:jc w:val="center"/>
                  </w:pPr>
                  <w:r>
                    <w:t xml:space="preserve">Step yield</w:t>
                  </w:r>
                </w:p>
              </w:tc>
              <w:tc>
                <w:tcPr/>
                <w:p>
                  <w:pPr>
                    <w:pStyle w:val="Compact"/>
                    <w:jc w:val="right"/>
                    <w:jc w:val="center"/>
                  </w:pPr>
                  <w:r>
                    <w:t xml:space="preserve">28</w:t>
                  </w:r>
                </w:p>
              </w:tc>
              <w:tc>
                <w:tcPr/>
                <w:p>
                  <w:pPr>
                    <w:pStyle w:val="Compact"/>
                    <w:jc w:val="right"/>
                    <w:jc w:val="center"/>
                  </w:pPr>
                  <w:r>
                    <w:t xml:space="preserve">0.488</w:t>
                  </w:r>
                </w:p>
              </w:tc>
              <w:tc>
                <w:tcPr/>
                <w:p>
                  <w:pPr>
                    <w:pStyle w:val="Compact"/>
                    <w:jc w:val="right"/>
                    <w:jc w:val="center"/>
                  </w:pPr>
                  <w:r>
                    <w:t xml:space="preserve">-0.0632</w:t>
                  </w:r>
                </w:p>
              </w:tc>
              <w:tc>
                <w:tcPr/>
                <w:p>
                  <w:pPr>
                    <w:pStyle w:val="Compact"/>
                    <w:jc w:val="right"/>
                    <w:jc w:val="center"/>
                  </w:pPr>
                  <w:r>
                    <w:t xml:space="preserve">-2.18</w:t>
                  </w:r>
                </w:p>
              </w:tc>
              <w:tc>
                <w:tcPr/>
                <w:p>
                  <w:pPr>
                    <w:pStyle w:val="Compact"/>
                    <w:jc w:val="right"/>
                    <w:jc w:val="center"/>
                  </w:pPr>
                  <w:r>
                    <w:t xml:space="preserve">0.885</w:t>
                  </w:r>
                </w:p>
              </w:tc>
              <w:tc>
                <w:tcPr/>
                <w:p>
                  <w:pPr>
                    <w:pStyle w:val="Compact"/>
                    <w:jc w:val="right"/>
                    <w:jc w:val="center"/>
                  </w:pPr>
                  <w:r>
                    <w:t xml:space="preserve">0.589</w:t>
                  </w:r>
                </w:p>
              </w:tc>
              <w:tc>
                <w:tcPr/>
                <w:p>
                  <w:pPr>
                    <w:pStyle w:val="Compact"/>
                    <w:jc w:val="right"/>
                    <w:jc w:val="center"/>
                  </w:pPr>
                  <w:r>
                    <w:t xml:space="preserve">0.0145</w:t>
                  </w:r>
                </w:p>
              </w:tc>
            </w:tr>
          </w:tbl>
          <w:bookmarkEnd w:id="47"/>
          <w:p/>
        </w:tc>
      </w:tr>
    </w:tbl>
    <w:p>
      <w:pPr>
        <w:pStyle w:val="BodyText"/>
      </w:pPr>
      <w:r>
        <w:t xml:space="preserve">The three quality responses give R² between 0.898 and</w:t>
      </w:r>
      <w:r>
        <w:t xml:space="preserve"> </w:t>
      </w:r>
      <w:r>
        <w:t xml:space="preserve">0.934 with adjusted R² of at least 0.787, and each of them has a significant model F test.</w:t>
      </w:r>
      <w:r>
        <w:t xml:space="preserve"> </w:t>
      </w:r>
      <w:r>
        <w:t xml:space="preserve">Predicted R² is lowest for MVM clearance at 0.39, which</w:t>
      </w:r>
      <w:r>
        <w:t xml:space="preserve"> </w:t>
      </w:r>
      <w:r>
        <w:t xml:space="preserve">reflects the number of terms carried in the full quadratic model relative to</w:t>
      </w:r>
      <w:r>
        <w:t xml:space="preserve"> </w:t>
      </w:r>
      <w:r>
        <w:t xml:space="preserve">28 runs. Step yield again has no significant model</w:t>
      </w:r>
      <w:r>
        <w:t xml:space="preserve"> </w:t>
      </w:r>
      <w:r>
        <w:t xml:space="preserve">(p = 0.589), so no predictive model for yield is claimed here.</w:t>
      </w:r>
    </w:p>
    <w:p>
      <w:pPr>
        <w:pStyle w:val="BodyText"/>
      </w:pPr>
      <w:r>
        <w:t xml:space="preserve">The lack-of-fit test supports the model form for each quality response, and the partition for</w:t>
      </w:r>
      <w:r>
        <w:t xml:space="preserve"> </w:t>
      </w:r>
      <w:r>
        <w:t xml:space="preserve">MVM clearance is given in</w:t>
      </w:r>
      <w:r>
        <w:t xml:space="preserve"> </w:t>
      </w:r>
      <w:hyperlink w:anchor="tbl-anova-mvm">
        <w:r>
          <w:rPr>
            <w:rStyle w:val="Hyperlink"/>
          </w:rPr>
          <w:t xml:space="preserve">Table 15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tbl-anova-mvm"/>
          <w:p>
            <w:pPr>
              <w:jc w:val="center"/>
            </w:pPr>
            <w:pPr>
              <w:jc w:val="left"/>
              <w:spacing w:before="200"/>
              <w:pStyle w:val="ImageCaption"/>
            </w:pPr>
            <w:r>
              <w:t xml:space="preserve">Table 15: Analysis of variance with lack-of-fit partition for MVM clearance.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11.7</w:t>
                  </w:r>
                </w:p>
              </w:tc>
              <w:tc>
                <w:tcPr/>
                <w:p>
                  <w:pPr>
                    <w:pStyle w:val="Compact"/>
                    <w:jc w:val="right"/>
                    <w:jc w:val="center"/>
                  </w:pPr>
                  <w:r>
                    <w:t xml:space="preserve">14</w:t>
                  </w:r>
                </w:p>
              </w:tc>
              <w:tc>
                <w:tcPr/>
                <w:p>
                  <w:pPr>
                    <w:pStyle w:val="Compact"/>
                    <w:jc w:val="right"/>
                    <w:jc w:val="center"/>
                  </w:pPr>
                  <w:r>
                    <w:t xml:space="preserve">0.834</w:t>
                  </w:r>
                </w:p>
              </w:tc>
              <w:tc>
                <w:tcPr/>
                <w:p>
                  <w:pPr>
                    <w:pStyle w:val="Compact"/>
                    <w:jc w:val="right"/>
                    <w:jc w:val="center"/>
                  </w:pPr>
                  <w:r>
                    <w:t xml:space="preserve">8.14</w:t>
                  </w:r>
                </w:p>
              </w:tc>
              <w:tc>
                <w:tcPr/>
                <w:p>
                  <w:pPr>
                    <w:pStyle w:val="Compact"/>
                    <w:jc w:val="right"/>
                    <w:jc w:val="center"/>
                  </w:pPr>
                  <w:r>
                    <w:t xml:space="preserve">0.000269</w:t>
                  </w:r>
                </w:p>
              </w:tc>
            </w:tr>
            <w:tr>
              <w:tc>
                <w:tcPr/>
                <w:p>
                  <w:pPr>
                    <w:pStyle w:val="Compact"/>
                    <w:jc w:val="left"/>
                    <w:jc w:val="center"/>
                  </w:pPr>
                  <w:r>
                    <w:t xml:space="preserve">Residual</w:t>
                  </w:r>
                </w:p>
              </w:tc>
              <w:tc>
                <w:tcPr/>
                <w:p>
                  <w:pPr>
                    <w:pStyle w:val="Compact"/>
                    <w:jc w:val="right"/>
                    <w:jc w:val="center"/>
                  </w:pPr>
                  <w:r>
                    <w:t xml:space="preserve">1.33</w:t>
                  </w:r>
                </w:p>
              </w:tc>
              <w:tc>
                <w:tcPr/>
                <w:p>
                  <w:pPr>
                    <w:pStyle w:val="Compact"/>
                    <w:jc w:val="right"/>
                    <w:jc w:val="center"/>
                  </w:pPr>
                  <w:r>
                    <w:t xml:space="preserve">13</w:t>
                  </w:r>
                </w:p>
              </w:tc>
              <w:tc>
                <w:tcPr/>
                <w:p>
                  <w:pPr>
                    <w:pStyle w:val="Compact"/>
                    <w:jc w:val="right"/>
                    <w:jc w:val="center"/>
                  </w:pPr>
                  <w:r>
                    <w:t xml:space="preserve">0.102</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0.994</w:t>
                  </w:r>
                </w:p>
              </w:tc>
              <w:tc>
                <w:tcPr/>
                <w:p>
                  <w:pPr>
                    <w:pStyle w:val="Compact"/>
                    <w:jc w:val="right"/>
                    <w:jc w:val="center"/>
                  </w:pPr>
                  <w:r>
                    <w:t xml:space="preserve">10</w:t>
                  </w:r>
                </w:p>
              </w:tc>
              <w:tc>
                <w:tcPr/>
                <w:p>
                  <w:pPr>
                    <w:pStyle w:val="Compact"/>
                    <w:jc w:val="right"/>
                    <w:jc w:val="center"/>
                  </w:pPr>
                  <w:r>
                    <w:t xml:space="preserve">0.0994</w:t>
                  </w:r>
                </w:p>
              </w:tc>
              <w:tc>
                <w:tcPr/>
                <w:p>
                  <w:pPr>
                    <w:pStyle w:val="Compact"/>
                    <w:jc w:val="right"/>
                    <w:jc w:val="center"/>
                  </w:pPr>
                  <w:r>
                    <w:t xml:space="preserve">0.881</w:t>
                  </w:r>
                </w:p>
              </w:tc>
              <w:tc>
                <w:tcPr/>
                <w:p>
                  <w:pPr>
                    <w:pStyle w:val="Compact"/>
                    <w:jc w:val="right"/>
                    <w:jc w:val="center"/>
                  </w:pPr>
                  <w:r>
                    <w:t xml:space="preserve">0.619</w:t>
                  </w:r>
                </w:p>
              </w:tc>
            </w:tr>
            <w:tr>
              <w:tc>
                <w:tcPr/>
                <w:p>
                  <w:pPr>
                    <w:pStyle w:val="Compact"/>
                    <w:jc w:val="left"/>
                    <w:jc w:val="center"/>
                  </w:pPr>
                  <w:r>
                    <w:t xml:space="preserve">Pure error</w:t>
                  </w:r>
                </w:p>
              </w:tc>
              <w:tc>
                <w:tcPr/>
                <w:p>
                  <w:pPr>
                    <w:pStyle w:val="Compact"/>
                    <w:jc w:val="right"/>
                    <w:jc w:val="center"/>
                  </w:pPr>
                  <w:r>
                    <w:t xml:space="preserve">0.339</w:t>
                  </w:r>
                </w:p>
              </w:tc>
              <w:tc>
                <w:tcPr/>
                <w:p>
                  <w:pPr>
                    <w:pStyle w:val="Compact"/>
                    <w:jc w:val="right"/>
                    <w:jc w:val="center"/>
                  </w:pPr>
                  <w:r>
                    <w:t xml:space="preserve">3</w:t>
                  </w:r>
                </w:p>
              </w:tc>
              <w:tc>
                <w:tcPr/>
                <w:p>
                  <w:pPr>
                    <w:pStyle w:val="Compact"/>
                    <w:jc w:val="right"/>
                    <w:jc w:val="center"/>
                  </w:pPr>
                  <w:r>
                    <w:t xml:space="preserve">0.113</w:t>
                  </w:r>
                </w:p>
              </w:tc>
              <w:tc>
                <w:tcPr/>
                <w:p>
                  <w:pPr>
                    <w:pStyle w:val="Compact"/>
                    <w:jc w:val="right"/>
                    <w:jc w:val="center"/>
                  </w:pPr>
                  <w:r>
                    <w:t xml:space="preserve">nan</w:t>
                  </w:r>
                </w:p>
              </w:tc>
              <w:tc>
                <w:tcPr/>
                <w:p>
                  <w:pPr>
                    <w:pStyle w:val="Compact"/>
                    <w:jc w:val="right"/>
                    <w:jc w:val="center"/>
                  </w:pPr>
                  <w:r>
                    <w:t xml:space="preserve">nan</w:t>
                  </w:r>
                </w:p>
              </w:tc>
            </w:tr>
          </w:tbl>
          <w:bookmarkEnd w:id="48"/>
          <w:p/>
        </w:tc>
      </w:tr>
    </w:tbl>
    <w:p>
      <w:pPr>
        <w:pStyle w:val="BodyText"/>
      </w:pPr>
      <w:r>
        <w:t xml:space="preserve">Lack of fit is not significant for MVM clearance, at F =</w:t>
      </w:r>
      <w:r>
        <w:t xml:space="preserve"> </w:t>
      </w:r>
      <w:r>
        <w:t xml:space="preserve">0.88 with p = 0.619, and</w:t>
      </w:r>
      <w:r>
        <w:t xml:space="preserve"> </w:t>
      </w:r>
      <w:r>
        <w:t xml:space="preserve">the same test is not significant for pool HCP (p = 0.499)</w:t>
      </w:r>
      <w:r>
        <w:t xml:space="preserve"> </w:t>
      </w:r>
      <w:r>
        <w:t xml:space="preserve">or for XMuLV clearance (p = 0.911). The corresponding</w:t>
      </w:r>
      <w:r>
        <w:t xml:space="preserve"> </w:t>
      </w:r>
      <w:r>
        <w:t xml:space="preserve">partition for pool HCP is given in</w:t>
      </w:r>
      <w:r>
        <w:t xml:space="preserve"> </w:t>
      </w:r>
      <w:hyperlink w:anchor="tbl-anova-hcp">
        <w:r>
          <w:rPr>
            <w:rStyle w:val="Hyperlink"/>
          </w:rPr>
          <w:t xml:space="preserve">Table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anova-hcp"/>
          <w:p>
            <w:pPr>
              <w:jc w:val="center"/>
            </w:pPr>
            <w:pPr>
              <w:jc w:val="left"/>
              <w:spacing w:before="200"/>
              <w:pStyle w:val="ImageCaption"/>
            </w:pPr>
            <w:r>
              <w:t xml:space="preserve">Table 16: Analysis of variance with lack-of-fit partition for pool host cell protein.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1.3e+03</w:t>
                  </w:r>
                </w:p>
              </w:tc>
              <w:tc>
                <w:tcPr/>
                <w:p>
                  <w:pPr>
                    <w:pStyle w:val="Compact"/>
                    <w:jc w:val="right"/>
                    <w:jc w:val="center"/>
                  </w:pPr>
                  <w:r>
                    <w:t xml:space="preserve">14</w:t>
                  </w:r>
                </w:p>
              </w:tc>
              <w:tc>
                <w:tcPr/>
                <w:p>
                  <w:pPr>
                    <w:pStyle w:val="Compact"/>
                    <w:jc w:val="right"/>
                    <w:jc w:val="center"/>
                  </w:pPr>
                  <w:r>
                    <w:t xml:space="preserve">93.1</w:t>
                  </w:r>
                </w:p>
              </w:tc>
              <w:tc>
                <w:tcPr/>
                <w:p>
                  <w:pPr>
                    <w:pStyle w:val="Compact"/>
                    <w:jc w:val="right"/>
                    <w:jc w:val="center"/>
                  </w:pPr>
                  <w:r>
                    <w:t xml:space="preserve">13.2</w:t>
                  </w:r>
                </w:p>
              </w:tc>
              <w:tc>
                <w:tcPr/>
                <w:p>
                  <w:pPr>
                    <w:pStyle w:val="Compact"/>
                    <w:jc w:val="right"/>
                    <w:jc w:val="center"/>
                  </w:pPr>
                  <w:r>
                    <w:t xml:space="preserve">1.83e-05</w:t>
                  </w:r>
                </w:p>
              </w:tc>
            </w:tr>
            <w:tr>
              <w:tc>
                <w:tcPr/>
                <w:p>
                  <w:pPr>
                    <w:pStyle w:val="Compact"/>
                    <w:jc w:val="left"/>
                    <w:jc w:val="center"/>
                  </w:pPr>
                  <w:r>
                    <w:t xml:space="preserve">Residual</w:t>
                  </w:r>
                </w:p>
              </w:tc>
              <w:tc>
                <w:tcPr/>
                <w:p>
                  <w:pPr>
                    <w:pStyle w:val="Compact"/>
                    <w:jc w:val="right"/>
                    <w:jc w:val="center"/>
                  </w:pPr>
                  <w:r>
                    <w:t xml:space="preserve">91.5</w:t>
                  </w:r>
                </w:p>
              </w:tc>
              <w:tc>
                <w:tcPr/>
                <w:p>
                  <w:pPr>
                    <w:pStyle w:val="Compact"/>
                    <w:jc w:val="right"/>
                    <w:jc w:val="center"/>
                  </w:pPr>
                  <w:r>
                    <w:t xml:space="preserve">13</w:t>
                  </w:r>
                </w:p>
              </w:tc>
              <w:tc>
                <w:tcPr/>
                <w:p>
                  <w:pPr>
                    <w:pStyle w:val="Compact"/>
                    <w:jc w:val="right"/>
                    <w:jc w:val="center"/>
                  </w:pPr>
                  <w:r>
                    <w:t xml:space="preserve">7.04</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73</w:t>
                  </w:r>
                </w:p>
              </w:tc>
              <w:tc>
                <w:tcPr/>
                <w:p>
                  <w:pPr>
                    <w:pStyle w:val="Compact"/>
                    <w:jc w:val="right"/>
                    <w:jc w:val="center"/>
                  </w:pPr>
                  <w:r>
                    <w:t xml:space="preserve">10</w:t>
                  </w:r>
                </w:p>
              </w:tc>
              <w:tc>
                <w:tcPr/>
                <w:p>
                  <w:pPr>
                    <w:pStyle w:val="Compact"/>
                    <w:jc w:val="right"/>
                    <w:jc w:val="center"/>
                  </w:pPr>
                  <w:r>
                    <w:t xml:space="preserve">7.3</w:t>
                  </w:r>
                </w:p>
              </w:tc>
              <w:tc>
                <w:tcPr/>
                <w:p>
                  <w:pPr>
                    <w:pStyle w:val="Compact"/>
                    <w:jc w:val="right"/>
                    <w:jc w:val="center"/>
                  </w:pPr>
                  <w:r>
                    <w:t xml:space="preserve">1.19</w:t>
                  </w:r>
                </w:p>
              </w:tc>
              <w:tc>
                <w:tcPr/>
                <w:p>
                  <w:pPr>
                    <w:pStyle w:val="Compact"/>
                    <w:jc w:val="right"/>
                    <w:jc w:val="center"/>
                  </w:pPr>
                  <w:r>
                    <w:t xml:space="preserve">0.499</w:t>
                  </w:r>
                </w:p>
              </w:tc>
            </w:tr>
            <w:tr>
              <w:tc>
                <w:tcPr/>
                <w:p>
                  <w:pPr>
                    <w:pStyle w:val="Compact"/>
                    <w:jc w:val="left"/>
                    <w:jc w:val="center"/>
                  </w:pPr>
                  <w:r>
                    <w:t xml:space="preserve">Pure error</w:t>
                  </w:r>
                </w:p>
              </w:tc>
              <w:tc>
                <w:tcPr/>
                <w:p>
                  <w:pPr>
                    <w:pStyle w:val="Compact"/>
                    <w:jc w:val="right"/>
                    <w:jc w:val="center"/>
                  </w:pPr>
                  <w:r>
                    <w:t xml:space="preserve">18.5</w:t>
                  </w:r>
                </w:p>
              </w:tc>
              <w:tc>
                <w:tcPr/>
                <w:p>
                  <w:pPr>
                    <w:pStyle w:val="Compact"/>
                    <w:jc w:val="right"/>
                    <w:jc w:val="center"/>
                  </w:pPr>
                  <w:r>
                    <w:t xml:space="preserve">3</w:t>
                  </w:r>
                </w:p>
              </w:tc>
              <w:tc>
                <w:tcPr/>
                <w:p>
                  <w:pPr>
                    <w:pStyle w:val="Compact"/>
                    <w:jc w:val="right"/>
                    <w:jc w:val="center"/>
                  </w:pPr>
                  <w:r>
                    <w:t xml:space="preserve">6.16</w:t>
                  </w:r>
                </w:p>
              </w:tc>
              <w:tc>
                <w:tcPr/>
                <w:p>
                  <w:pPr>
                    <w:pStyle w:val="Compact"/>
                    <w:jc w:val="right"/>
                    <w:jc w:val="center"/>
                  </w:pPr>
                  <w:r>
                    <w:t xml:space="preserve">nan</w:t>
                  </w:r>
                </w:p>
              </w:tc>
              <w:tc>
                <w:tcPr/>
                <w:p>
                  <w:pPr>
                    <w:pStyle w:val="Compact"/>
                    <w:jc w:val="right"/>
                    <w:jc w:val="center"/>
                  </w:pPr>
                  <w:r>
                    <w:t xml:space="preserve">nan</w:t>
                  </w:r>
                </w:p>
              </w:tc>
            </w:tr>
          </w:tbl>
          <w:bookmarkEnd w:id="49"/>
          <w:p/>
        </w:tc>
      </w:tr>
    </w:tbl>
    <w:p>
      <w:pPr>
        <w:pStyle w:val="BodyText"/>
      </w:pPr>
      <w:r>
        <w:t xml:space="preserve">The full coefficient table for MVM clearance is given in</w:t>
      </w:r>
      <w:r>
        <w:t xml:space="preserve"> </w:t>
      </w:r>
      <w:hyperlink w:anchor="tbl-rsm-mvm">
        <w:r>
          <w:rPr>
            <w:rStyle w:val="Hyperlink"/>
          </w:rPr>
          <w:t xml:space="preserve">Table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rsm-mvm"/>
          <w:p>
            <w:pPr>
              <w:jc w:val="center"/>
            </w:pPr>
            <w:pPr>
              <w:jc w:val="left"/>
              <w:spacing w:before="200"/>
              <w:pStyle w:val="ImageCaption"/>
            </w:pPr>
            <w:r>
              <w:t xml:space="preserve">Table 17: Response-surface coefficients for MVM log reduction factor.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4.85</w:t>
                  </w:r>
                </w:p>
              </w:tc>
              <w:tc>
                <w:tcPr/>
                <w:p>
                  <w:pPr>
                    <w:pStyle w:val="Compact"/>
                    <w:jc w:val="right"/>
                    <w:jc w:val="center"/>
                  </w:pPr>
                  <w:r>
                    <w:t xml:space="preserve">0.111</w:t>
                  </w:r>
                </w:p>
              </w:tc>
              <w:tc>
                <w:tcPr/>
                <w:p>
                  <w:pPr>
                    <w:pStyle w:val="Compact"/>
                    <w:jc w:val="right"/>
                    <w:jc w:val="center"/>
                  </w:pPr>
                  <w:r>
                    <w:t xml:space="preserve">43.9</w:t>
                  </w:r>
                </w:p>
              </w:tc>
              <w:tc>
                <w:tcPr/>
                <w:p>
                  <w:pPr>
                    <w:pStyle w:val="Compact"/>
                    <w:jc w:val="right"/>
                    <w:jc w:val="center"/>
                  </w:pPr>
                  <w:r>
                    <w:t xml:space="preserve">1.63e-15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0.539</w:t>
                  </w:r>
                </w:p>
              </w:tc>
              <w:tc>
                <w:tcPr/>
                <w:p>
                  <w:pPr>
                    <w:pStyle w:val="Compact"/>
                    <w:jc w:val="right"/>
                    <w:jc w:val="center"/>
                  </w:pPr>
                  <w:r>
                    <w:t xml:space="preserve">0.0754</w:t>
                  </w:r>
                </w:p>
              </w:tc>
              <w:tc>
                <w:tcPr/>
                <w:p>
                  <w:pPr>
                    <w:pStyle w:val="Compact"/>
                    <w:jc w:val="right"/>
                    <w:jc w:val="center"/>
                  </w:pPr>
                  <w:r>
                    <w:t xml:space="preserve">7.15</w:t>
                  </w:r>
                </w:p>
              </w:tc>
              <w:tc>
                <w:tcPr/>
                <w:p>
                  <w:pPr>
                    <w:pStyle w:val="Compact"/>
                    <w:jc w:val="right"/>
                    <w:jc w:val="center"/>
                  </w:pPr>
                  <w:r>
                    <w:t xml:space="preserve">7.48e-06</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0.0307</w:t>
                  </w:r>
                </w:p>
              </w:tc>
              <w:tc>
                <w:tcPr/>
                <w:p>
                  <w:pPr>
                    <w:pStyle w:val="Compact"/>
                    <w:jc w:val="right"/>
                    <w:jc w:val="center"/>
                  </w:pPr>
                  <w:r>
                    <w:t xml:space="preserve">0.0754</w:t>
                  </w:r>
                </w:p>
              </w:tc>
              <w:tc>
                <w:tcPr/>
                <w:p>
                  <w:pPr>
                    <w:pStyle w:val="Compact"/>
                    <w:jc w:val="right"/>
                    <w:jc w:val="center"/>
                  </w:pPr>
                  <w:r>
                    <w:t xml:space="preserve">0.407</w:t>
                  </w:r>
                </w:p>
              </w:tc>
              <w:tc>
                <w:tcPr/>
                <w:p>
                  <w:pPr>
                    <w:pStyle w:val="Compact"/>
                    <w:jc w:val="right"/>
                    <w:jc w:val="center"/>
                  </w:pPr>
                  <w:r>
                    <w:t xml:space="preserve">0.691</w:t>
                  </w:r>
                </w:p>
              </w:tc>
              <w:tc>
                <w:tcPr/>
                <w:p>
                  <w:pPr>
                    <w:pStyle w:val="Compact"/>
                  </w:pPr>
                </w:p>
              </w:tc>
            </w:tr>
            <w:tr>
              <w:tc>
                <w:tcPr/>
                <w:p>
                  <w:pPr>
                    <w:pStyle w:val="Compact"/>
                    <w:jc w:val="left"/>
                    <w:jc w:val="center"/>
                  </w:pPr>
                  <w:r>
                    <w:t xml:space="preserve">C</w:t>
                  </w:r>
                </w:p>
              </w:tc>
              <w:tc>
                <w:tcPr/>
                <w:p>
                  <w:pPr>
                    <w:pStyle w:val="Compact"/>
                    <w:jc w:val="right"/>
                    <w:jc w:val="center"/>
                  </w:pPr>
                  <w:r>
                    <w:t xml:space="preserve">-0.564</w:t>
                  </w:r>
                </w:p>
              </w:tc>
              <w:tc>
                <w:tcPr/>
                <w:p>
                  <w:pPr>
                    <w:pStyle w:val="Compact"/>
                    <w:jc w:val="right"/>
                    <w:jc w:val="center"/>
                  </w:pPr>
                  <w:r>
                    <w:t xml:space="preserve">0.0754</w:t>
                  </w:r>
                </w:p>
              </w:tc>
              <w:tc>
                <w:tcPr/>
                <w:p>
                  <w:pPr>
                    <w:pStyle w:val="Compact"/>
                    <w:jc w:val="right"/>
                    <w:jc w:val="center"/>
                  </w:pPr>
                  <w:r>
                    <w:t xml:space="preserve">-7.48</w:t>
                  </w:r>
                </w:p>
              </w:tc>
              <w:tc>
                <w:tcPr/>
                <w:p>
                  <w:pPr>
                    <w:pStyle w:val="Compact"/>
                    <w:jc w:val="right"/>
                    <w:jc w:val="center"/>
                  </w:pPr>
                  <w:r>
                    <w:t xml:space="preserve">4.65e-06</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0.0261</w:t>
                  </w:r>
                </w:p>
              </w:tc>
              <w:tc>
                <w:tcPr/>
                <w:p>
                  <w:pPr>
                    <w:pStyle w:val="Compact"/>
                    <w:jc w:val="right"/>
                    <w:jc w:val="center"/>
                  </w:pPr>
                  <w:r>
                    <w:t xml:space="preserve">0.0754</w:t>
                  </w:r>
                </w:p>
              </w:tc>
              <w:tc>
                <w:tcPr/>
                <w:p>
                  <w:pPr>
                    <w:pStyle w:val="Compact"/>
                    <w:jc w:val="right"/>
                    <w:jc w:val="center"/>
                  </w:pPr>
                  <w:r>
                    <w:t xml:space="preserve">0.346</w:t>
                  </w:r>
                </w:p>
              </w:tc>
              <w:tc>
                <w:tcPr/>
                <w:p>
                  <w:pPr>
                    <w:pStyle w:val="Compact"/>
                    <w:jc w:val="right"/>
                    <w:jc w:val="center"/>
                  </w:pPr>
                  <w:r>
                    <w:t xml:space="preserve">0.735</w:t>
                  </w:r>
                </w:p>
              </w:tc>
              <w:tc>
                <w:tcPr/>
                <w:p>
                  <w:pPr>
                    <w:pStyle w:val="Compact"/>
                  </w:pPr>
                </w:p>
              </w:tc>
            </w:tr>
            <w:tr>
              <w:tc>
                <w:tcPr/>
                <w:p>
                  <w:pPr>
                    <w:pStyle w:val="Compact"/>
                    <w:jc w:val="left"/>
                    <w:jc w:val="center"/>
                  </w:pPr>
                  <w:r>
                    <w:t xml:space="preserve">AB</w:t>
                  </w:r>
                </w:p>
              </w:tc>
              <w:tc>
                <w:tcPr/>
                <w:p>
                  <w:pPr>
                    <w:pStyle w:val="Compact"/>
                    <w:jc w:val="right"/>
                    <w:jc w:val="center"/>
                  </w:pPr>
                  <w:r>
                    <w:t xml:space="preserve">0.127</w:t>
                  </w:r>
                </w:p>
              </w:tc>
              <w:tc>
                <w:tcPr/>
                <w:p>
                  <w:pPr>
                    <w:pStyle w:val="Compact"/>
                    <w:jc w:val="right"/>
                    <w:jc w:val="center"/>
                  </w:pPr>
                  <w:r>
                    <w:t xml:space="preserve">0.08</w:t>
                  </w:r>
                </w:p>
              </w:tc>
              <w:tc>
                <w:tcPr/>
                <w:p>
                  <w:pPr>
                    <w:pStyle w:val="Compact"/>
                    <w:jc w:val="right"/>
                    <w:jc w:val="center"/>
                  </w:pPr>
                  <w:r>
                    <w:t xml:space="preserve">1.59</w:t>
                  </w:r>
                </w:p>
              </w:tc>
              <w:tc>
                <w:tcPr/>
                <w:p>
                  <w:pPr>
                    <w:pStyle w:val="Compact"/>
                    <w:jc w:val="right"/>
                    <w:jc w:val="center"/>
                  </w:pPr>
                  <w:r>
                    <w:t xml:space="preserve">0.136</w:t>
                  </w:r>
                </w:p>
              </w:tc>
              <w:tc>
                <w:tcPr/>
                <w:p>
                  <w:pPr>
                    <w:pStyle w:val="Compact"/>
                  </w:pPr>
                </w:p>
              </w:tc>
            </w:tr>
            <w:tr>
              <w:tc>
                <w:tcPr/>
                <w:p>
                  <w:pPr>
                    <w:pStyle w:val="Compact"/>
                    <w:jc w:val="left"/>
                    <w:jc w:val="center"/>
                  </w:pPr>
                  <w:r>
                    <w:t xml:space="preserve">AC</w:t>
                  </w:r>
                </w:p>
              </w:tc>
              <w:tc>
                <w:tcPr/>
                <w:p>
                  <w:pPr>
                    <w:pStyle w:val="Compact"/>
                    <w:jc w:val="right"/>
                    <w:jc w:val="center"/>
                  </w:pPr>
                  <w:r>
                    <w:t xml:space="preserve">-0.074</w:t>
                  </w:r>
                </w:p>
              </w:tc>
              <w:tc>
                <w:tcPr/>
                <w:p>
                  <w:pPr>
                    <w:pStyle w:val="Compact"/>
                    <w:jc w:val="right"/>
                    <w:jc w:val="center"/>
                  </w:pPr>
                  <w:r>
                    <w:t xml:space="preserve">0.08</w:t>
                  </w:r>
                </w:p>
              </w:tc>
              <w:tc>
                <w:tcPr/>
                <w:p>
                  <w:pPr>
                    <w:pStyle w:val="Compact"/>
                    <w:jc w:val="right"/>
                    <w:jc w:val="center"/>
                  </w:pPr>
                  <w:r>
                    <w:t xml:space="preserve">-0.925</w:t>
                  </w:r>
                </w:p>
              </w:tc>
              <w:tc>
                <w:tcPr/>
                <w:p>
                  <w:pPr>
                    <w:pStyle w:val="Compact"/>
                    <w:jc w:val="right"/>
                    <w:jc w:val="center"/>
                  </w:pPr>
                  <w:r>
                    <w:t xml:space="preserve">0.372</w:t>
                  </w:r>
                </w:p>
              </w:tc>
              <w:tc>
                <w:tcPr/>
                <w:p>
                  <w:pPr>
                    <w:pStyle w:val="Compact"/>
                  </w:pPr>
                </w:p>
              </w:tc>
            </w:tr>
            <w:tr>
              <w:tc>
                <w:tcPr/>
                <w:p>
                  <w:pPr>
                    <w:pStyle w:val="Compact"/>
                    <w:jc w:val="left"/>
                    <w:jc w:val="center"/>
                  </w:pPr>
                  <w:r>
                    <w:t xml:space="preserve">AD</w:t>
                  </w:r>
                </w:p>
              </w:tc>
              <w:tc>
                <w:tcPr/>
                <w:p>
                  <w:pPr>
                    <w:pStyle w:val="Compact"/>
                    <w:jc w:val="right"/>
                    <w:jc w:val="center"/>
                  </w:pPr>
                  <w:r>
                    <w:t xml:space="preserve">0.0353</w:t>
                  </w:r>
                </w:p>
              </w:tc>
              <w:tc>
                <w:tcPr/>
                <w:p>
                  <w:pPr>
                    <w:pStyle w:val="Compact"/>
                    <w:jc w:val="right"/>
                    <w:jc w:val="center"/>
                  </w:pPr>
                  <w:r>
                    <w:t xml:space="preserve">0.08</w:t>
                  </w:r>
                </w:p>
              </w:tc>
              <w:tc>
                <w:tcPr/>
                <w:p>
                  <w:pPr>
                    <w:pStyle w:val="Compact"/>
                    <w:jc w:val="right"/>
                    <w:jc w:val="center"/>
                  </w:pPr>
                  <w:r>
                    <w:t xml:space="preserve">0.441</w:t>
                  </w:r>
                </w:p>
              </w:tc>
              <w:tc>
                <w:tcPr/>
                <w:p>
                  <w:pPr>
                    <w:pStyle w:val="Compact"/>
                    <w:jc w:val="right"/>
                    <w:jc w:val="center"/>
                  </w:pPr>
                  <w:r>
                    <w:t xml:space="preserve">0.666</w:t>
                  </w:r>
                </w:p>
              </w:tc>
              <w:tc>
                <w:tcPr/>
                <w:p>
                  <w:pPr>
                    <w:pStyle w:val="Compact"/>
                  </w:pPr>
                </w:p>
              </w:tc>
            </w:tr>
            <w:tr>
              <w:tc>
                <w:tcPr/>
                <w:p>
                  <w:pPr>
                    <w:pStyle w:val="Compact"/>
                    <w:jc w:val="left"/>
                    <w:jc w:val="center"/>
                  </w:pPr>
                  <w:r>
                    <w:t xml:space="preserve">BC</w:t>
                  </w:r>
                </w:p>
              </w:tc>
              <w:tc>
                <w:tcPr/>
                <w:p>
                  <w:pPr>
                    <w:pStyle w:val="Compact"/>
                    <w:jc w:val="right"/>
                    <w:jc w:val="center"/>
                  </w:pPr>
                  <w:r>
                    <w:t xml:space="preserve">-0.0339</w:t>
                  </w:r>
                </w:p>
              </w:tc>
              <w:tc>
                <w:tcPr/>
                <w:p>
                  <w:pPr>
                    <w:pStyle w:val="Compact"/>
                    <w:jc w:val="right"/>
                    <w:jc w:val="center"/>
                  </w:pPr>
                  <w:r>
                    <w:t xml:space="preserve">0.08</w:t>
                  </w:r>
                </w:p>
              </w:tc>
              <w:tc>
                <w:tcPr/>
                <w:p>
                  <w:pPr>
                    <w:pStyle w:val="Compact"/>
                    <w:jc w:val="right"/>
                    <w:jc w:val="center"/>
                  </w:pPr>
                  <w:r>
                    <w:t xml:space="preserve">-0.424</w:t>
                  </w:r>
                </w:p>
              </w:tc>
              <w:tc>
                <w:tcPr/>
                <w:p>
                  <w:pPr>
                    <w:pStyle w:val="Compact"/>
                    <w:jc w:val="right"/>
                    <w:jc w:val="center"/>
                  </w:pPr>
                  <w:r>
                    <w:t xml:space="preserve">0.679</w:t>
                  </w:r>
                </w:p>
              </w:tc>
              <w:tc>
                <w:tcPr/>
                <w:p>
                  <w:pPr>
                    <w:pStyle w:val="Compact"/>
                  </w:pPr>
                </w:p>
              </w:tc>
            </w:tr>
            <w:tr>
              <w:tc>
                <w:tcPr/>
                <w:p>
                  <w:pPr>
                    <w:pStyle w:val="Compact"/>
                    <w:jc w:val="left"/>
                    <w:jc w:val="center"/>
                  </w:pPr>
                  <w:r>
                    <w:t xml:space="preserve">BD</w:t>
                  </w:r>
                </w:p>
              </w:tc>
              <w:tc>
                <w:tcPr/>
                <w:p>
                  <w:pPr>
                    <w:pStyle w:val="Compact"/>
                    <w:jc w:val="right"/>
                    <w:jc w:val="center"/>
                  </w:pPr>
                  <w:r>
                    <w:t xml:space="preserve">0.00805</w:t>
                  </w:r>
                </w:p>
              </w:tc>
              <w:tc>
                <w:tcPr/>
                <w:p>
                  <w:pPr>
                    <w:pStyle w:val="Compact"/>
                    <w:jc w:val="right"/>
                    <w:jc w:val="center"/>
                  </w:pPr>
                  <w:r>
                    <w:t xml:space="preserve">0.08</w:t>
                  </w:r>
                </w:p>
              </w:tc>
              <w:tc>
                <w:tcPr/>
                <w:p>
                  <w:pPr>
                    <w:pStyle w:val="Compact"/>
                    <w:jc w:val="right"/>
                    <w:jc w:val="center"/>
                  </w:pPr>
                  <w:r>
                    <w:t xml:space="preserve">0.101</w:t>
                  </w:r>
                </w:p>
              </w:tc>
              <w:tc>
                <w:tcPr/>
                <w:p>
                  <w:pPr>
                    <w:pStyle w:val="Compact"/>
                    <w:jc w:val="right"/>
                    <w:jc w:val="center"/>
                  </w:pPr>
                  <w:r>
                    <w:t xml:space="preserve">0.921</w:t>
                  </w:r>
                </w:p>
              </w:tc>
              <w:tc>
                <w:tcPr/>
                <w:p>
                  <w:pPr>
                    <w:pStyle w:val="Compact"/>
                  </w:pPr>
                </w:p>
              </w:tc>
            </w:tr>
            <w:tr>
              <w:tc>
                <w:tcPr/>
                <w:p>
                  <w:pPr>
                    <w:pStyle w:val="Compact"/>
                    <w:jc w:val="left"/>
                    <w:jc w:val="center"/>
                  </w:pPr>
                  <w:r>
                    <w:t xml:space="preserve">CD</w:t>
                  </w:r>
                </w:p>
              </w:tc>
              <w:tc>
                <w:tcPr/>
                <w:p>
                  <w:pPr>
                    <w:pStyle w:val="Compact"/>
                    <w:jc w:val="right"/>
                    <w:jc w:val="center"/>
                  </w:pPr>
                  <w:r>
                    <w:t xml:space="preserve">-0.0156</w:t>
                  </w:r>
                </w:p>
              </w:tc>
              <w:tc>
                <w:tcPr/>
                <w:p>
                  <w:pPr>
                    <w:pStyle w:val="Compact"/>
                    <w:jc w:val="right"/>
                    <w:jc w:val="center"/>
                  </w:pPr>
                  <w:r>
                    <w:t xml:space="preserve">0.08</w:t>
                  </w:r>
                </w:p>
              </w:tc>
              <w:tc>
                <w:tcPr/>
                <w:p>
                  <w:pPr>
                    <w:pStyle w:val="Compact"/>
                    <w:jc w:val="right"/>
                    <w:jc w:val="center"/>
                  </w:pPr>
                  <w:r>
                    <w:t xml:space="preserve">-0.195</w:t>
                  </w:r>
                </w:p>
              </w:tc>
              <w:tc>
                <w:tcPr/>
                <w:p>
                  <w:pPr>
                    <w:pStyle w:val="Compact"/>
                    <w:jc w:val="right"/>
                    <w:jc w:val="center"/>
                  </w:pPr>
                  <w:r>
                    <w:t xml:space="preserve">0.848</w:t>
                  </w:r>
                </w:p>
              </w:tc>
              <w:tc>
                <w:tcPr/>
                <w:p>
                  <w:pPr>
                    <w:pStyle w:val="Compact"/>
                  </w:pPr>
                </w:p>
              </w:tc>
            </w:tr>
            <w:tr>
              <w:tc>
                <w:tcPr/>
                <w:p>
                  <w:pPr>
                    <w:pStyle w:val="Compact"/>
                    <w:jc w:val="left"/>
                    <w:jc w:val="center"/>
                  </w:pPr>
                  <w:r>
                    <w:t xml:space="preserve">A²</w:t>
                  </w:r>
                </w:p>
              </w:tc>
              <w:tc>
                <w:tcPr/>
                <w:p>
                  <w:pPr>
                    <w:pStyle w:val="Compact"/>
                    <w:jc w:val="right"/>
                    <w:jc w:val="center"/>
                  </w:pPr>
                  <w:r>
                    <w:t xml:space="preserve">-0.322</w:t>
                  </w:r>
                </w:p>
              </w:tc>
              <w:tc>
                <w:tcPr/>
                <w:p>
                  <w:pPr>
                    <w:pStyle w:val="Compact"/>
                    <w:jc w:val="right"/>
                    <w:jc w:val="center"/>
                  </w:pPr>
                  <w:r>
                    <w:t xml:space="preserve">0.199</w:t>
                  </w:r>
                </w:p>
              </w:tc>
              <w:tc>
                <w:tcPr/>
                <w:p>
                  <w:pPr>
                    <w:pStyle w:val="Compact"/>
                    <w:jc w:val="right"/>
                    <w:jc w:val="center"/>
                  </w:pPr>
                  <w:r>
                    <w:t xml:space="preserve">-1.61</w:t>
                  </w:r>
                </w:p>
              </w:tc>
              <w:tc>
                <w:tcPr/>
                <w:p>
                  <w:pPr>
                    <w:pStyle w:val="Compact"/>
                    <w:jc w:val="right"/>
                    <w:jc w:val="center"/>
                  </w:pPr>
                  <w:r>
                    <w:t xml:space="preserve">0.13</w:t>
                  </w:r>
                </w:p>
              </w:tc>
              <w:tc>
                <w:tcPr/>
                <w:p>
                  <w:pPr>
                    <w:pStyle w:val="Compact"/>
                  </w:pPr>
                </w:p>
              </w:tc>
            </w:tr>
            <w:tr>
              <w:tc>
                <w:tcPr/>
                <w:p>
                  <w:pPr>
                    <w:pStyle w:val="Compact"/>
                    <w:jc w:val="left"/>
                    <w:jc w:val="center"/>
                  </w:pPr>
                  <w:r>
                    <w:t xml:space="preserve">B²</w:t>
                  </w:r>
                </w:p>
              </w:tc>
              <w:tc>
                <w:tcPr/>
                <w:p>
                  <w:pPr>
                    <w:pStyle w:val="Compact"/>
                    <w:jc w:val="right"/>
                    <w:jc w:val="center"/>
                  </w:pPr>
                  <w:r>
                    <w:t xml:space="preserve">0.149</w:t>
                  </w:r>
                </w:p>
              </w:tc>
              <w:tc>
                <w:tcPr/>
                <w:p>
                  <w:pPr>
                    <w:pStyle w:val="Compact"/>
                    <w:jc w:val="right"/>
                    <w:jc w:val="center"/>
                  </w:pPr>
                  <w:r>
                    <w:t xml:space="preserve">0.199</w:t>
                  </w:r>
                </w:p>
              </w:tc>
              <w:tc>
                <w:tcPr/>
                <w:p>
                  <w:pPr>
                    <w:pStyle w:val="Compact"/>
                    <w:jc w:val="right"/>
                    <w:jc w:val="center"/>
                  </w:pPr>
                  <w:r>
                    <w:t xml:space="preserve">0.747</w:t>
                  </w:r>
                </w:p>
              </w:tc>
              <w:tc>
                <w:tcPr/>
                <w:p>
                  <w:pPr>
                    <w:pStyle w:val="Compact"/>
                    <w:jc w:val="right"/>
                    <w:jc w:val="center"/>
                  </w:pPr>
                  <w:r>
                    <w:t xml:space="preserve">0.469</w:t>
                  </w:r>
                </w:p>
              </w:tc>
              <w:tc>
                <w:tcPr/>
                <w:p>
                  <w:pPr>
                    <w:pStyle w:val="Compact"/>
                  </w:pPr>
                </w:p>
              </w:tc>
            </w:tr>
            <w:tr>
              <w:tc>
                <w:tcPr/>
                <w:p>
                  <w:pPr>
                    <w:pStyle w:val="Compact"/>
                    <w:jc w:val="left"/>
                    <w:jc w:val="center"/>
                  </w:pPr>
                  <w:r>
                    <w:t xml:space="preserve">C²</w:t>
                  </w:r>
                </w:p>
              </w:tc>
              <w:tc>
                <w:tcPr/>
                <w:p>
                  <w:pPr>
                    <w:pStyle w:val="Compact"/>
                    <w:jc w:val="right"/>
                    <w:jc w:val="center"/>
                  </w:pPr>
                  <w:r>
                    <w:t xml:space="preserve">0.0224</w:t>
                  </w:r>
                </w:p>
              </w:tc>
              <w:tc>
                <w:tcPr/>
                <w:p>
                  <w:pPr>
                    <w:pStyle w:val="Compact"/>
                    <w:jc w:val="right"/>
                    <w:jc w:val="center"/>
                  </w:pPr>
                  <w:r>
                    <w:t xml:space="preserve">0.199</w:t>
                  </w:r>
                </w:p>
              </w:tc>
              <w:tc>
                <w:tcPr/>
                <w:p>
                  <w:pPr>
                    <w:pStyle w:val="Compact"/>
                    <w:jc w:val="right"/>
                    <w:jc w:val="center"/>
                  </w:pPr>
                  <w:r>
                    <w:t xml:space="preserve">0.112</w:t>
                  </w:r>
                </w:p>
              </w:tc>
              <w:tc>
                <w:tcPr/>
                <w:p>
                  <w:pPr>
                    <w:pStyle w:val="Compact"/>
                    <w:jc w:val="right"/>
                    <w:jc w:val="center"/>
                  </w:pPr>
                  <w:r>
                    <w:t xml:space="preserve">0.912</w:t>
                  </w:r>
                </w:p>
              </w:tc>
              <w:tc>
                <w:tcPr/>
                <w:p>
                  <w:pPr>
                    <w:pStyle w:val="Compact"/>
                  </w:pPr>
                </w:p>
              </w:tc>
            </w:tr>
            <w:tr>
              <w:tc>
                <w:tcPr/>
                <w:p>
                  <w:pPr>
                    <w:pStyle w:val="Compact"/>
                    <w:jc w:val="left"/>
                    <w:jc w:val="center"/>
                  </w:pPr>
                  <w:r>
                    <w:t xml:space="preserve">D²</w:t>
                  </w:r>
                </w:p>
              </w:tc>
              <w:tc>
                <w:tcPr/>
                <w:p>
                  <w:pPr>
                    <w:pStyle w:val="Compact"/>
                    <w:jc w:val="right"/>
                    <w:jc w:val="center"/>
                  </w:pPr>
                  <w:r>
                    <w:t xml:space="preserve">0.135</w:t>
                  </w:r>
                </w:p>
              </w:tc>
              <w:tc>
                <w:tcPr/>
                <w:p>
                  <w:pPr>
                    <w:pStyle w:val="Compact"/>
                    <w:jc w:val="right"/>
                    <w:jc w:val="center"/>
                  </w:pPr>
                  <w:r>
                    <w:t xml:space="preserve">0.199</w:t>
                  </w:r>
                </w:p>
              </w:tc>
              <w:tc>
                <w:tcPr/>
                <w:p>
                  <w:pPr>
                    <w:pStyle w:val="Compact"/>
                    <w:jc w:val="right"/>
                    <w:jc w:val="center"/>
                  </w:pPr>
                  <w:r>
                    <w:t xml:space="preserve">0.679</w:t>
                  </w:r>
                </w:p>
              </w:tc>
              <w:tc>
                <w:tcPr/>
                <w:p>
                  <w:pPr>
                    <w:pStyle w:val="Compact"/>
                    <w:jc w:val="right"/>
                    <w:jc w:val="center"/>
                  </w:pPr>
                  <w:r>
                    <w:t xml:space="preserve">0.509</w:t>
                  </w:r>
                </w:p>
              </w:tc>
              <w:tc>
                <w:tcPr/>
                <w:p>
                  <w:pPr>
                    <w:pStyle w:val="Compact"/>
                  </w:pPr>
                </w:p>
              </w:tc>
            </w:tr>
          </w:tbl>
          <w:bookmarkEnd w:id="50"/>
          <w:p/>
        </w:tc>
      </w:tr>
    </w:tbl>
    <w:p>
      <w:pPr>
        <w:pStyle w:val="BodyText"/>
      </w:pPr>
      <w:r>
        <w:t xml:space="preserve">Only the two main effects are significant, at 0.539 log₁₀ per</w:t>
      </w:r>
      <w:r>
        <w:t xml:space="preserve"> </w:t>
      </w:r>
      <w:r>
        <w:t xml:space="preserve">coded unit for load pH and -0.564 log₁₀ per coded unit for load</w:t>
      </w:r>
      <w:r>
        <w:t xml:space="preserve"> </w:t>
      </w:r>
      <w:r>
        <w:t xml:space="preserve">conductivity, and no interaction term and no quadratic term reaches significance. The largest</w:t>
      </w:r>
      <w:r>
        <w:t xml:space="preserve"> </w:t>
      </w:r>
      <w:r>
        <w:t xml:space="preserve">quadratic estimate is on load pH, at -0.322 with p</w:t>
      </w:r>
      <w:r>
        <w:t xml:space="preserve"> </w:t>
      </w:r>
      <w:r>
        <w:t xml:space="preserve">= 0.130, which suggests a slight flattening of the surface at high</w:t>
      </w:r>
      <w:r>
        <w:t xml:space="preserve"> </w:t>
      </w:r>
      <w:r>
        <w:t xml:space="preserve">pH without providing evidence for it. The MVM surface is close to planar over the region</w:t>
      </w:r>
      <w:r>
        <w:t xml:space="preserve"> </w:t>
      </w:r>
      <w:r>
        <w:t xml:space="preserve">studied, and the two governing parameters act additively on it.</w:t>
      </w:r>
    </w:p>
    <w:p>
      <w:pPr>
        <w:pStyle w:val="BodyText"/>
      </w:pPr>
      <w:r>
        <w:t xml:space="preserve">The full coefficient table for pool HCP is given in</w:t>
      </w:r>
      <w:r>
        <w:t xml:space="preserve"> </w:t>
      </w:r>
      <w:hyperlink w:anchor="tbl-rsm-hcp">
        <w:r>
          <w:rPr>
            <w:rStyle w:val="Hyperlink"/>
          </w:rPr>
          <w:t xml:space="preserve">Table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tbl-rsm-hcp"/>
          <w:p>
            <w:pPr>
              <w:jc w:val="center"/>
            </w:pPr>
            <w:pPr>
              <w:jc w:val="left"/>
              <w:spacing w:before="200"/>
              <w:pStyle w:val="ImageCaption"/>
            </w:pPr>
            <w:r>
              <w:t xml:space="preserve">Table 18: Response-surface coefficients for pool host cell protein.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14.8</w:t>
                  </w:r>
                </w:p>
              </w:tc>
              <w:tc>
                <w:tcPr/>
                <w:p>
                  <w:pPr>
                    <w:pStyle w:val="Compact"/>
                    <w:jc w:val="right"/>
                    <w:jc w:val="center"/>
                  </w:pPr>
                  <w:r>
                    <w:t xml:space="preserve">0.917</w:t>
                  </w:r>
                </w:p>
              </w:tc>
              <w:tc>
                <w:tcPr/>
                <w:p>
                  <w:pPr>
                    <w:pStyle w:val="Compact"/>
                    <w:jc w:val="right"/>
                    <w:jc w:val="center"/>
                  </w:pPr>
                  <w:r>
                    <w:t xml:space="preserve">16.2</w:t>
                  </w:r>
                </w:p>
              </w:tc>
              <w:tc>
                <w:tcPr/>
                <w:p>
                  <w:pPr>
                    <w:pStyle w:val="Compact"/>
                    <w:jc w:val="right"/>
                    <w:jc w:val="center"/>
                  </w:pPr>
                  <w:r>
                    <w:t xml:space="preserve">5.51e-10</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-5.34</w:t>
                  </w:r>
                </w:p>
              </w:tc>
              <w:tc>
                <w:tcPr/>
                <w:p>
                  <w:pPr>
                    <w:pStyle w:val="Compact"/>
                    <w:jc w:val="right"/>
                    <w:jc w:val="center"/>
                  </w:pPr>
                  <w:r>
                    <w:t xml:space="preserve">0.625</w:t>
                  </w:r>
                </w:p>
              </w:tc>
              <w:tc>
                <w:tcPr/>
                <w:p>
                  <w:pPr>
                    <w:pStyle w:val="Compact"/>
                    <w:jc w:val="right"/>
                    <w:jc w:val="center"/>
                  </w:pPr>
                  <w:r>
                    <w:t xml:space="preserve">-8.54</w:t>
                  </w:r>
                </w:p>
              </w:tc>
              <w:tc>
                <w:tcPr/>
                <w:p>
                  <w:pPr>
                    <w:pStyle w:val="Compact"/>
                    <w:jc w:val="right"/>
                    <w:jc w:val="center"/>
                  </w:pPr>
                  <w:r>
                    <w:t xml:space="preserve">1.09e-06</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6.19</w:t>
                  </w:r>
                </w:p>
              </w:tc>
              <w:tc>
                <w:tcPr/>
                <w:p>
                  <w:pPr>
                    <w:pStyle w:val="Compact"/>
                    <w:jc w:val="right"/>
                    <w:jc w:val="center"/>
                  </w:pPr>
                  <w:r>
                    <w:t xml:space="preserve">0.625</w:t>
                  </w:r>
                </w:p>
              </w:tc>
              <w:tc>
                <w:tcPr/>
                <w:p>
                  <w:pPr>
                    <w:pStyle w:val="Compact"/>
                    <w:jc w:val="right"/>
                    <w:jc w:val="center"/>
                  </w:pPr>
                  <w:r>
                    <w:t xml:space="preserve">9.89</w:t>
                  </w:r>
                </w:p>
              </w:tc>
              <w:tc>
                <w:tcPr/>
                <w:p>
                  <w:pPr>
                    <w:pStyle w:val="Compact"/>
                    <w:jc w:val="right"/>
                    <w:jc w:val="center"/>
                  </w:pPr>
                  <w:r>
                    <w:t xml:space="preserve">2.04e-07</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0.0399</w:t>
                  </w:r>
                </w:p>
              </w:tc>
              <w:tc>
                <w:tcPr/>
                <w:p>
                  <w:pPr>
                    <w:pStyle w:val="Compact"/>
                    <w:jc w:val="right"/>
                    <w:jc w:val="center"/>
                  </w:pPr>
                  <w:r>
                    <w:t xml:space="preserve">0.625</w:t>
                  </w:r>
                </w:p>
              </w:tc>
              <w:tc>
                <w:tcPr/>
                <w:p>
                  <w:pPr>
                    <w:pStyle w:val="Compact"/>
                    <w:jc w:val="right"/>
                    <w:jc w:val="center"/>
                  </w:pPr>
                  <w:r>
                    <w:t xml:space="preserve">0.0637</w:t>
                  </w:r>
                </w:p>
              </w:tc>
              <w:tc>
                <w:tcPr/>
                <w:p>
                  <w:pPr>
                    <w:pStyle w:val="Compact"/>
                    <w:jc w:val="right"/>
                    <w:jc w:val="center"/>
                  </w:pPr>
                  <w:r>
                    <w:t xml:space="preserve">0.95</w:t>
                  </w:r>
                </w:p>
              </w:tc>
              <w:tc>
                <w:tcPr/>
                <w:p>
                  <w:pPr>
                    <w:pStyle w:val="Compact"/>
                  </w:pPr>
                </w:p>
              </w:tc>
            </w:tr>
            <w:tr>
              <w:tc>
                <w:tcPr/>
                <w:p>
                  <w:pPr>
                    <w:pStyle w:val="Compact"/>
                    <w:jc w:val="left"/>
                    <w:jc w:val="center"/>
                  </w:pPr>
                  <w:r>
                    <w:t xml:space="preserve">D</w:t>
                  </w:r>
                </w:p>
              </w:tc>
              <w:tc>
                <w:tcPr/>
                <w:p>
                  <w:pPr>
                    <w:pStyle w:val="Compact"/>
                    <w:jc w:val="right"/>
                    <w:jc w:val="center"/>
                  </w:pPr>
                  <w:r>
                    <w:t xml:space="preserve">0.387</w:t>
                  </w:r>
                </w:p>
              </w:tc>
              <w:tc>
                <w:tcPr/>
                <w:p>
                  <w:pPr>
                    <w:pStyle w:val="Compact"/>
                    <w:jc w:val="right"/>
                    <w:jc w:val="center"/>
                  </w:pPr>
                  <w:r>
                    <w:t xml:space="preserve">0.625</w:t>
                  </w:r>
                </w:p>
              </w:tc>
              <w:tc>
                <w:tcPr/>
                <w:p>
                  <w:pPr>
                    <w:pStyle w:val="Compact"/>
                    <w:jc w:val="right"/>
                    <w:jc w:val="center"/>
                  </w:pPr>
                  <w:r>
                    <w:t xml:space="preserve">0.619</w:t>
                  </w:r>
                </w:p>
              </w:tc>
              <w:tc>
                <w:tcPr/>
                <w:p>
                  <w:pPr>
                    <w:pStyle w:val="Compact"/>
                    <w:jc w:val="right"/>
                    <w:jc w:val="center"/>
                  </w:pPr>
                  <w:r>
                    <w:t xml:space="preserve">0.546</w:t>
                  </w:r>
                </w:p>
              </w:tc>
              <w:tc>
                <w:tcPr/>
                <w:p>
                  <w:pPr>
                    <w:pStyle w:val="Compact"/>
                  </w:pPr>
                </w:p>
              </w:tc>
            </w:tr>
            <w:tr>
              <w:tc>
                <w:tcPr/>
                <w:p>
                  <w:pPr>
                    <w:pStyle w:val="Compact"/>
                    <w:jc w:val="left"/>
                    <w:jc w:val="center"/>
                  </w:pPr>
                  <w:r>
                    <w:t xml:space="preserve">AB</w:t>
                  </w:r>
                </w:p>
              </w:tc>
              <w:tc>
                <w:tcPr/>
                <w:p>
                  <w:pPr>
                    <w:pStyle w:val="Compact"/>
                    <w:jc w:val="right"/>
                    <w:jc w:val="center"/>
                  </w:pPr>
                  <w:r>
                    <w:t xml:space="preserve">-1.45</w:t>
                  </w:r>
                </w:p>
              </w:tc>
              <w:tc>
                <w:tcPr/>
                <w:p>
                  <w:pPr>
                    <w:pStyle w:val="Compact"/>
                    <w:jc w:val="right"/>
                    <w:jc w:val="center"/>
                  </w:pPr>
                  <w:r>
                    <w:t xml:space="preserve">0.663</w:t>
                  </w:r>
                </w:p>
              </w:tc>
              <w:tc>
                <w:tcPr/>
                <w:p>
                  <w:pPr>
                    <w:pStyle w:val="Compact"/>
                    <w:jc w:val="right"/>
                    <w:jc w:val="center"/>
                  </w:pPr>
                  <w:r>
                    <w:t xml:space="preserve">-2.19</w:t>
                  </w:r>
                </w:p>
              </w:tc>
              <w:tc>
                <w:tcPr/>
                <w:p>
                  <w:pPr>
                    <w:pStyle w:val="Compact"/>
                    <w:jc w:val="right"/>
                    <w:jc w:val="center"/>
                  </w:pPr>
                  <w:r>
                    <w:t xml:space="preserve">0.0475</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-0.925</w:t>
                  </w:r>
                </w:p>
              </w:tc>
              <w:tc>
                <w:tcPr/>
                <w:p>
                  <w:pPr>
                    <w:pStyle w:val="Compact"/>
                    <w:jc w:val="right"/>
                    <w:jc w:val="center"/>
                  </w:pPr>
                  <w:r>
                    <w:t xml:space="preserve">0.663</w:t>
                  </w:r>
                </w:p>
              </w:tc>
              <w:tc>
                <w:tcPr/>
                <w:p>
                  <w:pPr>
                    <w:pStyle w:val="Compact"/>
                    <w:jc w:val="right"/>
                    <w:jc w:val="center"/>
                  </w:pPr>
                  <w:r>
                    <w:t xml:space="preserve">-1.39</w:t>
                  </w:r>
                </w:p>
              </w:tc>
              <w:tc>
                <w:tcPr/>
                <w:p>
                  <w:pPr>
                    <w:pStyle w:val="Compact"/>
                    <w:jc w:val="right"/>
                    <w:jc w:val="center"/>
                  </w:pPr>
                  <w:r>
                    <w:t xml:space="preserve">0.187</w:t>
                  </w:r>
                </w:p>
              </w:tc>
              <w:tc>
                <w:tcPr/>
                <w:p>
                  <w:pPr>
                    <w:pStyle w:val="Compact"/>
                  </w:pPr>
                </w:p>
              </w:tc>
            </w:tr>
            <w:tr>
              <w:tc>
                <w:tcPr/>
                <w:p>
                  <w:pPr>
                    <w:pStyle w:val="Compact"/>
                    <w:jc w:val="left"/>
                    <w:jc w:val="center"/>
                  </w:pPr>
                  <w:r>
                    <w:t xml:space="preserve">AD</w:t>
                  </w:r>
                </w:p>
              </w:tc>
              <w:tc>
                <w:tcPr/>
                <w:p>
                  <w:pPr>
                    <w:pStyle w:val="Compact"/>
                    <w:jc w:val="right"/>
                    <w:jc w:val="center"/>
                  </w:pPr>
                  <w:r>
                    <w:t xml:space="preserve">0.0192</w:t>
                  </w:r>
                </w:p>
              </w:tc>
              <w:tc>
                <w:tcPr/>
                <w:p>
                  <w:pPr>
                    <w:pStyle w:val="Compact"/>
                    <w:jc w:val="right"/>
                    <w:jc w:val="center"/>
                  </w:pPr>
                  <w:r>
                    <w:t xml:space="preserve">0.663</w:t>
                  </w:r>
                </w:p>
              </w:tc>
              <w:tc>
                <w:tcPr/>
                <w:p>
                  <w:pPr>
                    <w:pStyle w:val="Compact"/>
                    <w:jc w:val="right"/>
                    <w:jc w:val="center"/>
                  </w:pPr>
                  <w:r>
                    <w:t xml:space="preserve">0.029</w:t>
                  </w:r>
                </w:p>
              </w:tc>
              <w:tc>
                <w:tcPr/>
                <w:p>
                  <w:pPr>
                    <w:pStyle w:val="Compact"/>
                    <w:jc w:val="right"/>
                    <w:jc w:val="center"/>
                  </w:pPr>
                  <w:r>
                    <w:t xml:space="preserve">0.977</w:t>
                  </w:r>
                </w:p>
              </w:tc>
              <w:tc>
                <w:tcPr/>
                <w:p>
                  <w:pPr>
                    <w:pStyle w:val="Compact"/>
                  </w:pPr>
                </w:p>
              </w:tc>
            </w:tr>
            <w:tr>
              <w:tc>
                <w:tcPr/>
                <w:p>
                  <w:pPr>
                    <w:pStyle w:val="Compact"/>
                    <w:jc w:val="left"/>
                    <w:jc w:val="center"/>
                  </w:pPr>
                  <w:r>
                    <w:t xml:space="preserve">BC</w:t>
                  </w:r>
                </w:p>
              </w:tc>
              <w:tc>
                <w:tcPr/>
                <w:p>
                  <w:pPr>
                    <w:pStyle w:val="Compact"/>
                    <w:jc w:val="right"/>
                    <w:jc w:val="center"/>
                  </w:pPr>
                  <w:r>
                    <w:t xml:space="preserve">0.15</w:t>
                  </w:r>
                </w:p>
              </w:tc>
              <w:tc>
                <w:tcPr/>
                <w:p>
                  <w:pPr>
                    <w:pStyle w:val="Compact"/>
                    <w:jc w:val="right"/>
                    <w:jc w:val="center"/>
                  </w:pPr>
                  <w:r>
                    <w:t xml:space="preserve">0.663</w:t>
                  </w:r>
                </w:p>
              </w:tc>
              <w:tc>
                <w:tcPr/>
                <w:p>
                  <w:pPr>
                    <w:pStyle w:val="Compact"/>
                    <w:jc w:val="right"/>
                    <w:jc w:val="center"/>
                  </w:pPr>
                  <w:r>
                    <w:t xml:space="preserve">0.226</w:t>
                  </w:r>
                </w:p>
              </w:tc>
              <w:tc>
                <w:tcPr/>
                <w:p>
                  <w:pPr>
                    <w:pStyle w:val="Compact"/>
                    <w:jc w:val="right"/>
                    <w:jc w:val="center"/>
                  </w:pPr>
                  <w:r>
                    <w:t xml:space="preserve">0.825</w:t>
                  </w:r>
                </w:p>
              </w:tc>
              <w:tc>
                <w:tcPr/>
                <w:p>
                  <w:pPr>
                    <w:pStyle w:val="Compact"/>
                  </w:pPr>
                </w:p>
              </w:tc>
            </w:tr>
            <w:tr>
              <w:tc>
                <w:tcPr/>
                <w:p>
                  <w:pPr>
                    <w:pStyle w:val="Compact"/>
                    <w:jc w:val="left"/>
                    <w:jc w:val="center"/>
                  </w:pPr>
                  <w:r>
                    <w:t xml:space="preserve">BD</w:t>
                  </w:r>
                </w:p>
              </w:tc>
              <w:tc>
                <w:tcPr/>
                <w:p>
                  <w:pPr>
                    <w:pStyle w:val="Compact"/>
                    <w:jc w:val="right"/>
                    <w:jc w:val="center"/>
                  </w:pPr>
                  <w:r>
                    <w:t xml:space="preserve">-0.559</w:t>
                  </w:r>
                </w:p>
              </w:tc>
              <w:tc>
                <w:tcPr/>
                <w:p>
                  <w:pPr>
                    <w:pStyle w:val="Compact"/>
                    <w:jc w:val="right"/>
                    <w:jc w:val="center"/>
                  </w:pPr>
                  <w:r>
                    <w:t xml:space="preserve">0.663</w:t>
                  </w:r>
                </w:p>
              </w:tc>
              <w:tc>
                <w:tcPr/>
                <w:p>
                  <w:pPr>
                    <w:pStyle w:val="Compact"/>
                    <w:jc w:val="right"/>
                    <w:jc w:val="center"/>
                  </w:pPr>
                  <w:r>
                    <w:t xml:space="preserve">-0.843</w:t>
                  </w:r>
                </w:p>
              </w:tc>
              <w:tc>
                <w:tcPr/>
                <w:p>
                  <w:pPr>
                    <w:pStyle w:val="Compact"/>
                    <w:jc w:val="right"/>
                    <w:jc w:val="center"/>
                  </w:pPr>
                  <w:r>
                    <w:t xml:space="preserve">0.415</w:t>
                  </w:r>
                </w:p>
              </w:tc>
              <w:tc>
                <w:tcPr/>
                <w:p>
                  <w:pPr>
                    <w:pStyle w:val="Compact"/>
                  </w:pPr>
                </w:p>
              </w:tc>
            </w:tr>
            <w:tr>
              <w:tc>
                <w:tcPr/>
                <w:p>
                  <w:pPr>
                    <w:pStyle w:val="Compact"/>
                    <w:jc w:val="left"/>
                    <w:jc w:val="center"/>
                  </w:pPr>
                  <w:r>
                    <w:t xml:space="preserve">CD</w:t>
                  </w:r>
                </w:p>
              </w:tc>
              <w:tc>
                <w:tcPr/>
                <w:p>
                  <w:pPr>
                    <w:pStyle w:val="Compact"/>
                    <w:jc w:val="right"/>
                    <w:jc w:val="center"/>
                  </w:pPr>
                  <w:r>
                    <w:t xml:space="preserve">-0.124</w:t>
                  </w:r>
                </w:p>
              </w:tc>
              <w:tc>
                <w:tcPr/>
                <w:p>
                  <w:pPr>
                    <w:pStyle w:val="Compact"/>
                    <w:jc w:val="right"/>
                    <w:jc w:val="center"/>
                  </w:pPr>
                  <w:r>
                    <w:t xml:space="preserve">0.663</w:t>
                  </w:r>
                </w:p>
              </w:tc>
              <w:tc>
                <w:tcPr/>
                <w:p>
                  <w:pPr>
                    <w:pStyle w:val="Compact"/>
                    <w:jc w:val="right"/>
                    <w:jc w:val="center"/>
                  </w:pPr>
                  <w:r>
                    <w:t xml:space="preserve">-0.187</w:t>
                  </w:r>
                </w:p>
              </w:tc>
              <w:tc>
                <w:tcPr/>
                <w:p>
                  <w:pPr>
                    <w:pStyle w:val="Compact"/>
                    <w:jc w:val="right"/>
                    <w:jc w:val="center"/>
                  </w:pPr>
                  <w:r>
                    <w:t xml:space="preserve">0.855</w:t>
                  </w:r>
                </w:p>
              </w:tc>
              <w:tc>
                <w:tcPr/>
                <w:p>
                  <w:pPr>
                    <w:pStyle w:val="Compact"/>
                  </w:pPr>
                </w:p>
              </w:tc>
            </w:tr>
            <w:tr>
              <w:tc>
                <w:tcPr/>
                <w:p>
                  <w:pPr>
                    <w:pStyle w:val="Compact"/>
                    <w:jc w:val="left"/>
                    <w:jc w:val="center"/>
                  </w:pPr>
                  <w:r>
                    <w:t xml:space="preserve">A²</w:t>
                  </w:r>
                </w:p>
              </w:tc>
              <w:tc>
                <w:tcPr/>
                <w:p>
                  <w:pPr>
                    <w:pStyle w:val="Compact"/>
                    <w:jc w:val="right"/>
                    <w:jc w:val="center"/>
                  </w:pPr>
                  <w:r>
                    <w:t xml:space="preserve">1.91</w:t>
                  </w:r>
                </w:p>
              </w:tc>
              <w:tc>
                <w:tcPr/>
                <w:p>
                  <w:pPr>
                    <w:pStyle w:val="Compact"/>
                    <w:jc w:val="right"/>
                    <w:jc w:val="center"/>
                  </w:pPr>
                  <w:r>
                    <w:t xml:space="preserve">1.65</w:t>
                  </w:r>
                </w:p>
              </w:tc>
              <w:tc>
                <w:tcPr/>
                <w:p>
                  <w:pPr>
                    <w:pStyle w:val="Compact"/>
                    <w:jc w:val="right"/>
                    <w:jc w:val="center"/>
                  </w:pPr>
                  <w:r>
                    <w:t xml:space="preserve">1.16</w:t>
                  </w:r>
                </w:p>
              </w:tc>
              <w:tc>
                <w:tcPr/>
                <w:p>
                  <w:pPr>
                    <w:pStyle w:val="Compact"/>
                    <w:jc w:val="right"/>
                    <w:jc w:val="center"/>
                  </w:pPr>
                  <w:r>
                    <w:t xml:space="preserve">0.268</w:t>
                  </w:r>
                </w:p>
              </w:tc>
              <w:tc>
                <w:tcPr/>
                <w:p>
                  <w:pPr>
                    <w:pStyle w:val="Compact"/>
                  </w:pPr>
                </w:p>
              </w:tc>
            </w:tr>
            <w:tr>
              <w:tc>
                <w:tcPr/>
                <w:p>
                  <w:pPr>
                    <w:pStyle w:val="Compact"/>
                    <w:jc w:val="left"/>
                    <w:jc w:val="center"/>
                  </w:pPr>
                  <w:r>
                    <w:t xml:space="preserve">B²</w:t>
                  </w:r>
                </w:p>
              </w:tc>
              <w:tc>
                <w:tcPr/>
                <w:p>
                  <w:pPr>
                    <w:pStyle w:val="Compact"/>
                    <w:jc w:val="right"/>
                    <w:jc w:val="center"/>
                  </w:pPr>
                  <w:r>
                    <w:t xml:space="preserve">2.22</w:t>
                  </w:r>
                </w:p>
              </w:tc>
              <w:tc>
                <w:tcPr/>
                <w:p>
                  <w:pPr>
                    <w:pStyle w:val="Compact"/>
                    <w:jc w:val="right"/>
                    <w:jc w:val="center"/>
                  </w:pPr>
                  <w:r>
                    <w:t xml:space="preserve">1.65</w:t>
                  </w:r>
                </w:p>
              </w:tc>
              <w:tc>
                <w:tcPr/>
                <w:p>
                  <w:pPr>
                    <w:pStyle w:val="Compact"/>
                    <w:jc w:val="right"/>
                    <w:jc w:val="center"/>
                  </w:pPr>
                  <w:r>
                    <w:t xml:space="preserve">1.34</w:t>
                  </w:r>
                </w:p>
              </w:tc>
              <w:tc>
                <w:tcPr/>
                <w:p>
                  <w:pPr>
                    <w:pStyle w:val="Compact"/>
                    <w:jc w:val="right"/>
                    <w:jc w:val="center"/>
                  </w:pPr>
                  <w:r>
                    <w:t xml:space="preserve">0.202</w:t>
                  </w:r>
                </w:p>
              </w:tc>
              <w:tc>
                <w:tcPr/>
                <w:p>
                  <w:pPr>
                    <w:pStyle w:val="Compact"/>
                  </w:pPr>
                </w:p>
              </w:tc>
            </w:tr>
            <w:tr>
              <w:tc>
                <w:tcPr/>
                <w:p>
                  <w:pPr>
                    <w:pStyle w:val="Compact"/>
                    <w:jc w:val="left"/>
                    <w:jc w:val="center"/>
                  </w:pPr>
                  <w:r>
                    <w:t xml:space="preserve">C²</w:t>
                  </w:r>
                </w:p>
              </w:tc>
              <w:tc>
                <w:tcPr/>
                <w:p>
                  <w:pPr>
                    <w:pStyle w:val="Compact"/>
                    <w:jc w:val="right"/>
                    <w:jc w:val="center"/>
                  </w:pPr>
                  <w:r>
                    <w:t xml:space="preserve">-0.0187</w:t>
                  </w:r>
                </w:p>
              </w:tc>
              <w:tc>
                <w:tcPr/>
                <w:p>
                  <w:pPr>
                    <w:pStyle w:val="Compact"/>
                    <w:jc w:val="right"/>
                    <w:jc w:val="center"/>
                  </w:pPr>
                  <w:r>
                    <w:t xml:space="preserve">1.65</w:t>
                  </w:r>
                </w:p>
              </w:tc>
              <w:tc>
                <w:tcPr/>
                <w:p>
                  <w:pPr>
                    <w:pStyle w:val="Compact"/>
                    <w:jc w:val="right"/>
                    <w:jc w:val="center"/>
                  </w:pPr>
                  <w:r>
                    <w:t xml:space="preserve">-0.0113</w:t>
                  </w:r>
                </w:p>
              </w:tc>
              <w:tc>
                <w:tcPr/>
                <w:p>
                  <w:pPr>
                    <w:pStyle w:val="Compact"/>
                    <w:jc w:val="right"/>
                    <w:jc w:val="center"/>
                  </w:pPr>
                  <w:r>
                    <w:t xml:space="preserve">0.991</w:t>
                  </w:r>
                </w:p>
              </w:tc>
              <w:tc>
                <w:tcPr/>
                <w:p>
                  <w:pPr>
                    <w:pStyle w:val="Compact"/>
                  </w:pPr>
                </w:p>
              </w:tc>
            </w:tr>
            <w:tr>
              <w:tc>
                <w:tcPr/>
                <w:p>
                  <w:pPr>
                    <w:pStyle w:val="Compact"/>
                    <w:jc w:val="left"/>
                    <w:jc w:val="center"/>
                  </w:pPr>
                  <w:r>
                    <w:t xml:space="preserve">D²</w:t>
                  </w:r>
                </w:p>
              </w:tc>
              <w:tc>
                <w:tcPr/>
                <w:p>
                  <w:pPr>
                    <w:pStyle w:val="Compact"/>
                    <w:jc w:val="right"/>
                    <w:jc w:val="center"/>
                  </w:pPr>
                  <w:r>
                    <w:t xml:space="preserve">-1.98</w:t>
                  </w:r>
                </w:p>
              </w:tc>
              <w:tc>
                <w:tcPr/>
                <w:p>
                  <w:pPr>
                    <w:pStyle w:val="Compact"/>
                    <w:jc w:val="right"/>
                    <w:jc w:val="center"/>
                  </w:pPr>
                  <w:r>
                    <w:t xml:space="preserve">1.65</w:t>
                  </w:r>
                </w:p>
              </w:tc>
              <w:tc>
                <w:tcPr/>
                <w:p>
                  <w:pPr>
                    <w:pStyle w:val="Compact"/>
                    <w:jc w:val="right"/>
                    <w:jc w:val="center"/>
                  </w:pPr>
                  <w:r>
                    <w:t xml:space="preserve">-1.2</w:t>
                  </w:r>
                </w:p>
              </w:tc>
              <w:tc>
                <w:tcPr/>
                <w:p>
                  <w:pPr>
                    <w:pStyle w:val="Compact"/>
                    <w:jc w:val="right"/>
                    <w:jc w:val="center"/>
                  </w:pPr>
                  <w:r>
                    <w:t xml:space="preserve">0.253</w:t>
                  </w:r>
                </w:p>
              </w:tc>
              <w:tc>
                <w:tcPr/>
                <w:p>
                  <w:pPr>
                    <w:pStyle w:val="Compact"/>
                  </w:pPr>
                </w:p>
              </w:tc>
            </w:tr>
          </w:tbl>
          <w:bookmarkEnd w:id="51"/>
          <w:p/>
        </w:tc>
      </w:tr>
    </w:tbl>
    <w:p>
      <w:pPr>
        <w:pStyle w:val="BodyText"/>
      </w:pPr>
      <w:r>
        <w:t xml:space="preserve">Equilibration and wash-1 conductivity and load pH are again the significant main effects, at</w:t>
      </w:r>
      <w:r>
        <w:t xml:space="preserve"> </w:t>
      </w:r>
      <w:r>
        <w:t xml:space="preserve">6.19 and -5.34 ng/mg</w:t>
      </w:r>
      <w:r>
        <w:t xml:space="preserve"> </w:t>
      </w:r>
      <w:r>
        <w:t xml:space="preserve">per coded unit, and their interaction is significant</w:t>
      </w:r>
      <w:r>
        <w:t xml:space="preserve"> </w:t>
      </w:r>
      <w:r>
        <w:t xml:space="preserve">(p = 0.047) and is retained in the model. The screening</w:t>
      </w:r>
      <w:r>
        <w:t xml:space="preserve"> </w:t>
      </w:r>
      <w:r>
        <w:t xml:space="preserve">estimate of that interaction was the larger of the two, and the response-surface value is the one</w:t>
      </w:r>
      <w:r>
        <w:t xml:space="preserve"> </w:t>
      </w:r>
      <w:r>
        <w:t xml:space="preserve">carried forward, because it is estimated with curvature in the model and on a design that</w:t>
      </w:r>
      <w:r>
        <w:t xml:space="preserve"> </w:t>
      </w:r>
      <w:r>
        <w:t xml:space="preserve">supports it. No quadratic term is significant for pool HCP either.</w:t>
      </w:r>
    </w:p>
    <w:p>
      <w:pPr>
        <w:pStyle w:val="BodyText"/>
      </w:pPr>
      <w:r>
        <w:t xml:space="preserve">The fitted surfaces over load pH and equilibration and wash-1 conductivity, with the remaining</w:t>
      </w:r>
      <w:r>
        <w:t xml:space="preserve"> </w:t>
      </w:r>
      <w:r>
        <w:t xml:space="preserve">factors at set-point, are shown in</w:t>
      </w:r>
      <w:r>
        <w:t xml:space="preserve"> </w:t>
      </w:r>
      <w:hyperlink w:anchor="fig-contours-hc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contours-hcp"/>
          <w:p>
            <w:pPr>
              <w:pStyle w:val="Compact"/>
              <w:jc w:val="center"/>
            </w:pPr>
            <w:r>
              <w:drawing>
                <wp:inline>
                  <wp:extent cx="5334000" cy="4789870"/>
                  <wp:effectExtent b="0" l="0" r="0" t="0"/>
                  <wp:docPr descr="" title="" id="53" name="Picture"/>
                  <a:graphic>
                    <a:graphicData uri="http://schemas.openxmlformats.org/drawingml/2006/picture">
                      <pic:pic>
                        <pic:nvPicPr>
                          <pic:cNvPr descr="PCR-008_aex_files/figure-docx/fig-contours-hcp-output-1.png" id="54" name="Picture"/>
                          <pic:cNvPicPr>
                            <a:picLocks noChangeArrowheads="1" noChangeAspect="1"/>
                          </pic:cNvPicPr>
                        </pic:nvPicPr>
                        <pic:blipFill>
                          <a:blip r:embed="rId52"/>
                          <a:stretch>
                            <a:fillRect/>
                          </a:stretch>
                        </pic:blipFill>
                        <pic:spPr bwMode="auto">
                          <a:xfrm>
                            <a:off x="0" y="0"/>
                            <a:ext cx="5334000" cy="4789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Response-surface predictions over load pH and equilibration/wash-1 conductivity, with load conductivity and protein load held at set-point.</w:t>
            </w:r>
          </w:p>
          <w:bookmarkEnd w:id="55"/>
        </w:tc>
      </w:tr>
    </w:tbl>
    <w:p>
      <w:pPr>
        <w:pStyle w:val="BodyText"/>
      </w:pPr>
      <w:r>
        <w:t xml:space="preserve">The HCP panel shows the interaction directly, since the contours converge towards high load pH</w:t>
      </w:r>
      <w:r>
        <w:t xml:space="preserve"> </w:t>
      </w:r>
      <w:r>
        <w:t xml:space="preserve">and the pool concentration becomes progressively less sensitive to wash conductivity as pH</w:t>
      </w:r>
      <w:r>
        <w:t xml:space="preserve"> </w:t>
      </w:r>
      <w:r>
        <w:t xml:space="preserve">rises. The two viral clearance panels are almost flat in the wash conductivity direction. That is the graphical form of the null result for that factor on clearance. The same responses are</w:t>
      </w:r>
      <w:r>
        <w:t xml:space="preserve"> </w:t>
      </w:r>
      <w:r>
        <w:t xml:space="preserve">shown over load pH and load conductivity in</w:t>
      </w:r>
      <w:r>
        <w:t xml:space="preserve"> </w:t>
      </w:r>
      <w:hyperlink w:anchor="fig-contours-viral">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contours-viral"/>
          <w:p>
            <w:pPr>
              <w:pStyle w:val="Compact"/>
              <w:jc w:val="center"/>
            </w:pPr>
            <w:r>
              <w:drawing>
                <wp:inline>
                  <wp:extent cx="5334000" cy="4803674"/>
                  <wp:effectExtent b="0" l="0" r="0" t="0"/>
                  <wp:docPr descr="" title="" id="57" name="Picture"/>
                  <a:graphic>
                    <a:graphicData uri="http://schemas.openxmlformats.org/drawingml/2006/picture">
                      <pic:pic>
                        <pic:nvPicPr>
                          <pic:cNvPr descr="PCR-008_aex_files/figure-docx/fig-contours-viral-output-1.png" id="58" name="Picture"/>
                          <pic:cNvPicPr>
                            <a:picLocks noChangeArrowheads="1" noChangeAspect="1"/>
                          </pic:cNvPicPr>
                        </pic:nvPicPr>
                        <pic:blipFill>
                          <a:blip r:embed="rId56"/>
                          <a:stretch>
                            <a:fillRect/>
                          </a:stretch>
                        </pic:blipFill>
                        <pic:spPr bwMode="auto">
                          <a:xfrm>
                            <a:off x="0" y="0"/>
                            <a:ext cx="5334000" cy="480367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Response-surface predictions over load pH and load conductivity, with equilibration/wash-1 conductivity and protein load held at set-point.</w:t>
            </w:r>
          </w:p>
          <w:bookmarkEnd w:id="59"/>
        </w:tc>
      </w:tr>
    </w:tbl>
    <w:p>
      <w:pPr>
        <w:pStyle w:val="BodyText"/>
      </w:pPr>
      <w:r>
        <w:t xml:space="preserve">Both viral clearance panels fall along the same diagonal, with clearance highest at high load pH</w:t>
      </w:r>
      <w:r>
        <w:t xml:space="preserve"> </w:t>
      </w:r>
      <w:r>
        <w:t xml:space="preserve">and low load conductivity and lowest at low load pH and high load conductivity, and that diagonal is the plane on which the operating region is defined (§6).</w:t>
      </w:r>
    </w:p>
    <w:p>
      <w:pPr>
        <w:pStyle w:val="BodyText"/>
      </w:pPr>
      <w:r>
        <w:t xml:space="preserve">Model diagnostics support the fitted models, and those for MVM clearance are shown in</w:t>
      </w:r>
      <w:r>
        <w:t xml:space="preserve"> </w:t>
      </w:r>
      <w:hyperlink w:anchor="fig-diag-mvm">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diag-mvm"/>
          <w:p>
            <w:pPr>
              <w:pStyle w:val="Compact"/>
              <w:jc w:val="center"/>
            </w:pPr>
            <w:r>
              <w:drawing>
                <wp:inline>
                  <wp:extent cx="5334000" cy="1652214"/>
                  <wp:effectExtent b="0" l="0" r="0" t="0"/>
                  <wp:docPr descr="" title="" id="61" name="Picture"/>
                  <a:graphic>
                    <a:graphicData uri="http://schemas.openxmlformats.org/drawingml/2006/picture">
                      <pic:pic>
                        <pic:nvPicPr>
                          <pic:cNvPr descr="PCR-008_aex_files/figure-docx/fig-diag-mvm-output-1.png" id="62" name="Picture"/>
                          <pic:cNvPicPr>
                            <a:picLocks noChangeArrowheads="1" noChangeAspect="1"/>
                          </pic:cNvPicPr>
                        </pic:nvPicPr>
                        <pic:blipFill>
                          <a:blip r:embed="rId60"/>
                          <a:stretch>
                            <a:fillRect/>
                          </a:stretch>
                        </pic:blipFill>
                        <pic:spPr bwMode="auto">
                          <a:xfrm>
                            <a:off x="0" y="0"/>
                            <a:ext cx="5334000" cy="1652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Model diagnostics for the MVM log reduction factor response-surface model.</w:t>
            </w:r>
          </w:p>
          <w:bookmarkEnd w:id="63"/>
        </w:tc>
      </w:tr>
    </w:tbl>
    <w:p>
      <w:pPr>
        <w:pStyle w:val="BodyText"/>
      </w:pPr>
      <w:r>
        <w:t xml:space="preserve">The residuals show no structure against the predicted value, the normal quantile plot is close</w:t>
      </w:r>
      <w:r>
        <w:t xml:space="preserve"> </w:t>
      </w:r>
      <w:r>
        <w:t xml:space="preserve">to linear, and the actual against predicted plot lies on the identity line across the range of</w:t>
      </w:r>
      <w:r>
        <w:t xml:space="preserve"> </w:t>
      </w:r>
      <w:r>
        <w:t xml:space="preserve">the response. The same three diagnostics for pool HCP are shown in</w:t>
      </w:r>
      <w:r>
        <w:t xml:space="preserve"> </w:t>
      </w:r>
      <w:hyperlink w:anchor="fig-diag-hcp">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7" w:name="fig-diag-hcp"/>
          <w:p>
            <w:pPr>
              <w:pStyle w:val="Compact"/>
              <w:jc w:val="center"/>
            </w:pPr>
            <w:r>
              <w:drawing>
                <wp:inline>
                  <wp:extent cx="5334000" cy="1652214"/>
                  <wp:effectExtent b="0" l="0" r="0" t="0"/>
                  <wp:docPr descr="" title="" id="65" name="Picture"/>
                  <a:graphic>
                    <a:graphicData uri="http://schemas.openxmlformats.org/drawingml/2006/picture">
                      <pic:pic>
                        <pic:nvPicPr>
                          <pic:cNvPr descr="PCR-008_aex_files/figure-docx/fig-diag-hcp-output-1.png" id="66" name="Picture"/>
                          <pic:cNvPicPr>
                            <a:picLocks noChangeArrowheads="1" noChangeAspect="1"/>
                          </pic:cNvPicPr>
                        </pic:nvPicPr>
                        <pic:blipFill>
                          <a:blip r:embed="rId64"/>
                          <a:stretch>
                            <a:fillRect/>
                          </a:stretch>
                        </pic:blipFill>
                        <pic:spPr bwMode="auto">
                          <a:xfrm>
                            <a:off x="0" y="0"/>
                            <a:ext cx="5334000" cy="1652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Model diagnostics for the pool host cell protein response-surface model.</w:t>
            </w:r>
          </w:p>
          <w:bookmarkEnd w:id="67"/>
        </w:tc>
      </w:tr>
    </w:tbl>
    <w:p>
      <w:pPr>
        <w:pStyle w:val="BodyText"/>
      </w:pPr>
      <w:r>
        <w:t xml:space="preserve">The HCP residuals are larger in absolute terms and increase mildly with the predicted value,</w:t>
      </w:r>
      <w:r>
        <w:t xml:space="preserve"> </w:t>
      </w:r>
      <w:r>
        <w:t xml:space="preserve">which is the pattern expected for a concentration measured by an assay of constant relative</w:t>
      </w:r>
      <w:r>
        <w:t xml:space="preserve"> </w:t>
      </w:r>
      <w:r>
        <w:t xml:space="preserve">standard deviation. It does not indicate a defect in the model form, and the lack-of-fit test</w:t>
      </w:r>
      <w:r>
        <w:t xml:space="preserve"> </w:t>
      </w:r>
      <w:r>
        <w:t xml:space="preserve">for this response is not significant.</w:t>
      </w:r>
    </w:p>
    <w:bookmarkEnd w:id="68"/>
    <w:bookmarkStart w:id="69" w:name="mechanistic-interpretation"/>
    <w:p>
      <w:pPr>
        <w:pStyle w:val="Heading2"/>
      </w:pPr>
      <w:r>
        <w:t xml:space="preserve">5.4 Mechanistic interpretation</w:t>
      </w:r>
    </w:p>
    <w:p>
      <w:pPr>
        <w:pStyle w:val="FirstParagraph"/>
      </w:pPr>
      <w:r>
        <w:t xml:space="preserve">The surfaces confirm the mechanistic expectation set out in §2.1, and that confirmation is what</w:t>
      </w:r>
      <w:r>
        <w:t xml:space="preserve"> </w:t>
      </w:r>
      <w:r>
        <w:t xml:space="preserve">allows the operating region to be defined multivariately in §6 instead of parameter by</w:t>
      </w:r>
      <w:r>
        <w:t xml:space="preserve"> </w:t>
      </w:r>
      <w:r>
        <w:t xml:space="preserve">parameter.</w:t>
      </w:r>
    </w:p>
    <w:p>
      <w:pPr>
        <w:pStyle w:val="BodyText"/>
      </w:pPr>
      <w:r>
        <w:t xml:space="preserve">Viral clearance behaves as a charge partitioning process, in which both model viruses are more</w:t>
      </w:r>
      <w:r>
        <w:t xml:space="preserve"> </w:t>
      </w:r>
      <w:r>
        <w:t xml:space="preserve">strongly retained when they carry more negative charge and when fewer competing counter-ions are</w:t>
      </w:r>
      <w:r>
        <w:t xml:space="preserve"> </w:t>
      </w:r>
      <w:r>
        <w:t xml:space="preserve">present. Raising the load pH achieves the first and lowering the load conductivity achieves the second. The fitted coefficients for both viruses carry the signs that those statements</w:t>
      </w:r>
      <w:r>
        <w:t xml:space="preserve"> </w:t>
      </w:r>
      <w:r>
        <w:t xml:space="preserve">require. Because no interaction between pH and conductivity is significant in the MVM model, the</w:t>
      </w:r>
      <w:r>
        <w:t xml:space="preserve"> </w:t>
      </w:r>
      <w:r>
        <w:t xml:space="preserve">two act additively over the region studied. A loss of clearance caused by a low load pH can be</w:t>
      </w:r>
      <w:r>
        <w:t xml:space="preserve"> </w:t>
      </w:r>
      <w:r>
        <w:t xml:space="preserve">offset by a lower load conductivity, and the amount of offset required is given by the ratio of</w:t>
      </w:r>
      <w:r>
        <w:t xml:space="preserve"> </w:t>
      </w:r>
      <w:r>
        <w:t xml:space="preserve">the two coefficients.</w:t>
      </w:r>
    </w:p>
    <w:p>
      <w:pPr>
        <w:pStyle w:val="BodyText"/>
      </w:pPr>
      <w:r>
        <w:t xml:space="preserve">Host cell protein behaves differently, because it is a mixture and not a single species. Its</w:t>
      </w:r>
      <w:r>
        <w:t xml:space="preserve"> </w:t>
      </w:r>
      <w:r>
        <w:t xml:space="preserve">governing parameter is the conductivity of the equilibration and wash-1 buffer and not the</w:t>
      </w:r>
      <w:r>
        <w:t xml:space="preserve"> </w:t>
      </w:r>
      <w:r>
        <w:t xml:space="preserve">conductivity of the load. That says that the binding of the weakly retained species is decided</w:t>
      </w:r>
      <w:r>
        <w:t xml:space="preserve"> </w:t>
      </w:r>
      <w:r>
        <w:t xml:space="preserve">by the ionic environment in which the column is held during flow-through and wash, and that the</w:t>
      </w:r>
      <w:r>
        <w:t xml:space="preserve"> </w:t>
      </w:r>
      <w:r>
        <w:t xml:space="preserve">ionic strength of the load itself contributes little once the load has been adjusted. The load</w:t>
      </w:r>
      <w:r>
        <w:t xml:space="preserve"> </w:t>
      </w:r>
      <w:r>
        <w:t xml:space="preserve">pH interaction follows from the same picture, since at a higher pH the weakly acidic species</w:t>
      </w:r>
      <w:r>
        <w:t xml:space="preserve"> </w:t>
      </w:r>
      <w:r>
        <w:t xml:space="preserve">carry more negative charge and remain bound even when the wash conductivity is raised, which is</w:t>
      </w:r>
      <w:r>
        <w:t xml:space="preserve"> </w:t>
      </w:r>
      <w:r>
        <w:t xml:space="preserve">why the two sets of contours converge.</w:t>
      </w:r>
    </w:p>
    <w:p>
      <w:pPr>
        <w:pStyle w:val="BodyText"/>
      </w:pPr>
      <w:r>
        <w:t xml:space="preserve">Protein load is inactive across a range that extends above the commercial load, which is</w:t>
      </w:r>
      <w:r>
        <w:t xml:space="preserve"> </w:t>
      </w:r>
      <w:r>
        <w:t xml:space="preserve">consistent with a flow-through step in which the product does not compete for binding sites and</w:t>
      </w:r>
      <w:r>
        <w:t xml:space="preserve"> </w:t>
      </w:r>
      <w:r>
        <w:t xml:space="preserve">the impurity load remains far below the capacity of the resin. It also means that the impurity</w:t>
      </w:r>
      <w:r>
        <w:t xml:space="preserve"> </w:t>
      </w:r>
      <w:r>
        <w:t xml:space="preserve">breakthrough limit lies outside the characterized range, so the study bounds that limit from</w:t>
      </w:r>
      <w:r>
        <w:t xml:space="preserve"> </w:t>
      </w:r>
      <w:r>
        <w:t xml:space="preserve">below without locating it.</w:t>
      </w:r>
    </w:p>
    <w:p>
      <w:pPr>
        <w:pStyle w:val="BodyText"/>
      </w:pPr>
      <w:r>
        <w:t xml:space="preserve">Step yield is unaffected by any parameter, with a predicted yield at the centre of the region of</w:t>
      </w:r>
      <w:r>
        <w:t xml:space="preserve"> </w:t>
      </w:r>
      <w:r>
        <w:t xml:space="preserve">96.1% and no factor moving it detectably, which is the expected result for a non-binding step and removes yield as a constraint on the operating region.</w:t>
      </w:r>
    </w:p>
    <w:p>
      <w:pPr>
        <w:pStyle w:val="BodyText"/>
      </w:pPr>
      <w:r>
        <w:t xml:space="preserve">Two boundaries apply to all of this. The mechanistic account holds over the ranges given in</w:t>
      </w:r>
      <w:r>
        <w:t xml:space="preserve"> </w:t>
      </w:r>
      <w:hyperlink w:anchor="tbl-params">
        <w:r>
          <w:rPr>
            <w:rStyle w:val="Hyperlink"/>
          </w:rPr>
          <w:t xml:space="preserve">Table 7</w:t>
        </w:r>
      </w:hyperlink>
      <w:r>
        <w:t xml:space="preserve"> </w:t>
      </w:r>
      <w:r>
        <w:t xml:space="preserve">and at the qualified scale-down model (§3.1), and the models describe mean levels of the responses, with the variability around those means treated separately in §7</w:t>
      </w:r>
      <w:r>
        <w:t xml:space="preserve"> </w:t>
      </w:r>
      <w:r>
        <w:t xml:space="preserve">and §8.</w:t>
      </w:r>
    </w:p>
    <w:p>
      <w:r>
        <w:br w:type="page"/>
      </w:r>
    </w:p>
    <w:bookmarkEnd w:id="69"/>
    <w:bookmarkEnd w:id="70"/>
    <w:bookmarkStart w:id="71" w:name="design-space"/>
    <w:p>
      <w:pPr>
        <w:pStyle w:val="Heading1"/>
      </w:pPr>
      <w:r>
        <w:t xml:space="preserve">6. Design space</w:t>
      </w:r>
    </w:p>
    <w:p>
      <w:pPr>
        <w:pStyle w:val="FirstParagraph"/>
      </w:pPr>
      <w:r>
        <w:t xml:space="preserve">The operating region for the anion exchange step is the intersection of two multivariate</w:t>
      </w:r>
      <w:r>
        <w:t xml:space="preserve"> </w:t>
      </w:r>
      <w:r>
        <w:t xml:space="preserve">constraints: a viral clearance constraint set by load pH and load conductivity, and a pool</w:t>
      </w:r>
      <w:r>
        <w:t xml:space="preserve"> </w:t>
      </w:r>
      <w:r>
        <w:t xml:space="preserve">purity constraint set by load pH and equilibration and wash-1 conductivity. Each holds over the</w:t>
      </w:r>
      <w:r>
        <w:t xml:space="preserve"> </w:t>
      </w:r>
      <w:r>
        <w:t xml:space="preserve">ranges given in</w:t>
      </w:r>
      <w:r>
        <w:t xml:space="preserve"> </w:t>
      </w:r>
      <w:hyperlink w:anchor="tbl-params">
        <w:r>
          <w:rPr>
            <w:rStyle w:val="Hyperlink"/>
          </w:rPr>
          <w:t xml:space="preserve">Table 7</w:t>
        </w:r>
      </w:hyperlink>
      <w:r>
        <w:t xml:space="preserve">, with protein load and flow rate anywhere within their characterized</w:t>
      </w:r>
      <w:r>
        <w:t xml:space="preserve"> </w:t>
      </w:r>
      <w:r>
        <w:t xml:space="preserve">ranges, and the narrower of the two constraints governs at any given operating point.</w:t>
      </w:r>
    </w:p>
    <w:p>
      <w:pPr>
        <w:pStyle w:val="BodyText"/>
      </w:pPr>
      <w:r>
        <w:t xml:space="preserve">Consider first the viral clearance plane, whose worst case corner is low load pH with high load</w:t>
      </w:r>
      <w:r>
        <w:t xml:space="preserve"> </w:t>
      </w:r>
      <w:r>
        <w:t xml:space="preserve">conductivity, since both effects act to reduce clearance and there is no interaction to soften the</w:t>
      </w:r>
      <w:r>
        <w:t xml:space="preserve"> </w:t>
      </w:r>
      <w:r>
        <w:t xml:space="preserve">corner. At that corner the fitted model predicts an MVM log reduction factor of</w:t>
      </w:r>
      <w:r>
        <w:t xml:space="preserve"> </w:t>
      </w:r>
      <w:r>
        <w:t xml:space="preserve">3.53 log₁₀ against the required step contribution of</w:t>
      </w:r>
      <w:r>
        <w:t xml:space="preserve"> </w:t>
      </w:r>
      <w:r>
        <w:t xml:space="preserve">3.28 log₁₀, a margin of 0.25 log₁₀. The same corner gives an XMuLV log reduction factor of 5.60 log₁₀ against a</w:t>
      </w:r>
      <w:r>
        <w:t xml:space="preserve"> </w:t>
      </w:r>
      <w:r>
        <w:t xml:space="preserve">required contribution of 3.78 log₁₀. MVM is therefore the binding</w:t>
      </w:r>
      <w:r>
        <w:t xml:space="preserve"> </w:t>
      </w:r>
      <w:r>
        <w:t xml:space="preserve">virus at every point in the region.</w:t>
      </w:r>
    </w:p>
    <w:p>
      <w:pPr>
        <w:pStyle w:val="BodyText"/>
      </w:pPr>
      <w:r>
        <w:t xml:space="preserve">The pool purity plane has its worst case corner at low load pH with high equilibration and</w:t>
      </w:r>
      <w:r>
        <w:t xml:space="preserve"> </w:t>
      </w:r>
      <w:r>
        <w:t xml:space="preserve">wash-1 conductivity, where the model predicts a pool HCP concentration of</w:t>
      </w:r>
      <w:r>
        <w:t xml:space="preserve"> </w:t>
      </w:r>
      <w:r>
        <w:t xml:space="preserve">31.9 ng/mg against an acceptance criterion of</w:t>
      </w:r>
      <w:r>
        <w:t xml:space="preserve"> </w:t>
      </w:r>
      <w:r>
        <w:t xml:space="preserve">100 ng/mg. Pool purity does not constrain the region anywhere inside the characterized ranges. Viral clearance is the constraint that defines the operating region</w:t>
      </w:r>
      <w:r>
        <w:t xml:space="preserve"> </w:t>
      </w:r>
      <w:r>
        <w:t xml:space="preserve">for this step.</w:t>
      </w:r>
    </w:p>
    <w:p>
      <w:pPr>
        <w:pStyle w:val="BodyText"/>
      </w:pPr>
      <w:r>
        <w:t xml:space="preserve">The normal operating ranges given in</w:t>
      </w:r>
      <w:r>
        <w:t xml:space="preserve"> </w:t>
      </w:r>
      <w:hyperlink w:anchor="tbl-params">
        <w:r>
          <w:rPr>
            <w:rStyle w:val="Hyperlink"/>
          </w:rPr>
          <w:t xml:space="preserve">Table 7</w:t>
        </w:r>
      </w:hyperlink>
      <w:r>
        <w:t xml:space="preserve"> </w:t>
      </w:r>
      <w:r>
        <w:t xml:space="preserve">sit inside the characterized region, which in</w:t>
      </w:r>
      <w:r>
        <w:t xml:space="preserve"> </w:t>
      </w:r>
      <w:r>
        <w:t xml:space="preserve">turn sits inside the knowledge space bounded by the same table. At the worst case corner of the</w:t>
      </w:r>
      <w:r>
        <w:t xml:space="preserve"> </w:t>
      </w:r>
      <w:r>
        <w:t xml:space="preserve">normal operating ranges the model predicts an MVM log reduction factor of</w:t>
      </w:r>
      <w:r>
        <w:t xml:space="preserve"> </w:t>
      </w:r>
      <w:r>
        <w:t xml:space="preserve">4.20 log₁₀, a margin of</w:t>
      </w:r>
      <w:r>
        <w:t xml:space="preserve"> </w:t>
      </w:r>
      <w:r>
        <w:t xml:space="preserve">0.92 log₁₀ over the requirement, while pool HCP at the corresponding purity corner is 22.0 ng/mg, and the commercial step will be operated well inside the region on both constraints.</w:t>
      </w:r>
    </w:p>
    <w:p>
      <w:pPr>
        <w:pStyle w:val="BodyText"/>
      </w:pPr>
      <w:r>
        <w:t xml:space="preserve">An alternative approach was considered and rejected. The region could have been declared as a</w:t>
      </w:r>
      <w:r>
        <w:t xml:space="preserve"> </w:t>
      </w:r>
      <w:r>
        <w:t xml:space="preserve">set of independent one-dimensional ranges, one per parameter, each proven with the others held</w:t>
      </w:r>
      <w:r>
        <w:t xml:space="preserve"> </w:t>
      </w:r>
      <w:r>
        <w:t xml:space="preserve">at set-point. While that approach is simpler to state, it discards the information that load pH</w:t>
      </w:r>
      <w:r>
        <w:t xml:space="preserve"> </w:t>
      </w:r>
      <w:r>
        <w:t xml:space="preserve">and load conductivity trade against each other. It unnecessarily constrains the operating region. The multivariate statement is used instead, and the univariate ranges are reported</w:t>
      </w:r>
      <w:r>
        <w:t xml:space="preserve"> </w:t>
      </w:r>
      <w:r>
        <w:t xml:space="preserve">separately in §7.</w:t>
      </w:r>
    </w:p>
    <w:p>
      <w:pPr>
        <w:pStyle w:val="BodyText"/>
      </w:pPr>
      <w:r>
        <w:t xml:space="preserve">Three bounds apply to the design space claim. The first is a range bound, since the region is</w:t>
      </w:r>
      <w:r>
        <w:t xml:space="preserve"> </w:t>
      </w:r>
      <w:r>
        <w:t xml:space="preserve">defined only over the parameter ranges in</w:t>
      </w:r>
      <w:r>
        <w:t xml:space="preserve"> </w:t>
      </w:r>
      <w:hyperlink w:anchor="tbl-params">
        <w:r>
          <w:rPr>
            <w:rStyle w:val="Hyperlink"/>
          </w:rPr>
          <w:t xml:space="preserve">Table 7</w:t>
        </w:r>
      </w:hyperlink>
      <w:r>
        <w:t xml:space="preserve"> </w:t>
      </w:r>
      <w:r>
        <w:t xml:space="preserve">and no claim is made outside them. The</w:t>
      </w:r>
      <w:r>
        <w:t xml:space="preserve"> </w:t>
      </w:r>
      <w:r>
        <w:t xml:space="preserve">second is a model bound, since the response-surface models predict mean levels of each response.</w:t>
      </w:r>
      <w:r>
        <w:t xml:space="preserve"> </w:t>
      </w:r>
      <w:r>
        <w:t xml:space="preserve">At the edge of a region defined on mean levels the reliability of meeting the criterion</w:t>
      </w:r>
      <w:r>
        <w:t xml:space="preserve"> </w:t>
      </w:r>
      <w:r>
        <w:t xml:space="preserve">approaches one half if the variability is symmetric about the mean. Assurance at commercial</w:t>
      </w:r>
      <w:r>
        <w:t xml:space="preserve"> </w:t>
      </w:r>
      <w:r>
        <w:t xml:space="preserve">scale is established separately in §8 and is not read off this section. The third is a scale</w:t>
      </w:r>
      <w:r>
        <w:t xml:space="preserve"> </w:t>
      </w:r>
      <w:r>
        <w:t xml:space="preserve">bound, since the region rests on the qualified scale-down model (§3.1), and design spaces are not confirmed at scale at the edges of the ranges.</w:t>
      </w:r>
    </w:p>
    <w:p>
      <w:pPr>
        <w:pStyle w:val="BodyText"/>
      </w:pPr>
      <w:r>
        <w:t xml:space="preserve">Movement within the design space is not considered a change from a regulatory filing</w:t>
      </w:r>
      <w:r>
        <w:t xml:space="preserve"> </w:t>
      </w:r>
      <w:r>
        <w:t xml:space="preserve">perspective, as stated in ICH Q8</w:t>
      </w:r>
      <w:r>
        <w:t xml:space="preserve"> </w:t>
      </w:r>
      <w:r>
        <w:t xml:space="preserve">(International Council for Harmonisation 2009)</w:t>
      </w:r>
      <w:r>
        <w:t xml:space="preserve">, although any planned movement is still assessed</w:t>
      </w:r>
      <w:r>
        <w:t xml:space="preserve"> </w:t>
      </w:r>
      <w:r>
        <w:t xml:space="preserve">prospectively under the pharmaceutical quality system in accordance with ICH Q10</w:t>
      </w:r>
      <w:r>
        <w:t xml:space="preserve"> </w:t>
      </w:r>
      <w:r>
        <w:t xml:space="preserve">(International Council for Harmonisation 2008)</w:t>
      </w:r>
      <w:r>
        <w:t xml:space="preserve">.</w:t>
      </w:r>
      <w:r>
        <w:t xml:space="preserve"> </w:t>
      </w:r>
      <w:r>
        <w:t xml:space="preserve">Operation outside the region requires change control and supporting data.</w:t>
      </w:r>
    </w:p>
    <w:p>
      <w:r>
        <w:br w:type="page"/>
      </w:r>
    </w:p>
    <w:bookmarkEnd w:id="71"/>
    <w:bookmarkStart w:id="85" w:name="proven-acceptable-ranges"/>
    <w:p>
      <w:pPr>
        <w:pStyle w:val="Heading1"/>
      </w:pPr>
      <w:r>
        <w:t xml:space="preserve">7. Proven acceptable ranges</w:t>
      </w:r>
    </w:p>
    <w:p>
      <w:pPr>
        <w:pStyle w:val="FirstParagraph"/>
      </w:pPr>
      <w:r>
        <w:t xml:space="preserve">Each characterized parameter is proven acceptable across its entire characterization range, for</w:t>
      </w:r>
      <w:r>
        <w:t xml:space="preserve"> </w:t>
      </w:r>
      <w:r>
        <w:t xml:space="preserve">every quality attribute the step governs. The acceptance basis differs by attribute: for pool</w:t>
      </w:r>
      <w:r>
        <w:t xml:space="preserve"> </w:t>
      </w:r>
      <w:r>
        <w:t xml:space="preserve">HCP the criterion is the drug substance specification, which is applied directly to the pool because no later step clears HCP, whereas for the two viral clearance responses the criterion is the</w:t>
      </w:r>
      <w:r>
        <w:t xml:space="preserve"> </w:t>
      </w:r>
      <w:r>
        <w:t xml:space="preserve">step contribution back-calculated from the cumulative requirement, as described above (§2.2).</w:t>
      </w:r>
    </w:p>
    <w:p>
      <w:pPr>
        <w:pStyle w:val="BodyText"/>
      </w:pPr>
      <w:r>
        <w:t xml:space="preserve">Two analyses were run for every combination of attribute and parameter. The first holds the</w:t>
      </w:r>
      <w:r>
        <w:t xml:space="preserve"> </w:t>
      </w:r>
      <w:r>
        <w:t xml:space="preserve">other parameters at set-point and finds the range of the parameter over which the predicted</w:t>
      </w:r>
      <w:r>
        <w:t xml:space="preserve"> </w:t>
      </w:r>
      <w:r>
        <w:t xml:space="preserve">response stays within acceptance. The second varies the other parameters within their normal</w:t>
      </w:r>
      <w:r>
        <w:t xml:space="preserve"> </w:t>
      </w:r>
      <w:r>
        <w:t xml:space="preserve">operating ranges by Monte-Carlo simulation of the fitted response-surface model. The proven</w:t>
      </w:r>
      <w:r>
        <w:t xml:space="preserve"> </w:t>
      </w:r>
      <w:r>
        <w:t xml:space="preserve">acceptable range is then the range over which the 95% predictive interval of</w:t>
      </w:r>
      <w:r>
        <w:t xml:space="preserve"> </w:t>
      </w:r>
      <w:r>
        <w:t xml:space="preserve">the response stays within acceptance. Because the second analysis is a robustness criterion, it</w:t>
      </w:r>
      <w:r>
        <w:t xml:space="preserve"> </w:t>
      </w:r>
      <w:r>
        <w:t xml:space="preserve">cannot be wider than the first. Both are given in</w:t>
      </w:r>
      <w:r>
        <w:t xml:space="preserve"> </w:t>
      </w:r>
      <w:hyperlink w:anchor="tbl-par">
        <w:r>
          <w:rPr>
            <w:rStyle w:val="Hyperlink"/>
          </w:rPr>
          <w:t xml:space="preserve">Table 19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2" w:name="tbl-par"/>
          <w:p>
            <w:pPr>
              <w:jc w:val="center"/>
            </w:pPr>
            <w:pPr>
              <w:jc w:val="left"/>
              <w:spacing w:before="200"/>
              <w:pStyle w:val="ImageCaption"/>
            </w:pPr>
            <w:r>
              <w:t xml:space="preserve">Table 19: Proven acceptable ranges at set-point and with the remaining parameters varying within their normal operating ranges.</w:t>
            </w:r>
          </w:p>
          <w:tbl>
            <w:tblPr>
              <w:tblStyle w:val="Table"/>
              <w:tblW w:type="pct" w:w="5000"/>
              <w:tblLayout w:type="fixed"/>
              <w:tblLook w:firstRow="1" w:lastRow="0" w:firstColumn="0" w:lastColumn="0" w:noHBand="0" w:noVBand="0" w:val="0020"/>
            </w:tblPr>
            <w:tblGrid>
              <w:gridCol w:w="1446"/>
              <w:gridCol w:w="2056"/>
              <w:gridCol w:w="1142"/>
              <w:gridCol w:w="837"/>
              <w:gridCol w:w="1446"/>
              <w:gridCol w:w="990"/>
            </w:tblGrid>
            <w:tr>
              <w:trPr>
                <w:tblHeader w:val="on"/>
              </w:trPr>
              <w:tc>
                <w:tcPr/>
                <w:p>
                  <w:pPr>
                    <w:pStyle w:val="Compact"/>
                    <w:jc w:val="left"/>
                    <w:jc w:val="center"/>
                  </w:pPr>
                  <w:r>
                    <w:t xml:space="preserve">CQA</w:t>
                  </w:r>
                </w:p>
              </w:tc>
              <w:tc>
                <w:tcPr/>
                <w:p>
                  <w:pPr>
                    <w:pStyle w:val="Compact"/>
                    <w:jc w:val="left"/>
                    <w:jc w:val="center"/>
                  </w:pPr>
                  <w:r>
                    <w:t xml:space="preserve">Parameter</w:t>
                  </w:r>
                </w:p>
              </w:tc>
              <w:tc>
                <w:tcPr/>
                <w:p>
                  <w:pPr>
                    <w:pStyle w:val="Compact"/>
                    <w:jc w:val="left"/>
                    <w:jc w:val="center"/>
                  </w:pPr>
                  <w:r>
                    <w:t xml:space="preserve">Char. range</w:t>
                  </w:r>
                </w:p>
              </w:tc>
              <w:tc>
                <w:tcPr/>
                <w:p>
                  <w:pPr>
                    <w:pStyle w:val="Compact"/>
                    <w:jc w:val="left"/>
                    <w:jc w:val="center"/>
                  </w:pPr>
                  <w:r>
                    <w:t xml:space="preserve">Unit</w:t>
                  </w:r>
                </w:p>
              </w:tc>
              <w:tc>
                <w:tcPr/>
                <w:p>
                  <w:pPr>
                    <w:pStyle w:val="Compact"/>
                    <w:jc w:val="left"/>
                    <w:jc w:val="center"/>
                  </w:pPr>
                  <w:r>
                    <w:t xml:space="preserve">PAR (set-point)</w:t>
                  </w:r>
                </w:p>
              </w:tc>
              <w:tc>
                <w:tcPr/>
                <w:p>
                  <w:pPr>
                    <w:pStyle w:val="Compact"/>
                    <w:jc w:val="left"/>
                    <w:jc w:val="center"/>
                  </w:pPr>
                  <w:r>
                    <w:t xml:space="preserve">PAR (NOR)</w:t>
                  </w:r>
                </w:p>
              </w:tc>
            </w:tr>
            <w:tr>
              <w:tc>
                <w:tcPr/>
                <w:p>
                  <w:pPr>
                    <w:pStyle w:val="Compact"/>
                    <w:jc w:val="left"/>
                    <w:jc w:val="center"/>
                  </w:pPr>
                  <w:r>
                    <w:t xml:space="preserve">Pool HCP (ng/mg)</w:t>
                  </w:r>
                </w:p>
              </w:tc>
              <w:tc>
                <w:tcPr/>
                <w:p>
                  <w:pPr>
                    <w:pStyle w:val="Compact"/>
                    <w:jc w:val="left"/>
                    <w:jc w:val="center"/>
                  </w:pPr>
                  <w:r>
                    <w:t xml:space="preserve">Load pH</w:t>
                  </w:r>
                </w:p>
              </w:tc>
              <w:tc>
                <w:tcPr/>
                <w:p>
                  <w:pPr>
                    <w:pStyle w:val="Compact"/>
                    <w:jc w:val="left"/>
                    <w:jc w:val="center"/>
                  </w:pPr>
                  <w:r>
                    <w:t xml:space="preserve">7.2–7.8</w:t>
                  </w:r>
                </w:p>
              </w:tc>
              <w:tc>
                <w:tcPr/>
                <w:p>
                  <w:pPr>
                    <w:pStyle w:val="Compact"/>
                    <w:jc w:val="left"/>
                    <w:jc w:val="center"/>
                  </w:pPr>
                  <w:r>
                    <w:t xml:space="preserve">pH</w:t>
                  </w:r>
                </w:p>
              </w:tc>
              <w:tc>
                <w:tcPr/>
                <w:p>
                  <w:pPr>
                    <w:pStyle w:val="Compact"/>
                    <w:jc w:val="left"/>
                    <w:jc w:val="center"/>
                  </w:pPr>
                  <w:r>
                    <w:t xml:space="preserve">7.2–7.8</w:t>
                  </w:r>
                </w:p>
              </w:tc>
              <w:tc>
                <w:tcPr/>
                <w:p>
                  <w:pPr>
                    <w:pStyle w:val="Compact"/>
                    <w:jc w:val="left"/>
                    <w:jc w:val="center"/>
                  </w:pPr>
                  <w:r>
                    <w:t xml:space="preserve">7.2–7.8</w:t>
                  </w:r>
                </w:p>
              </w:tc>
            </w:tr>
            <w:tr>
              <w:tc>
                <w:tcPr/>
                <w:p>
                  <w:pPr>
                    <w:pStyle w:val="Compact"/>
                    <w:jc w:val="left"/>
                    <w:jc w:val="center"/>
                  </w:pPr>
                  <w:r>
                    <w:t xml:space="preserve">Pool HCP (ng/mg)</w:t>
                  </w:r>
                </w:p>
              </w:tc>
              <w:tc>
                <w:tcPr/>
                <w:p>
                  <w:pPr>
                    <w:pStyle w:val="Compact"/>
                    <w:jc w:val="left"/>
                    <w:jc w:val="center"/>
                  </w:pPr>
                  <w:r>
                    <w:t xml:space="preserve">Equil/Wash-1 conductivity</w:t>
                  </w:r>
                </w:p>
              </w:tc>
              <w:tc>
                <w:tcPr/>
                <w:p>
                  <w:pPr>
                    <w:pStyle w:val="Compact"/>
                    <w:jc w:val="left"/>
                    <w:jc w:val="center"/>
                  </w:pPr>
                  <w:r>
                    <w:t xml:space="preserve">1.6–3.6</w:t>
                  </w:r>
                </w:p>
              </w:tc>
              <w:tc>
                <w:tcPr/>
                <w:p>
                  <w:pPr>
                    <w:pStyle w:val="Compact"/>
                    <w:jc w:val="left"/>
                    <w:jc w:val="center"/>
                  </w:pPr>
                  <w:r>
                    <w:t xml:space="preserve">mS/cm</w:t>
                  </w:r>
                </w:p>
              </w:tc>
              <w:tc>
                <w:tcPr/>
                <w:p>
                  <w:pPr>
                    <w:pStyle w:val="Compact"/>
                    <w:jc w:val="left"/>
                    <w:jc w:val="center"/>
                  </w:pPr>
                  <w:r>
                    <w:t xml:space="preserve">1.6–3.6</w:t>
                  </w:r>
                </w:p>
              </w:tc>
              <w:tc>
                <w:tcPr/>
                <w:p>
                  <w:pPr>
                    <w:pStyle w:val="Compact"/>
                    <w:jc w:val="left"/>
                    <w:jc w:val="center"/>
                  </w:pPr>
                  <w:r>
                    <w:t xml:space="preserve">1.6–3.6</w:t>
                  </w:r>
                </w:p>
              </w:tc>
            </w:tr>
            <w:tr>
              <w:tc>
                <w:tcPr/>
                <w:p>
                  <w:pPr>
                    <w:pStyle w:val="Compact"/>
                    <w:jc w:val="left"/>
                    <w:jc w:val="center"/>
                  </w:pPr>
                  <w:r>
                    <w:t xml:space="preserve">Pool HCP (ng/mg)</w:t>
                  </w:r>
                </w:p>
              </w:tc>
              <w:tc>
                <w:tcPr/>
                <w:p>
                  <w:pPr>
                    <w:pStyle w:val="Compact"/>
                    <w:jc w:val="left"/>
                    <w:jc w:val="center"/>
                  </w:pPr>
                  <w:r>
                    <w:t xml:space="preserve">Load conductivity</w:t>
                  </w:r>
                </w:p>
              </w:tc>
              <w:tc>
                <w:tcPr/>
                <w:p>
                  <w:pPr>
                    <w:pStyle w:val="Compact"/>
                    <w:jc w:val="left"/>
                    <w:jc w:val="center"/>
                  </w:pPr>
                  <w:r>
                    <w:t xml:space="preserve">3–8</w:t>
                  </w:r>
                </w:p>
              </w:tc>
              <w:tc>
                <w:tcPr/>
                <w:p>
                  <w:pPr>
                    <w:pStyle w:val="Compact"/>
                    <w:jc w:val="left"/>
                    <w:jc w:val="center"/>
                  </w:pPr>
                  <w:r>
                    <w:t xml:space="preserve">mS/cm</w:t>
                  </w:r>
                </w:p>
              </w:tc>
              <w:tc>
                <w:tcPr/>
                <w:p>
                  <w:pPr>
                    <w:pStyle w:val="Compact"/>
                    <w:jc w:val="left"/>
                    <w:jc w:val="center"/>
                  </w:pPr>
                  <w:r>
                    <w:t xml:space="preserve">3–8</w:t>
                  </w:r>
                </w:p>
              </w:tc>
              <w:tc>
                <w:tcPr/>
                <w:p>
                  <w:pPr>
                    <w:pStyle w:val="Compact"/>
                    <w:jc w:val="left"/>
                    <w:jc w:val="center"/>
                  </w:pPr>
                  <w:r>
                    <w:t xml:space="preserve">3–8</w:t>
                  </w:r>
                </w:p>
              </w:tc>
            </w:tr>
            <w:tr>
              <w:tc>
                <w:tcPr/>
                <w:p>
                  <w:pPr>
                    <w:pStyle w:val="Compact"/>
                    <w:jc w:val="left"/>
                    <w:jc w:val="center"/>
                  </w:pPr>
                  <w:r>
                    <w:t xml:space="preserve">Pool HCP (ng/mg)</w:t>
                  </w:r>
                </w:p>
              </w:tc>
              <w:tc>
                <w:tcPr/>
                <w:p>
                  <w:pPr>
                    <w:pStyle w:val="Compact"/>
                    <w:jc w:val="left"/>
                    <w:jc w:val="center"/>
                  </w:pPr>
                  <w:r>
                    <w:t xml:space="preserve">Protein load</w:t>
                  </w:r>
                </w:p>
              </w:tc>
              <w:tc>
                <w:tcPr/>
                <w:p>
                  <w:pPr>
                    <w:pStyle w:val="Compact"/>
                    <w:jc w:val="left"/>
                    <w:jc w:val="center"/>
                  </w:pPr>
                  <w:r>
                    <w:t xml:space="preserve">50–300</w:t>
                  </w:r>
                </w:p>
              </w:tc>
              <w:tc>
                <w:tcPr/>
                <w:p>
                  <w:pPr>
                    <w:pStyle w:val="Compact"/>
                    <w:jc w:val="left"/>
                    <w:jc w:val="center"/>
                  </w:pPr>
                  <w:r>
                    <w:t xml:space="preserve">g/L resin</w:t>
                  </w:r>
                </w:p>
              </w:tc>
              <w:tc>
                <w:tcPr/>
                <w:p>
                  <w:pPr>
                    <w:pStyle w:val="Compact"/>
                    <w:jc w:val="left"/>
                    <w:jc w:val="center"/>
                  </w:pPr>
                  <w:r>
                    <w:t xml:space="preserve">50–300</w:t>
                  </w:r>
                </w:p>
              </w:tc>
              <w:tc>
                <w:tcPr/>
                <w:p>
                  <w:pPr>
                    <w:pStyle w:val="Compact"/>
                    <w:jc w:val="left"/>
                    <w:jc w:val="center"/>
                  </w:pPr>
                  <w:r>
                    <w:t xml:space="preserve">50–300</w:t>
                  </w:r>
                </w:p>
              </w:tc>
            </w:tr>
            <w:tr>
              <w:tc>
                <w:tcPr/>
                <w:p>
                  <w:pPr>
                    <w:pStyle w:val="Compact"/>
                    <w:jc w:val="left"/>
                    <w:jc w:val="center"/>
                  </w:pPr>
                  <w:r>
                    <w:t xml:space="preserve">XMuLV LRF (log₁₀)</w:t>
                  </w:r>
                </w:p>
              </w:tc>
              <w:tc>
                <w:tcPr/>
                <w:p>
                  <w:pPr>
                    <w:pStyle w:val="Compact"/>
                    <w:jc w:val="left"/>
                    <w:jc w:val="center"/>
                  </w:pPr>
                  <w:r>
                    <w:t xml:space="preserve">Load pH</w:t>
                  </w:r>
                </w:p>
              </w:tc>
              <w:tc>
                <w:tcPr/>
                <w:p>
                  <w:pPr>
                    <w:pStyle w:val="Compact"/>
                    <w:jc w:val="left"/>
                    <w:jc w:val="center"/>
                  </w:pPr>
                  <w:r>
                    <w:t xml:space="preserve">7.2–7.8</w:t>
                  </w:r>
                </w:p>
              </w:tc>
              <w:tc>
                <w:tcPr/>
                <w:p>
                  <w:pPr>
                    <w:pStyle w:val="Compact"/>
                    <w:jc w:val="left"/>
                    <w:jc w:val="center"/>
                  </w:pPr>
                  <w:r>
                    <w:t xml:space="preserve">pH</w:t>
                  </w:r>
                </w:p>
              </w:tc>
              <w:tc>
                <w:tcPr/>
                <w:p>
                  <w:pPr>
                    <w:pStyle w:val="Compact"/>
                    <w:jc w:val="left"/>
                    <w:jc w:val="center"/>
                  </w:pPr>
                  <w:r>
                    <w:t xml:space="preserve">7.2–7.8</w:t>
                  </w:r>
                </w:p>
              </w:tc>
              <w:tc>
                <w:tcPr/>
                <w:p>
                  <w:pPr>
                    <w:pStyle w:val="Compact"/>
                    <w:jc w:val="left"/>
                    <w:jc w:val="center"/>
                  </w:pPr>
                  <w:r>
                    <w:t xml:space="preserve">7.2–7.8</w:t>
                  </w:r>
                </w:p>
              </w:tc>
            </w:tr>
            <w:tr>
              <w:tc>
                <w:tcPr/>
                <w:p>
                  <w:pPr>
                    <w:pStyle w:val="Compact"/>
                    <w:jc w:val="left"/>
                    <w:jc w:val="center"/>
                  </w:pPr>
                  <w:r>
                    <w:t xml:space="preserve">XMuLV LRF (log₁₀)</w:t>
                  </w:r>
                </w:p>
              </w:tc>
              <w:tc>
                <w:tcPr/>
                <w:p>
                  <w:pPr>
                    <w:pStyle w:val="Compact"/>
                    <w:jc w:val="left"/>
                    <w:jc w:val="center"/>
                  </w:pPr>
                  <w:r>
                    <w:t xml:space="preserve">Equil/Wash-1 conductivity</w:t>
                  </w:r>
                </w:p>
              </w:tc>
              <w:tc>
                <w:tcPr/>
                <w:p>
                  <w:pPr>
                    <w:pStyle w:val="Compact"/>
                    <w:jc w:val="left"/>
                    <w:jc w:val="center"/>
                  </w:pPr>
                  <w:r>
                    <w:t xml:space="preserve">1.6–3.6</w:t>
                  </w:r>
                </w:p>
              </w:tc>
              <w:tc>
                <w:tcPr/>
                <w:p>
                  <w:pPr>
                    <w:pStyle w:val="Compact"/>
                    <w:jc w:val="left"/>
                    <w:jc w:val="center"/>
                  </w:pPr>
                  <w:r>
                    <w:t xml:space="preserve">mS/cm</w:t>
                  </w:r>
                </w:p>
              </w:tc>
              <w:tc>
                <w:tcPr/>
                <w:p>
                  <w:pPr>
                    <w:pStyle w:val="Compact"/>
                    <w:jc w:val="left"/>
                    <w:jc w:val="center"/>
                  </w:pPr>
                  <w:r>
                    <w:t xml:space="preserve">1.6–3.6</w:t>
                  </w:r>
                </w:p>
              </w:tc>
              <w:tc>
                <w:tcPr/>
                <w:p>
                  <w:pPr>
                    <w:pStyle w:val="Compact"/>
                    <w:jc w:val="left"/>
                    <w:jc w:val="center"/>
                  </w:pPr>
                  <w:r>
                    <w:t xml:space="preserve">1.6–3.6</w:t>
                  </w:r>
                </w:p>
              </w:tc>
            </w:tr>
            <w:tr>
              <w:tc>
                <w:tcPr/>
                <w:p>
                  <w:pPr>
                    <w:pStyle w:val="Compact"/>
                    <w:jc w:val="left"/>
                    <w:jc w:val="center"/>
                  </w:pPr>
                  <w:r>
                    <w:t xml:space="preserve">XMuLV LRF (log₁₀)</w:t>
                  </w:r>
                </w:p>
              </w:tc>
              <w:tc>
                <w:tcPr/>
                <w:p>
                  <w:pPr>
                    <w:pStyle w:val="Compact"/>
                    <w:jc w:val="left"/>
                    <w:jc w:val="center"/>
                  </w:pPr>
                  <w:r>
                    <w:t xml:space="preserve">Load conductivity</w:t>
                  </w:r>
                </w:p>
              </w:tc>
              <w:tc>
                <w:tcPr/>
                <w:p>
                  <w:pPr>
                    <w:pStyle w:val="Compact"/>
                    <w:jc w:val="left"/>
                    <w:jc w:val="center"/>
                  </w:pPr>
                  <w:r>
                    <w:t xml:space="preserve">3–8</w:t>
                  </w:r>
                </w:p>
              </w:tc>
              <w:tc>
                <w:tcPr/>
                <w:p>
                  <w:pPr>
                    <w:pStyle w:val="Compact"/>
                    <w:jc w:val="left"/>
                    <w:jc w:val="center"/>
                  </w:pPr>
                  <w:r>
                    <w:t xml:space="preserve">mS/cm</w:t>
                  </w:r>
                </w:p>
              </w:tc>
              <w:tc>
                <w:tcPr/>
                <w:p>
                  <w:pPr>
                    <w:pStyle w:val="Compact"/>
                    <w:jc w:val="left"/>
                    <w:jc w:val="center"/>
                  </w:pPr>
                  <w:r>
                    <w:t xml:space="preserve">3–8</w:t>
                  </w:r>
                </w:p>
              </w:tc>
              <w:tc>
                <w:tcPr/>
                <w:p>
                  <w:pPr>
                    <w:pStyle w:val="Compact"/>
                    <w:jc w:val="left"/>
                    <w:jc w:val="center"/>
                  </w:pPr>
                  <w:r>
                    <w:t xml:space="preserve">3–8</w:t>
                  </w:r>
                </w:p>
              </w:tc>
            </w:tr>
            <w:tr>
              <w:tc>
                <w:tcPr/>
                <w:p>
                  <w:pPr>
                    <w:pStyle w:val="Compact"/>
                    <w:jc w:val="left"/>
                    <w:jc w:val="center"/>
                  </w:pPr>
                  <w:r>
                    <w:t xml:space="preserve">XMuLV LRF (log₁₀)</w:t>
                  </w:r>
                </w:p>
              </w:tc>
              <w:tc>
                <w:tcPr/>
                <w:p>
                  <w:pPr>
                    <w:pStyle w:val="Compact"/>
                    <w:jc w:val="left"/>
                    <w:jc w:val="center"/>
                  </w:pPr>
                  <w:r>
                    <w:t xml:space="preserve">Protein load</w:t>
                  </w:r>
                </w:p>
              </w:tc>
              <w:tc>
                <w:tcPr/>
                <w:p>
                  <w:pPr>
                    <w:pStyle w:val="Compact"/>
                    <w:jc w:val="left"/>
                    <w:jc w:val="center"/>
                  </w:pPr>
                  <w:r>
                    <w:t xml:space="preserve">50–300</w:t>
                  </w:r>
                </w:p>
              </w:tc>
              <w:tc>
                <w:tcPr/>
                <w:p>
                  <w:pPr>
                    <w:pStyle w:val="Compact"/>
                    <w:jc w:val="left"/>
                    <w:jc w:val="center"/>
                  </w:pPr>
                  <w:r>
                    <w:t xml:space="preserve">g/L resin</w:t>
                  </w:r>
                </w:p>
              </w:tc>
              <w:tc>
                <w:tcPr/>
                <w:p>
                  <w:pPr>
                    <w:pStyle w:val="Compact"/>
                    <w:jc w:val="left"/>
                    <w:jc w:val="center"/>
                  </w:pPr>
                  <w:r>
                    <w:t xml:space="preserve">50–300</w:t>
                  </w:r>
                </w:p>
              </w:tc>
              <w:tc>
                <w:tcPr/>
                <w:p>
                  <w:pPr>
                    <w:pStyle w:val="Compact"/>
                    <w:jc w:val="left"/>
                    <w:jc w:val="center"/>
                  </w:pPr>
                  <w:r>
                    <w:t xml:space="preserve">50–300</w:t>
                  </w:r>
                </w:p>
              </w:tc>
            </w:tr>
            <w:tr>
              <w:tc>
                <w:tcPr/>
                <w:p>
                  <w:pPr>
                    <w:pStyle w:val="Compact"/>
                    <w:jc w:val="left"/>
                    <w:jc w:val="center"/>
                  </w:pPr>
                  <w:r>
                    <w:t xml:space="preserve">MVM LRF (log₁₀)</w:t>
                  </w:r>
                </w:p>
              </w:tc>
              <w:tc>
                <w:tcPr/>
                <w:p>
                  <w:pPr>
                    <w:pStyle w:val="Compact"/>
                    <w:jc w:val="left"/>
                    <w:jc w:val="center"/>
                  </w:pPr>
                  <w:r>
                    <w:t xml:space="preserve">Load pH</w:t>
                  </w:r>
                </w:p>
              </w:tc>
              <w:tc>
                <w:tcPr/>
                <w:p>
                  <w:pPr>
                    <w:pStyle w:val="Compact"/>
                    <w:jc w:val="left"/>
                    <w:jc w:val="center"/>
                  </w:pPr>
                  <w:r>
                    <w:t xml:space="preserve">7.2–7.8</w:t>
                  </w:r>
                </w:p>
              </w:tc>
              <w:tc>
                <w:tcPr/>
                <w:p>
                  <w:pPr>
                    <w:pStyle w:val="Compact"/>
                    <w:jc w:val="left"/>
                    <w:jc w:val="center"/>
                  </w:pPr>
                  <w:r>
                    <w:t xml:space="preserve">pH</w:t>
                  </w:r>
                </w:p>
              </w:tc>
              <w:tc>
                <w:tcPr/>
                <w:p>
                  <w:pPr>
                    <w:pStyle w:val="Compact"/>
                    <w:jc w:val="left"/>
                    <w:jc w:val="center"/>
                  </w:pPr>
                  <w:r>
                    <w:t xml:space="preserve">7.2–7.8</w:t>
                  </w:r>
                </w:p>
              </w:tc>
              <w:tc>
                <w:tcPr/>
                <w:p>
                  <w:pPr>
                    <w:pStyle w:val="Compact"/>
                    <w:jc w:val="left"/>
                    <w:jc w:val="center"/>
                  </w:pPr>
                  <w:r>
                    <w:t xml:space="preserve">7.2–7.8</w:t>
                  </w:r>
                </w:p>
              </w:tc>
            </w:tr>
            <w:tr>
              <w:tc>
                <w:tcPr/>
                <w:p>
                  <w:pPr>
                    <w:pStyle w:val="Compact"/>
                    <w:jc w:val="left"/>
                    <w:jc w:val="center"/>
                  </w:pPr>
                  <w:r>
                    <w:t xml:space="preserve">MVM LRF (log₁₀)</w:t>
                  </w:r>
                </w:p>
              </w:tc>
              <w:tc>
                <w:tcPr/>
                <w:p>
                  <w:pPr>
                    <w:pStyle w:val="Compact"/>
                    <w:jc w:val="left"/>
                    <w:jc w:val="center"/>
                  </w:pPr>
                  <w:r>
                    <w:t xml:space="preserve">Equil/Wash-1 conductivity</w:t>
                  </w:r>
                </w:p>
              </w:tc>
              <w:tc>
                <w:tcPr/>
                <w:p>
                  <w:pPr>
                    <w:pStyle w:val="Compact"/>
                    <w:jc w:val="left"/>
                    <w:jc w:val="center"/>
                  </w:pPr>
                  <w:r>
                    <w:t xml:space="preserve">1.6–3.6</w:t>
                  </w:r>
                </w:p>
              </w:tc>
              <w:tc>
                <w:tcPr/>
                <w:p>
                  <w:pPr>
                    <w:pStyle w:val="Compact"/>
                    <w:jc w:val="left"/>
                    <w:jc w:val="center"/>
                  </w:pPr>
                  <w:r>
                    <w:t xml:space="preserve">mS/cm</w:t>
                  </w:r>
                </w:p>
              </w:tc>
              <w:tc>
                <w:tcPr/>
                <w:p>
                  <w:pPr>
                    <w:pStyle w:val="Compact"/>
                    <w:jc w:val="left"/>
                    <w:jc w:val="center"/>
                  </w:pPr>
                  <w:r>
                    <w:t xml:space="preserve">1.6–3.6</w:t>
                  </w:r>
                </w:p>
              </w:tc>
              <w:tc>
                <w:tcPr/>
                <w:p>
                  <w:pPr>
                    <w:pStyle w:val="Compact"/>
                    <w:jc w:val="left"/>
                    <w:jc w:val="center"/>
                  </w:pPr>
                  <w:r>
                    <w:t xml:space="preserve">1.6–3.6</w:t>
                  </w:r>
                </w:p>
              </w:tc>
            </w:tr>
            <w:tr>
              <w:tc>
                <w:tcPr/>
                <w:p>
                  <w:pPr>
                    <w:pStyle w:val="Compact"/>
                    <w:jc w:val="left"/>
                    <w:jc w:val="center"/>
                  </w:pPr>
                  <w:r>
                    <w:t xml:space="preserve">MVM LRF (log₁₀)</w:t>
                  </w:r>
                </w:p>
              </w:tc>
              <w:tc>
                <w:tcPr/>
                <w:p>
                  <w:pPr>
                    <w:pStyle w:val="Compact"/>
                    <w:jc w:val="left"/>
                    <w:jc w:val="center"/>
                  </w:pPr>
                  <w:r>
                    <w:t xml:space="preserve">Load conductivity</w:t>
                  </w:r>
                </w:p>
              </w:tc>
              <w:tc>
                <w:tcPr/>
                <w:p>
                  <w:pPr>
                    <w:pStyle w:val="Compact"/>
                    <w:jc w:val="left"/>
                    <w:jc w:val="center"/>
                  </w:pPr>
                  <w:r>
                    <w:t xml:space="preserve">3–8</w:t>
                  </w:r>
                </w:p>
              </w:tc>
              <w:tc>
                <w:tcPr/>
                <w:p>
                  <w:pPr>
                    <w:pStyle w:val="Compact"/>
                    <w:jc w:val="left"/>
                    <w:jc w:val="center"/>
                  </w:pPr>
                  <w:r>
                    <w:t xml:space="preserve">mS/cm</w:t>
                  </w:r>
                </w:p>
              </w:tc>
              <w:tc>
                <w:tcPr/>
                <w:p>
                  <w:pPr>
                    <w:pStyle w:val="Compact"/>
                    <w:jc w:val="left"/>
                    <w:jc w:val="center"/>
                  </w:pPr>
                  <w:r>
                    <w:t xml:space="preserve">3–8</w:t>
                  </w:r>
                </w:p>
              </w:tc>
              <w:tc>
                <w:tcPr/>
                <w:p>
                  <w:pPr>
                    <w:pStyle w:val="Compact"/>
                    <w:jc w:val="left"/>
                    <w:jc w:val="center"/>
                  </w:pPr>
                  <w:r>
                    <w:t xml:space="preserve">3–8</w:t>
                  </w:r>
                </w:p>
              </w:tc>
            </w:tr>
            <w:tr>
              <w:tc>
                <w:tcPr/>
                <w:p>
                  <w:pPr>
                    <w:pStyle w:val="Compact"/>
                    <w:jc w:val="left"/>
                    <w:jc w:val="center"/>
                  </w:pPr>
                  <w:r>
                    <w:t xml:space="preserve">MVM LRF (log₁₀)</w:t>
                  </w:r>
                </w:p>
              </w:tc>
              <w:tc>
                <w:tcPr/>
                <w:p>
                  <w:pPr>
                    <w:pStyle w:val="Compact"/>
                    <w:jc w:val="left"/>
                    <w:jc w:val="center"/>
                  </w:pPr>
                  <w:r>
                    <w:t xml:space="preserve">Protein load</w:t>
                  </w:r>
                </w:p>
              </w:tc>
              <w:tc>
                <w:tcPr/>
                <w:p>
                  <w:pPr>
                    <w:pStyle w:val="Compact"/>
                    <w:jc w:val="left"/>
                    <w:jc w:val="center"/>
                  </w:pPr>
                  <w:r>
                    <w:t xml:space="preserve">50–300</w:t>
                  </w:r>
                </w:p>
              </w:tc>
              <w:tc>
                <w:tcPr/>
                <w:p>
                  <w:pPr>
                    <w:pStyle w:val="Compact"/>
                    <w:jc w:val="left"/>
                    <w:jc w:val="center"/>
                  </w:pPr>
                  <w:r>
                    <w:t xml:space="preserve">g/L resin</w:t>
                  </w:r>
                </w:p>
              </w:tc>
              <w:tc>
                <w:tcPr/>
                <w:p>
                  <w:pPr>
                    <w:pStyle w:val="Compact"/>
                    <w:jc w:val="left"/>
                    <w:jc w:val="center"/>
                  </w:pPr>
                  <w:r>
                    <w:t xml:space="preserve">50–300</w:t>
                  </w:r>
                </w:p>
              </w:tc>
              <w:tc>
                <w:tcPr/>
                <w:p>
                  <w:pPr>
                    <w:pStyle w:val="Compact"/>
                    <w:jc w:val="left"/>
                    <w:jc w:val="center"/>
                  </w:pPr>
                  <w:r>
                    <w:t xml:space="preserve">50–300</w:t>
                  </w:r>
                </w:p>
              </w:tc>
            </w:tr>
          </w:tbl>
          <w:bookmarkEnd w:id="72"/>
          <w:p/>
        </w:tc>
      </w:tr>
    </w:tbl>
    <w:p>
      <w:pPr>
        <w:pStyle w:val="BodyText"/>
      </w:pPr>
      <w:r>
        <w:t xml:space="preserve">The two analyses coincide in every row, and both equal the characterization range. No parameter has a narrower proven acceptable range under NOR co-variation than it has at</w:t>
      </w:r>
      <w:r>
        <w:t xml:space="preserve"> </w:t>
      </w:r>
      <w:r>
        <w:t xml:space="preserve">set-point. The practical reading is that the step meets every acceptance criterion at any single</w:t>
      </w:r>
      <w:r>
        <w:t xml:space="preserve"> </w:t>
      </w:r>
      <w:r>
        <w:t xml:space="preserve">parameter setting inside the ranges studied, provided the remaining parameters stay within their</w:t>
      </w:r>
      <w:r>
        <w:t xml:space="preserve"> </w:t>
      </w:r>
      <w:r>
        <w:t xml:space="preserve">normal operating ranges.</w:t>
      </w:r>
    </w:p>
    <w:p>
      <w:pPr>
        <w:pStyle w:val="BodyText"/>
      </w:pPr>
      <w:r>
        <w:t xml:space="preserve">That result is not a statement that any combination of extremes is acceptable, because both</w:t>
      </w:r>
      <w:r>
        <w:t xml:space="preserve"> </w:t>
      </w:r>
      <w:r>
        <w:t xml:space="preserve">analyses vary one parameter to its edge while the others stay at set-point or within their</w:t>
      </w:r>
      <w:r>
        <w:t xml:space="preserve"> </w:t>
      </w:r>
      <w:r>
        <w:t xml:space="preserve">normal operating ranges. The design space in §6 is the multivariate statement and it is the binding constraint on the operating region, and the worst case corner identified there lies outside</w:t>
      </w:r>
      <w:r>
        <w:t xml:space="preserve"> </w:t>
      </w:r>
      <w:r>
        <w:t xml:space="preserve">the conditions covered by either PAR analysis, since it sets two parameters to their edges</w:t>
      </w:r>
      <w:r>
        <w:t xml:space="preserve"> </w:t>
      </w:r>
      <w:r>
        <w:t xml:space="preserve">simultaneously.</w:t>
      </w:r>
    </w:p>
    <w:p>
      <w:pPr>
        <w:pStyle w:val="BodyText"/>
      </w:pPr>
      <w:r>
        <w:t xml:space="preserve">The margins behind the table are not uniform, and the tightest case is the MVM log reduction</w:t>
      </w:r>
      <w:r>
        <w:t xml:space="preserve"> </w:t>
      </w:r>
      <w:r>
        <w:t xml:space="preserve">factor against load pH, which is its governing parameter. Under NOR co-variation the lowest point</w:t>
      </w:r>
      <w:r>
        <w:t xml:space="preserve"> </w:t>
      </w:r>
      <w:r>
        <w:t xml:space="preserve">of the 95% predictive interval anywhere in that range is</w:t>
      </w:r>
      <w:r>
        <w:t xml:space="preserve"> </w:t>
      </w:r>
      <w:r>
        <w:t xml:space="preserve">3.33 log₁₀, which clears the required step contribution by</w:t>
      </w:r>
      <w:r>
        <w:t xml:space="preserve"> </w:t>
      </w:r>
      <w:r>
        <w:t xml:space="preserve">0.05 log₁₀. The proportion of simulated results within acceptance never falls below 98.0% at any point in the range. Both</w:t>
      </w:r>
      <w:r>
        <w:t xml:space="preserve"> </w:t>
      </w:r>
      <w:r>
        <w:t xml:space="preserve">analyses are shown in</w:t>
      </w:r>
      <w:r>
        <w:t xml:space="preserve"> </w:t>
      </w:r>
      <w:hyperlink w:anchor="fig-par-mvm">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fig-par-mvm"/>
          <w:p>
            <w:pPr>
              <w:pStyle w:val="Compact"/>
              <w:jc w:val="center"/>
            </w:pPr>
            <w:r>
              <w:drawing>
                <wp:inline>
                  <wp:extent cx="5334000" cy="1845992"/>
                  <wp:effectExtent b="0" l="0" r="0" t="0"/>
                  <wp:docPr descr="" title="" id="74" name="Picture"/>
                  <a:graphic>
                    <a:graphicData uri="http://schemas.openxmlformats.org/drawingml/2006/picture">
                      <pic:pic>
                        <pic:nvPicPr>
                          <pic:cNvPr descr="PCR-008_aex_files/figure-docx/fig-par-mvm-output-1.png" id="75" name="Picture"/>
                          <pic:cNvPicPr>
                            <a:picLocks noChangeArrowheads="1" noChangeAspect="1"/>
                          </pic:cNvPicPr>
                        </pic:nvPicPr>
                        <pic:blipFill>
                          <a:blip r:embed="rId73"/>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Proven acceptable range for the MVM log reduction factor against load pH. Left panel at set-point, right panel with the remaining parameters varying within their normal operating ranges.</w:t>
            </w:r>
          </w:p>
          <w:bookmarkEnd w:id="76"/>
        </w:tc>
      </w:tr>
    </w:tbl>
    <w:p>
      <w:pPr>
        <w:pStyle w:val="BodyText"/>
      </w:pPr>
      <w:r>
        <w:t xml:space="preserve">The acceptable region is shaded in the figure and spans the whole characterized range in both</w:t>
      </w:r>
      <w:r>
        <w:t xml:space="preserve"> </w:t>
      </w:r>
      <w:r>
        <w:t xml:space="preserve">panels. The predictive interval widens in the right panel, as expected once the other parameters are allowed to move. Its lower bound still stays above the acceptance line. The equivalent</w:t>
      </w:r>
      <w:r>
        <w:t xml:space="preserve"> </w:t>
      </w:r>
      <w:r>
        <w:t xml:space="preserve">analysis for XMuLV clearance is shown in</w:t>
      </w:r>
      <w:r>
        <w:t xml:space="preserve"> </w:t>
      </w:r>
      <w:hyperlink w:anchor="fig-par-xmulv">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0" w:name="fig-par-xmulv"/>
          <w:p>
            <w:pPr>
              <w:pStyle w:val="Compact"/>
              <w:jc w:val="center"/>
            </w:pPr>
            <w:r>
              <w:drawing>
                <wp:inline>
                  <wp:extent cx="5334000" cy="1845992"/>
                  <wp:effectExtent b="0" l="0" r="0" t="0"/>
                  <wp:docPr descr="" title="" id="78" name="Picture"/>
                  <a:graphic>
                    <a:graphicData uri="http://schemas.openxmlformats.org/drawingml/2006/picture">
                      <pic:pic>
                        <pic:nvPicPr>
                          <pic:cNvPr descr="PCR-008_aex_files/figure-docx/fig-par-xmulv-output-1.png" id="79" name="Picture"/>
                          <pic:cNvPicPr>
                            <a:picLocks noChangeArrowheads="1" noChangeAspect="1"/>
                          </pic:cNvPicPr>
                        </pic:nvPicPr>
                        <pic:blipFill>
                          <a:blip r:embed="rId77"/>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Proven acceptable range for the XMuLV log reduction factor against load pH. Left panel at set-point, right panel with the remaining parameters varying within their normal operating ranges.</w:t>
            </w:r>
          </w:p>
          <w:bookmarkEnd w:id="80"/>
        </w:tc>
      </w:tr>
    </w:tbl>
    <w:p>
      <w:pPr>
        <w:pStyle w:val="BodyText"/>
      </w:pPr>
      <w:r>
        <w:t xml:space="preserve">XMuLV clearance clears its required step contribution by a wider margin at every point, which is</w:t>
      </w:r>
      <w:r>
        <w:t xml:space="preserve"> </w:t>
      </w:r>
      <w:r>
        <w:t xml:space="preserve">why MVM governs the region. The analysis for pool HCP against equilibration and wash-1</w:t>
      </w:r>
      <w:r>
        <w:t xml:space="preserve"> </w:t>
      </w:r>
      <w:r>
        <w:t xml:space="preserve">conductivity, its governing parameter, is shown in</w:t>
      </w:r>
      <w:r>
        <w:t xml:space="preserve"> </w:t>
      </w:r>
      <w:hyperlink w:anchor="fig-par-hcp">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4" w:name="fig-par-hcp"/>
          <w:p>
            <w:pPr>
              <w:pStyle w:val="Compact"/>
              <w:jc w:val="center"/>
            </w:pPr>
            <w:r>
              <w:drawing>
                <wp:inline>
                  <wp:extent cx="5334000" cy="1845992"/>
                  <wp:effectExtent b="0" l="0" r="0" t="0"/>
                  <wp:docPr descr="" title="" id="82" name="Picture"/>
                  <a:graphic>
                    <a:graphicData uri="http://schemas.openxmlformats.org/drawingml/2006/picture">
                      <pic:pic>
                        <pic:nvPicPr>
                          <pic:cNvPr descr="PCR-008_aex_files/figure-docx/fig-par-hcp-output-1.png" id="83" name="Picture"/>
                          <pic:cNvPicPr>
                            <a:picLocks noChangeArrowheads="1" noChangeAspect="1"/>
                          </pic:cNvPicPr>
                        </pic:nvPicPr>
                        <pic:blipFill>
                          <a:blip r:embed="rId81"/>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Proven acceptable range for pool host cell protein against equilibration/wash-1 conductivity. Left panel at set-point, right panel with the remaining parameters varying within their normal operating ranges.</w:t>
            </w:r>
          </w:p>
          <w:bookmarkEnd w:id="84"/>
        </w:tc>
      </w:tr>
    </w:tbl>
    <w:p>
      <w:pPr>
        <w:pStyle w:val="BodyText"/>
      </w:pPr>
      <w:r>
        <w:t xml:space="preserve">The highest point reached by the upper predictive bound anywhere in that range is</w:t>
      </w:r>
      <w:r>
        <w:t xml:space="preserve"> </w:t>
      </w:r>
      <w:r>
        <w:t xml:space="preserve">29.0 ng/mg, which is well below the acceptance criterion of</w:t>
      </w:r>
      <w:r>
        <w:t xml:space="preserve"> </w:t>
      </w:r>
      <w:r>
        <w:t xml:space="preserve">100 ng/mg. Clearance of HCP at this step is supported by Protein A</w:t>
      </w:r>
      <w:r>
        <w:t xml:space="preserve"> </w:t>
      </w:r>
      <w:r>
        <w:t xml:space="preserve">capture (Step 5) and by cation exchange (Step 7), which together remove the bulk of the load. The ranges given here apply to the feed that those two steps deliver, and the clearance achieved</w:t>
      </w:r>
      <w:r>
        <w:t xml:space="preserve"> </w:t>
      </w:r>
      <w:r>
        <w:t xml:space="preserve">at each of them is reported in PCR-005 and PCR-007.</w:t>
      </w:r>
    </w:p>
    <w:p>
      <w:pPr>
        <w:pStyle w:val="BodyText"/>
      </w:pPr>
      <w:r>
        <w:t xml:space="preserve">Two bounds apply to the proven acceptable ranges. They are computed from the fitted</w:t>
      </w:r>
      <w:r>
        <w:t xml:space="preserve"> </w:t>
      </w:r>
      <w:r>
        <w:t xml:space="preserve">response-surface models and inherit the model bound stated in §6, and they are valid only over</w:t>
      </w:r>
      <w:r>
        <w:t xml:space="preserve"> </w:t>
      </w:r>
      <w:r>
        <w:t xml:space="preserve">the characterization ranges, with no extrapolation beyond those ranges claimed.</w:t>
      </w:r>
    </w:p>
    <w:p>
      <w:r>
        <w:br w:type="page"/>
      </w:r>
    </w:p>
    <w:bookmarkEnd w:id="85"/>
    <w:bookmarkStart w:id="88" w:name="process-capability-and-robustness"/>
    <w:p>
      <w:pPr>
        <w:pStyle w:val="Heading1"/>
      </w:pPr>
      <w:r>
        <w:t xml:space="preserve">8. Process capability and robustness</w:t>
      </w:r>
    </w:p>
    <w:p>
      <w:pPr>
        <w:pStyle w:val="FirstParagraph"/>
      </w:pPr>
      <w:r>
        <w:t xml:space="preserve">Commercial-scale capability was estimated by Monte-Carlo simulation of 2,000</w:t>
      </w:r>
      <w:r>
        <w:t xml:space="preserve"> </w:t>
      </w:r>
      <w:r>
        <w:t xml:space="preserve">batches with every parameter drawn within its normal operating range, and the result for each</w:t>
      </w:r>
      <w:r>
        <w:t xml:space="preserve"> </w:t>
      </w:r>
      <w:r>
        <w:t xml:space="preserve">attribute the step governs is given in</w:t>
      </w:r>
      <w:r>
        <w:t xml:space="preserve"> </w:t>
      </w:r>
      <w:hyperlink w:anchor="tbl-cap">
        <w:r>
          <w:rPr>
            <w:rStyle w:val="Hyperlink"/>
          </w:rPr>
          <w:t xml:space="preserve">Table 20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6" w:name="tbl-cap"/>
          <w:p>
            <w:pPr>
              <w:jc w:val="center"/>
            </w:pPr>
            <w:pPr>
              <w:jc w:val="left"/>
              <w:spacing w:before="200"/>
              <w:pStyle w:val="ImageCaption"/>
            </w:pPr>
            <w:r>
              <w:t xml:space="preserve">Table 20: Commercial-scale capability for the attributes governed by the step.</w:t>
            </w:r>
          </w:p>
          <w:tbl>
            <w:tblPr>
              <w:tblStyle w:val="Table"/>
              <w:tblW w:type="pct" w:w="5000"/>
              <w:tblLayout w:type="fixed"/>
              <w:tblLook w:firstRow="1" w:lastRow="0" w:firstColumn="0" w:lastColumn="0" w:noHBand="0" w:noVBand="0" w:val="0020"/>
            </w:tblPr>
            <w:tblGrid>
              <w:gridCol w:w="3084"/>
              <w:gridCol w:w="750"/>
              <w:gridCol w:w="666"/>
              <w:gridCol w:w="1167"/>
              <w:gridCol w:w="1333"/>
              <w:gridCol w:w="917"/>
            </w:tblGrid>
            <w:tr>
              <w:trPr>
                <w:tblHeader w:val="on"/>
              </w:trPr>
              <w:tc>
                <w:tcPr/>
                <w:p>
                  <w:pPr>
                    <w:pStyle w:val="Compact"/>
                    <w:jc w:val="left"/>
                    <w:jc w:val="center"/>
                  </w:pPr>
                  <w:r>
                    <w:t xml:space="preserve">CQA</w:t>
                  </w:r>
                </w:p>
              </w:tc>
              <w:tc>
                <w:tcPr/>
                <w:p>
                  <w:pPr>
                    <w:pStyle w:val="Compact"/>
                    <w:jc w:val="left"/>
                    <w:jc w:val="center"/>
                  </w:pPr>
                  <w:r>
                    <w:t xml:space="preserve">Crit.</w:t>
                  </w:r>
                </w:p>
              </w:tc>
              <w:tc>
                <w:tcPr/>
                <w:p>
                  <w:pPr>
                    <w:pStyle w:val="Compact"/>
                    <w:jc w:val="left"/>
                    <w:jc w:val="center"/>
                  </w:pPr>
                  <w:r>
                    <w:t xml:space="preserve">Spec</w:t>
                  </w:r>
                </w:p>
              </w:tc>
              <w:tc>
                <w:tcPr/>
                <w:p>
                  <w:pPr>
                    <w:pStyle w:val="Compact"/>
                    <w:jc w:val="left"/>
                    <w:jc w:val="center"/>
                  </w:pPr>
                  <w:r>
                    <w:t xml:space="preserve">Acceptance</w:t>
                  </w:r>
                </w:p>
              </w:tc>
              <w:tc>
                <w:tcPr/>
                <w:p>
                  <w:pPr>
                    <w:pStyle w:val="Compact"/>
                    <w:jc w:val="left"/>
                    <w:jc w:val="center"/>
                  </w:pPr>
                  <w:r>
                    <w:t xml:space="preserve">Mean ± SD</w:t>
                  </w:r>
                </w:p>
              </w:tc>
              <w:tc>
                <w:tcPr/>
                <w:p>
                  <w:pPr>
                    <w:pStyle w:val="Compact"/>
                    <w:jc w:val="right"/>
                    <w:jc w:val="center"/>
                  </w:pPr>
                  <w:r>
                    <w:t xml:space="preserve">Cpk</w:t>
                  </w:r>
                </w:p>
              </w:tc>
            </w:tr>
            <w:tr>
              <w:tc>
                <w:tcPr/>
                <w:p>
                  <w:pPr>
                    <w:pStyle w:val="Compact"/>
                    <w:jc w:val="left"/>
                    <w:jc w:val="center"/>
                  </w:pPr>
                  <w:r>
                    <w:t xml:space="preserve">Host Cell Protein (HCP)</w:t>
                  </w:r>
                </w:p>
              </w:tc>
              <w:tc>
                <w:tcPr/>
                <w:p>
                  <w:pPr>
                    <w:pStyle w:val="Compact"/>
                    <w:jc w:val="left"/>
                    <w:jc w:val="center"/>
                  </w:pPr>
                  <w:r>
                    <w:t xml:space="preserve">M-H</w:t>
                  </w:r>
                </w:p>
              </w:tc>
              <w:tc>
                <w:tcPr/>
                <w:p>
                  <w:pPr>
                    <w:pStyle w:val="Compact"/>
                    <w:jc w:val="left"/>
                    <w:jc w:val="center"/>
                  </w:pPr>
                  <w:r>
                    <w:t xml:space="preserve">upper</w:t>
                  </w:r>
                </w:p>
              </w:tc>
              <w:tc>
                <w:tcPr/>
                <w:p>
                  <w:pPr>
                    <w:pStyle w:val="Compact"/>
                    <w:jc w:val="left"/>
                    <w:jc w:val="center"/>
                  </w:pPr>
                  <w:r>
                    <w:t xml:space="preserve">0–100</w:t>
                  </w:r>
                </w:p>
              </w:tc>
              <w:tc>
                <w:tcPr/>
                <w:p>
                  <w:pPr>
                    <w:pStyle w:val="Compact"/>
                    <w:jc w:val="left"/>
                    <w:jc w:val="center"/>
                  </w:pPr>
                  <w:r>
                    <w:t xml:space="preserve">15.2 ± 4.6</w:t>
                  </w:r>
                </w:p>
              </w:tc>
              <w:tc>
                <w:tcPr/>
                <w:p>
                  <w:pPr>
                    <w:pStyle w:val="Compact"/>
                    <w:jc w:val="right"/>
                    <w:jc w:val="center"/>
                  </w:pPr>
                  <w:r>
                    <w:t xml:space="preserve">6.14</w:t>
                  </w:r>
                </w:p>
              </w:tc>
            </w:tr>
            <w:tr>
              <w:tc>
                <w:tcPr/>
                <w:p>
                  <w:pPr>
                    <w:pStyle w:val="Compact"/>
                    <w:jc w:val="left"/>
                    <w:jc w:val="center"/>
                  </w:pPr>
                  <w:r>
                    <w:t xml:space="preserve">Residual DNA</w:t>
                  </w:r>
                </w:p>
              </w:tc>
              <w:tc>
                <w:tcPr/>
                <w:p>
                  <w:pPr>
                    <w:pStyle w:val="Compact"/>
                    <w:jc w:val="left"/>
                    <w:jc w:val="center"/>
                  </w:pPr>
                  <w:r>
                    <w:t xml:space="preserve">VL</w:t>
                  </w:r>
                </w:p>
              </w:tc>
              <w:tc>
                <w:tcPr/>
                <w:p>
                  <w:pPr>
                    <w:pStyle w:val="Compact"/>
                    <w:jc w:val="left"/>
                    <w:jc w:val="center"/>
                  </w:pPr>
                  <w:r>
                    <w:t xml:space="preserve">upper</w:t>
                  </w:r>
                </w:p>
              </w:tc>
              <w:tc>
                <w:tcPr/>
                <w:p>
                  <w:pPr>
                    <w:pStyle w:val="Compact"/>
                    <w:jc w:val="left"/>
                    <w:jc w:val="center"/>
                  </w:pPr>
                  <w:r>
                    <w:t xml:space="preserve">0–0.001</w:t>
                  </w:r>
                </w:p>
              </w:tc>
              <w:tc>
                <w:tcPr/>
                <w:p>
                  <w:pPr>
                    <w:pStyle w:val="Compact"/>
                    <w:jc w:val="left"/>
                    <w:jc w:val="center"/>
                  </w:pPr>
                  <w:r>
                    <w:t xml:space="preserve">0.0001 ± 0</w:t>
                  </w:r>
                </w:p>
              </w:tc>
              <w:tc>
                <w:tcPr/>
                <w:p>
                  <w:pPr>
                    <w:pStyle w:val="Compact"/>
                    <w:jc w:val="right"/>
                    <w:jc w:val="center"/>
                  </w:pPr>
                  <w:r>
                    <w:t xml:space="preserve">10.8</w:t>
                  </w:r>
                </w:p>
              </w:tc>
            </w:tr>
            <w:tr>
              <w:tc>
                <w:tcPr/>
                <w:p>
                  <w:pPr>
                    <w:pStyle w:val="Compact"/>
                    <w:jc w:val="left"/>
                    <w:jc w:val="center"/>
                  </w:pPr>
                  <w:r>
                    <w:t xml:space="preserve">Leached Protein A</w:t>
                  </w:r>
                </w:p>
              </w:tc>
              <w:tc>
                <w:tcPr/>
                <w:p>
                  <w:pPr>
                    <w:pStyle w:val="Compact"/>
                    <w:jc w:val="left"/>
                    <w:jc w:val="center"/>
                  </w:pPr>
                  <w:r>
                    <w:t xml:space="preserve">L-M</w:t>
                  </w:r>
                </w:p>
              </w:tc>
              <w:tc>
                <w:tcPr/>
                <w:p>
                  <w:pPr>
                    <w:pStyle w:val="Compact"/>
                    <w:jc w:val="left"/>
                    <w:jc w:val="center"/>
                  </w:pPr>
                  <w:r>
                    <w:t xml:space="preserve">upper</w:t>
                  </w:r>
                </w:p>
              </w:tc>
              <w:tc>
                <w:tcPr/>
                <w:p>
                  <w:pPr>
                    <w:pStyle w:val="Compact"/>
                    <w:jc w:val="left"/>
                    <w:jc w:val="center"/>
                  </w:pPr>
                  <w:r>
                    <w:t xml:space="preserve">0–5</w:t>
                  </w:r>
                </w:p>
              </w:tc>
              <w:tc>
                <w:tcPr/>
                <w:p>
                  <w:pPr>
                    <w:pStyle w:val="Compact"/>
                    <w:jc w:val="left"/>
                    <w:jc w:val="center"/>
                  </w:pPr>
                  <w:r>
                    <w:t xml:space="preserve">0.003 ± 0.0006</w:t>
                  </w:r>
                </w:p>
              </w:tc>
              <w:tc>
                <w:tcPr/>
                <w:p>
                  <w:pPr>
                    <w:pStyle w:val="Compact"/>
                    <w:jc w:val="right"/>
                    <w:jc w:val="center"/>
                  </w:pPr>
                  <w:r>
                    <w:t xml:space="preserve">2.79e+03</w:t>
                  </w:r>
                </w:p>
              </w:tc>
            </w:tr>
            <w:tr>
              <w:tc>
                <w:tcPr/>
                <w:p>
                  <w:pPr>
                    <w:pStyle w:val="Compact"/>
                    <w:jc w:val="left"/>
                    <w:jc w:val="center"/>
                  </w:pPr>
                  <w:r>
                    <w:t xml:space="preserve">Viral clearance — XMuLV (enveloped)</w:t>
                  </w:r>
                </w:p>
              </w:tc>
              <w:tc>
                <w:tcPr/>
                <w:p>
                  <w:pPr>
                    <w:pStyle w:val="Compact"/>
                    <w:jc w:val="left"/>
                    <w:jc w:val="center"/>
                  </w:pPr>
                  <w:r>
                    <w:t xml:space="preserve">VH</w:t>
                  </w:r>
                </w:p>
              </w:tc>
              <w:tc>
                <w:tcPr/>
                <w:p>
                  <w:pPr>
                    <w:pStyle w:val="Compact"/>
                    <w:jc w:val="left"/>
                    <w:jc w:val="center"/>
                  </w:pPr>
                  <w:r>
                    <w:t xml:space="preserve">lower</w:t>
                  </w:r>
                </w:p>
              </w:tc>
              <w:tc>
                <w:tcPr/>
                <w:p>
                  <w:pPr>
                    <w:pStyle w:val="Compact"/>
                    <w:jc w:val="left"/>
                    <w:jc w:val="center"/>
                  </w:pPr>
                  <w:r>
                    <w:t xml:space="preserve">16.7–30</w:t>
                  </w:r>
                </w:p>
              </w:tc>
              <w:tc>
                <w:tcPr/>
                <w:p>
                  <w:pPr>
                    <w:pStyle w:val="Compact"/>
                    <w:jc w:val="left"/>
                    <w:jc w:val="center"/>
                  </w:pPr>
                  <w:r>
                    <w:t xml:space="preserve">19.5 ± 0.61</w:t>
                  </w:r>
                </w:p>
              </w:tc>
              <w:tc>
                <w:tcPr/>
                <w:p>
                  <w:pPr>
                    <w:pStyle w:val="Compact"/>
                    <w:jc w:val="right"/>
                    <w:jc w:val="center"/>
                  </w:pPr>
                  <w:r>
                    <w:t xml:space="preserve">1.53</w:t>
                  </w:r>
                </w:p>
              </w:tc>
            </w:tr>
            <w:tr>
              <w:tc>
                <w:tcPr/>
                <w:p>
                  <w:pPr>
                    <w:pStyle w:val="Compact"/>
                    <w:jc w:val="left"/>
                    <w:jc w:val="center"/>
                  </w:pPr>
                  <w:r>
                    <w:t xml:space="preserve">Viral clearance — MVM (parvovirus)</w:t>
                  </w:r>
                </w:p>
              </w:tc>
              <w:tc>
                <w:tcPr/>
                <w:p>
                  <w:pPr>
                    <w:pStyle w:val="Compact"/>
                    <w:jc w:val="left"/>
                    <w:jc w:val="center"/>
                  </w:pPr>
                  <w:r>
                    <w:t xml:space="preserve">VH</w:t>
                  </w:r>
                </w:p>
              </w:tc>
              <w:tc>
                <w:tcPr/>
                <w:p>
                  <w:pPr>
                    <w:pStyle w:val="Compact"/>
                    <w:jc w:val="left"/>
                    <w:jc w:val="center"/>
                  </w:pPr>
                  <w:r>
                    <w:t xml:space="preserve">lower</w:t>
                  </w:r>
                </w:p>
              </w:tc>
              <w:tc>
                <w:tcPr/>
                <w:p>
                  <w:pPr>
                    <w:pStyle w:val="Compact"/>
                    <w:jc w:val="left"/>
                    <w:jc w:val="center"/>
                  </w:pPr>
                  <w:r>
                    <w:t xml:space="preserve">8.6–20</w:t>
                  </w:r>
                </w:p>
              </w:tc>
              <w:tc>
                <w:tcPr/>
                <w:p>
                  <w:pPr>
                    <w:pStyle w:val="Compact"/>
                    <w:jc w:val="left"/>
                    <w:jc w:val="center"/>
                  </w:pPr>
                  <w:r>
                    <w:t xml:space="preserve">10.4 ± 0.4</w:t>
                  </w:r>
                </w:p>
              </w:tc>
              <w:tc>
                <w:tcPr/>
                <w:p>
                  <w:pPr>
                    <w:pStyle w:val="Compact"/>
                    <w:jc w:val="right"/>
                    <w:jc w:val="center"/>
                  </w:pPr>
                  <w:r>
                    <w:t xml:space="preserve">1.51</w:t>
                  </w:r>
                </w:p>
              </w:tc>
            </w:tr>
          </w:tbl>
          <w:bookmarkEnd w:id="86"/>
          <w:p/>
        </w:tc>
      </w:tr>
    </w:tbl>
    <w:p>
      <w:pPr>
        <w:pStyle w:val="BodyText"/>
      </w:pPr>
      <w:r>
        <w:t xml:space="preserve">The MVM clearance claim carries the tightest capability in the table and in the whole drug</w:t>
      </w:r>
      <w:r>
        <w:t xml:space="preserve"> </w:t>
      </w:r>
      <w:r>
        <w:t xml:space="preserve">substance process, with a capability index of 1.51 against a simulated mean</w:t>
      </w:r>
      <w:r>
        <w:t xml:space="preserve"> </w:t>
      </w:r>
      <w:r>
        <w:t xml:space="preserve">of 10.38 log₁₀ and a standard deviation of 0.40</w:t>
      </w:r>
      <w:r>
        <w:t xml:space="preserve"> </w:t>
      </w:r>
      <w:r>
        <w:t xml:space="preserve">log₁₀. The margin from the simulated mean to the cumulative requirement is</w:t>
      </w:r>
      <w:r>
        <w:t xml:space="preserve"> </w:t>
      </w:r>
      <w:r>
        <w:t xml:space="preserve">1.78 log₁₀. The XMuLV claim follows at 1.53</w:t>
      </w:r>
      <w:r>
        <w:t xml:space="preserve"> </w:t>
      </w:r>
      <w:r>
        <w:t xml:space="preserve">with a margin of 2.81 log₁₀. Both exceed the value commonly applied as a minimum capability index for a critical characteristic. The minimum across all drug</w:t>
      </w:r>
      <w:r>
        <w:t xml:space="preserve"> </w:t>
      </w:r>
      <w:r>
        <w:t xml:space="preserve">substance attributes is 1.51, which is the MVM figure.</w:t>
      </w:r>
    </w:p>
    <w:p>
      <w:pPr>
        <w:pStyle w:val="BodyText"/>
      </w:pPr>
      <w:r>
        <w:t xml:space="preserve">The remaining attributes clear their limits by much wider margins, with pool HCP at</w:t>
      </w:r>
      <w:r>
        <w:t xml:space="preserve"> </w:t>
      </w:r>
      <w:r>
        <w:t xml:space="preserve">6.1 against a simulated mean of 15.2 ng/mg, and</w:t>
      </w:r>
      <w:r>
        <w:t xml:space="preserve"> </w:t>
      </w:r>
      <w:r>
        <w:t xml:space="preserve">residual DNA and leached Protein A further still from their limits at</w:t>
      </w:r>
      <w:r>
        <w:t xml:space="preserve"> </w:t>
      </w:r>
      <w:r>
        <w:t xml:space="preserve">10.8 and 2785 respectively. Neither of those two</w:t>
      </w:r>
      <w:r>
        <w:t xml:space="preserve"> </w:t>
      </w:r>
      <w:r>
        <w:t xml:space="preserve">constrains the process.</w:t>
      </w:r>
    </w:p>
    <w:p>
      <w:pPr>
        <w:pStyle w:val="BodyText"/>
      </w:pPr>
      <w:r>
        <w:t xml:space="preserve">The MVM and XMuLV figures are cumulative process claims and not step claims, and the modular</w:t>
      </w:r>
      <w:r>
        <w:t xml:space="preserve"> </w:t>
      </w:r>
      <w:r>
        <w:t xml:space="preserve">ledger behind them is given in</w:t>
      </w:r>
      <w:r>
        <w:t xml:space="preserve"> </w:t>
      </w:r>
      <w:hyperlink w:anchor="tbl-vc">
        <w:r>
          <w:rPr>
            <w:rStyle w:val="Hyperlink"/>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vc"/>
          <w:p>
            <w:pPr>
              <w:jc w:val="center"/>
            </w:pPr>
            <w:pPr>
              <w:jc w:val="left"/>
              <w:spacing w:before="200"/>
              <w:pStyle w:val="ImageCaption"/>
            </w:pPr>
            <w:r>
              <w:t xml:space="preserve">Table 21: Modular viral clearance ledger for the drug substance process.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step</w:t>
                  </w:r>
                </w:p>
              </w:tc>
              <w:tc>
                <w:tcPr/>
                <w:p>
                  <w:pPr>
                    <w:pStyle w:val="Compact"/>
                    <w:jc w:val="right"/>
                    <w:jc w:val="center"/>
                  </w:pPr>
                  <w:r>
                    <w:t xml:space="preserve">XMuLV</w:t>
                  </w:r>
                </w:p>
              </w:tc>
              <w:tc>
                <w:tcPr/>
                <w:p>
                  <w:pPr>
                    <w:pStyle w:val="Compact"/>
                    <w:jc w:val="right"/>
                    <w:jc w:val="center"/>
                  </w:pPr>
                  <w:r>
                    <w:t xml:space="preserve">MVM</w:t>
                  </w:r>
                </w:p>
              </w:tc>
            </w:tr>
            <w:tr>
              <w:tc>
                <w:tcPr/>
                <w:p>
                  <w:pPr>
                    <w:pStyle w:val="Compact"/>
                    <w:jc w:val="left"/>
                    <w:jc w:val="center"/>
                  </w:pPr>
                  <w:r>
                    <w:t xml:space="preserve">Low-pH Viral Inactivation</w:t>
                  </w:r>
                </w:p>
              </w:tc>
              <w:tc>
                <w:tcPr/>
                <w:p>
                  <w:pPr>
                    <w:pStyle w:val="Compact"/>
                    <w:jc w:val="right"/>
                    <w:jc w:val="center"/>
                  </w:pPr>
                  <w:r>
                    <w:t xml:space="preserve">7.1</w:t>
                  </w:r>
                </w:p>
              </w:tc>
              <w:tc>
                <w:tcPr/>
                <w:p>
                  <w:pPr>
                    <w:pStyle w:val="Compact"/>
                    <w:jc w:val="right"/>
                    <w:jc w:val="center"/>
                  </w:pPr>
                  <w:r>
                    <w:t xml:space="preserve">0</w:t>
                  </w:r>
                </w:p>
              </w:tc>
            </w:tr>
            <w:tr>
              <w:tc>
                <w:tcPr/>
                <w:p>
                  <w:pPr>
                    <w:pStyle w:val="Compact"/>
                    <w:jc w:val="left"/>
                    <w:jc w:val="center"/>
                  </w:pPr>
                  <w:r>
                    <w:t xml:space="preserve">Anion Exchange (AEX)</w:t>
                  </w:r>
                </w:p>
              </w:tc>
              <w:tc>
                <w:tcPr/>
                <w:p>
                  <w:pPr>
                    <w:pStyle w:val="Compact"/>
                    <w:jc w:val="right"/>
                    <w:jc w:val="center"/>
                  </w:pPr>
                  <w:r>
                    <w:t xml:space="preserve">5.95</w:t>
                  </w:r>
                </w:p>
              </w:tc>
              <w:tc>
                <w:tcPr/>
                <w:p>
                  <w:pPr>
                    <w:pStyle w:val="Compact"/>
                    <w:jc w:val="right"/>
                    <w:jc w:val="center"/>
                  </w:pPr>
                  <w:r>
                    <w:t xml:space="preserve">4.71</w:t>
                  </w:r>
                </w:p>
              </w:tc>
            </w:tr>
            <w:tr>
              <w:tc>
                <w:tcPr/>
                <w:p>
                  <w:pPr>
                    <w:pStyle w:val="Compact"/>
                    <w:jc w:val="left"/>
                    <w:jc w:val="center"/>
                  </w:pPr>
                  <w:r>
                    <w:t xml:space="preserve">Virus Filtration</w:t>
                  </w:r>
                </w:p>
              </w:tc>
              <w:tc>
                <w:tcPr/>
                <w:p>
                  <w:pPr>
                    <w:pStyle w:val="Compact"/>
                    <w:jc w:val="right"/>
                    <w:jc w:val="center"/>
                  </w:pPr>
                  <w:r>
                    <w:t xml:space="preserve">5.82</w:t>
                  </w:r>
                </w:p>
              </w:tc>
              <w:tc>
                <w:tcPr/>
                <w:p>
                  <w:pPr>
                    <w:pStyle w:val="Compact"/>
                    <w:jc w:val="right"/>
                    <w:jc w:val="center"/>
                  </w:pPr>
                  <w:r>
                    <w:t xml:space="preserve">5.32</w:t>
                  </w:r>
                </w:p>
              </w:tc>
            </w:tr>
            <w:tr>
              <w:tc>
                <w:tcPr/>
                <w:p>
                  <w:pPr>
                    <w:pStyle w:val="Compact"/>
                    <w:jc w:val="left"/>
                    <w:jc w:val="center"/>
                  </w:pPr>
                  <w:r>
                    <w:t xml:space="preserve">Cumulative</w:t>
                  </w:r>
                </w:p>
              </w:tc>
              <w:tc>
                <w:tcPr/>
                <w:p>
                  <w:pPr>
                    <w:pStyle w:val="Compact"/>
                    <w:jc w:val="right"/>
                    <w:jc w:val="center"/>
                  </w:pPr>
                  <w:r>
                    <w:t xml:space="preserve">18.9</w:t>
                  </w:r>
                </w:p>
              </w:tc>
              <w:tc>
                <w:tcPr/>
                <w:p>
                  <w:pPr>
                    <w:pStyle w:val="Compact"/>
                    <w:jc w:val="right"/>
                    <w:jc w:val="center"/>
                  </w:pPr>
                  <w:r>
                    <w:t xml:space="preserve">10</w:t>
                  </w:r>
                </w:p>
              </w:tc>
            </w:tr>
          </w:tbl>
          <w:bookmarkEnd w:id="87"/>
          <w:p/>
        </w:tc>
      </w:tr>
    </w:tbl>
    <w:p>
      <w:pPr>
        <w:pStyle w:val="BodyText"/>
      </w:pPr>
      <w:r>
        <w:t xml:space="preserve">Anion exchange contributes 4.71 log₁₀ of the cumulative MVM figure of</w:t>
      </w:r>
      <w:r>
        <w:t xml:space="preserve"> </w:t>
      </w:r>
      <w:r>
        <w:t xml:space="preserve">10.03 log₁₀ (47% of the total), and</w:t>
      </w:r>
      <w:r>
        <w:t xml:space="preserve"> </w:t>
      </w:r>
      <w:r>
        <w:t xml:space="preserve">small-virus retentive filtration contributes the remaining 5.32 log₁₀ as</w:t>
      </w:r>
      <w:r>
        <w:t xml:space="preserve"> </w:t>
      </w:r>
      <w:r>
        <w:t xml:space="preserve">reported in PCR-009. The low-pH hold is not credited with any MVM clearance, because inactivation</w:t>
      </w:r>
      <w:r>
        <w:t xml:space="preserve"> </w:t>
      </w:r>
      <w:r>
        <w:t xml:space="preserve">of a non-enveloped parvovirus at low pH is not reliable. For XMuLV the step contributes</w:t>
      </w:r>
      <w:r>
        <w:t xml:space="preserve"> </w:t>
      </w:r>
      <w:r>
        <w:t xml:space="preserve">5.95 log₁₀ of a cumulative 18.87 log₁₀, alongside</w:t>
      </w:r>
      <w:r>
        <w:t xml:space="preserve"> </w:t>
      </w:r>
      <w:r>
        <w:t xml:space="preserve">7.10 log₁₀ from the low-pH hold reported in PCR-006 and</w:t>
      </w:r>
      <w:r>
        <w:t xml:space="preserve"> </w:t>
      </w:r>
      <w:r>
        <w:t xml:space="preserve">5.82 log₁₀ from filtration. The three mechanisms are independent, which is</w:t>
      </w:r>
      <w:r>
        <w:t xml:space="preserve"> </w:t>
      </w:r>
      <w:r>
        <w:t xml:space="preserve">what allows the contributions to be added, and the consolidated claim is made in PCMR-001.</w:t>
      </w:r>
    </w:p>
    <w:p>
      <w:pPr>
        <w:pStyle w:val="BodyText"/>
      </w:pPr>
      <w:r>
        <w:t xml:space="preserve">Two bounds apply to the capability figures. They describe operation within the normal operating</w:t>
      </w:r>
      <w:r>
        <w:t xml:space="preserve"> </w:t>
      </w:r>
      <w:r>
        <w:t xml:space="preserve">ranges and not within the wider design space, and they rest on the scale-down model, on the</w:t>
      </w:r>
      <w:r>
        <w:t xml:space="preserve"> </w:t>
      </w:r>
      <w:r>
        <w:t xml:space="preserve">small-scale spiking model, and on the assumption that commercial-scale variability is captured</w:t>
      </w:r>
      <w:r>
        <w:t xml:space="preserve"> </w:t>
      </w:r>
      <w:r>
        <w:t xml:space="preserve">by the simulated variance components.</w:t>
      </w:r>
    </w:p>
    <w:p>
      <w:r>
        <w:br w:type="page"/>
      </w:r>
    </w:p>
    <w:bookmarkEnd w:id="88"/>
    <w:bookmarkStart w:id="89" w:name="parameter-classification"/>
    <w:p>
      <w:pPr>
        <w:pStyle w:val="Heading1"/>
      </w:pPr>
      <w:r>
        <w:t xml:space="preserve">9. Parameter classification</w:t>
      </w:r>
    </w:p>
    <w:p>
      <w:pPr>
        <w:pStyle w:val="FirstParagraph"/>
      </w:pPr>
      <w:r>
        <w:t xml:space="preserve">All 5 characterized parameters are classified as well-controlled</w:t>
      </w:r>
      <w:r>
        <w:t xml:space="preserve"> </w:t>
      </w:r>
      <w:r>
        <w:t xml:space="preserve">critical process parameters under SOP-4001, because each of them is either linked to a critical</w:t>
      </w:r>
      <w:r>
        <w:t xml:space="preserve"> </w:t>
      </w:r>
      <w:r>
        <w:t xml:space="preserve">quality attribute or bounds the conditions under which a clearance claim is made. Each also has</w:t>
      </w:r>
      <w:r>
        <w:t xml:space="preserve"> </w:t>
      </w:r>
      <w:r>
        <w:t xml:space="preserve">a low risk of leaving the design space, since the region is wide relative to the control</w:t>
      </w:r>
      <w:r>
        <w:t xml:space="preserve"> </w:t>
      </w:r>
      <w:r>
        <w:t xml:space="preserve">capability of the equipment. No parameter at this step is classified as a critical process parameter, and none is classified as a key process parameter or a general process parameter. The</w:t>
      </w:r>
      <w:r>
        <w:t xml:space="preserve"> </w:t>
      </w:r>
      <w:r>
        <w:t xml:space="preserve">reasoning for each is given below.</w:t>
      </w:r>
    </w:p>
    <w:p>
      <w:pPr>
        <w:pStyle w:val="Compact"/>
        <w:numPr>
          <w:ilvl w:val="0"/>
          <w:numId w:val="1007"/>
        </w:numPr>
      </w:pPr>
      <w:r>
        <w:t xml:space="preserve">Load pH is a WC-CPP because it has the largest effect on both viral clearance responses (</w:t>
      </w:r>
      <w:hyperlink w:anchor="tbl-eff-mvm">
        <w:r>
          <w:rPr>
            <w:rStyle w:val="Hyperlink"/>
          </w:rPr>
          <w:t xml:space="preserve">Table 12</w:t>
        </w:r>
      </w:hyperlink>
      <w:r>
        <w:t xml:space="preserve">,</w:t>
      </w:r>
      <w:r>
        <w:t xml:space="preserve"> </w:t>
      </w:r>
      <w:hyperlink w:anchor="tbl-eff-xmulv">
        <w:r>
          <w:rPr>
            <w:rStyle w:val="Hyperlink"/>
          </w:rPr>
          <w:t xml:space="preserve">Table 13</w:t>
        </w:r>
      </w:hyperlink>
      <w:r>
        <w:t xml:space="preserve">) and the</w:t>
      </w:r>
      <w:r>
        <w:t xml:space="preserve"> </w:t>
      </w:r>
      <w:r>
        <w:t xml:space="preserve">second largest on pool HCP. It is controlled by in-line titration with a verified probe, and its</w:t>
      </w:r>
      <w:r>
        <w:t xml:space="preserve"> </w:t>
      </w:r>
      <w:r>
        <w:t xml:space="preserve">normal operating range is narrow relative to the characterized range, so the risk of leaving the</w:t>
      </w:r>
      <w:r>
        <w:t xml:space="preserve"> </w:t>
      </w:r>
      <w:r>
        <w:t xml:space="preserve">region is low.</w:t>
      </w:r>
    </w:p>
    <w:p>
      <w:pPr>
        <w:pStyle w:val="Compact"/>
        <w:numPr>
          <w:ilvl w:val="0"/>
          <w:numId w:val="1007"/>
        </w:numPr>
      </w:pPr>
      <w:r>
        <w:t xml:space="preserve">Equilibration and wash-1 conductivity is a WC-CPP because it is the governing parameter for pool</w:t>
      </w:r>
      <w:r>
        <w:t xml:space="preserve"> </w:t>
      </w:r>
      <w:r>
        <w:t xml:space="preserve">HCP and interacts with load pH, although it has no significant effect on either clearance</w:t>
      </w:r>
      <w:r>
        <w:t xml:space="preserve"> </w:t>
      </w:r>
      <w:r>
        <w:t xml:space="preserve">response. Buffer conductivity is set at preparation and verified at release under SOP-2103, so</w:t>
      </w:r>
      <w:r>
        <w:t xml:space="preserve"> </w:t>
      </w:r>
      <w:r>
        <w:t xml:space="preserve">it is readily controlled.</w:t>
      </w:r>
    </w:p>
    <w:p>
      <w:pPr>
        <w:pStyle w:val="Compact"/>
        <w:numPr>
          <w:ilvl w:val="0"/>
          <w:numId w:val="1007"/>
        </w:numPr>
      </w:pPr>
      <w:r>
        <w:t xml:space="preserve">Load conductivity is a WC-CPP because it is the second largest effect on both clearance</w:t>
      </w:r>
      <w:r>
        <w:t xml:space="preserve"> </w:t>
      </w:r>
      <w:r>
        <w:t xml:space="preserve">responses and defines one axis of the viral clearance constraint described in §6. It is set by</w:t>
      </w:r>
      <w:r>
        <w:t xml:space="preserve"> </w:t>
      </w:r>
      <w:r>
        <w:t xml:space="preserve">the adjustment of the cation exchange pool before loading, and it is verified before the load is</w:t>
      </w:r>
      <w:r>
        <w:t xml:space="preserve"> </w:t>
      </w:r>
      <w:r>
        <w:t xml:space="preserve">applied.</w:t>
      </w:r>
    </w:p>
    <w:p>
      <w:pPr>
        <w:pStyle w:val="Compact"/>
        <w:numPr>
          <w:ilvl w:val="0"/>
          <w:numId w:val="1007"/>
        </w:numPr>
      </w:pPr>
      <w:r>
        <w:t xml:space="preserve">Protein load is a WC-CPP even though it had no significant effect on any response over a range</w:t>
      </w:r>
      <w:r>
        <w:t xml:space="preserve"> </w:t>
      </w:r>
      <w:r>
        <w:t xml:space="preserve">extending to 300 g/L resin (§5.2), because the viral clearance claim</w:t>
      </w:r>
      <w:r>
        <w:t xml:space="preserve"> </w:t>
      </w:r>
      <w:r>
        <w:t xml:space="preserve">is supported only up to the maximum load at which clearance was demonstrated. The class</w:t>
      </w:r>
      <w:r>
        <w:t xml:space="preserve"> </w:t>
      </w:r>
      <w:r>
        <w:t xml:space="preserve">therefore reflects the bound on the claim and not a demonstrated effect, and load is measured</w:t>
      </w:r>
      <w:r>
        <w:t xml:space="preserve"> </w:t>
      </w:r>
      <w:r>
        <w:t xml:space="preserve">directly from the load mass and the packed bed volume.</w:t>
      </w:r>
    </w:p>
    <w:p>
      <w:pPr>
        <w:pStyle w:val="Compact"/>
        <w:numPr>
          <w:ilvl w:val="0"/>
          <w:numId w:val="1007"/>
        </w:numPr>
      </w:pPr>
      <w:r>
        <w:t xml:space="preserve">Operating flow rate is a WC-CPP on the same bounding logic, since it showed no effect in the</w:t>
      </w:r>
      <w:r>
        <w:t xml:space="preserve"> </w:t>
      </w:r>
      <w:r>
        <w:t xml:space="preserve">univariate assessment across its characterized range and the spiking runs that support the</w:t>
      </w:r>
      <w:r>
        <w:t xml:space="preserve"> </w:t>
      </w:r>
      <w:r>
        <w:t xml:space="preserve">clearance claim were executed at the maximum flow rate. Flow rate is controlled by the chromatography skid (SOP-2011) and is recorded continuously.</w:t>
      </w:r>
    </w:p>
    <w:p>
      <w:pPr>
        <w:pStyle w:val="FirstParagraph"/>
      </w:pPr>
      <w:r>
        <w:t xml:space="preserve">The two null results are retained in the knowledge space and are not discarded, because protein</w:t>
      </w:r>
      <w:r>
        <w:t xml:space="preserve"> </w:t>
      </w:r>
      <w:r>
        <w:t xml:space="preserve">load and flow rate are evidence that the step is robust to load and to residence time over the</w:t>
      </w:r>
      <w:r>
        <w:t xml:space="preserve"> </w:t>
      </w:r>
      <w:r>
        <w:t xml:space="preserve">ranges studied. That robustness simplifies the control strategy, since only the three chemistry parameters (load pH, load conductivity, and equilibration and wash-1 conductivity) have to be held closely in order to govern the attributes this step controls.</w:t>
      </w:r>
    </w:p>
    <w:p>
      <w:pPr>
        <w:pStyle w:val="BodyText"/>
      </w:pPr>
      <w:r>
        <w:t xml:space="preserve">For context across the whole train, the parameter counts by class are 20 WC-CPP, 1 CPP, 10 KPP and 6 GPP, and the consolidated classification is presented in PCMR-001.</w:t>
      </w:r>
    </w:p>
    <w:p>
      <w:r>
        <w:br w:type="page"/>
      </w:r>
    </w:p>
    <w:bookmarkEnd w:id="89"/>
    <w:bookmarkStart w:id="90" w:name="contribution-to-the-control-strategy"/>
    <w:p>
      <w:pPr>
        <w:pStyle w:val="Heading1"/>
      </w:pPr>
      <w:r>
        <w:t xml:space="preserve">10. Contribution to the control strategy</w:t>
      </w:r>
    </w:p>
    <w:p>
      <w:pPr>
        <w:pStyle w:val="FirstParagraph"/>
      </w:pPr>
      <w:r>
        <w:t xml:space="preserve">The anion exchange step contributes four elements to the drug substance control strategy.</w:t>
      </w:r>
    </w:p>
    <w:p>
      <w:pPr>
        <w:pStyle w:val="BodyText"/>
      </w:pPr>
      <w:r>
        <w:t xml:space="preserve">The first is parameter control. Load pH, load conductivity and equilibration and wash-1</w:t>
      </w:r>
      <w:r>
        <w:t xml:space="preserve"> </w:t>
      </w:r>
      <w:r>
        <w:t xml:space="preserve">conductivity are held within the normal operating ranges given in</w:t>
      </w:r>
      <w:r>
        <w:t xml:space="preserve"> </w:t>
      </w:r>
      <w:hyperlink w:anchor="tbl-params">
        <w:r>
          <w:rPr>
            <w:rStyle w:val="Hyperlink"/>
          </w:rPr>
          <w:t xml:space="preserve">Table 7</w:t>
        </w:r>
      </w:hyperlink>
      <w:r>
        <w:t xml:space="preserve">, which lie inside</w:t>
      </w:r>
      <w:r>
        <w:t xml:space="preserve"> </w:t>
      </w:r>
      <w:r>
        <w:t xml:space="preserve">the design space defined in §6 with the margins stated there. Protein load and flow rate are</w:t>
      </w:r>
      <w:r>
        <w:t xml:space="preserve"> </w:t>
      </w:r>
      <w:r>
        <w:t xml:space="preserve">held within their normal operating ranges, which bound the conditions under which the viral</w:t>
      </w:r>
      <w:r>
        <w:t xml:space="preserve"> </w:t>
      </w:r>
      <w:r>
        <w:t xml:space="preserve">clearance claim was demonstrated.</w:t>
      </w:r>
    </w:p>
    <w:p>
      <w:pPr>
        <w:pStyle w:val="BodyText"/>
      </w:pPr>
      <w:r>
        <w:t xml:space="preserve">The second is in-process monitoring. Load pH and load conductivity are verified on the adjusted</w:t>
      </w:r>
      <w:r>
        <w:t xml:space="preserve"> </w:t>
      </w:r>
      <w:r>
        <w:t xml:space="preserve">load before the column is loaded, equilibration and wash-1 buffer conductivity and pH are verified at buffer release under SOP-2103, and pool HCP is measured on every batch and trended against the capability reported below (§8). Step yield is monitored as a process performance indicator,</w:t>
      </w:r>
      <w:r>
        <w:t xml:space="preserve"> </w:t>
      </w:r>
      <w:r>
        <w:t xml:space="preserve">and §5.2 shows that it is not quality-linked at this step.</w:t>
      </w:r>
    </w:p>
    <w:p>
      <w:pPr>
        <w:pStyle w:val="BodyText"/>
      </w:pPr>
      <w:r>
        <w:t xml:space="preserve">The third is life-cycle control. Column packing quality, sanitization and resin lifetime are</w:t>
      </w:r>
      <w:r>
        <w:t xml:space="preserve"> </w:t>
      </w:r>
      <w:r>
        <w:t xml:space="preserve">controlled under SOP-2008, and column efficiency is monitored between runs by transitional</w:t>
      </w:r>
      <w:r>
        <w:t xml:space="preserve"> </w:t>
      </w:r>
      <w:r>
        <w:t xml:space="preserve">analysis, with repacking triggered on the criteria in that procedure. Resin life-cycle behaviour</w:t>
      </w:r>
      <w:r>
        <w:t xml:space="preserve"> </w:t>
      </w:r>
      <w:r>
        <w:t xml:space="preserve">is not characterized in this study, which was executed on a single resin lot within each design.</w:t>
      </w:r>
    </w:p>
    <w:p>
      <w:pPr>
        <w:pStyle w:val="BodyText"/>
      </w:pPr>
      <w:r>
        <w:t xml:space="preserve">The fourth is a control arising from a deviation. The load material presented to this step must</w:t>
      </w:r>
      <w:r>
        <w:t xml:space="preserve"> </w:t>
      </w:r>
      <w:r>
        <w:t xml:space="preserve">be representative of the commercial cation exchange pool, and an extended neutralized hold of</w:t>
      </w:r>
      <w:r>
        <w:t xml:space="preserve"> </w:t>
      </w:r>
      <w:r>
        <w:t xml:space="preserve">that pool is the condition that made it unrepresentative in the first execution (§13.1). A hold</w:t>
      </w:r>
      <w:r>
        <w:t xml:space="preserve"> </w:t>
      </w:r>
      <w:r>
        <w:t xml:space="preserve">time limit on the neutralized cation exchange pool is therefore carried into the Stage 2 control</w:t>
      </w:r>
      <w:r>
        <w:t xml:space="preserve"> </w:t>
      </w:r>
      <w:r>
        <w:t xml:space="preserve">strategy, and the acidic charge variant content of the load is verified by imaged capillary</w:t>
      </w:r>
      <w:r>
        <w:t xml:space="preserve"> </w:t>
      </w:r>
      <w:r>
        <w:t xml:space="preserve">isoelectric focusing (AMV-3013) before the step is run.</w:t>
      </w:r>
    </w:p>
    <w:p>
      <w:pPr>
        <w:pStyle w:val="BodyText"/>
      </w:pPr>
      <w:r>
        <w:t xml:space="preserve">Two limits on this contribution are stated explicitly. The step does not assure viral safety on</w:t>
      </w:r>
      <w:r>
        <w:t xml:space="preserve"> </w:t>
      </w:r>
      <w:r>
        <w:t xml:space="preserve">its own, since the cumulative MVM claim requires small-virus retentive filtration and the cumulative XMuLV claim requires the low-pH hold as well (§8,</w:t>
      </w:r>
      <w:r>
        <w:t xml:space="preserve"> </w:t>
      </w:r>
      <w:hyperlink w:anchor="tbl-vc">
        <w:r>
          <w:rPr>
            <w:rStyle w:val="Hyperlink"/>
          </w:rPr>
          <w:t xml:space="preserve">Table 21</w:t>
        </w:r>
      </w:hyperlink>
      <w:r>
        <w:t xml:space="preserve">). The step also makes no</w:t>
      </w:r>
      <w:r>
        <w:t xml:space="preserve"> </w:t>
      </w:r>
      <w:r>
        <w:t xml:space="preserve">contribution to the control of glycan variants, charge variants or aggregate, which are governed at Step 3 and Step 7. All contributions are consolidated in PCMR-001.</w:t>
      </w:r>
    </w:p>
    <w:p>
      <w:r>
        <w:br w:type="page"/>
      </w:r>
    </w:p>
    <w:bookmarkEnd w:id="90"/>
    <w:bookmarkStart w:id="91" w:name="discussion"/>
    <w:p>
      <w:pPr>
        <w:pStyle w:val="Heading1"/>
      </w:pPr>
      <w:r>
        <w:t xml:space="preserve">11. Discussion</w:t>
      </w:r>
    </w:p>
    <w:p>
      <w:pPr>
        <w:pStyle w:val="FirstParagraph"/>
      </w:pPr>
      <w:r>
        <w:t xml:space="preserve">The step is well understood over the ranges studied, in that three parameters govern the</w:t>
      </w:r>
      <w:r>
        <w:t xml:space="preserve"> </w:t>
      </w:r>
      <w:r>
        <w:t xml:space="preserve">attributes it controls and the mechanism behind each of them is established rather than</w:t>
      </w:r>
      <w:r>
        <w:t xml:space="preserve"> </w:t>
      </w:r>
      <w:r>
        <w:t xml:space="preserve">inferred. Viral clearance is a charge partitioning process governed by load pH and load conductivity, while pool purity is governed by the ionic environment of the column during flow-through</w:t>
      </w:r>
      <w:r>
        <w:t xml:space="preserve"> </w:t>
      </w:r>
      <w:r>
        <w:t xml:space="preserve">and therefore by the equilibration and wash-1 conductivity. Two parameters are inactive over</w:t>
      </w:r>
      <w:r>
        <w:t xml:space="preserve"> </w:t>
      </w:r>
      <w:r>
        <w:t xml:space="preserve">wide ranges. The resulting operating region is bounded by viral clearance and not by pool purity. The binding attribute inside that region is MVM clearance.</w:t>
      </w:r>
    </w:p>
    <w:p>
      <w:pPr>
        <w:pStyle w:val="BodyText"/>
      </w:pPr>
      <w:r>
        <w:t xml:space="preserve">The scale-down model is the foundation of every claim in this report, so its representativeness</w:t>
      </w:r>
      <w:r>
        <w:t xml:space="preserve"> </w:t>
      </w:r>
      <w:r>
        <w:t xml:space="preserve">deserves a direct statement. The model reproduces the commercial step at target conditions on</w:t>
      </w:r>
      <w:r>
        <w:t xml:space="preserve"> </w:t>
      </w:r>
      <w:r>
        <w:t xml:space="preserve">the input and output attributes compared during qualification, but it is not independently qualified at the edges of the characterized ranges, and design spaces are not confirmed at scale at</w:t>
      </w:r>
      <w:r>
        <w:t xml:space="preserve"> </w:t>
      </w:r>
      <w:r>
        <w:t xml:space="preserve">the edges of the ranges. The verification runs (§13.2) provide the only direct evidence at corner conditions, and they too were run at small scale.</w:t>
      </w:r>
    </w:p>
    <w:p>
      <w:pPr>
        <w:pStyle w:val="BodyText"/>
      </w:pPr>
      <w:r>
        <w:t xml:space="preserve">Three deviations affected the campaign, and the most serious of them invalidated the first</w:t>
      </w:r>
      <w:r>
        <w:t xml:space="preserve"> </w:t>
      </w:r>
      <w:r>
        <w:t xml:space="preserve">execution of both designs. The load used in that execution carried an acidic charge variant</w:t>
      </w:r>
      <w:r>
        <w:t xml:space="preserve"> </w:t>
      </w:r>
      <w:r>
        <w:t xml:space="preserve">content of 33.5% against</w:t>
      </w:r>
      <w:r>
        <w:t xml:space="preserve"> </w:t>
      </w:r>
      <w:r>
        <w:t xml:space="preserve">21.0% in the requalified material, and</w:t>
      </w:r>
      <w:r>
        <w:t xml:space="preserve"> </w:t>
      </w:r>
      <w:r>
        <w:t xml:space="preserve">pool HCP reached 150 ng/mg at one corner of that design, so both</w:t>
      </w:r>
      <w:r>
        <w:t xml:space="preserve"> </w:t>
      </w:r>
      <w:r>
        <w:t xml:space="preserve">designs were re-executed in full on requalified load. The requalified data show no trace of the</w:t>
      </w:r>
      <w:r>
        <w:t xml:space="preserve"> </w:t>
      </w:r>
      <w:r>
        <w:t xml:space="preserve">anomalous interaction seen in the first execution, which confirms the root cause. The other two</w:t>
      </w:r>
      <w:r>
        <w:t xml:space="preserve"> </w:t>
      </w:r>
      <w:r>
        <w:t xml:space="preserve">deviations were a collection criterion correction and a buffer pH excursion on a single screening</w:t>
      </w:r>
      <w:r>
        <w:t xml:space="preserve"> </w:t>
      </w:r>
      <w:r>
        <w:t xml:space="preserve">run, and none of the three changed a classification or a region boundary (§13).</w:t>
      </w:r>
    </w:p>
    <w:p>
      <w:pPr>
        <w:pStyle w:val="BodyText"/>
      </w:pPr>
      <w:r>
        <w:t xml:space="preserve">Four limitations are recorded. The first is the mean-level nature of the response-surface</w:t>
      </w:r>
      <w:r>
        <w:t xml:space="preserve"> </w:t>
      </w:r>
      <w:r>
        <w:t xml:space="preserve">models, which is why assurance is established by simulation (§8) and is not read off the contours. The second is the precision of the HCP assay, at 9.5%</w:t>
      </w:r>
      <w:r>
        <w:t xml:space="preserve"> </w:t>
      </w:r>
      <w:r>
        <w:t xml:space="preserve">relative standard deviation, which sets a floor on the size of an effect that this study could</w:t>
      </w:r>
      <w:r>
        <w:t xml:space="preserve"> </w:t>
      </w:r>
      <w:r>
        <w:t xml:space="preserve">have resolved for that response. The third is resin life-cycle, which is controlled procedurally</w:t>
      </w:r>
      <w:r>
        <w:t xml:space="preserve"> </w:t>
      </w:r>
      <w:r>
        <w:t xml:space="preserve">and is not characterized here. The fourth is the small-scale spiking model, which is qualified</w:t>
      </w:r>
      <w:r>
        <w:t xml:space="preserve"> </w:t>
      </w:r>
      <w:r>
        <w:t xml:space="preserve">as representative but is not a commercial-scale measurement, in common with all modular viral</w:t>
      </w:r>
      <w:r>
        <w:t xml:space="preserve"> </w:t>
      </w:r>
      <w:r>
        <w:t xml:space="preserve">clearance claims made under ICH Q5A</w:t>
      </w:r>
      <w:r>
        <w:t xml:space="preserve"> </w:t>
      </w:r>
      <w:r>
        <w:t xml:space="preserve">(International Council for Harmonisation 2023a)</w:t>
      </w:r>
      <w:r>
        <w:t xml:space="preserve">.</w:t>
      </w:r>
    </w:p>
    <w:p>
      <w:pPr>
        <w:pStyle w:val="BodyText"/>
      </w:pPr>
      <w:r>
        <w:t xml:space="preserve">No parameter at this step required the most stringent control class, because the design space is</w:t>
      </w:r>
      <w:r>
        <w:t xml:space="preserve"> </w:t>
      </w:r>
      <w:r>
        <w:t xml:space="preserve">wide relative to the control capability of the equipment for all five parameters, and each of them is either measured directly and continuously (pH, conductivity, flow rate) or verified before use. That combination is</w:t>
      </w:r>
      <w:r>
        <w:t xml:space="preserve"> </w:t>
      </w:r>
      <w:r>
        <w:t xml:space="preserve">what distinguishes a well-controlled critical process parameter from a critical process</w:t>
      </w:r>
      <w:r>
        <w:t xml:space="preserve"> </w:t>
      </w:r>
      <w:r>
        <w:t xml:space="preserve">parameter under SOP-4001.</w:t>
      </w:r>
    </w:p>
    <w:p>
      <w:r>
        <w:br w:type="page"/>
      </w:r>
    </w:p>
    <w:bookmarkEnd w:id="91"/>
    <w:bookmarkStart w:id="92" w:name="conclusions"/>
    <w:p>
      <w:pPr>
        <w:pStyle w:val="Heading1"/>
      </w:pPr>
      <w:r>
        <w:t xml:space="preserve">12. Conclusions</w:t>
      </w:r>
    </w:p>
    <w:p>
      <w:pPr>
        <w:pStyle w:val="FirstParagraph"/>
      </w:pPr>
      <w:r>
        <w:t xml:space="preserve">The anion exchange step is well characterized and robust over the ranges studied.</w:t>
      </w:r>
    </w:p>
    <w:p>
      <w:pPr>
        <w:pStyle w:val="BodyText"/>
      </w:pPr>
      <w:r>
        <w:t xml:space="preserve">A multivariate operating region is defined over load pH, load conductivity and equilibration and</w:t>
      </w:r>
      <w:r>
        <w:t xml:space="preserve"> </w:t>
      </w:r>
      <w:r>
        <w:t xml:space="preserve">wash-1 conductivity, with protein load and flow rate free within their characterized ranges, and at the worst corner of that region the predicted MVM log reduction factor is</w:t>
      </w:r>
      <w:r>
        <w:t xml:space="preserve"> </w:t>
      </w:r>
      <w:r>
        <w:t xml:space="preserve">3.53 log₁₀ against a required step contribution of</w:t>
      </w:r>
      <w:r>
        <w:t xml:space="preserve"> </w:t>
      </w:r>
      <w:r>
        <w:t xml:space="preserve">3.28 log₁₀. Every characterized parameter is proven acceptable across its</w:t>
      </w:r>
      <w:r>
        <w:t xml:space="preserve"> </w:t>
      </w:r>
      <w:r>
        <w:t xml:space="preserve">full characterization range, both at set-point and with the other parameters varying within their</w:t>
      </w:r>
      <w:r>
        <w:t xml:space="preserve"> </w:t>
      </w:r>
      <w:r>
        <w:t xml:space="preserve">normal operating ranges.</w:t>
      </w:r>
    </w:p>
    <w:p>
      <w:pPr>
        <w:pStyle w:val="BodyText"/>
      </w:pPr>
      <w:r>
        <w:t xml:space="preserve">At commercial scale the governed attributes meet their acceptance criteria, and the tightest</w:t>
      </w:r>
      <w:r>
        <w:t xml:space="preserve"> </w:t>
      </w:r>
      <w:r>
        <w:t xml:space="preserve">capability is the cumulative MVM claim at 1.51, which is also the minimum</w:t>
      </w:r>
      <w:r>
        <w:t xml:space="preserve"> </w:t>
      </w:r>
      <w:r>
        <w:t xml:space="preserve">across the drug substance process. All 5 characterized parameters</w:t>
      </w:r>
      <w:r>
        <w:t xml:space="preserve"> </w:t>
      </w:r>
      <w:r>
        <w:t xml:space="preserve">are classified as well-controlled critical process parameters, and no critical process parameter</w:t>
      </w:r>
      <w:r>
        <w:t xml:space="preserve"> </w:t>
      </w:r>
      <w:r>
        <w:t xml:space="preserve">and no key process parameter is assigned at this step.</w:t>
      </w:r>
    </w:p>
    <w:p>
      <w:pPr>
        <w:pStyle w:val="BodyText"/>
      </w:pPr>
      <w:r>
        <w:t xml:space="preserve">Three deviations were recorded, investigated and resolved, one of which invalidated the first</w:t>
      </w:r>
      <w:r>
        <w:t xml:space="preserve"> </w:t>
      </w:r>
      <w:r>
        <w:t xml:space="preserve">execution of both designs, and those designs were re-executed in full on requalified load</w:t>
      </w:r>
      <w:r>
        <w:t xml:space="preserve"> </w:t>
      </w:r>
      <w:r>
        <w:t xml:space="preserve">material. No deviation altered a parameter classification or a boundary of the operating region.</w:t>
      </w:r>
    </w:p>
    <w:p>
      <w:pPr>
        <w:pStyle w:val="BodyText"/>
      </w:pPr>
      <w:r>
        <w:t xml:space="preserve">The step does not assure viral safety on its own, and it makes no claim for glycan variants,</w:t>
      </w:r>
      <w:r>
        <w:t xml:space="preserve"> </w:t>
      </w:r>
      <w:r>
        <w:t xml:space="preserve">charge variants or aggregate. Its contribution is consolidated with the other steps in PCMR-001.</w:t>
      </w:r>
    </w:p>
    <w:p>
      <w:r>
        <w:br w:type="page"/>
      </w:r>
    </w:p>
    <w:bookmarkEnd w:id="92"/>
    <w:bookmarkStart w:id="98" w:name="deviations-from-the-plan"/>
    <w:p>
      <w:pPr>
        <w:pStyle w:val="Heading1"/>
      </w:pPr>
      <w:r>
        <w:t xml:space="preserve">13. Deviations from the plan</w:t>
      </w:r>
    </w:p>
    <w:p>
      <w:pPr>
        <w:pStyle w:val="FirstParagraph"/>
      </w:pPr>
      <w:r>
        <w:t xml:space="preserve">Three deviations from PCP-008 were recorded during execution. Each was investigated, assigned a root cause, impact assessed and dispositioned before the data were used. One of them</w:t>
      </w:r>
      <w:r>
        <w:t xml:space="preserve"> </w:t>
      </w:r>
      <w:r>
        <w:t xml:space="preserve">invalidated the first execution of both designs and forced a full re-execution. The register is</w:t>
      </w:r>
      <w:r>
        <w:t xml:space="preserve"> </w:t>
      </w:r>
      <w:r>
        <w:t xml:space="preserve">given in</w:t>
      </w:r>
      <w:r>
        <w:t xml:space="preserve"> </w:t>
      </w:r>
      <w:hyperlink w:anchor="tbl-dev">
        <w:r>
          <w:rPr>
            <w:rStyle w:val="Hyperlink"/>
          </w:rPr>
          <w:t xml:space="preserve">Table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3" w:name="tbl-dev"/>
          <w:p>
            <w:pPr>
              <w:jc w:val="center"/>
            </w:pPr>
            <w:pPr>
              <w:jc w:val="left"/>
              <w:spacing w:before="200"/>
              <w:pStyle w:val="ImageCaption"/>
            </w:pPr>
            <w:r>
              <w:t xml:space="preserve">Table 22: Register of deviations recorded during execution of PCP-008.</w:t>
            </w:r>
          </w:p>
          <w:tbl>
            <w:tblPr>
              <w:tblStyle w:val="Table"/>
              <w:tblW w:type="pct" w:w="5000"/>
              <w:tblLayout w:type="fixed"/>
              <w:tblLook w:firstRow="1" w:lastRow="0" w:firstColumn="0" w:lastColumn="0" w:noHBand="0" w:noVBand="0" w:val="0020"/>
            </w:tblPr>
            <w:tblGrid>
              <w:gridCol w:w="459"/>
              <w:gridCol w:w="3606"/>
              <w:gridCol w:w="2227"/>
              <w:gridCol w:w="1626"/>
            </w:tblGrid>
            <w:tr>
              <w:trPr>
                <w:tblHeader w:val="on"/>
              </w:trPr>
              <w:tc>
                <w:tcPr/>
                <w:p>
                  <w:pPr>
                    <w:pStyle w:val="Compact"/>
                    <w:jc w:val="left"/>
                    <w:jc w:val="center"/>
                  </w:pPr>
                  <w:r>
                    <w:t xml:space="preserve">Deviation</w:t>
                  </w:r>
                </w:p>
              </w:tc>
              <w:tc>
                <w:tcPr/>
                <w:p>
                  <w:pPr>
                    <w:pStyle w:val="Compact"/>
                    <w:jc w:val="left"/>
                    <w:jc w:val="center"/>
                  </w:pPr>
                  <w:r>
                    <w:t xml:space="preserve">Summary</w:t>
                  </w:r>
                </w:p>
              </w:tc>
              <w:tc>
                <w:tcPr/>
                <w:p>
                  <w:pPr>
                    <w:pStyle w:val="Compact"/>
                    <w:jc w:val="left"/>
                    <w:jc w:val="center"/>
                  </w:pPr>
                  <w:r>
                    <w:t xml:space="preserve">Detected during</w:t>
                  </w:r>
                </w:p>
              </w:tc>
              <w:tc>
                <w:tcPr/>
                <w:p>
                  <w:pPr>
                    <w:pStyle w:val="Compact"/>
                    <w:jc w:val="left"/>
                    <w:jc w:val="center"/>
                  </w:pPr>
                  <w:r>
                    <w:t xml:space="preserve">Disposition</w:t>
                  </w:r>
                </w:p>
              </w:tc>
            </w:tr>
            <w:tr>
              <w:tc>
                <w:tcPr/>
                <w:p>
                  <w:pPr>
                    <w:pStyle w:val="Compact"/>
                    <w:jc w:val="left"/>
                    <w:jc w:val="center"/>
                  </w:pPr>
                  <w:r>
                    <w:t xml:space="preserve">DEV-008-01</w:t>
                  </w:r>
                </w:p>
              </w:tc>
              <w:tc>
                <w:tcPr/>
                <w:p>
                  <w:pPr>
                    <w:pStyle w:val="Compact"/>
                    <w:jc w:val="left"/>
                    <w:jc w:val="center"/>
                  </w:pPr>
                  <w:r>
                    <w:t xml:space="preserve">Non-representative (deamidated) load in the first DoE execution; designs invalidated and re-executed</w:t>
                  </w:r>
                </w:p>
              </w:tc>
              <w:tc>
                <w:tcPr/>
                <w:p>
                  <w:pPr>
                    <w:pStyle w:val="Compact"/>
                    <w:jc w:val="left"/>
                    <w:jc w:val="center"/>
                  </w:pPr>
                  <w:r>
                    <w:t xml:space="preserve">load-material charge-variant verification by icIEF (AMV-3013)</w:t>
                  </w:r>
                </w:p>
              </w:tc>
              <w:tc>
                <w:tcPr/>
                <w:p>
                  <w:pPr>
                    <w:pStyle w:val="Compact"/>
                    <w:jc w:val="left"/>
                    <w:jc w:val="center"/>
                  </w:pPr>
                  <w:r>
                    <w:t xml:space="preserve">invalidated_and_re_executed</w:t>
                  </w:r>
                </w:p>
              </w:tc>
            </w:tr>
            <w:tr>
              <w:tc>
                <w:tcPr/>
                <w:p>
                  <w:pPr>
                    <w:pStyle w:val="Compact"/>
                    <w:jc w:val="left"/>
                    <w:jc w:val="center"/>
                  </w:pPr>
                  <w:r>
                    <w:t xml:space="preserve">DEV-008-02</w:t>
                  </w:r>
                </w:p>
              </w:tc>
              <w:tc>
                <w:tcPr/>
                <w:p>
                  <w:pPr>
                    <w:pStyle w:val="Compact"/>
                    <w:jc w:val="left"/>
                    <w:jc w:val="center"/>
                  </w:pPr>
                  <w:r>
                    <w:t xml:space="preserve">Trailing-edge UV pool-collection set-point slightly permissive in both executions</w:t>
                  </w:r>
                </w:p>
              </w:tc>
              <w:tc>
                <w:tcPr/>
                <w:p>
                  <w:pPr>
                    <w:pStyle w:val="Compact"/>
                    <w:jc w:val="left"/>
                    <w:jc w:val="center"/>
                  </w:pPr>
                  <w:r>
                    <w:t xml:space="preserve">post-execution pool-fraction reconciliation (AMV-3012)</w:t>
                  </w:r>
                </w:p>
              </w:tc>
              <w:tc>
                <w:tcPr/>
                <w:p>
                  <w:pPr>
                    <w:pStyle w:val="Compact"/>
                    <w:jc w:val="left"/>
                    <w:jc w:val="center"/>
                  </w:pPr>
                  <w:r>
                    <w:t xml:space="preserve">corrected_by_modelling_and_verification_runs</w:t>
                  </w:r>
                </w:p>
              </w:tc>
            </w:tr>
            <w:tr>
              <w:tc>
                <w:tcPr/>
                <w:p>
                  <w:pPr>
                    <w:pStyle w:val="Compact"/>
                    <w:jc w:val="left"/>
                    <w:jc w:val="center"/>
                  </w:pPr>
                  <w:r>
                    <w:t xml:space="preserve">DEV-008-03</w:t>
                  </w:r>
                </w:p>
              </w:tc>
              <w:tc>
                <w:tcPr/>
                <w:p>
                  <w:pPr>
                    <w:pStyle w:val="Compact"/>
                    <w:jc w:val="left"/>
                    <w:jc w:val="center"/>
                  </w:pPr>
                  <w:r>
                    <w:t xml:space="preserve">Equilibration/Wash-1 buffer released below its pH acceptance range on one screening run</w:t>
                  </w:r>
                </w:p>
              </w:tc>
              <w:tc>
                <w:tcPr/>
                <w:p>
                  <w:pPr>
                    <w:pStyle w:val="Compact"/>
                    <w:jc w:val="left"/>
                    <w:jc w:val="center"/>
                  </w:pPr>
                  <w:r>
                    <w:t xml:space="preserve">buffer release testing per SOP-2103</w:t>
                  </w:r>
                </w:p>
              </w:tc>
              <w:tc>
                <w:tcPr/>
                <w:p>
                  <w:pPr>
                    <w:pStyle w:val="Compact"/>
                    <w:jc w:val="left"/>
                    <w:jc w:val="center"/>
                  </w:pPr>
                  <w:r>
                    <w:t xml:space="preserve">retained</w:t>
                  </w:r>
                </w:p>
              </w:tc>
            </w:tr>
          </w:tbl>
          <w:bookmarkEnd w:id="93"/>
          <w:p/>
        </w:tc>
      </w:tr>
    </w:tbl>
    <w:p>
      <w:pPr>
        <w:pStyle w:val="BodyText"/>
      </w:pPr>
      <w:r>
        <w:t xml:space="preserve">The three differ considerably in severity: the first invalidated a complete execution of the</w:t>
      </w:r>
      <w:r>
        <w:t xml:space="preserve"> </w:t>
      </w:r>
      <w:r>
        <w:t xml:space="preserve">study, the second applied to both executions and was corrected by modelling and by verification</w:t>
      </w:r>
      <w:r>
        <w:t xml:space="preserve"> </w:t>
      </w:r>
      <w:r>
        <w:t xml:space="preserve">runs, and the third affected one screening run and was retained. Each is given in turn below.</w:t>
      </w:r>
    </w:p>
    <w:bookmarkStart w:id="95" w:name="X3c357f08ff86cee0c2689da3ee8a4e154fb488b"/>
    <w:p>
      <w:pPr>
        <w:pStyle w:val="Heading2"/>
      </w:pPr>
      <w:r>
        <w:t xml:space="preserve">13.1 Non-representative load material in the first execution</w:t>
      </w:r>
    </w:p>
    <w:p>
      <w:pPr>
        <w:pStyle w:val="FirstParagraph"/>
      </w:pPr>
      <w:r>
        <w:t xml:space="preserve">Pool HCP in the first execution of the screening design reached 150</w:t>
      </w:r>
      <w:r>
        <w:t xml:space="preserve"> </w:t>
      </w:r>
      <w:r>
        <w:t xml:space="preserve">ng/mg at the corner combining high equilibration and wash-1 conductivity with high protein load,</w:t>
      </w:r>
      <w:r>
        <w:t xml:space="preserve"> </w:t>
      </w:r>
      <w:r>
        <w:t xml:space="preserve">which is above the acceptance criterion of 100 ng/mg applied to the</w:t>
      </w:r>
      <w:r>
        <w:t xml:space="preserve"> </w:t>
      </w:r>
      <w:r>
        <w:t xml:space="preserve">pool. The corresponding maximum in the re-executed design is 36</w:t>
      </w:r>
      <w:r>
        <w:t xml:space="preserve"> </w:t>
      </w:r>
      <w:r>
        <w:t xml:space="preserve">ng/mg.</w:t>
      </w:r>
    </w:p>
    <w:p>
      <w:pPr>
        <w:pStyle w:val="BodyText"/>
      </w:pPr>
      <w:r>
        <w:t xml:space="preserve">The investigation began with the load material, because the excursion appeared at a load corner</w:t>
      </w:r>
      <w:r>
        <w:t xml:space="preserve"> </w:t>
      </w:r>
      <w:r>
        <w:t xml:space="preserve">and not at a chemistry corner. Charge variant verification of the load by imaged capillary</w:t>
      </w:r>
      <w:r>
        <w:t xml:space="preserve"> </w:t>
      </w:r>
      <w:r>
        <w:t xml:space="preserve">isoelectric focusing (AMV-3013) found an acidic variant content of</w:t>
      </w:r>
      <w:r>
        <w:t xml:space="preserve"> </w:t>
      </w:r>
      <w:r>
        <w:t xml:space="preserve">33.5% in lot LOT-CEX-8842, against</w:t>
      </w:r>
      <w:r>
        <w:t xml:space="preserve"> </w:t>
      </w:r>
      <w:r>
        <w:t xml:space="preserve">21.0% in the requalified load used for</w:t>
      </w:r>
      <w:r>
        <w:t xml:space="preserve"> </w:t>
      </w:r>
      <w:r>
        <w:t xml:space="preserve">the reported execution. The root cause was an extended neutralized hold of the cation exchange</w:t>
      </w:r>
      <w:r>
        <w:t xml:space="preserve"> </w:t>
      </w:r>
      <w:r>
        <w:t xml:space="preserve">pool before adjustment, lasting 36 hours, which</w:t>
      </w:r>
      <w:r>
        <w:t xml:space="preserve"> </w:t>
      </w:r>
      <w:r>
        <w:t xml:space="preserve">promoted asparagine deamidation. Because deamidation lowers the isoelectric point of the affected</w:t>
      </w:r>
      <w:r>
        <w:t xml:space="preserve"> </w:t>
      </w:r>
      <w:r>
        <w:t xml:space="preserve">species, the additional acidic product species compete with HCP for the available binding sites on a strong anion exchanger operated in flow-through mode. That competition scales with the mass</w:t>
      </w:r>
      <w:r>
        <w:t xml:space="preserve"> </w:t>
      </w:r>
      <w:r>
        <w:t xml:space="preserve">of product applied, which is why the anomaly presented as an interaction between protein load and</w:t>
      </w:r>
      <w:r>
        <w:t xml:space="preserve"> </w:t>
      </w:r>
      <w:r>
        <w:t xml:space="preserve">wash conductivity.</w:t>
      </w:r>
    </w:p>
    <w:p>
      <w:pPr>
        <w:pStyle w:val="BodyText"/>
      </w:pPr>
      <w:r>
        <w:t xml:space="preserve">The affected screening and response-surface designs were invalidated for the purpose of defining</w:t>
      </w:r>
      <w:r>
        <w:t xml:space="preserve"> </w:t>
      </w:r>
      <w:r>
        <w:t xml:space="preserve">the operating region, and both were re-executed in full on a requalified, representative load (LOT-CEX-8851).</w:t>
      </w:r>
      <w:r>
        <w:t xml:space="preserve"> </w:t>
      </w:r>
      <w:r>
        <w:t xml:space="preserve">The first execution is retained as a controlled record and is referenced here only to confirm the root cause. It is not used in any analysis in this report. The three terms that carry</w:t>
      </w:r>
      <w:r>
        <w:t xml:space="preserve"> </w:t>
      </w:r>
      <w:r>
        <w:t xml:space="preserve">the anomaly are compared in</w:t>
      </w:r>
      <w:r>
        <w:t xml:space="preserve"> </w:t>
      </w:r>
      <w:hyperlink w:anchor="tbl-sup">
        <w:r>
          <w:rPr>
            <w:rStyle w:val="Hyperlink"/>
          </w:rPr>
          <w:t xml:space="preserve">Table 23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4" w:name="tbl-sup"/>
          <w:p>
            <w:pPr>
              <w:jc w:val="center"/>
            </w:pPr>
            <w:pPr>
              <w:jc w:val="left"/>
              <w:spacing w:before="200"/>
              <w:pStyle w:val="ImageCaption"/>
            </w:pPr>
            <w:r>
              <w:t xml:space="preserve">Table 23: Screening effects on pool host cell protein in the invalidated first execution and in the re-executed study.</w:t>
            </w:r>
          </w:p>
          <w:tbl>
            <w:tblPr>
              <w:tblStyle w:val="Table"/>
              <w:tblW w:type="pct" w:w="5000"/>
              <w:tblLayout w:type="fixed"/>
              <w:tblLook w:firstRow="1" w:lastRow="0" w:firstColumn="0" w:lastColumn="0" w:noHBand="0" w:noVBand="0" w:val="0020"/>
            </w:tblPr>
            <w:tblGrid>
              <w:gridCol w:w="688"/>
              <w:gridCol w:w="1980"/>
              <w:gridCol w:w="1549"/>
              <w:gridCol w:w="2066"/>
              <w:gridCol w:w="1635"/>
            </w:tblGrid>
            <w:tr>
              <w:trPr>
                <w:tblHeader w:val="on"/>
              </w:trPr>
              <w:tc>
                <w:tcPr/>
                <w:p>
                  <w:pPr>
                    <w:pStyle w:val="Compact"/>
                    <w:jc w:val="left"/>
                    <w:jc w:val="center"/>
                  </w:pPr>
                  <w:r>
                    <w:t xml:space="preserve">Term</w:t>
                  </w:r>
                </w:p>
              </w:tc>
              <w:tc>
                <w:tcPr/>
                <w:p>
                  <w:pPr>
                    <w:pStyle w:val="Compact"/>
                    <w:jc w:val="right"/>
                    <w:jc w:val="center"/>
                  </w:pPr>
                  <w:r>
                    <w:t xml:space="preserve">Effect (superseded)</w:t>
                  </w:r>
                </w:p>
              </w:tc>
              <w:tc>
                <w:tcPr/>
                <w:p>
                  <w:pPr>
                    <w:pStyle w:val="Compact"/>
                    <w:jc w:val="right"/>
                    <w:jc w:val="center"/>
                  </w:pPr>
                  <w:r>
                    <w:t xml:space="preserve">p (superseded)</w:t>
                  </w:r>
                </w:p>
              </w:tc>
              <w:tc>
                <w:tcPr/>
                <w:p>
                  <w:pPr>
                    <w:pStyle w:val="Compact"/>
                    <w:jc w:val="right"/>
                    <w:jc w:val="center"/>
                  </w:pPr>
                  <w:r>
                    <w:t xml:space="preserve">Effect (requalified)</w:t>
                  </w:r>
                </w:p>
              </w:tc>
              <w:tc>
                <w:tcPr/>
                <w:p>
                  <w:pPr>
                    <w:pStyle w:val="Compact"/>
                    <w:jc w:val="right"/>
                    <w:jc w:val="center"/>
                  </w:pPr>
                  <w:r>
                    <w:t xml:space="preserve">p (requalified)</w:t>
                  </w:r>
                </w:p>
              </w:tc>
            </w:tr>
            <w:tr>
              <w:tc>
                <w:tcPr/>
                <w:p>
                  <w:pPr>
                    <w:pStyle w:val="Compact"/>
                    <w:jc w:val="left"/>
                    <w:jc w:val="center"/>
                  </w:pPr>
                  <w:r>
                    <w:t xml:space="preserve">B</w:t>
                  </w:r>
                </w:p>
              </w:tc>
              <w:tc>
                <w:tcPr/>
                <w:p>
                  <w:pPr>
                    <w:pStyle w:val="Compact"/>
                    <w:jc w:val="right"/>
                    <w:jc w:val="center"/>
                  </w:pPr>
                  <w:r>
                    <w:t xml:space="preserve">50.4</w:t>
                  </w:r>
                </w:p>
              </w:tc>
              <w:tc>
                <w:tcPr/>
                <w:p>
                  <w:pPr>
                    <w:pStyle w:val="Compact"/>
                    <w:jc w:val="right"/>
                    <w:jc w:val="center"/>
                  </w:pPr>
                  <w:r>
                    <w:t xml:space="preserve">0.000195</w:t>
                  </w:r>
                </w:p>
              </w:tc>
              <w:tc>
                <w:tcPr/>
                <w:p>
                  <w:pPr>
                    <w:pStyle w:val="Compact"/>
                    <w:jc w:val="right"/>
                    <w:jc w:val="center"/>
                  </w:pPr>
                  <w:r>
                    <w:t xml:space="preserve">12.1</w:t>
                  </w:r>
                </w:p>
              </w:tc>
              <w:tc>
                <w:tcPr/>
                <w:p>
                  <w:pPr>
                    <w:pStyle w:val="Compact"/>
                    <w:jc w:val="right"/>
                    <w:jc w:val="center"/>
                  </w:pPr>
                  <w:r>
                    <w:t xml:space="preserve">9.48e-06</w:t>
                  </w:r>
                </w:p>
              </w:tc>
            </w:tr>
            <w:tr>
              <w:tc>
                <w:tcPr/>
                <w:p>
                  <w:pPr>
                    <w:pStyle w:val="Compact"/>
                    <w:jc w:val="left"/>
                    <w:jc w:val="center"/>
                  </w:pPr>
                  <w:r>
                    <w:t xml:space="preserve">D</w:t>
                  </w:r>
                </w:p>
              </w:tc>
              <w:tc>
                <w:tcPr/>
                <w:p>
                  <w:pPr>
                    <w:pStyle w:val="Compact"/>
                    <w:jc w:val="right"/>
                    <w:jc w:val="center"/>
                  </w:pPr>
                  <w:r>
                    <w:t xml:space="preserve">35.6</w:t>
                  </w:r>
                </w:p>
              </w:tc>
              <w:tc>
                <w:tcPr/>
                <w:p>
                  <w:pPr>
                    <w:pStyle w:val="Compact"/>
                    <w:jc w:val="right"/>
                    <w:jc w:val="center"/>
                  </w:pPr>
                  <w:r>
                    <w:t xml:space="preserve">0.00181</w:t>
                  </w:r>
                </w:p>
              </w:tc>
              <w:tc>
                <w:tcPr/>
                <w:p>
                  <w:pPr>
                    <w:pStyle w:val="Compact"/>
                    <w:jc w:val="right"/>
                    <w:jc w:val="center"/>
                  </w:pPr>
                  <w:r>
                    <w:t xml:space="preserve">0.885</w:t>
                  </w:r>
                </w:p>
              </w:tc>
              <w:tc>
                <w:tcPr/>
                <w:p>
                  <w:pPr>
                    <w:pStyle w:val="Compact"/>
                    <w:jc w:val="right"/>
                    <w:jc w:val="center"/>
                  </w:pPr>
                  <w:r>
                    <w:t xml:space="preserve">0.491</w:t>
                  </w:r>
                </w:p>
              </w:tc>
            </w:tr>
            <w:tr>
              <w:tc>
                <w:tcPr/>
                <w:p>
                  <w:pPr>
                    <w:pStyle w:val="Compact"/>
                    <w:jc w:val="left"/>
                    <w:jc w:val="center"/>
                  </w:pPr>
                  <w:r>
                    <w:t xml:space="preserve">BD</w:t>
                  </w:r>
                </w:p>
              </w:tc>
              <w:tc>
                <w:tcPr/>
                <w:p>
                  <w:pPr>
                    <w:pStyle w:val="Compact"/>
                    <w:jc w:val="right"/>
                    <w:jc w:val="center"/>
                  </w:pPr>
                  <w:r>
                    <w:t xml:space="preserve">34.8</w:t>
                  </w:r>
                </w:p>
              </w:tc>
              <w:tc>
                <w:tcPr/>
                <w:p>
                  <w:pPr>
                    <w:pStyle w:val="Compact"/>
                    <w:jc w:val="right"/>
                    <w:jc w:val="center"/>
                  </w:pPr>
                  <w:r>
                    <w:t xml:space="preserve">0.00211</w:t>
                  </w:r>
                </w:p>
              </w:tc>
              <w:tc>
                <w:tcPr/>
                <w:p>
                  <w:pPr>
                    <w:pStyle w:val="Compact"/>
                    <w:jc w:val="right"/>
                    <w:jc w:val="center"/>
                  </w:pPr>
                  <w:r>
                    <w:t xml:space="preserve">0.224</w:t>
                  </w:r>
                </w:p>
              </w:tc>
              <w:tc>
                <w:tcPr/>
                <w:p>
                  <w:pPr>
                    <w:pStyle w:val="Compact"/>
                    <w:jc w:val="right"/>
                    <w:jc w:val="center"/>
                  </w:pPr>
                  <w:r>
                    <w:t xml:space="preserve">0.86</w:t>
                  </w:r>
                </w:p>
              </w:tc>
            </w:tr>
          </w:tbl>
          <w:bookmarkEnd w:id="94"/>
          <w:p/>
        </w:tc>
      </w:tr>
    </w:tbl>
    <w:p>
      <w:pPr>
        <w:pStyle w:val="BodyText"/>
      </w:pPr>
      <w:r>
        <w:t xml:space="preserve">The interaction between protein load and equilibration and wash-1 conductivity is</w:t>
      </w:r>
      <w:r>
        <w:t xml:space="preserve"> </w:t>
      </w:r>
      <w:r>
        <w:t xml:space="preserve">34.8 ng/mg in the first execution (p = 0.002), whereas in</w:t>
      </w:r>
      <w:r>
        <w:t xml:space="preserve"> </w:t>
      </w:r>
      <w:r>
        <w:t xml:space="preserve">the re-executed study the same term is 0.22 ng/mg</w:t>
      </w:r>
      <w:r>
        <w:t xml:space="preserve"> </w:t>
      </w:r>
      <w:r>
        <w:t xml:space="preserve">(p = 0.860). The protein load main effect falls from</w:t>
      </w:r>
      <w:r>
        <w:t xml:space="preserve"> </w:t>
      </w:r>
      <w:r>
        <w:t xml:space="preserve">35.6 ng/mg to 0.89 ng/mg. Both terms are absent from the</w:t>
      </w:r>
      <w:r>
        <w:t xml:space="preserve"> </w:t>
      </w:r>
      <w:r>
        <w:t xml:space="preserve">requalified data, which is the result the deamidation mechanism predicts and which confirms the</w:t>
      </w:r>
      <w:r>
        <w:t xml:space="preserve"> </w:t>
      </w:r>
      <w:r>
        <w:t xml:space="preserve">root cause: the load material caused the excursion and the operating parameters did not.</w:t>
      </w:r>
    </w:p>
    <w:p>
      <w:pPr>
        <w:pStyle w:val="BodyText"/>
      </w:pPr>
      <w:r>
        <w:t xml:space="preserve">The corrective action is a hold time limit on the neutralized cation exchange pool, together</w:t>
      </w:r>
      <w:r>
        <w:t xml:space="preserve"> </w:t>
      </w:r>
      <w:r>
        <w:t xml:space="preserve">with verification of the acidic charge variant content of the load before the anion exchange step is run, and both are carried into the Stage 2 control strategy (§10).</w:t>
      </w:r>
    </w:p>
    <w:bookmarkEnd w:id="95"/>
    <w:bookmarkStart w:id="96" w:name="X999449e768123cd2796448eb29dd6a352cbe41e"/>
    <w:p>
      <w:pPr>
        <w:pStyle w:val="Heading2"/>
      </w:pPr>
      <w:r>
        <w:t xml:space="preserve">13.2 Collection criterion on the descending edge</w:t>
      </w:r>
    </w:p>
    <w:p>
      <w:pPr>
        <w:pStyle w:val="FirstParagraph"/>
      </w:pPr>
      <w:r>
        <w:t xml:space="preserve">The product pool was collected to a descending UV absorbance threshold of</w:t>
      </w:r>
      <w:r>
        <w:t xml:space="preserve"> </w:t>
      </w:r>
      <w:r>
        <w:t xml:space="preserve">180 mAU in both executions, where SOP-2011</w:t>
      </w:r>
      <w:r>
        <w:t xml:space="preserve"> </w:t>
      </w:r>
      <w:r>
        <w:t xml:space="preserve">specifies 120 mAU. Since collecting to the</w:t>
      </w:r>
      <w:r>
        <w:t xml:space="preserve"> </w:t>
      </w:r>
      <w:r>
        <w:t xml:space="preserve">lower threshold extends the pool further down the descending edge, the executed runs collected a</w:t>
      </w:r>
      <w:r>
        <w:t xml:space="preserve"> </w:t>
      </w:r>
      <w:r>
        <w:t xml:space="preserve">narrower pool than the commercial step will collect, so the pool HCP concentrations reported in §5 apply to a pool boundary that is not the commercial one and may understate the commercial value.</w:t>
      </w:r>
    </w:p>
    <w:p>
      <w:pPr>
        <w:pStyle w:val="BodyText"/>
      </w:pPr>
      <w:r>
        <w:t xml:space="preserve">The discrepancy was found during post-execution reconciliation of the pool fractions against the</w:t>
      </w:r>
      <w:r>
        <w:t xml:space="preserve"> </w:t>
      </w:r>
      <w:r>
        <w:t xml:space="preserve">chromatograms and against the HCP results measured under AMV-3012, and the root cause was an</w:t>
      </w:r>
      <w:r>
        <w:t xml:space="preserve"> </w:t>
      </w:r>
      <w:r>
        <w:t xml:space="preserve">incorrect collection set-point carried in the laboratory method file. The set-point was</w:t>
      </w:r>
      <w:r>
        <w:t xml:space="preserve"> </w:t>
      </w:r>
      <w:r>
        <w:t xml:space="preserve">corrected to 120 mAU.</w:t>
      </w:r>
    </w:p>
    <w:p>
      <w:pPr>
        <w:pStyle w:val="BodyText"/>
      </w:pPr>
      <w:r>
        <w:t xml:space="preserve">The impact was assessed in two ways. The additional trailing-edge material was quantified from the</w:t>
      </w:r>
      <w:r>
        <w:t xml:space="preserve"> </w:t>
      </w:r>
      <w:r>
        <w:t xml:space="preserve">recorded chromatograms and added to the measured pool composition. Verification runs at the corrected set-point followed, 3 in total, of which 2 were placed at corners of the operating region and not at the centre. All verification results fell inside the region</w:t>
      </w:r>
      <w:r>
        <w:t xml:space="preserve"> </w:t>
      </w:r>
      <w:r>
        <w:t xml:space="preserve">defined in §6 and within the acceptance criterion for pool HCP. The relative</w:t>
      </w:r>
      <w:r>
        <w:t xml:space="preserve"> </w:t>
      </w:r>
      <w:r>
        <w:t xml:space="preserve">95% confidence half-width of the verification set is</w:t>
      </w:r>
      <w:r>
        <w:t xml:space="preserve"> </w:t>
      </w:r>
      <w:r>
        <w:t xml:space="preserve">23.6%, which follows from the intermediate precision of the HCP assay at that number of runs. The verification demonstrates that the region holds at the corrected collection criterion. It does not resolve differences in pool HCP smaller than that half-width.</w:t>
      </w:r>
    </w:p>
    <w:p>
      <w:pPr>
        <w:pStyle w:val="BodyText"/>
      </w:pPr>
      <w:r>
        <w:t xml:space="preserve">The collection criterion is fixed at 120</w:t>
      </w:r>
      <w:r>
        <w:t xml:space="preserve"> </w:t>
      </w:r>
      <w:r>
        <w:t xml:space="preserve">mAU in SOP-2011 for Stage 2. No parameter classification and no boundary of the operating region was changed.</w:t>
      </w:r>
    </w:p>
    <w:bookmarkEnd w:id="96"/>
    <w:bookmarkStart w:id="97" w:name="X1bdb33fb968ac8bd0a0a83f7ff28a4ac3aeb2fd"/>
    <w:p>
      <w:pPr>
        <w:pStyle w:val="Heading2"/>
      </w:pPr>
      <w:r>
        <w:t xml:space="preserve">13.3 Equilibration and wash-1 buffer pH excursion</w:t>
      </w:r>
    </w:p>
    <w:p>
      <w:pPr>
        <w:pStyle w:val="FirstParagraph"/>
      </w:pPr>
      <w:r>
        <w:t xml:space="preserve">One lot of equilibration and wash-1 buffer (LOT-BUF-8815) was released at pH</w:t>
      </w:r>
      <w:r>
        <w:t xml:space="preserve"> </w:t>
      </w:r>
      <w:r>
        <w:t xml:space="preserve">7.32, against a lower acceptance limit of</w:t>
      </w:r>
      <w:r>
        <w:t xml:space="preserve"> </w:t>
      </w:r>
      <w:r>
        <w:t xml:space="preserve">7.40 and a target of</w:t>
      </w:r>
      <w:r>
        <w:t xml:space="preserve"> </w:t>
      </w:r>
      <w:r>
        <w:t xml:space="preserve">7.50, and that lot was used on one screening run. The root cause was a titration endpoint error at buffer preparation (SOP-2103), identified during release testing</w:t>
      </w:r>
      <w:r>
        <w:t xml:space="preserve"> </w:t>
      </w:r>
      <w:r>
        <w:t xml:space="preserve">under SOP-2103.</w:t>
      </w:r>
    </w:p>
    <w:p>
      <w:pPr>
        <w:pStyle w:val="BodyText"/>
      </w:pPr>
      <w:r>
        <w:t xml:space="preserve">Three arguments bound the impact. Buffer pH is not a factor in either design, and the load pH</w:t>
      </w:r>
      <w:r>
        <w:t xml:space="preserve"> </w:t>
      </w:r>
      <w:r>
        <w:t xml:space="preserve">factor was set and verified independently of the buffer. The measured value lies inside the</w:t>
      </w:r>
      <w:r>
        <w:t xml:space="preserve"> </w:t>
      </w:r>
      <w:r>
        <w:t xml:space="preserve">characterized range for load pH, which spans 7.2 to</w:t>
      </w:r>
      <w:r>
        <w:t xml:space="preserve"> </w:t>
      </w:r>
      <w:r>
        <w:t xml:space="preserve">7.8, so the affected run remains inside the knowledge space. The</w:t>
      </w:r>
      <w:r>
        <w:t xml:space="preserve"> </w:t>
      </w:r>
      <w:r>
        <w:t xml:space="preserve">affected run belongs to the screening design, which is not the predictive model, whereas the</w:t>
      </w:r>
      <w:r>
        <w:t xml:space="preserve"> </w:t>
      </w:r>
      <w:r>
        <w:t xml:space="preserve">operating region in §6 and the proven acceptable ranges in §7 rest on the response-surface design,</w:t>
      </w:r>
      <w:r>
        <w:t xml:space="preserve"> </w:t>
      </w:r>
      <w:r>
        <w:t xml:space="preserve">which was executed with released buffer throughout.</w:t>
      </w:r>
    </w:p>
    <w:p>
      <w:pPr>
        <w:pStyle w:val="BodyText"/>
      </w:pPr>
      <w:r>
        <w:t xml:space="preserve">The deviation was retained with no re-execution, and buffer preparation under SOP-2103 now</w:t>
      </w:r>
      <w:r>
        <w:t xml:space="preserve"> </w:t>
      </w:r>
      <w:r>
        <w:t xml:space="preserve">requires a second verification of the titration endpoint before release.</w:t>
      </w:r>
    </w:p>
    <w:p>
      <w:r>
        <w:br w:type="page"/>
      </w:r>
    </w:p>
    <w:bookmarkEnd w:id="97"/>
    <w:bookmarkEnd w:id="98"/>
    <w:bookmarkStart w:id="108" w:name="appendices-ad"/>
    <w:p>
      <w:pPr>
        <w:pStyle w:val="Heading1"/>
      </w:pPr>
      <w:r>
        <w:t xml:space="preserve">Appendices A–D</w:t>
      </w:r>
    </w:p>
    <w:bookmarkStart w:id="100" w:name="X77c0ef24ce4de9c1b8c35876c233736670b0bf3"/>
    <w:p>
      <w:pPr>
        <w:pStyle w:val="Heading2"/>
      </w:pPr>
      <w:r>
        <w:t xml:space="preserve">Appendix A — Screening design matrix and responses</w:t>
      </w:r>
    </w:p>
    <w:p>
      <w:pPr>
        <w:pStyle w:val="FirstParagraph"/>
      </w:pPr>
      <w:r>
        <w:t xml:space="preserve">The coded screening design matrix with its measured responses is given below, with factor</w:t>
      </w:r>
      <w:r>
        <w:t xml:space="preserve"> </w:t>
      </w:r>
      <w:r>
        <w:t xml:space="preserve">letters following</w:t>
      </w:r>
      <w:r>
        <w:t xml:space="preserve"> </w:t>
      </w:r>
      <w:hyperlink w:anchor="tbl-legend">
        <w:r>
          <w:rPr>
            <w:rStyle w:val="Hyperlink"/>
          </w:rPr>
          <w:t xml:space="preserve">Table 8</w:t>
        </w:r>
      </w:hyperlink>
      <w:r>
        <w:t xml:space="preserve"> </w:t>
      </w:r>
      <w:r>
        <w:t xml:space="preserve">and coded settings taking the edges and the centre of each</w:t>
      </w:r>
      <w:r>
        <w:t xml:space="preserve"> </w:t>
      </w:r>
      <w:r>
        <w:t xml:space="preserve">characterized range.</w:t>
      </w:r>
    </w:p>
    <w:tbl>
      <w:tblPr>
        <w:tblStyle w:val="Table"/>
        <w:tblW w:type="pct" w:w="5000"/>
        <w:tblLayout w:type="fixed"/>
        <w:tblLook w:firstRow="0" w:lastRow="0" w:firstColumn="0" w:lastColumn="0" w:noHBand="0" w:noVBand="0" w:val="0000"/>
      </w:tblPr>
      <w:tblGrid>
        <w:gridCol w:w="7920"/>
      </w:tblGrid>
      <w:tr>
        <w:tc>
          <w:tcPr/>
          <w:bookmarkStart w:id="99" w:name="tbl-appa"/>
          <w:p>
            <w:pPr>
              <w:jc w:val="center"/>
            </w:pPr>
            <w:pPr>
              <w:jc w:val="left"/>
              <w:spacing w:before="200"/>
              <w:pStyle w:val="ImageCaption"/>
            </w:pPr>
            <w:r>
              <w:t xml:space="preserve">Table 24: Coded screening design matrix with measured responses.</w:t>
            </w:r>
          </w:p>
          <w:tbl>
            <w:tblPr>
              <w:tblStyle w:val="Table"/>
              <w:tblW w:type="pct" w:w="5000"/>
              <w:tblLayout w:type="fixed"/>
              <w:tblLook w:firstRow="1" w:lastRow="0" w:firstColumn="0" w:lastColumn="0" w:noHBand="0" w:noVBand="0" w:val="0020"/>
            </w:tblPr>
            <w:tblGrid>
              <w:gridCol w:w="495"/>
              <w:gridCol w:w="777"/>
              <w:gridCol w:w="353"/>
              <w:gridCol w:w="353"/>
              <w:gridCol w:w="353"/>
              <w:gridCol w:w="353"/>
              <w:gridCol w:w="1414"/>
              <w:gridCol w:w="1485"/>
              <w:gridCol w:w="1343"/>
              <w:gridCol w:w="99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c>
                <w:tcPr/>
                <w:p>
                  <w:pPr>
                    <w:pStyle w:val="Compact"/>
                    <w:jc w:val="right"/>
                    <w:jc w:val="center"/>
                  </w:pPr>
                  <w:r>
                    <w:t xml:space="preserve">Pool HCP (ng/mg)</w:t>
                  </w:r>
                </w:p>
              </w:tc>
              <w:tc>
                <w:tcPr/>
                <w:p>
                  <w:pPr>
                    <w:pStyle w:val="Compact"/>
                    <w:jc w:val="right"/>
                    <w:jc w:val="center"/>
                  </w:pPr>
                  <w:r>
                    <w:t xml:space="preserve">XMuLV LRF (log₁₀)</w:t>
                  </w:r>
                </w:p>
              </w:tc>
              <w:tc>
                <w:tcPr/>
                <w:p>
                  <w:pPr>
                    <w:pStyle w:val="Compact"/>
                    <w:jc w:val="right"/>
                    <w:jc w:val="center"/>
                  </w:pPr>
                  <w:r>
                    <w:t xml:space="preserve">MVM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12.5</w:t>
                  </w:r>
                </w:p>
              </w:tc>
              <w:tc>
                <w:tcPr/>
                <w:p>
                  <w:pPr>
                    <w:pStyle w:val="Compact"/>
                    <w:jc w:val="right"/>
                    <w:jc w:val="center"/>
                  </w:pPr>
                  <w:r>
                    <w:t xml:space="preserve">6.16</w:t>
                  </w:r>
                </w:p>
              </w:tc>
              <w:tc>
                <w:tcPr/>
                <w:p>
                  <w:pPr>
                    <w:pStyle w:val="Compact"/>
                    <w:jc w:val="right"/>
                    <w:jc w:val="center"/>
                  </w:pPr>
                  <w:r>
                    <w:t xml:space="preserve">4.59</w:t>
                  </w:r>
                </w:p>
              </w:tc>
              <w:tc>
                <w:tcPr/>
                <w:p>
                  <w:pPr>
                    <w:pStyle w:val="Compact"/>
                    <w:jc w:val="right"/>
                    <w:jc w:val="center"/>
                  </w:pPr>
                  <w:r>
                    <w:t xml:space="preserve">0.99</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15.6</w:t>
                  </w:r>
                </w:p>
              </w:tc>
              <w:tc>
                <w:tcPr/>
                <w:p>
                  <w:pPr>
                    <w:pStyle w:val="Compact"/>
                    <w:jc w:val="right"/>
                    <w:jc w:val="center"/>
                  </w:pPr>
                  <w:r>
                    <w:t xml:space="preserve">6.15</w:t>
                  </w:r>
                </w:p>
              </w:tc>
              <w:tc>
                <w:tcPr/>
                <w:p>
                  <w:pPr>
                    <w:pStyle w:val="Compact"/>
                    <w:jc w:val="right"/>
                    <w:jc w:val="center"/>
                  </w:pPr>
                  <w:r>
                    <w:t xml:space="preserve">4.43</w:t>
                  </w:r>
                </w:p>
              </w:tc>
              <w:tc>
                <w:tcPr/>
                <w:p>
                  <w:pPr>
                    <w:pStyle w:val="Compact"/>
                    <w:jc w:val="right"/>
                    <w:jc w:val="center"/>
                  </w:pPr>
                  <w:r>
                    <w:t xml:space="preserve">0.975</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12.1</w:t>
                  </w:r>
                </w:p>
              </w:tc>
              <w:tc>
                <w:tcPr/>
                <w:p>
                  <w:pPr>
                    <w:pStyle w:val="Compact"/>
                    <w:jc w:val="right"/>
                    <w:jc w:val="center"/>
                  </w:pPr>
                  <w:r>
                    <w:t xml:space="preserve">5.47</w:t>
                  </w:r>
                </w:p>
              </w:tc>
              <w:tc>
                <w:tcPr/>
                <w:p>
                  <w:pPr>
                    <w:pStyle w:val="Compact"/>
                    <w:jc w:val="right"/>
                    <w:jc w:val="center"/>
                  </w:pPr>
                  <w:r>
                    <w:t xml:space="preserve">3.76</w:t>
                  </w:r>
                </w:p>
              </w:tc>
              <w:tc>
                <w:tcPr/>
                <w:p>
                  <w:pPr>
                    <w:pStyle w:val="Compact"/>
                    <w:jc w:val="right"/>
                    <w:jc w:val="center"/>
                  </w:pPr>
                  <w:r>
                    <w:t xml:space="preserve">0.951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14.6</w:t>
                  </w:r>
                </w:p>
              </w:tc>
              <w:tc>
                <w:tcPr/>
                <w:p>
                  <w:pPr>
                    <w:pStyle w:val="Compact"/>
                    <w:jc w:val="right"/>
                    <w:jc w:val="center"/>
                  </w:pPr>
                  <w:r>
                    <w:t xml:space="preserve">5.56</w:t>
                  </w:r>
                </w:p>
              </w:tc>
              <w:tc>
                <w:tcPr/>
                <w:p>
                  <w:pPr>
                    <w:pStyle w:val="Compact"/>
                    <w:jc w:val="right"/>
                    <w:jc w:val="center"/>
                  </w:pPr>
                  <w:r>
                    <w:t xml:space="preserve">3.96</w:t>
                  </w:r>
                </w:p>
              </w:tc>
              <w:tc>
                <w:tcPr/>
                <w:p>
                  <w:pPr>
                    <w:pStyle w:val="Compact"/>
                    <w:jc w:val="right"/>
                    <w:jc w:val="center"/>
                  </w:pPr>
                  <w:r>
                    <w:t xml:space="preserve">0.964</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35.7</w:t>
                  </w:r>
                </w:p>
              </w:tc>
              <w:tc>
                <w:tcPr/>
                <w:p>
                  <w:pPr>
                    <w:pStyle w:val="Compact"/>
                    <w:jc w:val="right"/>
                    <w:jc w:val="center"/>
                  </w:pPr>
                  <w:r>
                    <w:t xml:space="preserve">6.34</w:t>
                  </w:r>
                </w:p>
              </w:tc>
              <w:tc>
                <w:tcPr/>
                <w:p>
                  <w:pPr>
                    <w:pStyle w:val="Compact"/>
                    <w:jc w:val="right"/>
                    <w:jc w:val="center"/>
                  </w:pPr>
                  <w:r>
                    <w:t xml:space="preserve">4.74</w:t>
                  </w:r>
                </w:p>
              </w:tc>
              <w:tc>
                <w:tcPr/>
                <w:p>
                  <w:pPr>
                    <w:pStyle w:val="Compact"/>
                    <w:jc w:val="right"/>
                    <w:jc w:val="center"/>
                  </w:pPr>
                  <w:r>
                    <w:t xml:space="preserve">0.965</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35</w:t>
                  </w:r>
                </w:p>
              </w:tc>
              <w:tc>
                <w:tcPr/>
                <w:p>
                  <w:pPr>
                    <w:pStyle w:val="Compact"/>
                    <w:jc w:val="right"/>
                    <w:jc w:val="center"/>
                  </w:pPr>
                  <w:r>
                    <w:t xml:space="preserve">6.3</w:t>
                  </w:r>
                </w:p>
              </w:tc>
              <w:tc>
                <w:tcPr/>
                <w:p>
                  <w:pPr>
                    <w:pStyle w:val="Compact"/>
                    <w:jc w:val="right"/>
                    <w:jc w:val="center"/>
                  </w:pPr>
                  <w:r>
                    <w:t xml:space="preserve">4.83</w:t>
                  </w:r>
                </w:p>
              </w:tc>
              <w:tc>
                <w:tcPr/>
                <w:p>
                  <w:pPr>
                    <w:pStyle w:val="Compact"/>
                    <w:jc w:val="right"/>
                    <w:jc w:val="center"/>
                  </w:pPr>
                  <w:r>
                    <w:t xml:space="preserve">0.995</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29.2</w:t>
                  </w:r>
                </w:p>
              </w:tc>
              <w:tc>
                <w:tcPr/>
                <w:p>
                  <w:pPr>
                    <w:pStyle w:val="Compact"/>
                    <w:jc w:val="right"/>
                    <w:jc w:val="center"/>
                  </w:pPr>
                  <w:r>
                    <w:t xml:space="preserve">5.92</w:t>
                  </w:r>
                </w:p>
              </w:tc>
              <w:tc>
                <w:tcPr/>
                <w:p>
                  <w:pPr>
                    <w:pStyle w:val="Compact"/>
                    <w:jc w:val="right"/>
                    <w:jc w:val="center"/>
                  </w:pPr>
                  <w:r>
                    <w:t xml:space="preserve">4.01</w:t>
                  </w:r>
                </w:p>
              </w:tc>
              <w:tc>
                <w:tcPr/>
                <w:p>
                  <w:pPr>
                    <w:pStyle w:val="Compact"/>
                    <w:jc w:val="right"/>
                    <w:jc w:val="center"/>
                  </w:pPr>
                  <w:r>
                    <w:t xml:space="preserve">0.974</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29.8</w:t>
                  </w:r>
                </w:p>
              </w:tc>
              <w:tc>
                <w:tcPr/>
                <w:p>
                  <w:pPr>
                    <w:pStyle w:val="Compact"/>
                    <w:jc w:val="right"/>
                    <w:jc w:val="center"/>
                  </w:pPr>
                  <w:r>
                    <w:t xml:space="preserve">5.95</w:t>
                  </w:r>
                </w:p>
              </w:tc>
              <w:tc>
                <w:tcPr/>
                <w:p>
                  <w:pPr>
                    <w:pStyle w:val="Compact"/>
                    <w:jc w:val="right"/>
                    <w:jc w:val="center"/>
                  </w:pPr>
                  <w:r>
                    <w:t xml:space="preserve">3.94</w:t>
                  </w:r>
                </w:p>
              </w:tc>
              <w:tc>
                <w:tcPr/>
                <w:p>
                  <w:pPr>
                    <w:pStyle w:val="Compact"/>
                    <w:jc w:val="right"/>
                    <w:jc w:val="center"/>
                  </w:pPr>
                  <w:r>
                    <w:t xml:space="preserve">0.969</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9.62</w:t>
                  </w:r>
                </w:p>
              </w:tc>
              <w:tc>
                <w:tcPr/>
                <w:p>
                  <w:pPr>
                    <w:pStyle w:val="Compact"/>
                    <w:jc w:val="right"/>
                    <w:jc w:val="center"/>
                  </w:pPr>
                  <w:r>
                    <w:t xml:space="preserve">7</w:t>
                  </w:r>
                </w:p>
              </w:tc>
              <w:tc>
                <w:tcPr/>
                <w:p>
                  <w:pPr>
                    <w:pStyle w:val="Compact"/>
                    <w:jc w:val="right"/>
                    <w:jc w:val="center"/>
                  </w:pPr>
                  <w:r>
                    <w:t xml:space="preserve">5.91</w:t>
                  </w:r>
                </w:p>
              </w:tc>
              <w:tc>
                <w:tcPr/>
                <w:p>
                  <w:pPr>
                    <w:pStyle w:val="Compact"/>
                    <w:jc w:val="right"/>
                    <w:jc w:val="center"/>
                  </w:pPr>
                  <w:r>
                    <w:t xml:space="preserve">0.973</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7.37</w:t>
                  </w:r>
                </w:p>
              </w:tc>
              <w:tc>
                <w:tcPr/>
                <w:p>
                  <w:pPr>
                    <w:pStyle w:val="Compact"/>
                    <w:jc w:val="right"/>
                    <w:jc w:val="center"/>
                  </w:pPr>
                  <w:r>
                    <w:t xml:space="preserve">7.4</w:t>
                  </w:r>
                </w:p>
              </w:tc>
              <w:tc>
                <w:tcPr/>
                <w:p>
                  <w:pPr>
                    <w:pStyle w:val="Compact"/>
                    <w:jc w:val="right"/>
                    <w:jc w:val="center"/>
                  </w:pPr>
                  <w:r>
                    <w:t xml:space="preserve">5.61</w:t>
                  </w:r>
                </w:p>
              </w:tc>
              <w:tc>
                <w:tcPr/>
                <w:p>
                  <w:pPr>
                    <w:pStyle w:val="Compact"/>
                    <w:jc w:val="right"/>
                    <w:jc w:val="center"/>
                  </w:pPr>
                  <w:r>
                    <w:t xml:space="preserve">0.953</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8.69</w:t>
                  </w:r>
                </w:p>
              </w:tc>
              <w:tc>
                <w:tcPr/>
                <w:p>
                  <w:pPr>
                    <w:pStyle w:val="Compact"/>
                    <w:jc w:val="right"/>
                    <w:jc w:val="center"/>
                  </w:pPr>
                  <w:r>
                    <w:t xml:space="preserve">6.61</w:t>
                  </w:r>
                </w:p>
              </w:tc>
              <w:tc>
                <w:tcPr/>
                <w:p>
                  <w:pPr>
                    <w:pStyle w:val="Compact"/>
                    <w:jc w:val="right"/>
                    <w:jc w:val="center"/>
                  </w:pPr>
                  <w:r>
                    <w:t xml:space="preserve">5.25</w:t>
                  </w:r>
                </w:p>
              </w:tc>
              <w:tc>
                <w:tcPr/>
                <w:p>
                  <w:pPr>
                    <w:pStyle w:val="Compact"/>
                    <w:jc w:val="right"/>
                    <w:jc w:val="center"/>
                  </w:pPr>
                  <w:r>
                    <w:t xml:space="preserve">0.972</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8.04</w:t>
                  </w:r>
                </w:p>
              </w:tc>
              <w:tc>
                <w:tcPr/>
                <w:p>
                  <w:pPr>
                    <w:pStyle w:val="Compact"/>
                    <w:jc w:val="right"/>
                    <w:jc w:val="center"/>
                  </w:pPr>
                  <w:r>
                    <w:t xml:space="preserve">6.71</w:t>
                  </w:r>
                </w:p>
              </w:tc>
              <w:tc>
                <w:tcPr/>
                <w:p>
                  <w:pPr>
                    <w:pStyle w:val="Compact"/>
                    <w:jc w:val="right"/>
                    <w:jc w:val="center"/>
                  </w:pPr>
                  <w:r>
                    <w:t xml:space="preserve">4.89</w:t>
                  </w:r>
                </w:p>
              </w:tc>
              <w:tc>
                <w:tcPr/>
                <w:p>
                  <w:pPr>
                    <w:pStyle w:val="Compact"/>
                    <w:jc w:val="right"/>
                    <w:jc w:val="center"/>
                  </w:pPr>
                  <w:r>
                    <w:t xml:space="preserve">0.973</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12.7</w:t>
                  </w:r>
                </w:p>
              </w:tc>
              <w:tc>
                <w:tcPr/>
                <w:p>
                  <w:pPr>
                    <w:pStyle w:val="Compact"/>
                    <w:jc w:val="right"/>
                    <w:jc w:val="center"/>
                  </w:pPr>
                  <w:r>
                    <w:t xml:space="preserve">6.59</w:t>
                  </w:r>
                </w:p>
              </w:tc>
              <w:tc>
                <w:tcPr/>
                <w:p>
                  <w:pPr>
                    <w:pStyle w:val="Compact"/>
                    <w:jc w:val="right"/>
                    <w:jc w:val="center"/>
                  </w:pPr>
                  <w:r>
                    <w:t xml:space="preserve">5.91</w:t>
                  </w:r>
                </w:p>
              </w:tc>
              <w:tc>
                <w:tcPr/>
                <w:p>
                  <w:pPr>
                    <w:pStyle w:val="Compact"/>
                    <w:jc w:val="right"/>
                    <w:jc w:val="center"/>
                  </w:pPr>
                  <w:r>
                    <w:t xml:space="preserve">0.995</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15</w:t>
                  </w:r>
                </w:p>
              </w:tc>
              <w:tc>
                <w:tcPr/>
                <w:p>
                  <w:pPr>
                    <w:pStyle w:val="Compact"/>
                    <w:jc w:val="right"/>
                    <w:jc w:val="center"/>
                  </w:pPr>
                  <w:r>
                    <w:t xml:space="preserve">8.34</w:t>
                  </w:r>
                </w:p>
              </w:tc>
              <w:tc>
                <w:tcPr/>
                <w:p>
                  <w:pPr>
                    <w:pStyle w:val="Compact"/>
                    <w:jc w:val="right"/>
                    <w:jc w:val="center"/>
                  </w:pPr>
                  <w:r>
                    <w:t xml:space="preserve">5.97</w:t>
                  </w:r>
                </w:p>
              </w:tc>
              <w:tc>
                <w:tcPr/>
                <w:p>
                  <w:pPr>
                    <w:pStyle w:val="Compact"/>
                    <w:jc w:val="right"/>
                    <w:jc w:val="center"/>
                  </w:pPr>
                  <w:r>
                    <w:t xml:space="preserve">0.981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12.9</w:t>
                  </w:r>
                </w:p>
              </w:tc>
              <w:tc>
                <w:tcPr/>
                <w:p>
                  <w:pPr>
                    <w:pStyle w:val="Compact"/>
                    <w:jc w:val="right"/>
                    <w:jc w:val="center"/>
                  </w:pPr>
                  <w:r>
                    <w:t xml:space="preserve">6.69</w:t>
                  </w:r>
                </w:p>
              </w:tc>
              <w:tc>
                <w:tcPr/>
                <w:p>
                  <w:pPr>
                    <w:pStyle w:val="Compact"/>
                    <w:jc w:val="right"/>
                    <w:jc w:val="center"/>
                  </w:pPr>
                  <w:r>
                    <w:t xml:space="preserve">5.15</w:t>
                  </w:r>
                </w:p>
              </w:tc>
              <w:tc>
                <w:tcPr/>
                <w:p>
                  <w:pPr>
                    <w:pStyle w:val="Compact"/>
                    <w:jc w:val="right"/>
                    <w:jc w:val="center"/>
                  </w:pPr>
                  <w:r>
                    <w:t xml:space="preserve">0.966</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15</w:t>
                  </w:r>
                </w:p>
              </w:tc>
              <w:tc>
                <w:tcPr/>
                <w:p>
                  <w:pPr>
                    <w:pStyle w:val="Compact"/>
                    <w:jc w:val="right"/>
                    <w:jc w:val="center"/>
                  </w:pPr>
                  <w:r>
                    <w:t xml:space="preserve">6.52</w:t>
                  </w:r>
                </w:p>
              </w:tc>
              <w:tc>
                <w:tcPr/>
                <w:p>
                  <w:pPr>
                    <w:pStyle w:val="Compact"/>
                    <w:jc w:val="right"/>
                    <w:jc w:val="center"/>
                  </w:pPr>
                  <w:r>
                    <w:t xml:space="preserve">5.31</w:t>
                  </w:r>
                </w:p>
              </w:tc>
              <w:tc>
                <w:tcPr/>
                <w:p>
                  <w:pPr>
                    <w:pStyle w:val="Compact"/>
                    <w:jc w:val="right"/>
                    <w:jc w:val="center"/>
                  </w:pPr>
                  <w:r>
                    <w:t xml:space="preserve">0.965</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16.2</w:t>
                  </w:r>
                </w:p>
              </w:tc>
              <w:tc>
                <w:tcPr/>
                <w:p>
                  <w:pPr>
                    <w:pStyle w:val="Compact"/>
                    <w:jc w:val="right"/>
                    <w:jc w:val="center"/>
                  </w:pPr>
                  <w:r>
                    <w:t xml:space="preserve">6.42</w:t>
                  </w:r>
                </w:p>
              </w:tc>
              <w:tc>
                <w:tcPr/>
                <w:p>
                  <w:pPr>
                    <w:pStyle w:val="Compact"/>
                    <w:jc w:val="right"/>
                    <w:jc w:val="center"/>
                  </w:pPr>
                  <w:r>
                    <w:t xml:space="preserve">4.54</w:t>
                  </w:r>
                </w:p>
              </w:tc>
              <w:tc>
                <w:tcPr/>
                <w:p>
                  <w:pPr>
                    <w:pStyle w:val="Compact"/>
                    <w:jc w:val="right"/>
                    <w:jc w:val="center"/>
                  </w:pPr>
                  <w:r>
                    <w:t xml:space="preserve">0.966</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17.5</w:t>
                  </w:r>
                </w:p>
              </w:tc>
              <w:tc>
                <w:tcPr/>
                <w:p>
                  <w:pPr>
                    <w:pStyle w:val="Compact"/>
                    <w:jc w:val="right"/>
                    <w:jc w:val="center"/>
                  </w:pPr>
                  <w:r>
                    <w:t xml:space="preserve">6.8</w:t>
                  </w:r>
                </w:p>
              </w:tc>
              <w:tc>
                <w:tcPr/>
                <w:p>
                  <w:pPr>
                    <w:pStyle w:val="Compact"/>
                    <w:jc w:val="right"/>
                    <w:jc w:val="center"/>
                  </w:pPr>
                  <w:r>
                    <w:t xml:space="preserve">5.08</w:t>
                  </w:r>
                </w:p>
              </w:tc>
              <w:tc>
                <w:tcPr/>
                <w:p>
                  <w:pPr>
                    <w:pStyle w:val="Compact"/>
                    <w:jc w:val="right"/>
                    <w:jc w:val="center"/>
                  </w:pPr>
                  <w:r>
                    <w:t xml:space="preserve">0.975</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11.6</w:t>
                  </w:r>
                </w:p>
              </w:tc>
              <w:tc>
                <w:tcPr/>
                <w:p>
                  <w:pPr>
                    <w:pStyle w:val="Compact"/>
                    <w:jc w:val="right"/>
                    <w:jc w:val="center"/>
                  </w:pPr>
                  <w:r>
                    <w:t xml:space="preserve">5.95</w:t>
                  </w:r>
                </w:p>
              </w:tc>
              <w:tc>
                <w:tcPr/>
                <w:p>
                  <w:pPr>
                    <w:pStyle w:val="Compact"/>
                    <w:jc w:val="right"/>
                    <w:jc w:val="center"/>
                  </w:pPr>
                  <w:r>
                    <w:t xml:space="preserve">4.83</w:t>
                  </w:r>
                </w:p>
              </w:tc>
              <w:tc>
                <w:tcPr/>
                <w:p>
                  <w:pPr>
                    <w:pStyle w:val="Compact"/>
                    <w:jc w:val="right"/>
                    <w:jc w:val="center"/>
                  </w:pPr>
                  <w:r>
                    <w:t xml:space="preserve">0.974</w:t>
                  </w:r>
                </w:p>
              </w:tc>
            </w:tr>
          </w:tbl>
          <w:bookmarkEnd w:id="99"/>
          <w:p/>
        </w:tc>
      </w:tr>
    </w:tbl>
    <w:bookmarkEnd w:id="100"/>
    <w:bookmarkStart w:id="102" w:name="Xc987739a58e5854fe31352d470a2bebef9123c1"/>
    <w:p>
      <w:pPr>
        <w:pStyle w:val="Heading2"/>
      </w:pPr>
      <w:r>
        <w:t xml:space="preserve">Appendix B — Response-surface design matrix and responses</w:t>
      </w:r>
    </w:p>
    <w:p>
      <w:pPr>
        <w:pStyle w:val="FirstParagraph"/>
      </w:pPr>
      <w:r>
        <w:t xml:space="preserve">The coded response-surface design matrix with its measured responses is given below, in which</w:t>
      </w:r>
      <w:r>
        <w:t xml:space="preserve"> </w:t>
      </w:r>
      <w:r>
        <w:t xml:space="preserve">the run types are factorial, axial and centre.</w:t>
      </w:r>
    </w:p>
    <w:tbl>
      <w:tblPr>
        <w:tblStyle w:val="Table"/>
        <w:tblW w:type="pct" w:w="5000"/>
        <w:tblLayout w:type="fixed"/>
        <w:tblLook w:firstRow="0" w:lastRow="0" w:firstColumn="0" w:lastColumn="0" w:noHBand="0" w:noVBand="0" w:val="0000"/>
      </w:tblPr>
      <w:tblGrid>
        <w:gridCol w:w="7920"/>
      </w:tblGrid>
      <w:tr>
        <w:tc>
          <w:tcPr/>
          <w:bookmarkStart w:id="101" w:name="tbl-appb"/>
          <w:p>
            <w:pPr>
              <w:jc w:val="center"/>
            </w:pPr>
            <w:pPr>
              <w:jc w:val="left"/>
              <w:spacing w:before="200"/>
              <w:pStyle w:val="ImageCaption"/>
            </w:pPr>
            <w:r>
              <w:t xml:space="preserve">Table 25: Coded response-surface design matrix with measured responses.</w:t>
            </w:r>
          </w:p>
          <w:tbl>
            <w:tblPr>
              <w:tblStyle w:val="Table"/>
              <w:tblW w:type="pct" w:w="5000"/>
              <w:tblLayout w:type="fixed"/>
              <w:tblLook w:firstRow="1" w:lastRow="0" w:firstColumn="0" w:lastColumn="0" w:noHBand="0" w:noVBand="0" w:val="0020"/>
            </w:tblPr>
            <w:tblGrid>
              <w:gridCol w:w="495"/>
              <w:gridCol w:w="777"/>
              <w:gridCol w:w="353"/>
              <w:gridCol w:w="353"/>
              <w:gridCol w:w="353"/>
              <w:gridCol w:w="353"/>
              <w:gridCol w:w="1414"/>
              <w:gridCol w:w="1485"/>
              <w:gridCol w:w="1343"/>
              <w:gridCol w:w="99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c>
                <w:tcPr/>
                <w:p>
                  <w:pPr>
                    <w:pStyle w:val="Compact"/>
                    <w:jc w:val="right"/>
                    <w:jc w:val="center"/>
                  </w:pPr>
                  <w:r>
                    <w:t xml:space="preserve">Pool HCP (ng/mg)</w:t>
                  </w:r>
                </w:p>
              </w:tc>
              <w:tc>
                <w:tcPr/>
                <w:p>
                  <w:pPr>
                    <w:pStyle w:val="Compact"/>
                    <w:jc w:val="right"/>
                    <w:jc w:val="center"/>
                  </w:pPr>
                  <w:r>
                    <w:t xml:space="preserve">XMuLV LRF (log₁₀)</w:t>
                  </w:r>
                </w:p>
              </w:tc>
              <w:tc>
                <w:tcPr/>
                <w:p>
                  <w:pPr>
                    <w:pStyle w:val="Compact"/>
                    <w:jc w:val="right"/>
                    <w:jc w:val="center"/>
                  </w:pPr>
                  <w:r>
                    <w:t xml:space="preserve">MVM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13.5</w:t>
                  </w:r>
                </w:p>
              </w:tc>
              <w:tc>
                <w:tcPr/>
                <w:p>
                  <w:pPr>
                    <w:pStyle w:val="Compact"/>
                    <w:jc w:val="right"/>
                    <w:jc w:val="center"/>
                  </w:pPr>
                  <w:r>
                    <w:t xml:space="preserve">6.72</w:t>
                  </w:r>
                </w:p>
              </w:tc>
              <w:tc>
                <w:tcPr/>
                <w:p>
                  <w:pPr>
                    <w:pStyle w:val="Compact"/>
                    <w:jc w:val="right"/>
                    <w:jc w:val="center"/>
                  </w:pPr>
                  <w:r>
                    <w:t xml:space="preserve">4.55</w:t>
                  </w:r>
                </w:p>
              </w:tc>
              <w:tc>
                <w:tcPr/>
                <w:p>
                  <w:pPr>
                    <w:pStyle w:val="Compact"/>
                    <w:jc w:val="right"/>
                    <w:jc w:val="center"/>
                  </w:pPr>
                  <w:r>
                    <w:t xml:space="preserve">0.951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17.3</w:t>
                  </w:r>
                </w:p>
              </w:tc>
              <w:tc>
                <w:tcPr/>
                <w:p>
                  <w:pPr>
                    <w:pStyle w:val="Compact"/>
                    <w:jc w:val="right"/>
                    <w:jc w:val="center"/>
                  </w:pPr>
                  <w:r>
                    <w:t xml:space="preserve">6.03</w:t>
                  </w:r>
                </w:p>
              </w:tc>
              <w:tc>
                <w:tcPr/>
                <w:p>
                  <w:pPr>
                    <w:pStyle w:val="Compact"/>
                    <w:jc w:val="right"/>
                    <w:jc w:val="center"/>
                  </w:pPr>
                  <w:r>
                    <w:t xml:space="preserve">5.21</w:t>
                  </w:r>
                </w:p>
              </w:tc>
              <w:tc>
                <w:tcPr/>
                <w:p>
                  <w:pPr>
                    <w:pStyle w:val="Compact"/>
                    <w:jc w:val="right"/>
                    <w:jc w:val="center"/>
                  </w:pPr>
                  <w:r>
                    <w:t xml:space="preserve">0.989</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14.1</w:t>
                  </w:r>
                </w:p>
              </w:tc>
              <w:tc>
                <w:tcPr/>
                <w:p>
                  <w:pPr>
                    <w:pStyle w:val="Compact"/>
                    <w:jc w:val="right"/>
                    <w:jc w:val="center"/>
                  </w:pPr>
                  <w:r>
                    <w:t xml:space="preserve">5.87</w:t>
                  </w:r>
                </w:p>
              </w:tc>
              <w:tc>
                <w:tcPr/>
                <w:p>
                  <w:pPr>
                    <w:pStyle w:val="Compact"/>
                    <w:jc w:val="right"/>
                    <w:jc w:val="center"/>
                  </w:pPr>
                  <w:r>
                    <w:t xml:space="preserve">4.02</w:t>
                  </w:r>
                </w:p>
              </w:tc>
              <w:tc>
                <w:tcPr/>
                <w:p>
                  <w:pPr>
                    <w:pStyle w:val="Compact"/>
                    <w:jc w:val="right"/>
                    <w:jc w:val="center"/>
                  </w:pPr>
                  <w:r>
                    <w:t xml:space="preserve">0.995</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15</w:t>
                  </w:r>
                </w:p>
              </w:tc>
              <w:tc>
                <w:tcPr/>
                <w:p>
                  <w:pPr>
                    <w:pStyle w:val="Compact"/>
                    <w:jc w:val="right"/>
                    <w:jc w:val="center"/>
                  </w:pPr>
                  <w:r>
                    <w:t xml:space="preserve">5.3</w:t>
                  </w:r>
                </w:p>
              </w:tc>
              <w:tc>
                <w:tcPr/>
                <w:p>
                  <w:pPr>
                    <w:pStyle w:val="Compact"/>
                    <w:jc w:val="right"/>
                    <w:jc w:val="center"/>
                  </w:pPr>
                  <w:r>
                    <w:t xml:space="preserve">3.76</w:t>
                  </w:r>
                </w:p>
              </w:tc>
              <w:tc>
                <w:tcPr/>
                <w:p>
                  <w:pPr>
                    <w:pStyle w:val="Compact"/>
                    <w:jc w:val="right"/>
                    <w:jc w:val="center"/>
                  </w:pPr>
                  <w:r>
                    <w:t xml:space="preserve">0.951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28.5</w:t>
                  </w:r>
                </w:p>
              </w:tc>
              <w:tc>
                <w:tcPr/>
                <w:p>
                  <w:pPr>
                    <w:pStyle w:val="Compact"/>
                    <w:jc w:val="right"/>
                    <w:jc w:val="center"/>
                  </w:pPr>
                  <w:r>
                    <w:t xml:space="preserve">6.53</w:t>
                  </w:r>
                </w:p>
              </w:tc>
              <w:tc>
                <w:tcPr/>
                <w:p>
                  <w:pPr>
                    <w:pStyle w:val="Compact"/>
                    <w:jc w:val="right"/>
                    <w:jc w:val="center"/>
                  </w:pPr>
                  <w:r>
                    <w:t xml:space="preserve">4.77</w:t>
                  </w:r>
                </w:p>
              </w:tc>
              <w:tc>
                <w:tcPr/>
                <w:p>
                  <w:pPr>
                    <w:pStyle w:val="Compact"/>
                    <w:jc w:val="right"/>
                    <w:jc w:val="center"/>
                  </w:pPr>
                  <w:r>
                    <w:t xml:space="preserve">0.988</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25.5</w:t>
                  </w:r>
                </w:p>
              </w:tc>
              <w:tc>
                <w:tcPr/>
                <w:p>
                  <w:pPr>
                    <w:pStyle w:val="Compact"/>
                    <w:jc w:val="right"/>
                    <w:jc w:val="center"/>
                  </w:pPr>
                  <w:r>
                    <w:t xml:space="preserve">6.71</w:t>
                  </w:r>
                </w:p>
              </w:tc>
              <w:tc>
                <w:tcPr/>
                <w:p>
                  <w:pPr>
                    <w:pStyle w:val="Compact"/>
                    <w:jc w:val="right"/>
                    <w:jc w:val="center"/>
                  </w:pPr>
                  <w:r>
                    <w:t xml:space="preserve">4.71</w:t>
                  </w:r>
                </w:p>
              </w:tc>
              <w:tc>
                <w:tcPr/>
                <w:p>
                  <w:pPr>
                    <w:pStyle w:val="Compact"/>
                    <w:jc w:val="right"/>
                    <w:jc w:val="center"/>
                  </w:pPr>
                  <w:r>
                    <w:t xml:space="preserve">0.963</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31.3</w:t>
                  </w:r>
                </w:p>
              </w:tc>
              <w:tc>
                <w:tcPr/>
                <w:p>
                  <w:pPr>
                    <w:pStyle w:val="Compact"/>
                    <w:jc w:val="right"/>
                    <w:jc w:val="center"/>
                  </w:pPr>
                  <w:r>
                    <w:t xml:space="preserve">5.36</w:t>
                  </w:r>
                </w:p>
              </w:tc>
              <w:tc>
                <w:tcPr/>
                <w:p>
                  <w:pPr>
                    <w:pStyle w:val="Compact"/>
                    <w:jc w:val="right"/>
                    <w:jc w:val="center"/>
                  </w:pPr>
                  <w:r>
                    <w:t xml:space="preserve">3.91</w:t>
                  </w:r>
                </w:p>
              </w:tc>
              <w:tc>
                <w:tcPr/>
                <w:p>
                  <w:pPr>
                    <w:pStyle w:val="Compact"/>
                    <w:jc w:val="right"/>
                    <w:jc w:val="center"/>
                  </w:pPr>
                  <w:r>
                    <w:t xml:space="preserve">0.995</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32.3</w:t>
                  </w:r>
                </w:p>
              </w:tc>
              <w:tc>
                <w:tcPr/>
                <w:p>
                  <w:pPr>
                    <w:pStyle w:val="Compact"/>
                    <w:jc w:val="right"/>
                    <w:jc w:val="center"/>
                  </w:pPr>
                  <w:r>
                    <w:t xml:space="preserve">5.06</w:t>
                  </w:r>
                </w:p>
              </w:tc>
              <w:tc>
                <w:tcPr/>
                <w:p>
                  <w:pPr>
                    <w:pStyle w:val="Compact"/>
                    <w:jc w:val="right"/>
                    <w:jc w:val="center"/>
                  </w:pPr>
                  <w:r>
                    <w:t xml:space="preserve">3.36</w:t>
                  </w:r>
                </w:p>
              </w:tc>
              <w:tc>
                <w:tcPr/>
                <w:p>
                  <w:pPr>
                    <w:pStyle w:val="Compact"/>
                    <w:jc w:val="right"/>
                    <w:jc w:val="center"/>
                  </w:pPr>
                  <w:r>
                    <w:t xml:space="preserve">0.966</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5.66</w:t>
                  </w:r>
                </w:p>
              </w:tc>
              <w:tc>
                <w:tcPr/>
                <w:p>
                  <w:pPr>
                    <w:pStyle w:val="Compact"/>
                    <w:jc w:val="right"/>
                    <w:jc w:val="center"/>
                  </w:pPr>
                  <w:r>
                    <w:t xml:space="preserve">7.5</w:t>
                  </w:r>
                </w:p>
              </w:tc>
              <w:tc>
                <w:tcPr/>
                <w:p>
                  <w:pPr>
                    <w:pStyle w:val="Compact"/>
                    <w:jc w:val="right"/>
                    <w:jc w:val="center"/>
                  </w:pPr>
                  <w:r>
                    <w:t xml:space="preserve">6.14</w:t>
                  </w:r>
                </w:p>
              </w:tc>
              <w:tc>
                <w:tcPr/>
                <w:p>
                  <w:pPr>
                    <w:pStyle w:val="Compact"/>
                    <w:jc w:val="right"/>
                    <w:jc w:val="center"/>
                  </w:pPr>
                  <w:r>
                    <w:t xml:space="preserve">0.974</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8.37</w:t>
                  </w:r>
                </w:p>
              </w:tc>
              <w:tc>
                <w:tcPr/>
                <w:p>
                  <w:pPr>
                    <w:pStyle w:val="Compact"/>
                    <w:jc w:val="right"/>
                    <w:jc w:val="center"/>
                  </w:pPr>
                  <w:r>
                    <w:t xml:space="preserve">7.83</w:t>
                  </w:r>
                </w:p>
              </w:tc>
              <w:tc>
                <w:tcPr/>
                <w:p>
                  <w:pPr>
                    <w:pStyle w:val="Compact"/>
                    <w:jc w:val="right"/>
                    <w:jc w:val="center"/>
                  </w:pPr>
                  <w:r>
                    <w:t xml:space="preserve">5.61</w:t>
                  </w:r>
                </w:p>
              </w:tc>
              <w:tc>
                <w:tcPr/>
                <w:p>
                  <w:pPr>
                    <w:pStyle w:val="Compact"/>
                    <w:jc w:val="right"/>
                    <w:jc w:val="center"/>
                  </w:pPr>
                  <w:r>
                    <w:t xml:space="preserve">0.989</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7.56</w:t>
                  </w:r>
                </w:p>
              </w:tc>
              <w:tc>
                <w:tcPr/>
                <w:p>
                  <w:pPr>
                    <w:pStyle w:val="Compact"/>
                    <w:jc w:val="right"/>
                    <w:jc w:val="center"/>
                  </w:pPr>
                  <w:r>
                    <w:t xml:space="preserve">6.49</w:t>
                  </w:r>
                </w:p>
              </w:tc>
              <w:tc>
                <w:tcPr/>
                <w:p>
                  <w:pPr>
                    <w:pStyle w:val="Compact"/>
                    <w:jc w:val="right"/>
                    <w:jc w:val="center"/>
                  </w:pPr>
                  <w:r>
                    <w:t xml:space="preserve">4.54</w:t>
                  </w:r>
                </w:p>
              </w:tc>
              <w:tc>
                <w:tcPr/>
                <w:p>
                  <w:pPr>
                    <w:pStyle w:val="Compact"/>
                    <w:jc w:val="right"/>
                    <w:jc w:val="center"/>
                  </w:pPr>
                  <w:r>
                    <w:t xml:space="preserve">0.972</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7.43</w:t>
                  </w:r>
                </w:p>
              </w:tc>
              <w:tc>
                <w:tcPr/>
                <w:p>
                  <w:pPr>
                    <w:pStyle w:val="Compact"/>
                    <w:jc w:val="right"/>
                    <w:jc w:val="center"/>
                  </w:pPr>
                  <w:r>
                    <w:t xml:space="preserve">7.13</w:t>
                  </w:r>
                </w:p>
              </w:tc>
              <w:tc>
                <w:tcPr/>
                <w:p>
                  <w:pPr>
                    <w:pStyle w:val="Compact"/>
                    <w:jc w:val="right"/>
                    <w:jc w:val="center"/>
                  </w:pPr>
                  <w:r>
                    <w:t xml:space="preserve">4.68</w:t>
                  </w:r>
                </w:p>
              </w:tc>
              <w:tc>
                <w:tcPr/>
                <w:p>
                  <w:pPr>
                    <w:pStyle w:val="Compact"/>
                    <w:jc w:val="right"/>
                    <w:jc w:val="center"/>
                  </w:pPr>
                  <w:r>
                    <w:t xml:space="preserve">0.988</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7.18</w:t>
                  </w:r>
                </w:p>
              </w:tc>
              <w:tc>
                <w:tcPr/>
                <w:p>
                  <w:pPr>
                    <w:pStyle w:val="Compact"/>
                    <w:jc w:val="right"/>
                    <w:jc w:val="center"/>
                  </w:pPr>
                  <w:r>
                    <w:t xml:space="preserve">6.2</w:t>
                  </w:r>
                </w:p>
              </w:tc>
              <w:tc>
                <w:tcPr/>
                <w:p>
                  <w:pPr>
                    <w:pStyle w:val="Compact"/>
                    <w:jc w:val="right"/>
                    <w:jc w:val="center"/>
                  </w:pPr>
                  <w:r>
                    <w:t xml:space="preserve">0.974</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18</w:t>
                  </w:r>
                </w:p>
              </w:tc>
              <w:tc>
                <w:tcPr/>
                <w:p>
                  <w:pPr>
                    <w:pStyle w:val="Compact"/>
                    <w:jc w:val="right"/>
                    <w:jc w:val="center"/>
                  </w:pPr>
                  <w:r>
                    <w:t xml:space="preserve">8.12</w:t>
                  </w:r>
                </w:p>
              </w:tc>
              <w:tc>
                <w:tcPr/>
                <w:p>
                  <w:pPr>
                    <w:pStyle w:val="Compact"/>
                    <w:jc w:val="right"/>
                    <w:jc w:val="center"/>
                  </w:pPr>
                  <w:r>
                    <w:t xml:space="preserve">6.33</w:t>
                  </w:r>
                </w:p>
              </w:tc>
              <w:tc>
                <w:tcPr/>
                <w:p>
                  <w:pPr>
                    <w:pStyle w:val="Compact"/>
                    <w:jc w:val="right"/>
                    <w:jc w:val="center"/>
                  </w:pPr>
                  <w:r>
                    <w:t xml:space="preserve">0.968</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13.9</w:t>
                  </w:r>
                </w:p>
              </w:tc>
              <w:tc>
                <w:tcPr/>
                <w:p>
                  <w:pPr>
                    <w:pStyle w:val="Compact"/>
                    <w:jc w:val="right"/>
                    <w:jc w:val="center"/>
                  </w:pPr>
                  <w:r>
                    <w:t xml:space="preserve">6.58</w:t>
                  </w:r>
                </w:p>
              </w:tc>
              <w:tc>
                <w:tcPr/>
                <w:p>
                  <w:pPr>
                    <w:pStyle w:val="Compact"/>
                    <w:jc w:val="right"/>
                    <w:jc w:val="center"/>
                  </w:pPr>
                  <w:r>
                    <w:t xml:space="preserve">4.53</w:t>
                  </w:r>
                </w:p>
              </w:tc>
              <w:tc>
                <w:tcPr/>
                <w:p>
                  <w:pPr>
                    <w:pStyle w:val="Compact"/>
                    <w:jc w:val="right"/>
                    <w:jc w:val="center"/>
                  </w:pPr>
                  <w:r>
                    <w:t xml:space="preserve">0.96</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13.9</w:t>
                  </w:r>
                </w:p>
              </w:tc>
              <w:tc>
                <w:tcPr/>
                <w:p>
                  <w:pPr>
                    <w:pStyle w:val="Compact"/>
                    <w:jc w:val="right"/>
                    <w:jc w:val="center"/>
                  </w:pPr>
                  <w:r>
                    <w:t xml:space="preserve">6.37</w:t>
                  </w:r>
                </w:p>
              </w:tc>
              <w:tc>
                <w:tcPr/>
                <w:p>
                  <w:pPr>
                    <w:pStyle w:val="Compact"/>
                    <w:jc w:val="right"/>
                    <w:jc w:val="center"/>
                  </w:pPr>
                  <w:r>
                    <w:t xml:space="preserve">5.16</w:t>
                  </w:r>
                </w:p>
              </w:tc>
              <w:tc>
                <w:tcPr/>
                <w:p>
                  <w:pPr>
                    <w:pStyle w:val="Compact"/>
                    <w:jc w:val="right"/>
                    <w:jc w:val="center"/>
                  </w:pPr>
                  <w:r>
                    <w:t xml:space="preserve">0.973</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23</w:t>
                  </w:r>
                </w:p>
              </w:tc>
              <w:tc>
                <w:tcPr/>
                <w:p>
                  <w:pPr>
                    <w:pStyle w:val="Compact"/>
                    <w:jc w:val="right"/>
                    <w:jc w:val="center"/>
                  </w:pPr>
                  <w:r>
                    <w:t xml:space="preserve">5.83</w:t>
                  </w:r>
                </w:p>
              </w:tc>
              <w:tc>
                <w:tcPr/>
                <w:p>
                  <w:pPr>
                    <w:pStyle w:val="Compact"/>
                    <w:jc w:val="right"/>
                    <w:jc w:val="center"/>
                  </w:pPr>
                  <w:r>
                    <w:t xml:space="preserve">4.1</w:t>
                  </w:r>
                </w:p>
              </w:tc>
              <w:tc>
                <w:tcPr/>
                <w:p>
                  <w:pPr>
                    <w:pStyle w:val="Compact"/>
                    <w:jc w:val="right"/>
                    <w:jc w:val="center"/>
                  </w:pPr>
                  <w:r>
                    <w:t xml:space="preserve">0.971</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12</w:t>
                  </w:r>
                </w:p>
              </w:tc>
              <w:tc>
                <w:tcPr/>
                <w:p>
                  <w:pPr>
                    <w:pStyle w:val="Compact"/>
                    <w:jc w:val="right"/>
                    <w:jc w:val="center"/>
                  </w:pPr>
                  <w:r>
                    <w:t xml:space="preserve">7.37</w:t>
                  </w:r>
                </w:p>
              </w:tc>
              <w:tc>
                <w:tcPr/>
                <w:p>
                  <w:pPr>
                    <w:pStyle w:val="Compact"/>
                    <w:jc w:val="right"/>
                    <w:jc w:val="center"/>
                  </w:pPr>
                  <w:r>
                    <w:t xml:space="preserve">4.91</w:t>
                  </w:r>
                </w:p>
              </w:tc>
              <w:tc>
                <w:tcPr/>
                <w:p>
                  <w:pPr>
                    <w:pStyle w:val="Compact"/>
                    <w:jc w:val="right"/>
                    <w:jc w:val="center"/>
                  </w:pPr>
                  <w:r>
                    <w:t xml:space="preserve">0.965</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8.1</w:t>
                  </w:r>
                </w:p>
              </w:tc>
              <w:tc>
                <w:tcPr/>
                <w:p>
                  <w:pPr>
                    <w:pStyle w:val="Compact"/>
                    <w:jc w:val="right"/>
                    <w:jc w:val="center"/>
                  </w:pPr>
                  <w:r>
                    <w:t xml:space="preserve">6.42</w:t>
                  </w:r>
                </w:p>
              </w:tc>
              <w:tc>
                <w:tcPr/>
                <w:p>
                  <w:pPr>
                    <w:pStyle w:val="Compact"/>
                    <w:jc w:val="right"/>
                    <w:jc w:val="center"/>
                  </w:pPr>
                  <w:r>
                    <w:t xml:space="preserve">4.93</w:t>
                  </w:r>
                </w:p>
              </w:tc>
              <w:tc>
                <w:tcPr/>
                <w:p>
                  <w:pPr>
                    <w:pStyle w:val="Compact"/>
                    <w:jc w:val="right"/>
                    <w:jc w:val="center"/>
                  </w:pPr>
                  <w:r>
                    <w:t xml:space="preserve">0.946</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27.5</w:t>
                  </w:r>
                </w:p>
              </w:tc>
              <w:tc>
                <w:tcPr/>
                <w:p>
                  <w:pPr>
                    <w:pStyle w:val="Compact"/>
                    <w:jc w:val="right"/>
                    <w:jc w:val="center"/>
                  </w:pPr>
                  <w:r>
                    <w:t xml:space="preserve">6</w:t>
                  </w:r>
                </w:p>
              </w:tc>
              <w:tc>
                <w:tcPr/>
                <w:p>
                  <w:pPr>
                    <w:pStyle w:val="Compact"/>
                    <w:jc w:val="right"/>
                    <w:jc w:val="center"/>
                  </w:pPr>
                  <w:r>
                    <w:t xml:space="preserve">5.02</w:t>
                  </w:r>
                </w:p>
              </w:tc>
              <w:tc>
                <w:tcPr/>
                <w:p>
                  <w:pPr>
                    <w:pStyle w:val="Compact"/>
                    <w:jc w:val="right"/>
                    <w:jc w:val="center"/>
                  </w:pPr>
                  <w:r>
                    <w:t xml:space="preserve">0.972</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15.6</w:t>
                  </w:r>
                </w:p>
              </w:tc>
              <w:tc>
                <w:tcPr/>
                <w:p>
                  <w:pPr>
                    <w:pStyle w:val="Compact"/>
                    <w:jc w:val="right"/>
                    <w:jc w:val="center"/>
                  </w:pPr>
                  <w:r>
                    <w:t xml:space="preserve">7.44</w:t>
                  </w:r>
                </w:p>
              </w:tc>
              <w:tc>
                <w:tcPr/>
                <w:p>
                  <w:pPr>
                    <w:pStyle w:val="Compact"/>
                    <w:jc w:val="right"/>
                    <w:jc w:val="center"/>
                  </w:pPr>
                  <w:r>
                    <w:t xml:space="preserve">5.14</w:t>
                  </w:r>
                </w:p>
              </w:tc>
              <w:tc>
                <w:tcPr/>
                <w:p>
                  <w:pPr>
                    <w:pStyle w:val="Compact"/>
                    <w:jc w:val="right"/>
                    <w:jc w:val="center"/>
                  </w:pPr>
                  <w:r>
                    <w:t xml:space="preserve">0.952</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15.5</w:t>
                  </w:r>
                </w:p>
              </w:tc>
              <w:tc>
                <w:tcPr/>
                <w:p>
                  <w:pPr>
                    <w:pStyle w:val="Compact"/>
                    <w:jc w:val="right"/>
                    <w:jc w:val="center"/>
                  </w:pPr>
                  <w:r>
                    <w:t xml:space="preserve">5.93</w:t>
                  </w:r>
                </w:p>
              </w:tc>
              <w:tc>
                <w:tcPr/>
                <w:p>
                  <w:pPr>
                    <w:pStyle w:val="Compact"/>
                    <w:jc w:val="right"/>
                    <w:jc w:val="center"/>
                  </w:pPr>
                  <w:r>
                    <w:t xml:space="preserve">4.56</w:t>
                  </w:r>
                </w:p>
              </w:tc>
              <w:tc>
                <w:tcPr/>
                <w:p>
                  <w:pPr>
                    <w:pStyle w:val="Compact"/>
                    <w:jc w:val="right"/>
                    <w:jc w:val="center"/>
                  </w:pPr>
                  <w:r>
                    <w:t xml:space="preserve">0.967</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6.52</w:t>
                  </w:r>
                </w:p>
              </w:tc>
              <w:tc>
                <w:tcPr/>
                <w:p>
                  <w:pPr>
                    <w:pStyle w:val="Compact"/>
                    <w:jc w:val="right"/>
                    <w:jc w:val="center"/>
                  </w:pPr>
                  <w:r>
                    <w:t xml:space="preserve">4.81</w:t>
                  </w:r>
                </w:p>
              </w:tc>
              <w:tc>
                <w:tcPr/>
                <w:p>
                  <w:pPr>
                    <w:pStyle w:val="Compact"/>
                    <w:jc w:val="right"/>
                    <w:jc w:val="center"/>
                  </w:pPr>
                  <w:r>
                    <w:t xml:space="preserve">0.968</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14.3</w:t>
                  </w:r>
                </w:p>
              </w:tc>
              <w:tc>
                <w:tcPr/>
                <w:p>
                  <w:pPr>
                    <w:pStyle w:val="Compact"/>
                    <w:jc w:val="right"/>
                    <w:jc w:val="center"/>
                  </w:pPr>
                  <w:r>
                    <w:t xml:space="preserve">6.7</w:t>
                  </w:r>
                </w:p>
              </w:tc>
              <w:tc>
                <w:tcPr/>
                <w:p>
                  <w:pPr>
                    <w:pStyle w:val="Compact"/>
                    <w:jc w:val="right"/>
                    <w:jc w:val="center"/>
                  </w:pPr>
                  <w:r>
                    <w:t xml:space="preserve">5.11</w:t>
                  </w:r>
                </w:p>
              </w:tc>
              <w:tc>
                <w:tcPr/>
                <w:p>
                  <w:pPr>
                    <w:pStyle w:val="Compact"/>
                    <w:jc w:val="right"/>
                    <w:jc w:val="center"/>
                  </w:pPr>
                  <w:r>
                    <w:t xml:space="preserve">0.952</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15</w:t>
                  </w:r>
                </w:p>
              </w:tc>
              <w:tc>
                <w:tcPr/>
                <w:p>
                  <w:pPr>
                    <w:pStyle w:val="Compact"/>
                    <w:jc w:val="right"/>
                    <w:jc w:val="center"/>
                  </w:pPr>
                  <w:r>
                    <w:t xml:space="preserve">6.59</w:t>
                  </w:r>
                </w:p>
              </w:tc>
              <w:tc>
                <w:tcPr/>
                <w:p>
                  <w:pPr>
                    <w:pStyle w:val="Compact"/>
                    <w:jc w:val="right"/>
                    <w:jc w:val="center"/>
                  </w:pPr>
                  <w:r>
                    <w:t xml:space="preserve">4.42</w:t>
                  </w:r>
                </w:p>
              </w:tc>
              <w:tc>
                <w:tcPr/>
                <w:p>
                  <w:pPr>
                    <w:pStyle w:val="Compact"/>
                    <w:jc w:val="right"/>
                    <w:jc w:val="center"/>
                  </w:pPr>
                  <w:r>
                    <w:t xml:space="preserve">0.958</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10.7</w:t>
                  </w:r>
                </w:p>
              </w:tc>
              <w:tc>
                <w:tcPr/>
                <w:p>
                  <w:pPr>
                    <w:pStyle w:val="Compact"/>
                    <w:jc w:val="right"/>
                    <w:jc w:val="center"/>
                  </w:pPr>
                  <w:r>
                    <w:t xml:space="preserve">6.03</w:t>
                  </w:r>
                </w:p>
              </w:tc>
              <w:tc>
                <w:tcPr/>
                <w:p>
                  <w:pPr>
                    <w:pStyle w:val="Compact"/>
                    <w:jc w:val="right"/>
                    <w:jc w:val="center"/>
                  </w:pPr>
                  <w:r>
                    <w:t xml:space="preserve">5.2</w:t>
                  </w:r>
                </w:p>
              </w:tc>
              <w:tc>
                <w:tcPr/>
                <w:p>
                  <w:pPr>
                    <w:pStyle w:val="Compact"/>
                    <w:jc w:val="right"/>
                    <w:jc w:val="center"/>
                  </w:pPr>
                  <w:r>
                    <w:t xml:space="preserve">0.975</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16.3</w:t>
                  </w:r>
                </w:p>
              </w:tc>
              <w:tc>
                <w:tcPr/>
                <w:p>
                  <w:pPr>
                    <w:pStyle w:val="Compact"/>
                    <w:jc w:val="right"/>
                    <w:jc w:val="center"/>
                  </w:pPr>
                  <w:r>
                    <w:t xml:space="preserve">7.05</w:t>
                  </w:r>
                </w:p>
              </w:tc>
              <w:tc>
                <w:tcPr/>
                <w:p>
                  <w:pPr>
                    <w:pStyle w:val="Compact"/>
                    <w:jc w:val="right"/>
                    <w:jc w:val="center"/>
                  </w:pPr>
                  <w:r>
                    <w:t xml:space="preserve">5.04</w:t>
                  </w:r>
                </w:p>
              </w:tc>
              <w:tc>
                <w:tcPr/>
                <w:p>
                  <w:pPr>
                    <w:pStyle w:val="Compact"/>
                    <w:jc w:val="right"/>
                    <w:jc w:val="center"/>
                  </w:pPr>
                  <w:r>
                    <w:t xml:space="preserve">0.977</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12.6</w:t>
                  </w:r>
                </w:p>
              </w:tc>
              <w:tc>
                <w:tcPr/>
                <w:p>
                  <w:pPr>
                    <w:pStyle w:val="Compact"/>
                    <w:jc w:val="right"/>
                    <w:jc w:val="center"/>
                  </w:pPr>
                  <w:r>
                    <w:t xml:space="preserve">6.86</w:t>
                  </w:r>
                </w:p>
              </w:tc>
              <w:tc>
                <w:tcPr/>
                <w:p>
                  <w:pPr>
                    <w:pStyle w:val="Compact"/>
                    <w:jc w:val="right"/>
                    <w:jc w:val="center"/>
                  </w:pPr>
                  <w:r>
                    <w:t xml:space="preserve">4.92</w:t>
                  </w:r>
                </w:p>
              </w:tc>
              <w:tc>
                <w:tcPr/>
                <w:p>
                  <w:pPr>
                    <w:pStyle w:val="Compact"/>
                    <w:jc w:val="right"/>
                    <w:jc w:val="center"/>
                  </w:pPr>
                  <w:r>
                    <w:t xml:space="preserve">0.953</w:t>
                  </w:r>
                </w:p>
              </w:tc>
            </w:tr>
          </w:tbl>
          <w:bookmarkEnd w:id="101"/>
          <w:p/>
        </w:tc>
      </w:tr>
    </w:tbl>
    <w:bookmarkEnd w:id="102"/>
    <w:bookmarkStart w:id="105" w:name="Xa2fac5041b4173f7385fa99ae36b1e5b6f06fdd"/>
    <w:p>
      <w:pPr>
        <w:pStyle w:val="Heading2"/>
      </w:pPr>
      <w:r>
        <w:t xml:space="preserve">Appendix C — Full effect and coefficient tables</w:t>
      </w:r>
    </w:p>
    <w:p>
      <w:pPr>
        <w:pStyle w:val="FirstParagraph"/>
      </w:pPr>
      <w:r>
        <w:t xml:space="preserve">Complete screening effect tables for all responses follow, and then the response-surface</w:t>
      </w:r>
      <w:r>
        <w:t xml:space="preserve"> </w:t>
      </w:r>
      <w:r>
        <w:t xml:space="preserve">coefficient tables for the responses not tabulated in §5.</w:t>
      </w:r>
    </w:p>
    <w:p>
      <w:pPr>
        <w:pStyle w:val="BodyText"/>
      </w:pPr>
      <w:r>
        <w:rPr>
          <w:b/>
          <w:bCs/>
        </w:rPr>
        <w:t xml:space="preserve">Pool HCP (ng/mg)</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pPr>
            <w:r>
              <w:t xml:space="preserve">Term</w:t>
            </w:r>
          </w:p>
        </w:tc>
        <w:tc>
          <w:tcPr/>
          <w:p>
            <w:pPr>
              <w:pStyle w:val="Compact"/>
              <w:jc w:val="right"/>
            </w:pPr>
            <w:r>
              <w:t xml:space="preserve">Effect</w:t>
            </w:r>
          </w:p>
        </w:tc>
        <w:tc>
          <w:tcPr/>
          <w:p>
            <w:pPr>
              <w:pStyle w:val="Compact"/>
              <w:jc w:val="right"/>
            </w:pPr>
            <w:r>
              <w:t xml:space="preserve">Coef.</w:t>
            </w:r>
          </w:p>
        </w:tc>
        <w:tc>
          <w:tcPr/>
          <w:p>
            <w:pPr>
              <w:pStyle w:val="Compact"/>
              <w:jc w:val="right"/>
            </w:pPr>
            <w:r>
              <w:t xml:space="preserve">Std. err.</w:t>
            </w:r>
          </w:p>
        </w:tc>
        <w:tc>
          <w:tcPr/>
          <w:p>
            <w:pPr>
              <w:pStyle w:val="Compact"/>
              <w:jc w:val="right"/>
            </w:pPr>
            <w:r>
              <w:t xml:space="preserve">t</w:t>
            </w:r>
          </w:p>
        </w:tc>
        <w:tc>
          <w:tcPr/>
          <w:p>
            <w:pPr>
              <w:pStyle w:val="Compact"/>
              <w:jc w:val="right"/>
            </w:pPr>
            <w:r>
              <w:t xml:space="preserve">p-value</w:t>
            </w:r>
          </w:p>
        </w:tc>
        <w:tc>
          <w:tcPr/>
          <w:p>
            <w:pPr>
              <w:pStyle w:val="Compact"/>
              <w:jc w:val="left"/>
            </w:pPr>
            <w:r>
              <w:t xml:space="preserve">Sig.</w:t>
            </w:r>
          </w:p>
        </w:tc>
      </w:tr>
      <w:tr>
        <w:tc>
          <w:tcPr/>
          <w:p>
            <w:pPr>
              <w:pStyle w:val="Compact"/>
              <w:jc w:val="left"/>
            </w:pPr>
            <w:r>
              <w:t xml:space="preserve">B</w:t>
            </w:r>
          </w:p>
        </w:tc>
        <w:tc>
          <w:tcPr/>
          <w:p>
            <w:pPr>
              <w:pStyle w:val="Compact"/>
              <w:jc w:val="right"/>
            </w:pPr>
            <w:r>
              <w:t xml:space="preserve">12.1</w:t>
            </w:r>
          </w:p>
        </w:tc>
        <w:tc>
          <w:tcPr/>
          <w:p>
            <w:pPr>
              <w:pStyle w:val="Compact"/>
              <w:jc w:val="right"/>
            </w:pPr>
            <w:r>
              <w:t xml:space="preserve">6.04</w:t>
            </w:r>
          </w:p>
        </w:tc>
        <w:tc>
          <w:tcPr/>
          <w:p>
            <w:pPr>
              <w:pStyle w:val="Compact"/>
              <w:jc w:val="right"/>
            </w:pPr>
            <w:r>
              <w:t xml:space="preserve">0.613</w:t>
            </w:r>
          </w:p>
        </w:tc>
        <w:tc>
          <w:tcPr/>
          <w:p>
            <w:pPr>
              <w:pStyle w:val="Compact"/>
              <w:jc w:val="right"/>
            </w:pPr>
            <w:r>
              <w:t xml:space="preserve">9.85</w:t>
            </w:r>
          </w:p>
        </w:tc>
        <w:tc>
          <w:tcPr/>
          <w:p>
            <w:pPr>
              <w:pStyle w:val="Compact"/>
              <w:jc w:val="right"/>
            </w:pPr>
            <w:r>
              <w:t xml:space="preserve">9.48e-06</w:t>
            </w:r>
          </w:p>
        </w:tc>
        <w:tc>
          <w:tcPr/>
          <w:p>
            <w:pPr>
              <w:pStyle w:val="Compact"/>
              <w:jc w:val="left"/>
            </w:pPr>
            <w:r>
              <w:t xml:space="preserve">***</w:t>
            </w:r>
          </w:p>
        </w:tc>
      </w:tr>
      <w:tr>
        <w:tc>
          <w:tcPr/>
          <w:p>
            <w:pPr>
              <w:pStyle w:val="Compact"/>
              <w:jc w:val="left"/>
            </w:pPr>
            <w:r>
              <w:t xml:space="preserve">A</w:t>
            </w:r>
          </w:p>
        </w:tc>
        <w:tc>
          <w:tcPr/>
          <w:p>
            <w:pPr>
              <w:pStyle w:val="Compact"/>
              <w:jc w:val="right"/>
            </w:pPr>
            <w:r>
              <w:t xml:space="preserve">-11.9</w:t>
            </w:r>
          </w:p>
        </w:tc>
        <w:tc>
          <w:tcPr/>
          <w:p>
            <w:pPr>
              <w:pStyle w:val="Compact"/>
              <w:jc w:val="right"/>
            </w:pPr>
            <w:r>
              <w:t xml:space="preserve">-5.96</w:t>
            </w:r>
          </w:p>
        </w:tc>
        <w:tc>
          <w:tcPr/>
          <w:p>
            <w:pPr>
              <w:pStyle w:val="Compact"/>
              <w:jc w:val="right"/>
            </w:pPr>
            <w:r>
              <w:t xml:space="preserve">0.613</w:t>
            </w:r>
          </w:p>
        </w:tc>
        <w:tc>
          <w:tcPr/>
          <w:p>
            <w:pPr>
              <w:pStyle w:val="Compact"/>
              <w:jc w:val="right"/>
            </w:pPr>
            <w:r>
              <w:t xml:space="preserve">-9.72</w:t>
            </w:r>
          </w:p>
        </w:tc>
        <w:tc>
          <w:tcPr/>
          <w:p>
            <w:pPr>
              <w:pStyle w:val="Compact"/>
              <w:jc w:val="right"/>
            </w:pPr>
            <w:r>
              <w:t xml:space="preserve">1.05e-05</w:t>
            </w:r>
          </w:p>
        </w:tc>
        <w:tc>
          <w:tcPr/>
          <w:p>
            <w:pPr>
              <w:pStyle w:val="Compact"/>
              <w:jc w:val="left"/>
            </w:pPr>
            <w:r>
              <w:t xml:space="preserve">***</w:t>
            </w:r>
          </w:p>
        </w:tc>
      </w:tr>
      <w:tr>
        <w:tc>
          <w:tcPr/>
          <w:p>
            <w:pPr>
              <w:pStyle w:val="Compact"/>
              <w:jc w:val="left"/>
            </w:pPr>
            <w:r>
              <w:t xml:space="preserve">AB</w:t>
            </w:r>
          </w:p>
        </w:tc>
        <w:tc>
          <w:tcPr/>
          <w:p>
            <w:pPr>
              <w:pStyle w:val="Compact"/>
              <w:jc w:val="right"/>
            </w:pPr>
            <w:r>
              <w:t xml:space="preserve">-6.63</w:t>
            </w:r>
          </w:p>
        </w:tc>
        <w:tc>
          <w:tcPr/>
          <w:p>
            <w:pPr>
              <w:pStyle w:val="Compact"/>
              <w:jc w:val="right"/>
            </w:pPr>
            <w:r>
              <w:t xml:space="preserve">-3.32</w:t>
            </w:r>
          </w:p>
        </w:tc>
        <w:tc>
          <w:tcPr/>
          <w:p>
            <w:pPr>
              <w:pStyle w:val="Compact"/>
              <w:jc w:val="right"/>
            </w:pPr>
            <w:r>
              <w:t xml:space="preserve">0.613</w:t>
            </w:r>
          </w:p>
        </w:tc>
        <w:tc>
          <w:tcPr/>
          <w:p>
            <w:pPr>
              <w:pStyle w:val="Compact"/>
              <w:jc w:val="right"/>
            </w:pPr>
            <w:r>
              <w:t xml:space="preserve">-5.41</w:t>
            </w:r>
          </w:p>
        </w:tc>
        <w:tc>
          <w:tcPr/>
          <w:p>
            <w:pPr>
              <w:pStyle w:val="Compact"/>
              <w:jc w:val="right"/>
            </w:pPr>
            <w:r>
              <w:t xml:space="preserve">0.000642</w:t>
            </w:r>
          </w:p>
        </w:tc>
        <w:tc>
          <w:tcPr/>
          <w:p>
            <w:pPr>
              <w:pStyle w:val="Compact"/>
              <w:jc w:val="left"/>
            </w:pPr>
            <w:r>
              <w:t xml:space="preserve">***</w:t>
            </w:r>
          </w:p>
        </w:tc>
      </w:tr>
      <w:tr>
        <w:tc>
          <w:tcPr/>
          <w:p>
            <w:pPr>
              <w:pStyle w:val="Compact"/>
              <w:jc w:val="left"/>
            </w:pPr>
            <w:r>
              <w:t xml:space="preserve">C</w:t>
            </w:r>
          </w:p>
        </w:tc>
        <w:tc>
          <w:tcPr/>
          <w:p>
            <w:pPr>
              <w:pStyle w:val="Compact"/>
              <w:jc w:val="right"/>
            </w:pPr>
            <w:r>
              <w:t xml:space="preserve">-1.66</w:t>
            </w:r>
          </w:p>
        </w:tc>
        <w:tc>
          <w:tcPr/>
          <w:p>
            <w:pPr>
              <w:pStyle w:val="Compact"/>
              <w:jc w:val="right"/>
            </w:pPr>
            <w:r>
              <w:t xml:space="preserve">-0.829</w:t>
            </w:r>
          </w:p>
        </w:tc>
        <w:tc>
          <w:tcPr/>
          <w:p>
            <w:pPr>
              <w:pStyle w:val="Compact"/>
              <w:jc w:val="right"/>
            </w:pPr>
            <w:r>
              <w:t xml:space="preserve">0.613</w:t>
            </w:r>
          </w:p>
        </w:tc>
        <w:tc>
          <w:tcPr/>
          <w:p>
            <w:pPr>
              <w:pStyle w:val="Compact"/>
              <w:jc w:val="right"/>
            </w:pPr>
            <w:r>
              <w:t xml:space="preserve">-1.35</w:t>
            </w:r>
          </w:p>
        </w:tc>
        <w:tc>
          <w:tcPr/>
          <w:p>
            <w:pPr>
              <w:pStyle w:val="Compact"/>
              <w:jc w:val="right"/>
            </w:pPr>
            <w:r>
              <w:t xml:space="preserve">0.213</w:t>
            </w:r>
          </w:p>
        </w:tc>
        <w:tc>
          <w:tcPr/>
          <w:p>
            <w:pPr>
              <w:pStyle w:val="Compact"/>
            </w:pPr>
          </w:p>
        </w:tc>
      </w:tr>
      <w:tr>
        <w:tc>
          <w:tcPr/>
          <w:p>
            <w:pPr>
              <w:pStyle w:val="Compact"/>
              <w:jc w:val="left"/>
            </w:pPr>
            <w:r>
              <w:t xml:space="preserve">AC</w:t>
            </w:r>
          </w:p>
        </w:tc>
        <w:tc>
          <w:tcPr/>
          <w:p>
            <w:pPr>
              <w:pStyle w:val="Compact"/>
              <w:jc w:val="right"/>
            </w:pPr>
            <w:r>
              <w:t xml:space="preserve">1.65</w:t>
            </w:r>
          </w:p>
        </w:tc>
        <w:tc>
          <w:tcPr/>
          <w:p>
            <w:pPr>
              <w:pStyle w:val="Compact"/>
              <w:jc w:val="right"/>
            </w:pPr>
            <w:r>
              <w:t xml:space="preserve">0.827</w:t>
            </w:r>
          </w:p>
        </w:tc>
        <w:tc>
          <w:tcPr/>
          <w:p>
            <w:pPr>
              <w:pStyle w:val="Compact"/>
              <w:jc w:val="right"/>
            </w:pPr>
            <w:r>
              <w:t xml:space="preserve">0.613</w:t>
            </w:r>
          </w:p>
        </w:tc>
        <w:tc>
          <w:tcPr/>
          <w:p>
            <w:pPr>
              <w:pStyle w:val="Compact"/>
              <w:jc w:val="right"/>
            </w:pPr>
            <w:r>
              <w:t xml:space="preserve">1.35</w:t>
            </w:r>
          </w:p>
        </w:tc>
        <w:tc>
          <w:tcPr/>
          <w:p>
            <w:pPr>
              <w:pStyle w:val="Compact"/>
              <w:jc w:val="right"/>
            </w:pPr>
            <w:r>
              <w:t xml:space="preserve">0.214</w:t>
            </w:r>
          </w:p>
        </w:tc>
        <w:tc>
          <w:tcPr/>
          <w:p>
            <w:pPr>
              <w:pStyle w:val="Compact"/>
            </w:pPr>
          </w:p>
        </w:tc>
      </w:tr>
      <w:tr>
        <w:tc>
          <w:tcPr/>
          <w:p>
            <w:pPr>
              <w:pStyle w:val="Compact"/>
              <w:jc w:val="left"/>
            </w:pPr>
            <w:r>
              <w:t xml:space="preserve">BC</w:t>
            </w:r>
          </w:p>
        </w:tc>
        <w:tc>
          <w:tcPr/>
          <w:p>
            <w:pPr>
              <w:pStyle w:val="Compact"/>
              <w:jc w:val="right"/>
            </w:pPr>
            <w:r>
              <w:t xml:space="preserve">-1.21</w:t>
            </w:r>
          </w:p>
        </w:tc>
        <w:tc>
          <w:tcPr/>
          <w:p>
            <w:pPr>
              <w:pStyle w:val="Compact"/>
              <w:jc w:val="right"/>
            </w:pPr>
            <w:r>
              <w:t xml:space="preserve">-0.605</w:t>
            </w:r>
          </w:p>
        </w:tc>
        <w:tc>
          <w:tcPr/>
          <w:p>
            <w:pPr>
              <w:pStyle w:val="Compact"/>
              <w:jc w:val="right"/>
            </w:pPr>
            <w:r>
              <w:t xml:space="preserve">0.613</w:t>
            </w:r>
          </w:p>
        </w:tc>
        <w:tc>
          <w:tcPr/>
          <w:p>
            <w:pPr>
              <w:pStyle w:val="Compact"/>
              <w:jc w:val="right"/>
            </w:pPr>
            <w:r>
              <w:t xml:space="preserve">-0.986</w:t>
            </w:r>
          </w:p>
        </w:tc>
        <w:tc>
          <w:tcPr/>
          <w:p>
            <w:pPr>
              <w:pStyle w:val="Compact"/>
              <w:jc w:val="right"/>
            </w:pPr>
            <w:r>
              <w:t xml:space="preserve">0.353</w:t>
            </w:r>
          </w:p>
        </w:tc>
        <w:tc>
          <w:tcPr/>
          <w:p>
            <w:pPr>
              <w:pStyle w:val="Compact"/>
            </w:pPr>
          </w:p>
        </w:tc>
      </w:tr>
      <w:tr>
        <w:tc>
          <w:tcPr/>
          <w:p>
            <w:pPr>
              <w:pStyle w:val="Compact"/>
              <w:jc w:val="left"/>
            </w:pPr>
            <w:r>
              <w:t xml:space="preserve">D</w:t>
            </w:r>
          </w:p>
        </w:tc>
        <w:tc>
          <w:tcPr/>
          <w:p>
            <w:pPr>
              <w:pStyle w:val="Compact"/>
              <w:jc w:val="right"/>
            </w:pPr>
            <w:r>
              <w:t xml:space="preserve">0.885</w:t>
            </w:r>
          </w:p>
        </w:tc>
        <w:tc>
          <w:tcPr/>
          <w:p>
            <w:pPr>
              <w:pStyle w:val="Compact"/>
              <w:jc w:val="right"/>
            </w:pPr>
            <w:r>
              <w:t xml:space="preserve">0.443</w:t>
            </w:r>
          </w:p>
        </w:tc>
        <w:tc>
          <w:tcPr/>
          <w:p>
            <w:pPr>
              <w:pStyle w:val="Compact"/>
              <w:jc w:val="right"/>
            </w:pPr>
            <w:r>
              <w:t xml:space="preserve">0.613</w:t>
            </w:r>
          </w:p>
        </w:tc>
        <w:tc>
          <w:tcPr/>
          <w:p>
            <w:pPr>
              <w:pStyle w:val="Compact"/>
              <w:jc w:val="right"/>
            </w:pPr>
            <w:r>
              <w:t xml:space="preserve">0.722</w:t>
            </w:r>
          </w:p>
        </w:tc>
        <w:tc>
          <w:tcPr/>
          <w:p>
            <w:pPr>
              <w:pStyle w:val="Compact"/>
              <w:jc w:val="right"/>
            </w:pPr>
            <w:r>
              <w:t xml:space="preserve">0.491</w:t>
            </w:r>
          </w:p>
        </w:tc>
        <w:tc>
          <w:tcPr/>
          <w:p>
            <w:pPr>
              <w:pStyle w:val="Compact"/>
            </w:pPr>
          </w:p>
        </w:tc>
      </w:tr>
      <w:tr>
        <w:tc>
          <w:tcPr/>
          <w:p>
            <w:pPr>
              <w:pStyle w:val="Compact"/>
              <w:jc w:val="left"/>
            </w:pPr>
            <w:r>
              <w:t xml:space="preserve">AD</w:t>
            </w:r>
          </w:p>
        </w:tc>
        <w:tc>
          <w:tcPr/>
          <w:p>
            <w:pPr>
              <w:pStyle w:val="Compact"/>
              <w:jc w:val="right"/>
            </w:pPr>
            <w:r>
              <w:t xml:space="preserve">-0.498</w:t>
            </w:r>
          </w:p>
        </w:tc>
        <w:tc>
          <w:tcPr/>
          <w:p>
            <w:pPr>
              <w:pStyle w:val="Compact"/>
              <w:jc w:val="right"/>
            </w:pPr>
            <w:r>
              <w:t xml:space="preserve">-0.249</w:t>
            </w:r>
          </w:p>
        </w:tc>
        <w:tc>
          <w:tcPr/>
          <w:p>
            <w:pPr>
              <w:pStyle w:val="Compact"/>
              <w:jc w:val="right"/>
            </w:pPr>
            <w:r>
              <w:t xml:space="preserve">0.613</w:t>
            </w:r>
          </w:p>
        </w:tc>
        <w:tc>
          <w:tcPr/>
          <w:p>
            <w:pPr>
              <w:pStyle w:val="Compact"/>
              <w:jc w:val="right"/>
            </w:pPr>
            <w:r>
              <w:t xml:space="preserve">-0.406</w:t>
            </w:r>
          </w:p>
        </w:tc>
        <w:tc>
          <w:tcPr/>
          <w:p>
            <w:pPr>
              <w:pStyle w:val="Compact"/>
              <w:jc w:val="right"/>
            </w:pPr>
            <w:r>
              <w:t xml:space="preserve">0.696</w:t>
            </w:r>
          </w:p>
        </w:tc>
        <w:tc>
          <w:tcPr/>
          <w:p>
            <w:pPr>
              <w:pStyle w:val="Compact"/>
            </w:pPr>
          </w:p>
        </w:tc>
      </w:tr>
      <w:tr>
        <w:tc>
          <w:tcPr/>
          <w:p>
            <w:pPr>
              <w:pStyle w:val="Compact"/>
              <w:jc w:val="left"/>
            </w:pPr>
            <w:r>
              <w:t xml:space="preserve">CD</w:t>
            </w:r>
          </w:p>
        </w:tc>
        <w:tc>
          <w:tcPr/>
          <w:p>
            <w:pPr>
              <w:pStyle w:val="Compact"/>
              <w:jc w:val="right"/>
            </w:pPr>
            <w:r>
              <w:t xml:space="preserve">0.261</w:t>
            </w:r>
          </w:p>
        </w:tc>
        <w:tc>
          <w:tcPr/>
          <w:p>
            <w:pPr>
              <w:pStyle w:val="Compact"/>
              <w:jc w:val="right"/>
            </w:pPr>
            <w:r>
              <w:t xml:space="preserve">0.13</w:t>
            </w:r>
          </w:p>
        </w:tc>
        <w:tc>
          <w:tcPr/>
          <w:p>
            <w:pPr>
              <w:pStyle w:val="Compact"/>
              <w:jc w:val="right"/>
            </w:pPr>
            <w:r>
              <w:t xml:space="preserve">0.613</w:t>
            </w:r>
          </w:p>
        </w:tc>
        <w:tc>
          <w:tcPr/>
          <w:p>
            <w:pPr>
              <w:pStyle w:val="Compact"/>
              <w:jc w:val="right"/>
            </w:pPr>
            <w:r>
              <w:t xml:space="preserve">0.212</w:t>
            </w:r>
          </w:p>
        </w:tc>
        <w:tc>
          <w:tcPr/>
          <w:p>
            <w:pPr>
              <w:pStyle w:val="Compact"/>
              <w:jc w:val="right"/>
            </w:pPr>
            <w:r>
              <w:t xml:space="preserve">0.837</w:t>
            </w:r>
          </w:p>
        </w:tc>
        <w:tc>
          <w:tcPr/>
          <w:p>
            <w:pPr>
              <w:pStyle w:val="Compact"/>
            </w:pPr>
          </w:p>
        </w:tc>
      </w:tr>
      <w:tr>
        <w:tc>
          <w:tcPr/>
          <w:p>
            <w:pPr>
              <w:pStyle w:val="Compact"/>
              <w:jc w:val="left"/>
            </w:pPr>
            <w:r>
              <w:t xml:space="preserve">BD</w:t>
            </w:r>
          </w:p>
        </w:tc>
        <w:tc>
          <w:tcPr/>
          <w:p>
            <w:pPr>
              <w:pStyle w:val="Compact"/>
              <w:jc w:val="right"/>
            </w:pPr>
            <w:r>
              <w:t xml:space="preserve">0.224</w:t>
            </w:r>
          </w:p>
        </w:tc>
        <w:tc>
          <w:tcPr/>
          <w:p>
            <w:pPr>
              <w:pStyle w:val="Compact"/>
              <w:jc w:val="right"/>
            </w:pPr>
            <w:r>
              <w:t xml:space="preserve">0.112</w:t>
            </w:r>
          </w:p>
        </w:tc>
        <w:tc>
          <w:tcPr/>
          <w:p>
            <w:pPr>
              <w:pStyle w:val="Compact"/>
              <w:jc w:val="right"/>
            </w:pPr>
            <w:r>
              <w:t xml:space="preserve">0.613</w:t>
            </w:r>
          </w:p>
        </w:tc>
        <w:tc>
          <w:tcPr/>
          <w:p>
            <w:pPr>
              <w:pStyle w:val="Compact"/>
              <w:jc w:val="right"/>
            </w:pPr>
            <w:r>
              <w:t xml:space="preserve">0.182</w:t>
            </w:r>
          </w:p>
        </w:tc>
        <w:tc>
          <w:tcPr/>
          <w:p>
            <w:pPr>
              <w:pStyle w:val="Compact"/>
              <w:jc w:val="right"/>
            </w:pPr>
            <w:r>
              <w:t xml:space="preserve">0.86</w:t>
            </w:r>
          </w:p>
        </w:tc>
        <w:tc>
          <w:tcPr/>
          <w:p>
            <w:pPr>
              <w:pStyle w:val="Compact"/>
            </w:pPr>
          </w:p>
        </w:tc>
      </w:tr>
    </w:tbl>
    <w:p>
      <w:pPr>
        <w:pStyle w:val="BodyText"/>
      </w:pPr>
      <w:r>
        <w:rPr>
          <w:b/>
          <w:bCs/>
        </w:rPr>
        <w:t xml:space="preserve">XMuLV LRF (log₁₀)</w:t>
      </w:r>
    </w:p>
    <w:tbl>
      <w:tblPr>
        <w:tblStyle w:val="Table"/>
        <w:tblW w:type="pct" w:w="5000"/>
        <w:tblLayout w:type="fixed"/>
        <w:tblLook w:firstRow="1" w:lastRow="0" w:firstColumn="0" w:lastColumn="0" w:noHBand="0" w:noVBand="0" w:val="0020"/>
      </w:tblPr>
      <w:tblGrid>
        <w:gridCol w:w="918"/>
        <w:gridCol w:w="1147"/>
        <w:gridCol w:w="1147"/>
        <w:gridCol w:w="1492"/>
        <w:gridCol w:w="1033"/>
        <w:gridCol w:w="1262"/>
        <w:gridCol w:w="918"/>
      </w:tblGrid>
      <w:tr>
        <w:trPr>
          <w:tblHeader w:val="on"/>
        </w:trPr>
        <w:tc>
          <w:tcPr/>
          <w:p>
            <w:pPr>
              <w:pStyle w:val="Compact"/>
              <w:jc w:val="left"/>
            </w:pPr>
            <w:r>
              <w:t xml:space="preserve">Term</w:t>
            </w:r>
          </w:p>
        </w:tc>
        <w:tc>
          <w:tcPr/>
          <w:p>
            <w:pPr>
              <w:pStyle w:val="Compact"/>
              <w:jc w:val="right"/>
            </w:pPr>
            <w:r>
              <w:t xml:space="preserve">Effect</w:t>
            </w:r>
          </w:p>
        </w:tc>
        <w:tc>
          <w:tcPr/>
          <w:p>
            <w:pPr>
              <w:pStyle w:val="Compact"/>
              <w:jc w:val="right"/>
            </w:pPr>
            <w:r>
              <w:t xml:space="preserve">Coef.</w:t>
            </w:r>
          </w:p>
        </w:tc>
        <w:tc>
          <w:tcPr/>
          <w:p>
            <w:pPr>
              <w:pStyle w:val="Compact"/>
              <w:jc w:val="right"/>
            </w:pPr>
            <w:r>
              <w:t xml:space="preserve">Std. err.</w:t>
            </w:r>
          </w:p>
        </w:tc>
        <w:tc>
          <w:tcPr/>
          <w:p>
            <w:pPr>
              <w:pStyle w:val="Compact"/>
              <w:jc w:val="right"/>
            </w:pPr>
            <w:r>
              <w:t xml:space="preserve">t</w:t>
            </w:r>
          </w:p>
        </w:tc>
        <w:tc>
          <w:tcPr/>
          <w:p>
            <w:pPr>
              <w:pStyle w:val="Compact"/>
              <w:jc w:val="right"/>
            </w:pPr>
            <w:r>
              <w:t xml:space="preserve">p-value</w:t>
            </w:r>
          </w:p>
        </w:tc>
        <w:tc>
          <w:tcPr/>
          <w:p>
            <w:pPr>
              <w:pStyle w:val="Compact"/>
              <w:jc w:val="left"/>
            </w:pPr>
            <w:r>
              <w:t xml:space="preserve">Sig.</w:t>
            </w:r>
          </w:p>
        </w:tc>
      </w:tr>
      <w:tr>
        <w:tc>
          <w:tcPr/>
          <w:p>
            <w:pPr>
              <w:pStyle w:val="Compact"/>
              <w:jc w:val="left"/>
            </w:pPr>
            <w:r>
              <w:t xml:space="preserve">A</w:t>
            </w:r>
          </w:p>
        </w:tc>
        <w:tc>
          <w:tcPr/>
          <w:p>
            <w:pPr>
              <w:pStyle w:val="Compact"/>
              <w:jc w:val="right"/>
            </w:pPr>
            <w:r>
              <w:t xml:space="preserve">1</w:t>
            </w:r>
          </w:p>
        </w:tc>
        <w:tc>
          <w:tcPr/>
          <w:p>
            <w:pPr>
              <w:pStyle w:val="Compact"/>
              <w:jc w:val="right"/>
            </w:pPr>
            <w:r>
              <w:t xml:space="preserve">0.501</w:t>
            </w:r>
          </w:p>
        </w:tc>
        <w:tc>
          <w:tcPr/>
          <w:p>
            <w:pPr>
              <w:pStyle w:val="Compact"/>
              <w:jc w:val="right"/>
            </w:pPr>
            <w:r>
              <w:t xml:space="preserve">0.0982</w:t>
            </w:r>
          </w:p>
        </w:tc>
        <w:tc>
          <w:tcPr/>
          <w:p>
            <w:pPr>
              <w:pStyle w:val="Compact"/>
              <w:jc w:val="right"/>
            </w:pPr>
            <w:r>
              <w:t xml:space="preserve">5.1</w:t>
            </w:r>
          </w:p>
        </w:tc>
        <w:tc>
          <w:tcPr/>
          <w:p>
            <w:pPr>
              <w:pStyle w:val="Compact"/>
              <w:jc w:val="right"/>
            </w:pPr>
            <w:r>
              <w:t xml:space="preserve">0.000934</w:t>
            </w:r>
          </w:p>
        </w:tc>
        <w:tc>
          <w:tcPr/>
          <w:p>
            <w:pPr>
              <w:pStyle w:val="Compact"/>
              <w:jc w:val="left"/>
            </w:pPr>
            <w:r>
              <w:t xml:space="preserve">***</w:t>
            </w:r>
          </w:p>
        </w:tc>
      </w:tr>
      <w:tr>
        <w:tc>
          <w:tcPr/>
          <w:p>
            <w:pPr>
              <w:pStyle w:val="Compact"/>
              <w:jc w:val="left"/>
            </w:pPr>
            <w:r>
              <w:t xml:space="preserve">C</w:t>
            </w:r>
          </w:p>
        </w:tc>
        <w:tc>
          <w:tcPr/>
          <w:p>
            <w:pPr>
              <w:pStyle w:val="Compact"/>
              <w:jc w:val="right"/>
            </w:pPr>
            <w:r>
              <w:t xml:space="preserve">-0.605</w:t>
            </w:r>
          </w:p>
        </w:tc>
        <w:tc>
          <w:tcPr/>
          <w:p>
            <w:pPr>
              <w:pStyle w:val="Compact"/>
              <w:jc w:val="right"/>
            </w:pPr>
            <w:r>
              <w:t xml:space="preserve">-0.302</w:t>
            </w:r>
          </w:p>
        </w:tc>
        <w:tc>
          <w:tcPr/>
          <w:p>
            <w:pPr>
              <w:pStyle w:val="Compact"/>
              <w:jc w:val="right"/>
            </w:pPr>
            <w:r>
              <w:t xml:space="preserve">0.0982</w:t>
            </w:r>
          </w:p>
        </w:tc>
        <w:tc>
          <w:tcPr/>
          <w:p>
            <w:pPr>
              <w:pStyle w:val="Compact"/>
              <w:jc w:val="right"/>
            </w:pPr>
            <w:r>
              <w:t xml:space="preserve">-3.08</w:t>
            </w:r>
          </w:p>
        </w:tc>
        <w:tc>
          <w:tcPr/>
          <w:p>
            <w:pPr>
              <w:pStyle w:val="Compact"/>
              <w:jc w:val="right"/>
            </w:pPr>
            <w:r>
              <w:t xml:space="preserve">0.0151</w:t>
            </w:r>
          </w:p>
        </w:tc>
        <w:tc>
          <w:tcPr/>
          <w:p>
            <w:pPr>
              <w:pStyle w:val="Compact"/>
              <w:jc w:val="left"/>
            </w:pPr>
            <w:r>
              <w:t xml:space="preserve">*</w:t>
            </w:r>
          </w:p>
        </w:tc>
      </w:tr>
      <w:tr>
        <w:tc>
          <w:tcPr/>
          <w:p>
            <w:pPr>
              <w:pStyle w:val="Compact"/>
              <w:jc w:val="left"/>
            </w:pPr>
            <w:r>
              <w:t xml:space="preserve">D</w:t>
            </w:r>
          </w:p>
        </w:tc>
        <w:tc>
          <w:tcPr/>
          <w:p>
            <w:pPr>
              <w:pStyle w:val="Compact"/>
              <w:jc w:val="right"/>
            </w:pPr>
            <w:r>
              <w:t xml:space="preserve">0.268</w:t>
            </w:r>
          </w:p>
        </w:tc>
        <w:tc>
          <w:tcPr/>
          <w:p>
            <w:pPr>
              <w:pStyle w:val="Compact"/>
              <w:jc w:val="right"/>
            </w:pPr>
            <w:r>
              <w:t xml:space="preserve">0.134</w:t>
            </w:r>
          </w:p>
        </w:tc>
        <w:tc>
          <w:tcPr/>
          <w:p>
            <w:pPr>
              <w:pStyle w:val="Compact"/>
              <w:jc w:val="right"/>
            </w:pPr>
            <w:r>
              <w:t xml:space="preserve">0.0982</w:t>
            </w:r>
          </w:p>
        </w:tc>
        <w:tc>
          <w:tcPr/>
          <w:p>
            <w:pPr>
              <w:pStyle w:val="Compact"/>
              <w:jc w:val="right"/>
            </w:pPr>
            <w:r>
              <w:t xml:space="preserve">1.37</w:t>
            </w:r>
          </w:p>
        </w:tc>
        <w:tc>
          <w:tcPr/>
          <w:p>
            <w:pPr>
              <w:pStyle w:val="Compact"/>
              <w:jc w:val="right"/>
            </w:pPr>
            <w:r>
              <w:t xml:space="preserve">0.209</w:t>
            </w:r>
          </w:p>
        </w:tc>
        <w:tc>
          <w:tcPr/>
          <w:p>
            <w:pPr>
              <w:pStyle w:val="Compact"/>
            </w:pPr>
          </w:p>
        </w:tc>
      </w:tr>
      <w:tr>
        <w:tc>
          <w:tcPr/>
          <w:p>
            <w:pPr>
              <w:pStyle w:val="Compact"/>
              <w:jc w:val="left"/>
            </w:pPr>
            <w:r>
              <w:t xml:space="preserve">CD</w:t>
            </w:r>
          </w:p>
        </w:tc>
        <w:tc>
          <w:tcPr/>
          <w:p>
            <w:pPr>
              <w:pStyle w:val="Compact"/>
              <w:jc w:val="right"/>
            </w:pPr>
            <w:r>
              <w:t xml:space="preserve">-0.255</w:t>
            </w:r>
          </w:p>
        </w:tc>
        <w:tc>
          <w:tcPr/>
          <w:p>
            <w:pPr>
              <w:pStyle w:val="Compact"/>
              <w:jc w:val="right"/>
            </w:pPr>
            <w:r>
              <w:t xml:space="preserve">-0.128</w:t>
            </w:r>
          </w:p>
        </w:tc>
        <w:tc>
          <w:tcPr/>
          <w:p>
            <w:pPr>
              <w:pStyle w:val="Compact"/>
              <w:jc w:val="right"/>
            </w:pPr>
            <w:r>
              <w:t xml:space="preserve">0.0982</w:t>
            </w:r>
          </w:p>
        </w:tc>
        <w:tc>
          <w:tcPr/>
          <w:p>
            <w:pPr>
              <w:pStyle w:val="Compact"/>
              <w:jc w:val="right"/>
            </w:pPr>
            <w:r>
              <w:t xml:space="preserve">-1.3</w:t>
            </w:r>
          </w:p>
        </w:tc>
        <w:tc>
          <w:tcPr/>
          <w:p>
            <w:pPr>
              <w:pStyle w:val="Compact"/>
              <w:jc w:val="right"/>
            </w:pPr>
            <w:r>
              <w:t xml:space="preserve">0.23</w:t>
            </w:r>
          </w:p>
        </w:tc>
        <w:tc>
          <w:tcPr/>
          <w:p>
            <w:pPr>
              <w:pStyle w:val="Compact"/>
            </w:pPr>
          </w:p>
        </w:tc>
      </w:tr>
      <w:tr>
        <w:tc>
          <w:tcPr/>
          <w:p>
            <w:pPr>
              <w:pStyle w:val="Compact"/>
              <w:jc w:val="left"/>
            </w:pPr>
            <w:r>
              <w:t xml:space="preserve">AD</w:t>
            </w:r>
          </w:p>
        </w:tc>
        <w:tc>
          <w:tcPr/>
          <w:p>
            <w:pPr>
              <w:pStyle w:val="Compact"/>
              <w:jc w:val="right"/>
            </w:pPr>
            <w:r>
              <w:t xml:space="preserve">0.25</w:t>
            </w:r>
          </w:p>
        </w:tc>
        <w:tc>
          <w:tcPr/>
          <w:p>
            <w:pPr>
              <w:pStyle w:val="Compact"/>
              <w:jc w:val="right"/>
            </w:pPr>
            <w:r>
              <w:t xml:space="preserve">0.125</w:t>
            </w:r>
          </w:p>
        </w:tc>
        <w:tc>
          <w:tcPr/>
          <w:p>
            <w:pPr>
              <w:pStyle w:val="Compact"/>
              <w:jc w:val="right"/>
            </w:pPr>
            <w:r>
              <w:t xml:space="preserve">0.0982</w:t>
            </w:r>
          </w:p>
        </w:tc>
        <w:tc>
          <w:tcPr/>
          <w:p>
            <w:pPr>
              <w:pStyle w:val="Compact"/>
              <w:jc w:val="right"/>
            </w:pPr>
            <w:r>
              <w:t xml:space="preserve">1.27</w:t>
            </w:r>
          </w:p>
        </w:tc>
        <w:tc>
          <w:tcPr/>
          <w:p>
            <w:pPr>
              <w:pStyle w:val="Compact"/>
              <w:jc w:val="right"/>
            </w:pPr>
            <w:r>
              <w:t xml:space="preserve">0.24</w:t>
            </w:r>
          </w:p>
        </w:tc>
        <w:tc>
          <w:tcPr/>
          <w:p>
            <w:pPr>
              <w:pStyle w:val="Compact"/>
            </w:pPr>
          </w:p>
        </w:tc>
      </w:tr>
      <w:tr>
        <w:tc>
          <w:tcPr/>
          <w:p>
            <w:pPr>
              <w:pStyle w:val="Compact"/>
              <w:jc w:val="left"/>
            </w:pPr>
            <w:r>
              <w:t xml:space="preserve">B</w:t>
            </w:r>
          </w:p>
        </w:tc>
        <w:tc>
          <w:tcPr/>
          <w:p>
            <w:pPr>
              <w:pStyle w:val="Compact"/>
              <w:jc w:val="right"/>
            </w:pPr>
            <w:r>
              <w:t xml:space="preserve">0.198</w:t>
            </w:r>
          </w:p>
        </w:tc>
        <w:tc>
          <w:tcPr/>
          <w:p>
            <w:pPr>
              <w:pStyle w:val="Compact"/>
              <w:jc w:val="right"/>
            </w:pPr>
            <w:r>
              <w:t xml:space="preserve">0.0991</w:t>
            </w:r>
          </w:p>
        </w:tc>
        <w:tc>
          <w:tcPr/>
          <w:p>
            <w:pPr>
              <w:pStyle w:val="Compact"/>
              <w:jc w:val="right"/>
            </w:pPr>
            <w:r>
              <w:t xml:space="preserve">0.0982</w:t>
            </w:r>
          </w:p>
        </w:tc>
        <w:tc>
          <w:tcPr/>
          <w:p>
            <w:pPr>
              <w:pStyle w:val="Compact"/>
              <w:jc w:val="right"/>
            </w:pPr>
            <w:r>
              <w:t xml:space="preserve">1.01</w:t>
            </w:r>
          </w:p>
        </w:tc>
        <w:tc>
          <w:tcPr/>
          <w:p>
            <w:pPr>
              <w:pStyle w:val="Compact"/>
              <w:jc w:val="right"/>
            </w:pPr>
            <w:r>
              <w:t xml:space="preserve">0.342</w:t>
            </w:r>
          </w:p>
        </w:tc>
        <w:tc>
          <w:tcPr/>
          <w:p>
            <w:pPr>
              <w:pStyle w:val="Compact"/>
            </w:pPr>
          </w:p>
        </w:tc>
      </w:tr>
      <w:tr>
        <w:tc>
          <w:tcPr/>
          <w:p>
            <w:pPr>
              <w:pStyle w:val="Compact"/>
              <w:jc w:val="left"/>
            </w:pPr>
            <w:r>
              <w:t xml:space="preserve">BD</w:t>
            </w:r>
          </w:p>
        </w:tc>
        <w:tc>
          <w:tcPr/>
          <w:p>
            <w:pPr>
              <w:pStyle w:val="Compact"/>
              <w:jc w:val="right"/>
            </w:pPr>
            <w:r>
              <w:t xml:space="preserve">0.126</w:t>
            </w:r>
          </w:p>
        </w:tc>
        <w:tc>
          <w:tcPr/>
          <w:p>
            <w:pPr>
              <w:pStyle w:val="Compact"/>
              <w:jc w:val="right"/>
            </w:pPr>
            <w:r>
              <w:t xml:space="preserve">0.0632</w:t>
            </w:r>
          </w:p>
        </w:tc>
        <w:tc>
          <w:tcPr/>
          <w:p>
            <w:pPr>
              <w:pStyle w:val="Compact"/>
              <w:jc w:val="right"/>
            </w:pPr>
            <w:r>
              <w:t xml:space="preserve">0.0982</w:t>
            </w:r>
          </w:p>
        </w:tc>
        <w:tc>
          <w:tcPr/>
          <w:p>
            <w:pPr>
              <w:pStyle w:val="Compact"/>
              <w:jc w:val="right"/>
            </w:pPr>
            <w:r>
              <w:t xml:space="preserve">0.643</w:t>
            </w:r>
          </w:p>
        </w:tc>
        <w:tc>
          <w:tcPr/>
          <w:p>
            <w:pPr>
              <w:pStyle w:val="Compact"/>
              <w:jc w:val="right"/>
            </w:pPr>
            <w:r>
              <w:t xml:space="preserve">0.538</w:t>
            </w:r>
          </w:p>
        </w:tc>
        <w:tc>
          <w:tcPr/>
          <w:p>
            <w:pPr>
              <w:pStyle w:val="Compact"/>
            </w:pPr>
          </w:p>
        </w:tc>
      </w:tr>
      <w:tr>
        <w:tc>
          <w:tcPr/>
          <w:p>
            <w:pPr>
              <w:pStyle w:val="Compact"/>
              <w:jc w:val="left"/>
            </w:pPr>
            <w:r>
              <w:t xml:space="preserve">AC</w:t>
            </w:r>
          </w:p>
        </w:tc>
        <w:tc>
          <w:tcPr/>
          <w:p>
            <w:pPr>
              <w:pStyle w:val="Compact"/>
              <w:jc w:val="right"/>
            </w:pPr>
            <w:r>
              <w:t xml:space="preserve">-0.0968</w:t>
            </w:r>
          </w:p>
        </w:tc>
        <w:tc>
          <w:tcPr/>
          <w:p>
            <w:pPr>
              <w:pStyle w:val="Compact"/>
              <w:jc w:val="right"/>
            </w:pPr>
            <w:r>
              <w:t xml:space="preserve">-0.0484</w:t>
            </w:r>
          </w:p>
        </w:tc>
        <w:tc>
          <w:tcPr/>
          <w:p>
            <w:pPr>
              <w:pStyle w:val="Compact"/>
              <w:jc w:val="right"/>
            </w:pPr>
            <w:r>
              <w:t xml:space="preserve">0.0982</w:t>
            </w:r>
          </w:p>
        </w:tc>
        <w:tc>
          <w:tcPr/>
          <w:p>
            <w:pPr>
              <w:pStyle w:val="Compact"/>
              <w:jc w:val="right"/>
            </w:pPr>
            <w:r>
              <w:t xml:space="preserve">-0.493</w:t>
            </w:r>
          </w:p>
        </w:tc>
        <w:tc>
          <w:tcPr/>
          <w:p>
            <w:pPr>
              <w:pStyle w:val="Compact"/>
              <w:jc w:val="right"/>
            </w:pPr>
            <w:r>
              <w:t xml:space="preserve">0.635</w:t>
            </w:r>
          </w:p>
        </w:tc>
        <w:tc>
          <w:tcPr/>
          <w:p>
            <w:pPr>
              <w:pStyle w:val="Compact"/>
            </w:pPr>
          </w:p>
        </w:tc>
      </w:tr>
      <w:tr>
        <w:tc>
          <w:tcPr/>
          <w:p>
            <w:pPr>
              <w:pStyle w:val="Compact"/>
              <w:jc w:val="left"/>
            </w:pPr>
            <w:r>
              <w:t xml:space="preserve">AB</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0.0982</w:t>
            </w:r>
          </w:p>
        </w:tc>
        <w:tc>
          <w:tcPr/>
          <w:p>
            <w:pPr>
              <w:pStyle w:val="Compact"/>
              <w:jc w:val="right"/>
            </w:pPr>
            <w:r>
              <w:t xml:space="preserve">-0.478</w:t>
            </w:r>
          </w:p>
        </w:tc>
        <w:tc>
          <w:tcPr/>
          <w:p>
            <w:pPr>
              <w:pStyle w:val="Compact"/>
              <w:jc w:val="right"/>
            </w:pPr>
            <w:r>
              <w:t xml:space="preserve">0.645</w:t>
            </w:r>
          </w:p>
        </w:tc>
        <w:tc>
          <w:tcPr/>
          <w:p>
            <w:pPr>
              <w:pStyle w:val="Compact"/>
            </w:pPr>
          </w:p>
        </w:tc>
      </w:tr>
      <w:tr>
        <w:tc>
          <w:tcPr/>
          <w:p>
            <w:pPr>
              <w:pStyle w:val="Compact"/>
              <w:jc w:val="left"/>
            </w:pPr>
            <w:r>
              <w:t xml:space="preserve">BC</w:t>
            </w:r>
          </w:p>
        </w:tc>
        <w:tc>
          <w:tcPr/>
          <w:p>
            <w:pPr>
              <w:pStyle w:val="Compact"/>
              <w:jc w:val="right"/>
            </w:pPr>
            <w:r>
              <w:t xml:space="preserve">-0.0169</w:t>
            </w:r>
          </w:p>
        </w:tc>
        <w:tc>
          <w:tcPr/>
          <w:p>
            <w:pPr>
              <w:pStyle w:val="Compact"/>
              <w:jc w:val="right"/>
            </w:pPr>
            <w:r>
              <w:t xml:space="preserve">-0.00844</w:t>
            </w:r>
          </w:p>
        </w:tc>
        <w:tc>
          <w:tcPr/>
          <w:p>
            <w:pPr>
              <w:pStyle w:val="Compact"/>
              <w:jc w:val="right"/>
            </w:pPr>
            <w:r>
              <w:t xml:space="preserve">0.0982</w:t>
            </w:r>
          </w:p>
        </w:tc>
        <w:tc>
          <w:tcPr/>
          <w:p>
            <w:pPr>
              <w:pStyle w:val="Compact"/>
              <w:jc w:val="right"/>
            </w:pPr>
            <w:r>
              <w:t xml:space="preserve">-0.0859</w:t>
            </w:r>
          </w:p>
        </w:tc>
        <w:tc>
          <w:tcPr/>
          <w:p>
            <w:pPr>
              <w:pStyle w:val="Compact"/>
              <w:jc w:val="right"/>
            </w:pPr>
            <w:r>
              <w:t xml:space="preserve">0.934</w:t>
            </w:r>
          </w:p>
        </w:tc>
        <w:tc>
          <w:tcPr/>
          <w:p>
            <w:pPr>
              <w:pStyle w:val="Compact"/>
            </w:pPr>
          </w:p>
        </w:tc>
      </w:tr>
    </w:tbl>
    <w:p>
      <w:pPr>
        <w:pStyle w:val="BodyText"/>
      </w:pPr>
      <w:r>
        <w:rPr>
          <w:b/>
          <w:bCs/>
        </w:rPr>
        <w:t xml:space="preserve">MVM LRF (log₁₀)</w:t>
      </w:r>
    </w:p>
    <w:tbl>
      <w:tblPr>
        <w:tblStyle w:val="Table"/>
        <w:tblW w:type="pct" w:w="5000"/>
        <w:tblLayout w:type="fixed"/>
        <w:tblLook w:firstRow="1" w:lastRow="0" w:firstColumn="0" w:lastColumn="0" w:noHBand="0" w:noVBand="0" w:val="0020"/>
      </w:tblPr>
      <w:tblGrid>
        <w:gridCol w:w="931"/>
        <w:gridCol w:w="1164"/>
        <w:gridCol w:w="1164"/>
        <w:gridCol w:w="1514"/>
        <w:gridCol w:w="931"/>
        <w:gridCol w:w="1281"/>
        <w:gridCol w:w="931"/>
      </w:tblGrid>
      <w:tr>
        <w:trPr>
          <w:tblHeader w:val="on"/>
        </w:trPr>
        <w:tc>
          <w:tcPr/>
          <w:p>
            <w:pPr>
              <w:pStyle w:val="Compact"/>
              <w:jc w:val="left"/>
            </w:pPr>
            <w:r>
              <w:t xml:space="preserve">Term</w:t>
            </w:r>
          </w:p>
        </w:tc>
        <w:tc>
          <w:tcPr/>
          <w:p>
            <w:pPr>
              <w:pStyle w:val="Compact"/>
              <w:jc w:val="right"/>
            </w:pPr>
            <w:r>
              <w:t xml:space="preserve">Effect</w:t>
            </w:r>
          </w:p>
        </w:tc>
        <w:tc>
          <w:tcPr/>
          <w:p>
            <w:pPr>
              <w:pStyle w:val="Compact"/>
              <w:jc w:val="right"/>
            </w:pPr>
            <w:r>
              <w:t xml:space="preserve">Coef.</w:t>
            </w:r>
          </w:p>
        </w:tc>
        <w:tc>
          <w:tcPr/>
          <w:p>
            <w:pPr>
              <w:pStyle w:val="Compact"/>
              <w:jc w:val="right"/>
            </w:pPr>
            <w:r>
              <w:t xml:space="preserve">Std. err.</w:t>
            </w:r>
          </w:p>
        </w:tc>
        <w:tc>
          <w:tcPr/>
          <w:p>
            <w:pPr>
              <w:pStyle w:val="Compact"/>
              <w:jc w:val="right"/>
            </w:pPr>
            <w:r>
              <w:t xml:space="preserve">t</w:t>
            </w:r>
          </w:p>
        </w:tc>
        <w:tc>
          <w:tcPr/>
          <w:p>
            <w:pPr>
              <w:pStyle w:val="Compact"/>
              <w:jc w:val="right"/>
            </w:pPr>
            <w:r>
              <w:t xml:space="preserve">p-value</w:t>
            </w:r>
          </w:p>
        </w:tc>
        <w:tc>
          <w:tcPr/>
          <w:p>
            <w:pPr>
              <w:pStyle w:val="Compact"/>
              <w:jc w:val="left"/>
            </w:pPr>
            <w:r>
              <w:t xml:space="preserve">Sig.</w:t>
            </w:r>
          </w:p>
        </w:tc>
      </w:tr>
      <w:tr>
        <w:tc>
          <w:tcPr/>
          <w:p>
            <w:pPr>
              <w:pStyle w:val="Compact"/>
              <w:jc w:val="left"/>
            </w:pPr>
            <w:r>
              <w:t xml:space="preserve">A</w:t>
            </w:r>
          </w:p>
        </w:tc>
        <w:tc>
          <w:tcPr/>
          <w:p>
            <w:pPr>
              <w:pStyle w:val="Compact"/>
              <w:jc w:val="right"/>
            </w:pPr>
            <w:r>
              <w:t xml:space="preserve">1.22</w:t>
            </w:r>
          </w:p>
        </w:tc>
        <w:tc>
          <w:tcPr/>
          <w:p>
            <w:pPr>
              <w:pStyle w:val="Compact"/>
              <w:jc w:val="right"/>
            </w:pPr>
            <w:r>
              <w:t xml:space="preserve">0.61</w:t>
            </w:r>
          </w:p>
        </w:tc>
        <w:tc>
          <w:tcPr/>
          <w:p>
            <w:pPr>
              <w:pStyle w:val="Compact"/>
              <w:jc w:val="right"/>
            </w:pPr>
            <w:r>
              <w:t xml:space="preserve">0.0446</w:t>
            </w:r>
          </w:p>
        </w:tc>
        <w:tc>
          <w:tcPr/>
          <w:p>
            <w:pPr>
              <w:pStyle w:val="Compact"/>
              <w:jc w:val="right"/>
            </w:pPr>
            <w:r>
              <w:t xml:space="preserve">13.7</w:t>
            </w:r>
          </w:p>
        </w:tc>
        <w:tc>
          <w:tcPr/>
          <w:p>
            <w:pPr>
              <w:pStyle w:val="Compact"/>
              <w:jc w:val="right"/>
            </w:pPr>
            <w:r>
              <w:t xml:space="preserve">7.83e-07</w:t>
            </w:r>
          </w:p>
        </w:tc>
        <w:tc>
          <w:tcPr/>
          <w:p>
            <w:pPr>
              <w:pStyle w:val="Compact"/>
              <w:jc w:val="left"/>
            </w:pPr>
            <w:r>
              <w:t xml:space="preserve">***</w:t>
            </w:r>
          </w:p>
        </w:tc>
      </w:tr>
      <w:tr>
        <w:tc>
          <w:tcPr/>
          <w:p>
            <w:pPr>
              <w:pStyle w:val="Compact"/>
              <w:jc w:val="left"/>
            </w:pPr>
            <w:r>
              <w:t xml:space="preserve">C</w:t>
            </w:r>
          </w:p>
        </w:tc>
        <w:tc>
          <w:tcPr/>
          <w:p>
            <w:pPr>
              <w:pStyle w:val="Compact"/>
              <w:jc w:val="right"/>
            </w:pPr>
            <w:r>
              <w:t xml:space="preserve">-0.715</w:t>
            </w:r>
          </w:p>
        </w:tc>
        <w:tc>
          <w:tcPr/>
          <w:p>
            <w:pPr>
              <w:pStyle w:val="Compact"/>
              <w:jc w:val="right"/>
            </w:pPr>
            <w:r>
              <w:t xml:space="preserve">-0.357</w:t>
            </w:r>
          </w:p>
        </w:tc>
        <w:tc>
          <w:tcPr/>
          <w:p>
            <w:pPr>
              <w:pStyle w:val="Compact"/>
              <w:jc w:val="right"/>
            </w:pPr>
            <w:r>
              <w:t xml:space="preserve">0.0446</w:t>
            </w:r>
          </w:p>
        </w:tc>
        <w:tc>
          <w:tcPr/>
          <w:p>
            <w:pPr>
              <w:pStyle w:val="Compact"/>
              <w:jc w:val="right"/>
            </w:pPr>
            <w:r>
              <w:t xml:space="preserve">-8.01</w:t>
            </w:r>
          </w:p>
        </w:tc>
        <w:tc>
          <w:tcPr/>
          <w:p>
            <w:pPr>
              <w:pStyle w:val="Compact"/>
              <w:jc w:val="right"/>
            </w:pPr>
            <w:r>
              <w:t xml:space="preserve">4.32e-05</w:t>
            </w:r>
          </w:p>
        </w:tc>
        <w:tc>
          <w:tcPr/>
          <w:p>
            <w:pPr>
              <w:pStyle w:val="Compact"/>
              <w:jc w:val="left"/>
            </w:pPr>
            <w:r>
              <w:t xml:space="preserve">***</w:t>
            </w:r>
          </w:p>
        </w:tc>
      </w:tr>
      <w:tr>
        <w:tc>
          <w:tcPr/>
          <w:p>
            <w:pPr>
              <w:pStyle w:val="Compact"/>
              <w:jc w:val="left"/>
            </w:pPr>
            <w:r>
              <w:t xml:space="preserve">B</w:t>
            </w:r>
          </w:p>
        </w:tc>
        <w:tc>
          <w:tcPr/>
          <w:p>
            <w:pPr>
              <w:pStyle w:val="Compact"/>
              <w:jc w:val="right"/>
            </w:pPr>
            <w:r>
              <w:t xml:space="preserve">0.182</w:t>
            </w:r>
          </w:p>
        </w:tc>
        <w:tc>
          <w:tcPr/>
          <w:p>
            <w:pPr>
              <w:pStyle w:val="Compact"/>
              <w:jc w:val="right"/>
            </w:pPr>
            <w:r>
              <w:t xml:space="preserve">0.091</w:t>
            </w:r>
          </w:p>
        </w:tc>
        <w:tc>
          <w:tcPr/>
          <w:p>
            <w:pPr>
              <w:pStyle w:val="Compact"/>
              <w:jc w:val="right"/>
            </w:pPr>
            <w:r>
              <w:t xml:space="preserve">0.0446</w:t>
            </w:r>
          </w:p>
        </w:tc>
        <w:tc>
          <w:tcPr/>
          <w:p>
            <w:pPr>
              <w:pStyle w:val="Compact"/>
              <w:jc w:val="right"/>
            </w:pPr>
            <w:r>
              <w:t xml:space="preserve">2.04</w:t>
            </w:r>
          </w:p>
        </w:tc>
        <w:tc>
          <w:tcPr/>
          <w:p>
            <w:pPr>
              <w:pStyle w:val="Compact"/>
              <w:jc w:val="right"/>
            </w:pPr>
            <w:r>
              <w:t xml:space="preserve">0.0757</w:t>
            </w:r>
          </w:p>
        </w:tc>
        <w:tc>
          <w:tcPr/>
          <w:p>
            <w:pPr>
              <w:pStyle w:val="Compact"/>
            </w:pPr>
          </w:p>
        </w:tc>
      </w:tr>
      <w:tr>
        <w:tc>
          <w:tcPr/>
          <w:p>
            <w:pPr>
              <w:pStyle w:val="Compact"/>
              <w:jc w:val="left"/>
            </w:pPr>
            <w:r>
              <w:t xml:space="preserve">BD</w:t>
            </w:r>
          </w:p>
        </w:tc>
        <w:tc>
          <w:tcPr/>
          <w:p>
            <w:pPr>
              <w:pStyle w:val="Compact"/>
              <w:jc w:val="right"/>
            </w:pPr>
            <w:r>
              <w:t xml:space="preserve">0.107</w:t>
            </w:r>
          </w:p>
        </w:tc>
        <w:tc>
          <w:tcPr/>
          <w:p>
            <w:pPr>
              <w:pStyle w:val="Compact"/>
              <w:jc w:val="right"/>
            </w:pPr>
            <w:r>
              <w:t xml:space="preserve">0.0536</w:t>
            </w:r>
          </w:p>
        </w:tc>
        <w:tc>
          <w:tcPr/>
          <w:p>
            <w:pPr>
              <w:pStyle w:val="Compact"/>
              <w:jc w:val="right"/>
            </w:pPr>
            <w:r>
              <w:t xml:space="preserve">0.0446</w:t>
            </w:r>
          </w:p>
        </w:tc>
        <w:tc>
          <w:tcPr/>
          <w:p>
            <w:pPr>
              <w:pStyle w:val="Compact"/>
              <w:jc w:val="right"/>
            </w:pPr>
            <w:r>
              <w:t xml:space="preserve">1.2</w:t>
            </w:r>
          </w:p>
        </w:tc>
        <w:tc>
          <w:tcPr/>
          <w:p>
            <w:pPr>
              <w:pStyle w:val="Compact"/>
              <w:jc w:val="right"/>
            </w:pPr>
            <w:r>
              <w:t xml:space="preserve">0.263</w:t>
            </w:r>
          </w:p>
        </w:tc>
        <w:tc>
          <w:tcPr/>
          <w:p>
            <w:pPr>
              <w:pStyle w:val="Compact"/>
            </w:pPr>
          </w:p>
        </w:tc>
      </w:tr>
      <w:tr>
        <w:tc>
          <w:tcPr/>
          <w:p>
            <w:pPr>
              <w:pStyle w:val="Compact"/>
              <w:jc w:val="left"/>
            </w:pPr>
            <w:r>
              <w:t xml:space="preserve">AD</w:t>
            </w:r>
          </w:p>
        </w:tc>
        <w:tc>
          <w:tcPr/>
          <w:p>
            <w:pPr>
              <w:pStyle w:val="Compact"/>
              <w:jc w:val="right"/>
            </w:pPr>
            <w:r>
              <w:t xml:space="preserve">-0.0627</w:t>
            </w:r>
          </w:p>
        </w:tc>
        <w:tc>
          <w:tcPr/>
          <w:p>
            <w:pPr>
              <w:pStyle w:val="Compact"/>
              <w:jc w:val="right"/>
            </w:pPr>
            <w:r>
              <w:t xml:space="preserve">-0.0314</w:t>
            </w:r>
          </w:p>
        </w:tc>
        <w:tc>
          <w:tcPr/>
          <w:p>
            <w:pPr>
              <w:pStyle w:val="Compact"/>
              <w:jc w:val="right"/>
            </w:pPr>
            <w:r>
              <w:t xml:space="preserve">0.0446</w:t>
            </w:r>
          </w:p>
        </w:tc>
        <w:tc>
          <w:tcPr/>
          <w:p>
            <w:pPr>
              <w:pStyle w:val="Compact"/>
              <w:jc w:val="right"/>
            </w:pPr>
            <w:r>
              <w:t xml:space="preserve">-0.704</w:t>
            </w:r>
          </w:p>
        </w:tc>
        <w:tc>
          <w:tcPr/>
          <w:p>
            <w:pPr>
              <w:pStyle w:val="Compact"/>
              <w:jc w:val="right"/>
            </w:pPr>
            <w:r>
              <w:t xml:space="preserve">0.502</w:t>
            </w:r>
          </w:p>
        </w:tc>
        <w:tc>
          <w:tcPr/>
          <w:p>
            <w:pPr>
              <w:pStyle w:val="Compact"/>
            </w:pPr>
          </w:p>
        </w:tc>
      </w:tr>
      <w:tr>
        <w:tc>
          <w:tcPr/>
          <w:p>
            <w:pPr>
              <w:pStyle w:val="Compact"/>
              <w:jc w:val="left"/>
            </w:pPr>
            <w:r>
              <w:t xml:space="preserve">D</w:t>
            </w:r>
          </w:p>
        </w:tc>
        <w:tc>
          <w:tcPr/>
          <w:p>
            <w:pPr>
              <w:pStyle w:val="Compact"/>
              <w:jc w:val="right"/>
            </w:pPr>
            <w:r>
              <w:t xml:space="preserve">-0.0451</w:t>
            </w:r>
          </w:p>
        </w:tc>
        <w:tc>
          <w:tcPr/>
          <w:p>
            <w:pPr>
              <w:pStyle w:val="Compact"/>
              <w:jc w:val="right"/>
            </w:pPr>
            <w:r>
              <w:t xml:space="preserve">-0.0226</w:t>
            </w:r>
          </w:p>
        </w:tc>
        <w:tc>
          <w:tcPr/>
          <w:p>
            <w:pPr>
              <w:pStyle w:val="Compact"/>
              <w:jc w:val="right"/>
            </w:pPr>
            <w:r>
              <w:t xml:space="preserve">0.0446</w:t>
            </w:r>
          </w:p>
        </w:tc>
        <w:tc>
          <w:tcPr/>
          <w:p>
            <w:pPr>
              <w:pStyle w:val="Compact"/>
              <w:jc w:val="right"/>
            </w:pPr>
            <w:r>
              <w:t xml:space="preserve">-0.506</w:t>
            </w:r>
          </w:p>
        </w:tc>
        <w:tc>
          <w:tcPr/>
          <w:p>
            <w:pPr>
              <w:pStyle w:val="Compact"/>
              <w:jc w:val="right"/>
            </w:pPr>
            <w:r>
              <w:t xml:space="preserve">0.626</w:t>
            </w:r>
          </w:p>
        </w:tc>
        <w:tc>
          <w:tcPr/>
          <w:p>
            <w:pPr>
              <w:pStyle w:val="Compact"/>
            </w:pPr>
          </w:p>
        </w:tc>
      </w:tr>
      <w:tr>
        <w:tc>
          <w:tcPr/>
          <w:p>
            <w:pPr>
              <w:pStyle w:val="Compact"/>
              <w:jc w:val="left"/>
            </w:pPr>
            <w:r>
              <w:t xml:space="preserve">BC</w:t>
            </w:r>
          </w:p>
        </w:tc>
        <w:tc>
          <w:tcPr/>
          <w:p>
            <w:pPr>
              <w:pStyle w:val="Compact"/>
              <w:jc w:val="right"/>
            </w:pPr>
            <w:r>
              <w:t xml:space="preserve">-0.0442</w:t>
            </w:r>
          </w:p>
        </w:tc>
        <w:tc>
          <w:tcPr/>
          <w:p>
            <w:pPr>
              <w:pStyle w:val="Compact"/>
              <w:jc w:val="right"/>
            </w:pPr>
            <w:r>
              <w:t xml:space="preserve">-0.0221</w:t>
            </w:r>
          </w:p>
        </w:tc>
        <w:tc>
          <w:tcPr/>
          <w:p>
            <w:pPr>
              <w:pStyle w:val="Compact"/>
              <w:jc w:val="right"/>
            </w:pPr>
            <w:r>
              <w:t xml:space="preserve">0.0446</w:t>
            </w:r>
          </w:p>
        </w:tc>
        <w:tc>
          <w:tcPr/>
          <w:p>
            <w:pPr>
              <w:pStyle w:val="Compact"/>
              <w:jc w:val="right"/>
            </w:pPr>
            <w:r>
              <w:t xml:space="preserve">-0.496</w:t>
            </w:r>
          </w:p>
        </w:tc>
        <w:tc>
          <w:tcPr/>
          <w:p>
            <w:pPr>
              <w:pStyle w:val="Compact"/>
              <w:jc w:val="right"/>
            </w:pPr>
            <w:r>
              <w:t xml:space="preserve">0.634</w:t>
            </w:r>
          </w:p>
        </w:tc>
        <w:tc>
          <w:tcPr/>
          <w:p>
            <w:pPr>
              <w:pStyle w:val="Compact"/>
            </w:pPr>
          </w:p>
        </w:tc>
      </w:tr>
      <w:tr>
        <w:tc>
          <w:tcPr/>
          <w:p>
            <w:pPr>
              <w:pStyle w:val="Compact"/>
              <w:jc w:val="left"/>
            </w:pPr>
            <w:r>
              <w:t xml:space="preserve">CD</w:t>
            </w:r>
          </w:p>
        </w:tc>
        <w:tc>
          <w:tcPr/>
          <w:p>
            <w:pPr>
              <w:pStyle w:val="Compact"/>
              <w:jc w:val="right"/>
            </w:pPr>
            <w:r>
              <w:t xml:space="preserve">0.0334</w:t>
            </w:r>
          </w:p>
        </w:tc>
        <w:tc>
          <w:tcPr/>
          <w:p>
            <w:pPr>
              <w:pStyle w:val="Compact"/>
              <w:jc w:val="right"/>
            </w:pPr>
            <w:r>
              <w:t xml:space="preserve">0.0167</w:t>
            </w:r>
          </w:p>
        </w:tc>
        <w:tc>
          <w:tcPr/>
          <w:p>
            <w:pPr>
              <w:pStyle w:val="Compact"/>
              <w:jc w:val="right"/>
            </w:pPr>
            <w:r>
              <w:t xml:space="preserve">0.0446</w:t>
            </w:r>
          </w:p>
        </w:tc>
        <w:tc>
          <w:tcPr/>
          <w:p>
            <w:pPr>
              <w:pStyle w:val="Compact"/>
              <w:jc w:val="right"/>
            </w:pPr>
            <w:r>
              <w:t xml:space="preserve">0.375</w:t>
            </w:r>
          </w:p>
        </w:tc>
        <w:tc>
          <w:tcPr/>
          <w:p>
            <w:pPr>
              <w:pStyle w:val="Compact"/>
              <w:jc w:val="right"/>
            </w:pPr>
            <w:r>
              <w:t xml:space="preserve">0.718</w:t>
            </w:r>
          </w:p>
        </w:tc>
        <w:tc>
          <w:tcPr/>
          <w:p>
            <w:pPr>
              <w:pStyle w:val="Compact"/>
            </w:pPr>
          </w:p>
        </w:tc>
      </w:tr>
      <w:tr>
        <w:tc>
          <w:tcPr/>
          <w:p>
            <w:pPr>
              <w:pStyle w:val="Compact"/>
              <w:jc w:val="left"/>
            </w:pPr>
            <w:r>
              <w:t xml:space="preserve">AC</w:t>
            </w:r>
          </w:p>
        </w:tc>
        <w:tc>
          <w:tcPr/>
          <w:p>
            <w:pPr>
              <w:pStyle w:val="Compact"/>
              <w:jc w:val="right"/>
            </w:pPr>
            <w:r>
              <w:t xml:space="preserve">0.0135</w:t>
            </w:r>
          </w:p>
        </w:tc>
        <w:tc>
          <w:tcPr/>
          <w:p>
            <w:pPr>
              <w:pStyle w:val="Compact"/>
              <w:jc w:val="right"/>
            </w:pPr>
            <w:r>
              <w:t xml:space="preserve">0.00677</w:t>
            </w:r>
          </w:p>
        </w:tc>
        <w:tc>
          <w:tcPr/>
          <w:p>
            <w:pPr>
              <w:pStyle w:val="Compact"/>
              <w:jc w:val="right"/>
            </w:pPr>
            <w:r>
              <w:t xml:space="preserve">0.0446</w:t>
            </w:r>
          </w:p>
        </w:tc>
        <w:tc>
          <w:tcPr/>
          <w:p>
            <w:pPr>
              <w:pStyle w:val="Compact"/>
              <w:jc w:val="right"/>
            </w:pPr>
            <w:r>
              <w:t xml:space="preserve">0.152</w:t>
            </w:r>
          </w:p>
        </w:tc>
        <w:tc>
          <w:tcPr/>
          <w:p>
            <w:pPr>
              <w:pStyle w:val="Compact"/>
              <w:jc w:val="right"/>
            </w:pPr>
            <w:r>
              <w:t xml:space="preserve">0.883</w:t>
            </w:r>
          </w:p>
        </w:tc>
        <w:tc>
          <w:tcPr/>
          <w:p>
            <w:pPr>
              <w:pStyle w:val="Compact"/>
            </w:pPr>
          </w:p>
        </w:tc>
      </w:tr>
      <w:tr>
        <w:tc>
          <w:tcPr/>
          <w:p>
            <w:pPr>
              <w:pStyle w:val="Compact"/>
              <w:jc w:val="left"/>
            </w:pPr>
            <w:r>
              <w:t xml:space="preserve">AB</w:t>
            </w:r>
          </w:p>
        </w:tc>
        <w:tc>
          <w:tcPr/>
          <w:p>
            <w:pPr>
              <w:pStyle w:val="Compact"/>
              <w:jc w:val="right"/>
            </w:pPr>
            <w:r>
              <w:t xml:space="preserve">-0.0132</w:t>
            </w:r>
          </w:p>
        </w:tc>
        <w:tc>
          <w:tcPr/>
          <w:p>
            <w:pPr>
              <w:pStyle w:val="Compact"/>
              <w:jc w:val="right"/>
            </w:pPr>
            <w:r>
              <w:t xml:space="preserve">-0.00659</w:t>
            </w:r>
          </w:p>
        </w:tc>
        <w:tc>
          <w:tcPr/>
          <w:p>
            <w:pPr>
              <w:pStyle w:val="Compact"/>
              <w:jc w:val="right"/>
            </w:pPr>
            <w:r>
              <w:t xml:space="preserve">0.0446</w:t>
            </w:r>
          </w:p>
        </w:tc>
        <w:tc>
          <w:tcPr/>
          <w:p>
            <w:pPr>
              <w:pStyle w:val="Compact"/>
              <w:jc w:val="right"/>
            </w:pPr>
            <w:r>
              <w:t xml:space="preserve">-0.148</w:t>
            </w:r>
          </w:p>
        </w:tc>
        <w:tc>
          <w:tcPr/>
          <w:p>
            <w:pPr>
              <w:pStyle w:val="Compact"/>
              <w:jc w:val="right"/>
            </w:pPr>
            <w:r>
              <w:t xml:space="preserve">0.886</w:t>
            </w:r>
          </w:p>
        </w:tc>
        <w:tc>
          <w:tcPr/>
          <w:p>
            <w:pPr>
              <w:pStyle w:val="Compact"/>
            </w:pPr>
          </w:p>
        </w:tc>
      </w:tr>
    </w:tbl>
    <w:p>
      <w:pPr>
        <w:pStyle w:val="BodyText"/>
      </w:pPr>
      <w:r>
        <w:rPr>
          <w:b/>
          <w:bCs/>
        </w:rPr>
        <w:t xml:space="preserve">Step yield</w:t>
      </w:r>
    </w:p>
    <w:tbl>
      <w:tblPr>
        <w:tblStyle w:val="Table"/>
        <w:tblW w:type="pct" w:w="5000"/>
        <w:tblLayout w:type="fixed"/>
        <w:tblLook w:firstRow="0" w:lastRow="0" w:firstColumn="0" w:lastColumn="0" w:noHBand="0" w:noVBand="0" w:val="0000"/>
      </w:tblPr>
      <w:tblGrid>
        <w:gridCol w:w="7920"/>
      </w:tblGrid>
      <w:tr>
        <w:tc>
          <w:tcPr/>
          <w:bookmarkStart w:id="103" w:name="tbl-appc1"/>
          <w:p>
            <w:pPr>
              <w:jc w:val="center"/>
            </w:pPr>
            <w:pPr>
              <w:jc w:val="left"/>
              <w:spacing w:before="200"/>
              <w:pStyle w:val="ImageCaption"/>
            </w:pPr>
            <w:r>
              <w:t xml:space="preserve">Table 26: Complete screening effect estimates for every measured response.</w:t>
            </w:r>
          </w:p>
          <w:tbl>
            <w:tblPr>
              <w:tblStyle w:val="Table"/>
              <w:tblW w:type="pct" w:w="5000"/>
              <w:tblLayout w:type="fixed"/>
              <w:tblLook w:firstRow="1" w:lastRow="0" w:firstColumn="0" w:lastColumn="0" w:noHBand="0" w:noVBand="0" w:val="0020"/>
            </w:tblPr>
            <w:tblGrid>
              <w:gridCol w:w="905"/>
              <w:gridCol w:w="1244"/>
              <w:gridCol w:w="1244"/>
              <w:gridCol w:w="1470"/>
              <w:gridCol w:w="905"/>
              <w:gridCol w:w="1244"/>
              <w:gridCol w:w="90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C</w:t>
                  </w:r>
                </w:p>
              </w:tc>
              <w:tc>
                <w:tcPr/>
                <w:p>
                  <w:pPr>
                    <w:pStyle w:val="Compact"/>
                    <w:jc w:val="right"/>
                    <w:jc w:val="center"/>
                  </w:pPr>
                  <w:r>
                    <w:t xml:space="preserve">-0.0116</w:t>
                  </w:r>
                </w:p>
              </w:tc>
              <w:tc>
                <w:tcPr/>
                <w:p>
                  <w:pPr>
                    <w:pStyle w:val="Compact"/>
                    <w:jc w:val="right"/>
                    <w:jc w:val="center"/>
                  </w:pPr>
                  <w:r>
                    <w:t xml:space="preserve">-0.00582</w:t>
                  </w:r>
                </w:p>
              </w:tc>
              <w:tc>
                <w:tcPr/>
                <w:p>
                  <w:pPr>
                    <w:pStyle w:val="Compact"/>
                    <w:jc w:val="right"/>
                    <w:jc w:val="center"/>
                  </w:pPr>
                  <w:r>
                    <w:t xml:space="preserve">0.00315</w:t>
                  </w:r>
                </w:p>
              </w:tc>
              <w:tc>
                <w:tcPr/>
                <w:p>
                  <w:pPr>
                    <w:pStyle w:val="Compact"/>
                    <w:jc w:val="right"/>
                    <w:jc w:val="center"/>
                  </w:pPr>
                  <w:r>
                    <w:t xml:space="preserve">-1.85</w:t>
                  </w:r>
                </w:p>
              </w:tc>
              <w:tc>
                <w:tcPr/>
                <w:p>
                  <w:pPr>
                    <w:pStyle w:val="Compact"/>
                    <w:jc w:val="right"/>
                    <w:jc w:val="center"/>
                  </w:pPr>
                  <w:r>
                    <w:t xml:space="preserve">0.102</w:t>
                  </w:r>
                </w:p>
              </w:tc>
              <w:tc>
                <w:tcPr/>
                <w:p>
                  <w:pPr>
                    <w:pStyle w:val="Compact"/>
                  </w:pPr>
                </w:p>
              </w:tc>
            </w:tr>
            <w:tr>
              <w:tc>
                <w:tcPr/>
                <w:p>
                  <w:pPr>
                    <w:pStyle w:val="Compact"/>
                    <w:jc w:val="left"/>
                    <w:jc w:val="center"/>
                  </w:pPr>
                  <w:r>
                    <w:t xml:space="preserve">B</w:t>
                  </w:r>
                </w:p>
              </w:tc>
              <w:tc>
                <w:tcPr/>
                <w:p>
                  <w:pPr>
                    <w:pStyle w:val="Compact"/>
                    <w:jc w:val="right"/>
                    <w:jc w:val="center"/>
                  </w:pPr>
                  <w:r>
                    <w:t xml:space="preserve">0.00743</w:t>
                  </w:r>
                </w:p>
              </w:tc>
              <w:tc>
                <w:tcPr/>
                <w:p>
                  <w:pPr>
                    <w:pStyle w:val="Compact"/>
                    <w:jc w:val="right"/>
                    <w:jc w:val="center"/>
                  </w:pPr>
                  <w:r>
                    <w:t xml:space="preserve">0.00371</w:t>
                  </w:r>
                </w:p>
              </w:tc>
              <w:tc>
                <w:tcPr/>
                <w:p>
                  <w:pPr>
                    <w:pStyle w:val="Compact"/>
                    <w:jc w:val="right"/>
                    <w:jc w:val="center"/>
                  </w:pPr>
                  <w:r>
                    <w:t xml:space="preserve">0.00315</w:t>
                  </w:r>
                </w:p>
              </w:tc>
              <w:tc>
                <w:tcPr/>
                <w:p>
                  <w:pPr>
                    <w:pStyle w:val="Compact"/>
                    <w:jc w:val="right"/>
                    <w:jc w:val="center"/>
                  </w:pPr>
                  <w:r>
                    <w:t xml:space="preserve">1.18</w:t>
                  </w:r>
                </w:p>
              </w:tc>
              <w:tc>
                <w:tcPr/>
                <w:p>
                  <w:pPr>
                    <w:pStyle w:val="Compact"/>
                    <w:jc w:val="right"/>
                    <w:jc w:val="center"/>
                  </w:pPr>
                  <w:r>
                    <w:t xml:space="preserve">0.272</w:t>
                  </w:r>
                </w:p>
              </w:tc>
              <w:tc>
                <w:tcPr/>
                <w:p>
                  <w:pPr>
                    <w:pStyle w:val="Compact"/>
                  </w:pPr>
                </w:p>
              </w:tc>
            </w:tr>
            <w:tr>
              <w:tc>
                <w:tcPr/>
                <w:p>
                  <w:pPr>
                    <w:pStyle w:val="Compact"/>
                    <w:jc w:val="left"/>
                    <w:jc w:val="center"/>
                  </w:pPr>
                  <w:r>
                    <w:t xml:space="preserve">AD</w:t>
                  </w:r>
                </w:p>
              </w:tc>
              <w:tc>
                <w:tcPr/>
                <w:p>
                  <w:pPr>
                    <w:pStyle w:val="Compact"/>
                    <w:jc w:val="right"/>
                    <w:jc w:val="center"/>
                  </w:pPr>
                  <w:r>
                    <w:t xml:space="preserve">-0.00715</w:t>
                  </w:r>
                </w:p>
              </w:tc>
              <w:tc>
                <w:tcPr/>
                <w:p>
                  <w:pPr>
                    <w:pStyle w:val="Compact"/>
                    <w:jc w:val="right"/>
                    <w:jc w:val="center"/>
                  </w:pPr>
                  <w:r>
                    <w:t xml:space="preserve">-0.00357</w:t>
                  </w:r>
                </w:p>
              </w:tc>
              <w:tc>
                <w:tcPr/>
                <w:p>
                  <w:pPr>
                    <w:pStyle w:val="Compact"/>
                    <w:jc w:val="right"/>
                    <w:jc w:val="center"/>
                  </w:pPr>
                  <w:r>
                    <w:t xml:space="preserve">0.00315</w:t>
                  </w:r>
                </w:p>
              </w:tc>
              <w:tc>
                <w:tcPr/>
                <w:p>
                  <w:pPr>
                    <w:pStyle w:val="Compact"/>
                    <w:jc w:val="right"/>
                    <w:jc w:val="center"/>
                  </w:pPr>
                  <w:r>
                    <w:t xml:space="preserve">-1.13</w:t>
                  </w:r>
                </w:p>
              </w:tc>
              <w:tc>
                <w:tcPr/>
                <w:p>
                  <w:pPr>
                    <w:pStyle w:val="Compact"/>
                    <w:jc w:val="right"/>
                    <w:jc w:val="center"/>
                  </w:pPr>
                  <w:r>
                    <w:t xml:space="preserve">0.29</w:t>
                  </w:r>
                </w:p>
              </w:tc>
              <w:tc>
                <w:tcPr/>
                <w:p>
                  <w:pPr>
                    <w:pStyle w:val="Compact"/>
                  </w:pPr>
                </w:p>
              </w:tc>
            </w:tr>
            <w:tr>
              <w:tc>
                <w:tcPr/>
                <w:p>
                  <w:pPr>
                    <w:pStyle w:val="Compact"/>
                    <w:jc w:val="left"/>
                    <w:jc w:val="center"/>
                  </w:pPr>
                  <w:r>
                    <w:t xml:space="preserve">AC</w:t>
                  </w:r>
                </w:p>
              </w:tc>
              <w:tc>
                <w:tcPr/>
                <w:p>
                  <w:pPr>
                    <w:pStyle w:val="Compact"/>
                    <w:jc w:val="right"/>
                    <w:jc w:val="center"/>
                  </w:pPr>
                  <w:r>
                    <w:t xml:space="preserve">0.00513</w:t>
                  </w:r>
                </w:p>
              </w:tc>
              <w:tc>
                <w:tcPr/>
                <w:p>
                  <w:pPr>
                    <w:pStyle w:val="Compact"/>
                    <w:jc w:val="right"/>
                    <w:jc w:val="center"/>
                  </w:pPr>
                  <w:r>
                    <w:t xml:space="preserve">0.00257</w:t>
                  </w:r>
                </w:p>
              </w:tc>
              <w:tc>
                <w:tcPr/>
                <w:p>
                  <w:pPr>
                    <w:pStyle w:val="Compact"/>
                    <w:jc w:val="right"/>
                    <w:jc w:val="center"/>
                  </w:pPr>
                  <w:r>
                    <w:t xml:space="preserve">0.00315</w:t>
                  </w:r>
                </w:p>
              </w:tc>
              <w:tc>
                <w:tcPr/>
                <w:p>
                  <w:pPr>
                    <w:pStyle w:val="Compact"/>
                    <w:jc w:val="right"/>
                    <w:jc w:val="center"/>
                  </w:pPr>
                  <w:r>
                    <w:t xml:space="preserve">0.815</w:t>
                  </w:r>
                </w:p>
              </w:tc>
              <w:tc>
                <w:tcPr/>
                <w:p>
                  <w:pPr>
                    <w:pStyle w:val="Compact"/>
                    <w:jc w:val="right"/>
                    <w:jc w:val="center"/>
                  </w:pPr>
                  <w:r>
                    <w:t xml:space="preserve">0.439</w:t>
                  </w:r>
                </w:p>
              </w:tc>
              <w:tc>
                <w:tcPr/>
                <w:p>
                  <w:pPr>
                    <w:pStyle w:val="Compact"/>
                  </w:pPr>
                </w:p>
              </w:tc>
            </w:tr>
            <w:tr>
              <w:tc>
                <w:tcPr/>
                <w:p>
                  <w:pPr>
                    <w:pStyle w:val="Compact"/>
                    <w:jc w:val="left"/>
                    <w:jc w:val="center"/>
                  </w:pPr>
                  <w:r>
                    <w:t xml:space="preserve">BC</w:t>
                  </w:r>
                </w:p>
              </w:tc>
              <w:tc>
                <w:tcPr/>
                <w:p>
                  <w:pPr>
                    <w:pStyle w:val="Compact"/>
                    <w:jc w:val="right"/>
                    <w:jc w:val="center"/>
                  </w:pPr>
                  <w:r>
                    <w:t xml:space="preserve">-0.00392</w:t>
                  </w:r>
                </w:p>
              </w:tc>
              <w:tc>
                <w:tcPr/>
                <w:p>
                  <w:pPr>
                    <w:pStyle w:val="Compact"/>
                    <w:jc w:val="right"/>
                    <w:jc w:val="center"/>
                  </w:pPr>
                  <w:r>
                    <w:t xml:space="preserve">-0.00196</w:t>
                  </w:r>
                </w:p>
              </w:tc>
              <w:tc>
                <w:tcPr/>
                <w:p>
                  <w:pPr>
                    <w:pStyle w:val="Compact"/>
                    <w:jc w:val="right"/>
                    <w:jc w:val="center"/>
                  </w:pPr>
                  <w:r>
                    <w:t xml:space="preserve">0.00315</w:t>
                  </w:r>
                </w:p>
              </w:tc>
              <w:tc>
                <w:tcPr/>
                <w:p>
                  <w:pPr>
                    <w:pStyle w:val="Compact"/>
                    <w:jc w:val="right"/>
                    <w:jc w:val="center"/>
                  </w:pPr>
                  <w:r>
                    <w:t xml:space="preserve">-0.622</w:t>
                  </w:r>
                </w:p>
              </w:tc>
              <w:tc>
                <w:tcPr/>
                <w:p>
                  <w:pPr>
                    <w:pStyle w:val="Compact"/>
                    <w:jc w:val="right"/>
                    <w:jc w:val="center"/>
                  </w:pPr>
                  <w:r>
                    <w:t xml:space="preserve">0.551</w:t>
                  </w:r>
                </w:p>
              </w:tc>
              <w:tc>
                <w:tcPr/>
                <w:p>
                  <w:pPr>
                    <w:pStyle w:val="Compact"/>
                  </w:pPr>
                </w:p>
              </w:tc>
            </w:tr>
            <w:tr>
              <w:tc>
                <w:tcPr/>
                <w:p>
                  <w:pPr>
                    <w:pStyle w:val="Compact"/>
                    <w:jc w:val="left"/>
                    <w:jc w:val="center"/>
                  </w:pPr>
                  <w:r>
                    <w:t xml:space="preserve">BD</w:t>
                  </w:r>
                </w:p>
              </w:tc>
              <w:tc>
                <w:tcPr/>
                <w:p>
                  <w:pPr>
                    <w:pStyle w:val="Compact"/>
                    <w:jc w:val="right"/>
                    <w:jc w:val="center"/>
                  </w:pPr>
                  <w:r>
                    <w:t xml:space="preserve">0.00383</w:t>
                  </w:r>
                </w:p>
              </w:tc>
              <w:tc>
                <w:tcPr/>
                <w:p>
                  <w:pPr>
                    <w:pStyle w:val="Compact"/>
                    <w:jc w:val="right"/>
                    <w:jc w:val="center"/>
                  </w:pPr>
                  <w:r>
                    <w:t xml:space="preserve">0.00192</w:t>
                  </w:r>
                </w:p>
              </w:tc>
              <w:tc>
                <w:tcPr/>
                <w:p>
                  <w:pPr>
                    <w:pStyle w:val="Compact"/>
                    <w:jc w:val="right"/>
                    <w:jc w:val="center"/>
                  </w:pPr>
                  <w:r>
                    <w:t xml:space="preserve">0.00315</w:t>
                  </w:r>
                </w:p>
              </w:tc>
              <w:tc>
                <w:tcPr/>
                <w:p>
                  <w:pPr>
                    <w:pStyle w:val="Compact"/>
                    <w:jc w:val="right"/>
                    <w:jc w:val="center"/>
                  </w:pPr>
                  <w:r>
                    <w:t xml:space="preserve">0.608</w:t>
                  </w:r>
                </w:p>
              </w:tc>
              <w:tc>
                <w:tcPr/>
                <w:p>
                  <w:pPr>
                    <w:pStyle w:val="Compact"/>
                    <w:jc w:val="right"/>
                    <w:jc w:val="center"/>
                  </w:pPr>
                  <w:r>
                    <w:t xml:space="preserve">0.56</w:t>
                  </w:r>
                </w:p>
              </w:tc>
              <w:tc>
                <w:tcPr/>
                <w:p>
                  <w:pPr>
                    <w:pStyle w:val="Compact"/>
                  </w:pPr>
                </w:p>
              </w:tc>
            </w:tr>
            <w:tr>
              <w:tc>
                <w:tcPr/>
                <w:p>
                  <w:pPr>
                    <w:pStyle w:val="Compact"/>
                    <w:jc w:val="left"/>
                    <w:jc w:val="center"/>
                  </w:pPr>
                  <w:r>
                    <w:t xml:space="preserve">CD</w:t>
                  </w:r>
                </w:p>
              </w:tc>
              <w:tc>
                <w:tcPr/>
                <w:p>
                  <w:pPr>
                    <w:pStyle w:val="Compact"/>
                    <w:jc w:val="right"/>
                    <w:jc w:val="center"/>
                  </w:pPr>
                  <w:r>
                    <w:t xml:space="preserve">0.00346</w:t>
                  </w:r>
                </w:p>
              </w:tc>
              <w:tc>
                <w:tcPr/>
                <w:p>
                  <w:pPr>
                    <w:pStyle w:val="Compact"/>
                    <w:jc w:val="right"/>
                    <w:jc w:val="center"/>
                  </w:pPr>
                  <w:r>
                    <w:t xml:space="preserve">0.00173</w:t>
                  </w:r>
                </w:p>
              </w:tc>
              <w:tc>
                <w:tcPr/>
                <w:p>
                  <w:pPr>
                    <w:pStyle w:val="Compact"/>
                    <w:jc w:val="right"/>
                    <w:jc w:val="center"/>
                  </w:pPr>
                  <w:r>
                    <w:t xml:space="preserve">0.00315</w:t>
                  </w:r>
                </w:p>
              </w:tc>
              <w:tc>
                <w:tcPr/>
                <w:p>
                  <w:pPr>
                    <w:pStyle w:val="Compact"/>
                    <w:jc w:val="right"/>
                    <w:jc w:val="center"/>
                  </w:pPr>
                  <w:r>
                    <w:t xml:space="preserve">0.549</w:t>
                  </w:r>
                </w:p>
              </w:tc>
              <w:tc>
                <w:tcPr/>
                <w:p>
                  <w:pPr>
                    <w:pStyle w:val="Compact"/>
                    <w:jc w:val="right"/>
                    <w:jc w:val="center"/>
                  </w:pPr>
                  <w:r>
                    <w:t xml:space="preserve">0.598</w:t>
                  </w:r>
                </w:p>
              </w:tc>
              <w:tc>
                <w:tcPr/>
                <w:p>
                  <w:pPr>
                    <w:pStyle w:val="Compact"/>
                  </w:pPr>
                </w:p>
              </w:tc>
            </w:tr>
            <w:tr>
              <w:tc>
                <w:tcPr/>
                <w:p>
                  <w:pPr>
                    <w:pStyle w:val="Compact"/>
                    <w:jc w:val="left"/>
                    <w:jc w:val="center"/>
                  </w:pPr>
                  <w:r>
                    <w:t xml:space="preserve">AB</w:t>
                  </w:r>
                </w:p>
              </w:tc>
              <w:tc>
                <w:tcPr/>
                <w:p>
                  <w:pPr>
                    <w:pStyle w:val="Compact"/>
                    <w:jc w:val="right"/>
                    <w:jc w:val="center"/>
                  </w:pPr>
                  <w:r>
                    <w:t xml:space="preserve">0.00141</w:t>
                  </w:r>
                </w:p>
              </w:tc>
              <w:tc>
                <w:tcPr/>
                <w:p>
                  <w:pPr>
                    <w:pStyle w:val="Compact"/>
                    <w:jc w:val="right"/>
                    <w:jc w:val="center"/>
                  </w:pPr>
                  <w:r>
                    <w:t xml:space="preserve">0.000707</w:t>
                  </w:r>
                </w:p>
              </w:tc>
              <w:tc>
                <w:tcPr/>
                <w:p>
                  <w:pPr>
                    <w:pStyle w:val="Compact"/>
                    <w:jc w:val="right"/>
                    <w:jc w:val="center"/>
                  </w:pPr>
                  <w:r>
                    <w:t xml:space="preserve">0.00315</w:t>
                  </w:r>
                </w:p>
              </w:tc>
              <w:tc>
                <w:tcPr/>
                <w:p>
                  <w:pPr>
                    <w:pStyle w:val="Compact"/>
                    <w:jc w:val="right"/>
                    <w:jc w:val="center"/>
                  </w:pPr>
                  <w:r>
                    <w:t xml:space="preserve">0.224</w:t>
                  </w:r>
                </w:p>
              </w:tc>
              <w:tc>
                <w:tcPr/>
                <w:p>
                  <w:pPr>
                    <w:pStyle w:val="Compact"/>
                    <w:jc w:val="right"/>
                    <w:jc w:val="center"/>
                  </w:pPr>
                  <w:r>
                    <w:t xml:space="preserve">0.828</w:t>
                  </w:r>
                </w:p>
              </w:tc>
              <w:tc>
                <w:tcPr/>
                <w:p>
                  <w:pPr>
                    <w:pStyle w:val="Compact"/>
                  </w:pPr>
                </w:p>
              </w:tc>
            </w:tr>
            <w:tr>
              <w:tc>
                <w:tcPr/>
                <w:p>
                  <w:pPr>
                    <w:pStyle w:val="Compact"/>
                    <w:jc w:val="left"/>
                    <w:jc w:val="center"/>
                  </w:pPr>
                  <w:r>
                    <w:t xml:space="preserve">D</w:t>
                  </w:r>
                </w:p>
              </w:tc>
              <w:tc>
                <w:tcPr/>
                <w:p>
                  <w:pPr>
                    <w:pStyle w:val="Compact"/>
                    <w:jc w:val="right"/>
                    <w:jc w:val="center"/>
                  </w:pPr>
                  <w:r>
                    <w:t xml:space="preserve">-0.00136</w:t>
                  </w:r>
                </w:p>
              </w:tc>
              <w:tc>
                <w:tcPr/>
                <w:p>
                  <w:pPr>
                    <w:pStyle w:val="Compact"/>
                    <w:jc w:val="right"/>
                    <w:jc w:val="center"/>
                  </w:pPr>
                  <w:r>
                    <w:t xml:space="preserve">-0.000679</w:t>
                  </w:r>
                </w:p>
              </w:tc>
              <w:tc>
                <w:tcPr/>
                <w:p>
                  <w:pPr>
                    <w:pStyle w:val="Compact"/>
                    <w:jc w:val="right"/>
                    <w:jc w:val="center"/>
                  </w:pPr>
                  <w:r>
                    <w:t xml:space="preserve">0.00315</w:t>
                  </w:r>
                </w:p>
              </w:tc>
              <w:tc>
                <w:tcPr/>
                <w:p>
                  <w:pPr>
                    <w:pStyle w:val="Compact"/>
                    <w:jc w:val="right"/>
                    <w:jc w:val="center"/>
                  </w:pPr>
                  <w:r>
                    <w:t xml:space="preserve">-0.215</w:t>
                  </w:r>
                </w:p>
              </w:tc>
              <w:tc>
                <w:tcPr/>
                <w:p>
                  <w:pPr>
                    <w:pStyle w:val="Compact"/>
                    <w:jc w:val="right"/>
                    <w:jc w:val="center"/>
                  </w:pPr>
                  <w:r>
                    <w:t xml:space="preserve">0.835</w:t>
                  </w:r>
                </w:p>
              </w:tc>
              <w:tc>
                <w:tcPr/>
                <w:p>
                  <w:pPr>
                    <w:pStyle w:val="Compact"/>
                  </w:pPr>
                </w:p>
              </w:tc>
            </w:tr>
            <w:tr>
              <w:tc>
                <w:tcPr/>
                <w:p>
                  <w:pPr>
                    <w:pStyle w:val="Compact"/>
                    <w:jc w:val="left"/>
                    <w:jc w:val="center"/>
                  </w:pPr>
                  <w:r>
                    <w:t xml:space="preserve">A</w:t>
                  </w:r>
                </w:p>
              </w:tc>
              <w:tc>
                <w:tcPr/>
                <w:p>
                  <w:pPr>
                    <w:pStyle w:val="Compact"/>
                    <w:jc w:val="right"/>
                    <w:jc w:val="center"/>
                  </w:pPr>
                  <w:r>
                    <w:t xml:space="preserve">-0.000663</w:t>
                  </w:r>
                </w:p>
              </w:tc>
              <w:tc>
                <w:tcPr/>
                <w:p>
                  <w:pPr>
                    <w:pStyle w:val="Compact"/>
                    <w:jc w:val="right"/>
                    <w:jc w:val="center"/>
                  </w:pPr>
                  <w:r>
                    <w:t xml:space="preserve">-0.000332</w:t>
                  </w:r>
                </w:p>
              </w:tc>
              <w:tc>
                <w:tcPr/>
                <w:p>
                  <w:pPr>
                    <w:pStyle w:val="Compact"/>
                    <w:jc w:val="right"/>
                    <w:jc w:val="center"/>
                  </w:pPr>
                  <w:r>
                    <w:t xml:space="preserve">0.00315</w:t>
                  </w:r>
                </w:p>
              </w:tc>
              <w:tc>
                <w:tcPr/>
                <w:p>
                  <w:pPr>
                    <w:pStyle w:val="Compact"/>
                    <w:jc w:val="right"/>
                    <w:jc w:val="center"/>
                  </w:pPr>
                  <w:r>
                    <w:t xml:space="preserve">-0.105</w:t>
                  </w:r>
                </w:p>
              </w:tc>
              <w:tc>
                <w:tcPr/>
                <w:p>
                  <w:pPr>
                    <w:pStyle w:val="Compact"/>
                    <w:jc w:val="right"/>
                    <w:jc w:val="center"/>
                  </w:pPr>
                  <w:r>
                    <w:t xml:space="preserve">0.919</w:t>
                  </w:r>
                </w:p>
              </w:tc>
              <w:tc>
                <w:tcPr/>
                <w:p>
                  <w:pPr>
                    <w:pStyle w:val="Compact"/>
                  </w:pPr>
                </w:p>
              </w:tc>
            </w:tr>
          </w:tbl>
          <w:bookmarkEnd w:id="103"/>
          <w:p/>
        </w:tc>
      </w:tr>
    </w:tbl>
    <w:p>
      <w:pPr>
        <w:pStyle w:val="BodyText"/>
      </w:pPr>
      <w:r>
        <w:rPr>
          <w:b/>
          <w:bCs/>
        </w:rPr>
        <w:t xml:space="preserve">XMuLV LRF (log₁₀)</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Term</w:t>
            </w:r>
          </w:p>
        </w:tc>
        <w:tc>
          <w:tcPr/>
          <w:p>
            <w:pPr>
              <w:pStyle w:val="Compact"/>
              <w:jc w:val="right"/>
            </w:pPr>
            <w:r>
              <w:t xml:space="preserve">Coef.</w:t>
            </w:r>
          </w:p>
        </w:tc>
        <w:tc>
          <w:tcPr/>
          <w:p>
            <w:pPr>
              <w:pStyle w:val="Compact"/>
              <w:jc w:val="right"/>
            </w:pPr>
            <w:r>
              <w:t xml:space="preserve">Std. err.</w:t>
            </w:r>
          </w:p>
        </w:tc>
        <w:tc>
          <w:tcPr/>
          <w:p>
            <w:pPr>
              <w:pStyle w:val="Compact"/>
              <w:jc w:val="right"/>
            </w:pPr>
            <w:r>
              <w:t xml:space="preserve">t</w:t>
            </w:r>
          </w:p>
        </w:tc>
        <w:tc>
          <w:tcPr/>
          <w:p>
            <w:pPr>
              <w:pStyle w:val="Compact"/>
              <w:jc w:val="right"/>
            </w:pPr>
            <w:r>
              <w:t xml:space="preserve">p-value</w:t>
            </w:r>
          </w:p>
        </w:tc>
        <w:tc>
          <w:tcPr/>
          <w:p>
            <w:pPr>
              <w:pStyle w:val="Compact"/>
              <w:jc w:val="left"/>
            </w:pPr>
            <w:r>
              <w:t xml:space="preserve">Sig.</w:t>
            </w:r>
          </w:p>
        </w:tc>
      </w:tr>
      <w:tr>
        <w:tc>
          <w:tcPr/>
          <w:p>
            <w:pPr>
              <w:pStyle w:val="Compact"/>
              <w:jc w:val="left"/>
            </w:pPr>
            <w:r>
              <w:t xml:space="preserve">Intercept</w:t>
            </w:r>
          </w:p>
        </w:tc>
        <w:tc>
          <w:tcPr/>
          <w:p>
            <w:pPr>
              <w:pStyle w:val="Compact"/>
              <w:jc w:val="right"/>
            </w:pPr>
            <w:r>
              <w:t xml:space="preserve">6.57</w:t>
            </w:r>
          </w:p>
        </w:tc>
        <w:tc>
          <w:tcPr/>
          <w:p>
            <w:pPr>
              <w:pStyle w:val="Compact"/>
              <w:jc w:val="right"/>
            </w:pPr>
            <w:r>
              <w:t xml:space="preserve">0.109</w:t>
            </w:r>
          </w:p>
        </w:tc>
        <w:tc>
          <w:tcPr/>
          <w:p>
            <w:pPr>
              <w:pStyle w:val="Compact"/>
              <w:jc w:val="right"/>
            </w:pPr>
            <w:r>
              <w:t xml:space="preserve">60.6</w:t>
            </w:r>
          </w:p>
        </w:tc>
        <w:tc>
          <w:tcPr/>
          <w:p>
            <w:pPr>
              <w:pStyle w:val="Compact"/>
              <w:jc w:val="right"/>
            </w:pPr>
            <w:r>
              <w:t xml:space="preserve">2.51e-17</w:t>
            </w:r>
          </w:p>
        </w:tc>
        <w:tc>
          <w:tcPr/>
          <w:p>
            <w:pPr>
              <w:pStyle w:val="Compact"/>
              <w:jc w:val="left"/>
            </w:pPr>
            <w:r>
              <w:t xml:space="preserve">***</w:t>
            </w:r>
          </w:p>
        </w:tc>
      </w:tr>
      <w:tr>
        <w:tc>
          <w:tcPr/>
          <w:p>
            <w:pPr>
              <w:pStyle w:val="Compact"/>
              <w:jc w:val="left"/>
            </w:pPr>
            <w:r>
              <w:t xml:space="preserve">A</w:t>
            </w:r>
          </w:p>
        </w:tc>
        <w:tc>
          <w:tcPr/>
          <w:p>
            <w:pPr>
              <w:pStyle w:val="Compact"/>
              <w:jc w:val="right"/>
            </w:pPr>
            <w:r>
              <w:t xml:space="preserve">0.621</w:t>
            </w:r>
          </w:p>
        </w:tc>
        <w:tc>
          <w:tcPr/>
          <w:p>
            <w:pPr>
              <w:pStyle w:val="Compact"/>
              <w:jc w:val="right"/>
            </w:pPr>
            <w:r>
              <w:t xml:space="preserve">0.074</w:t>
            </w:r>
          </w:p>
        </w:tc>
        <w:tc>
          <w:tcPr/>
          <w:p>
            <w:pPr>
              <w:pStyle w:val="Compact"/>
              <w:jc w:val="right"/>
            </w:pPr>
            <w:r>
              <w:t xml:space="preserve">8.39</w:t>
            </w:r>
          </w:p>
        </w:tc>
        <w:tc>
          <w:tcPr/>
          <w:p>
            <w:pPr>
              <w:pStyle w:val="Compact"/>
              <w:jc w:val="right"/>
            </w:pPr>
            <w:r>
              <w:t xml:space="preserve">1.33e-06</w:t>
            </w:r>
          </w:p>
        </w:tc>
        <w:tc>
          <w:tcPr/>
          <w:p>
            <w:pPr>
              <w:pStyle w:val="Compact"/>
              <w:jc w:val="left"/>
            </w:pPr>
            <w:r>
              <w:t xml:space="preserve">***</w:t>
            </w:r>
          </w:p>
        </w:tc>
      </w:tr>
      <w:tr>
        <w:tc>
          <w:tcPr/>
          <w:p>
            <w:pPr>
              <w:pStyle w:val="Compact"/>
              <w:jc w:val="left"/>
            </w:pPr>
            <w:r>
              <w:t xml:space="preserve">B</w:t>
            </w:r>
          </w:p>
        </w:tc>
        <w:tc>
          <w:tcPr/>
          <w:p>
            <w:pPr>
              <w:pStyle w:val="Compact"/>
              <w:jc w:val="right"/>
            </w:pPr>
            <w:r>
              <w:t xml:space="preserve">-0.076</w:t>
            </w:r>
          </w:p>
        </w:tc>
        <w:tc>
          <w:tcPr/>
          <w:p>
            <w:pPr>
              <w:pStyle w:val="Compact"/>
              <w:jc w:val="right"/>
            </w:pPr>
            <w:r>
              <w:t xml:space="preserve">0.074</w:t>
            </w:r>
          </w:p>
        </w:tc>
        <w:tc>
          <w:tcPr/>
          <w:p>
            <w:pPr>
              <w:pStyle w:val="Compact"/>
              <w:jc w:val="right"/>
            </w:pPr>
            <w:r>
              <w:t xml:space="preserve">-1.03</w:t>
            </w:r>
          </w:p>
        </w:tc>
        <w:tc>
          <w:tcPr/>
          <w:p>
            <w:pPr>
              <w:pStyle w:val="Compact"/>
              <w:jc w:val="right"/>
            </w:pPr>
            <w:r>
              <w:t xml:space="preserve">0.323</w:t>
            </w:r>
          </w:p>
        </w:tc>
        <w:tc>
          <w:tcPr/>
          <w:p>
            <w:pPr>
              <w:pStyle w:val="Compact"/>
            </w:pPr>
          </w:p>
        </w:tc>
      </w:tr>
      <w:tr>
        <w:tc>
          <w:tcPr/>
          <w:p>
            <w:pPr>
              <w:pStyle w:val="Compact"/>
              <w:jc w:val="left"/>
            </w:pPr>
            <w:r>
              <w:t xml:space="preserve">C</w:t>
            </w:r>
          </w:p>
        </w:tc>
        <w:tc>
          <w:tcPr/>
          <w:p>
            <w:pPr>
              <w:pStyle w:val="Compact"/>
              <w:jc w:val="right"/>
            </w:pPr>
            <w:r>
              <w:t xml:space="preserve">-0.554</w:t>
            </w:r>
          </w:p>
        </w:tc>
        <w:tc>
          <w:tcPr/>
          <w:p>
            <w:pPr>
              <w:pStyle w:val="Compact"/>
              <w:jc w:val="right"/>
            </w:pPr>
            <w:r>
              <w:t xml:space="preserve">0.074</w:t>
            </w:r>
          </w:p>
        </w:tc>
        <w:tc>
          <w:tcPr/>
          <w:p>
            <w:pPr>
              <w:pStyle w:val="Compact"/>
              <w:jc w:val="right"/>
            </w:pPr>
            <w:r>
              <w:t xml:space="preserve">-7.48</w:t>
            </w:r>
          </w:p>
        </w:tc>
        <w:tc>
          <w:tcPr/>
          <w:p>
            <w:pPr>
              <w:pStyle w:val="Compact"/>
              <w:jc w:val="right"/>
            </w:pPr>
            <w:r>
              <w:t xml:space="preserve">4.6e-06</w:t>
            </w:r>
          </w:p>
        </w:tc>
        <w:tc>
          <w:tcPr/>
          <w:p>
            <w:pPr>
              <w:pStyle w:val="Compact"/>
              <w:jc w:val="left"/>
            </w:pPr>
            <w:r>
              <w:t xml:space="preserve">***</w:t>
            </w:r>
          </w:p>
        </w:tc>
      </w:tr>
      <w:tr>
        <w:tc>
          <w:tcPr/>
          <w:p>
            <w:pPr>
              <w:pStyle w:val="Compact"/>
              <w:jc w:val="left"/>
            </w:pPr>
            <w:r>
              <w:t xml:space="preserve">D</w:t>
            </w:r>
          </w:p>
        </w:tc>
        <w:tc>
          <w:tcPr/>
          <w:p>
            <w:pPr>
              <w:pStyle w:val="Compact"/>
              <w:jc w:val="right"/>
            </w:pPr>
            <w:r>
              <w:t xml:space="preserve">0.0287</w:t>
            </w:r>
          </w:p>
        </w:tc>
        <w:tc>
          <w:tcPr/>
          <w:p>
            <w:pPr>
              <w:pStyle w:val="Compact"/>
              <w:jc w:val="right"/>
            </w:pPr>
            <w:r>
              <w:t xml:space="preserve">0.074</w:t>
            </w:r>
          </w:p>
        </w:tc>
        <w:tc>
          <w:tcPr/>
          <w:p>
            <w:pPr>
              <w:pStyle w:val="Compact"/>
              <w:jc w:val="right"/>
            </w:pPr>
            <w:r>
              <w:t xml:space="preserve">0.388</w:t>
            </w:r>
          </w:p>
        </w:tc>
        <w:tc>
          <w:tcPr/>
          <w:p>
            <w:pPr>
              <w:pStyle w:val="Compact"/>
              <w:jc w:val="right"/>
            </w:pPr>
            <w:r>
              <w:t xml:space="preserve">0.704</w:t>
            </w:r>
          </w:p>
        </w:tc>
        <w:tc>
          <w:tcPr/>
          <w:p>
            <w:pPr>
              <w:pStyle w:val="Compact"/>
            </w:pPr>
          </w:p>
        </w:tc>
      </w:tr>
      <w:tr>
        <w:tc>
          <w:tcPr/>
          <w:p>
            <w:pPr>
              <w:pStyle w:val="Compact"/>
              <w:jc w:val="left"/>
            </w:pPr>
            <w:r>
              <w:t xml:space="preserve">AB</w:t>
            </w:r>
          </w:p>
        </w:tc>
        <w:tc>
          <w:tcPr/>
          <w:p>
            <w:pPr>
              <w:pStyle w:val="Compact"/>
              <w:jc w:val="right"/>
            </w:pPr>
            <w:r>
              <w:t xml:space="preserve">-0.0278</w:t>
            </w:r>
          </w:p>
        </w:tc>
        <w:tc>
          <w:tcPr/>
          <w:p>
            <w:pPr>
              <w:pStyle w:val="Compact"/>
              <w:jc w:val="right"/>
            </w:pPr>
            <w:r>
              <w:t xml:space="preserve">0.0785</w:t>
            </w:r>
          </w:p>
        </w:tc>
        <w:tc>
          <w:tcPr/>
          <w:p>
            <w:pPr>
              <w:pStyle w:val="Compact"/>
              <w:jc w:val="right"/>
            </w:pPr>
            <w:r>
              <w:t xml:space="preserve">-0.355</w:t>
            </w:r>
          </w:p>
        </w:tc>
        <w:tc>
          <w:tcPr/>
          <w:p>
            <w:pPr>
              <w:pStyle w:val="Compact"/>
              <w:jc w:val="right"/>
            </w:pPr>
            <w:r>
              <w:t xml:space="preserve">0.729</w:t>
            </w:r>
          </w:p>
        </w:tc>
        <w:tc>
          <w:tcPr/>
          <w:p>
            <w:pPr>
              <w:pStyle w:val="Compact"/>
            </w:pPr>
          </w:p>
        </w:tc>
      </w:tr>
      <w:tr>
        <w:tc>
          <w:tcPr/>
          <w:p>
            <w:pPr>
              <w:pStyle w:val="Compact"/>
              <w:jc w:val="left"/>
            </w:pPr>
            <w:r>
              <w:t xml:space="preserve">AC</w:t>
            </w:r>
          </w:p>
        </w:tc>
        <w:tc>
          <w:tcPr/>
          <w:p>
            <w:pPr>
              <w:pStyle w:val="Compact"/>
              <w:jc w:val="right"/>
            </w:pPr>
            <w:r>
              <w:t xml:space="preserve">0.0223</w:t>
            </w:r>
          </w:p>
        </w:tc>
        <w:tc>
          <w:tcPr/>
          <w:p>
            <w:pPr>
              <w:pStyle w:val="Compact"/>
              <w:jc w:val="right"/>
            </w:pPr>
            <w:r>
              <w:t xml:space="preserve">0.0785</w:t>
            </w:r>
          </w:p>
        </w:tc>
        <w:tc>
          <w:tcPr/>
          <w:p>
            <w:pPr>
              <w:pStyle w:val="Compact"/>
              <w:jc w:val="right"/>
            </w:pPr>
            <w:r>
              <w:t xml:space="preserve">0.285</w:t>
            </w:r>
          </w:p>
        </w:tc>
        <w:tc>
          <w:tcPr/>
          <w:p>
            <w:pPr>
              <w:pStyle w:val="Compact"/>
              <w:jc w:val="right"/>
            </w:pPr>
            <w:r>
              <w:t xml:space="preserve">0.78</w:t>
            </w:r>
          </w:p>
        </w:tc>
        <w:tc>
          <w:tcPr/>
          <w:p>
            <w:pPr>
              <w:pStyle w:val="Compact"/>
            </w:pPr>
          </w:p>
        </w:tc>
      </w:tr>
      <w:tr>
        <w:tc>
          <w:tcPr/>
          <w:p>
            <w:pPr>
              <w:pStyle w:val="Compact"/>
              <w:jc w:val="left"/>
            </w:pPr>
            <w:r>
              <w:t xml:space="preserve">AD</w:t>
            </w:r>
          </w:p>
        </w:tc>
        <w:tc>
          <w:tcPr/>
          <w:p>
            <w:pPr>
              <w:pStyle w:val="Compact"/>
              <w:jc w:val="right"/>
            </w:pPr>
            <w:r>
              <w:t xml:space="preserve">0.192</w:t>
            </w:r>
          </w:p>
        </w:tc>
        <w:tc>
          <w:tcPr/>
          <w:p>
            <w:pPr>
              <w:pStyle w:val="Compact"/>
              <w:jc w:val="right"/>
            </w:pPr>
            <w:r>
              <w:t xml:space="preserve">0.0785</w:t>
            </w:r>
          </w:p>
        </w:tc>
        <w:tc>
          <w:tcPr/>
          <w:p>
            <w:pPr>
              <w:pStyle w:val="Compact"/>
              <w:jc w:val="right"/>
            </w:pPr>
            <w:r>
              <w:t xml:space="preserve">2.44</w:t>
            </w:r>
          </w:p>
        </w:tc>
        <w:tc>
          <w:tcPr/>
          <w:p>
            <w:pPr>
              <w:pStyle w:val="Compact"/>
              <w:jc w:val="right"/>
            </w:pPr>
            <w:r>
              <w:t xml:space="preserve">0.0295</w:t>
            </w:r>
          </w:p>
        </w:tc>
        <w:tc>
          <w:tcPr/>
          <w:p>
            <w:pPr>
              <w:pStyle w:val="Compact"/>
              <w:jc w:val="left"/>
            </w:pPr>
            <w:r>
              <w:t xml:space="preserve">*</w:t>
            </w:r>
          </w:p>
        </w:tc>
      </w:tr>
      <w:tr>
        <w:tc>
          <w:tcPr/>
          <w:p>
            <w:pPr>
              <w:pStyle w:val="Compact"/>
              <w:jc w:val="left"/>
            </w:pPr>
            <w:r>
              <w:t xml:space="preserve">BC</w:t>
            </w:r>
          </w:p>
        </w:tc>
        <w:tc>
          <w:tcPr/>
          <w:p>
            <w:pPr>
              <w:pStyle w:val="Compact"/>
              <w:jc w:val="right"/>
            </w:pPr>
            <w:r>
              <w:t xml:space="preserve">-0.118</w:t>
            </w:r>
          </w:p>
        </w:tc>
        <w:tc>
          <w:tcPr/>
          <w:p>
            <w:pPr>
              <w:pStyle w:val="Compact"/>
              <w:jc w:val="right"/>
            </w:pPr>
            <w:r>
              <w:t xml:space="preserve">0.0785</w:t>
            </w:r>
          </w:p>
        </w:tc>
        <w:tc>
          <w:tcPr/>
          <w:p>
            <w:pPr>
              <w:pStyle w:val="Compact"/>
              <w:jc w:val="right"/>
            </w:pPr>
            <w:r>
              <w:t xml:space="preserve">-1.5</w:t>
            </w:r>
          </w:p>
        </w:tc>
        <w:tc>
          <w:tcPr/>
          <w:p>
            <w:pPr>
              <w:pStyle w:val="Compact"/>
              <w:jc w:val="right"/>
            </w:pPr>
            <w:r>
              <w:t xml:space="preserve">0.158</w:t>
            </w:r>
          </w:p>
        </w:tc>
        <w:tc>
          <w:tcPr/>
          <w:p>
            <w:pPr>
              <w:pStyle w:val="Compact"/>
            </w:pPr>
          </w:p>
        </w:tc>
      </w:tr>
      <w:tr>
        <w:tc>
          <w:tcPr/>
          <w:p>
            <w:pPr>
              <w:pStyle w:val="Compact"/>
              <w:jc w:val="left"/>
            </w:pPr>
            <w:r>
              <w:t xml:space="preserve">BD</w:t>
            </w:r>
          </w:p>
        </w:tc>
        <w:tc>
          <w:tcPr/>
          <w:p>
            <w:pPr>
              <w:pStyle w:val="Compact"/>
              <w:jc w:val="right"/>
            </w:pPr>
            <w:r>
              <w:t xml:space="preserve">0.0577</w:t>
            </w:r>
          </w:p>
        </w:tc>
        <w:tc>
          <w:tcPr/>
          <w:p>
            <w:pPr>
              <w:pStyle w:val="Compact"/>
              <w:jc w:val="right"/>
            </w:pPr>
            <w:r>
              <w:t xml:space="preserve">0.0785</w:t>
            </w:r>
          </w:p>
        </w:tc>
        <w:tc>
          <w:tcPr/>
          <w:p>
            <w:pPr>
              <w:pStyle w:val="Compact"/>
              <w:jc w:val="right"/>
            </w:pPr>
            <w:r>
              <w:t xml:space="preserve">0.735</w:t>
            </w:r>
          </w:p>
        </w:tc>
        <w:tc>
          <w:tcPr/>
          <w:p>
            <w:pPr>
              <w:pStyle w:val="Compact"/>
              <w:jc w:val="right"/>
            </w:pPr>
            <w:r>
              <w:t xml:space="preserve">0.475</w:t>
            </w:r>
          </w:p>
        </w:tc>
        <w:tc>
          <w:tcPr/>
          <w:p>
            <w:pPr>
              <w:pStyle w:val="Compact"/>
            </w:pPr>
          </w:p>
        </w:tc>
      </w:tr>
      <w:tr>
        <w:tc>
          <w:tcPr/>
          <w:p>
            <w:pPr>
              <w:pStyle w:val="Compact"/>
              <w:jc w:val="left"/>
            </w:pPr>
            <w:r>
              <w:t xml:space="preserve">CD</w:t>
            </w:r>
          </w:p>
        </w:tc>
        <w:tc>
          <w:tcPr/>
          <w:p>
            <w:pPr>
              <w:pStyle w:val="Compact"/>
              <w:jc w:val="right"/>
            </w:pPr>
            <w:r>
              <w:t xml:space="preserve">-0.0751</w:t>
            </w:r>
          </w:p>
        </w:tc>
        <w:tc>
          <w:tcPr/>
          <w:p>
            <w:pPr>
              <w:pStyle w:val="Compact"/>
              <w:jc w:val="right"/>
            </w:pPr>
            <w:r>
              <w:t xml:space="preserve">0.0785</w:t>
            </w:r>
          </w:p>
        </w:tc>
        <w:tc>
          <w:tcPr/>
          <w:p>
            <w:pPr>
              <w:pStyle w:val="Compact"/>
              <w:jc w:val="right"/>
            </w:pPr>
            <w:r>
              <w:t xml:space="preserve">-0.957</w:t>
            </w:r>
          </w:p>
        </w:tc>
        <w:tc>
          <w:tcPr/>
          <w:p>
            <w:pPr>
              <w:pStyle w:val="Compact"/>
              <w:jc w:val="right"/>
            </w:pPr>
            <w:r>
              <w:t xml:space="preserve">0.356</w:t>
            </w:r>
          </w:p>
        </w:tc>
        <w:tc>
          <w:tcPr/>
          <w:p>
            <w:pPr>
              <w:pStyle w:val="Compact"/>
            </w:pPr>
          </w:p>
        </w:tc>
      </w:tr>
      <w:tr>
        <w:tc>
          <w:tcPr/>
          <w:p>
            <w:pPr>
              <w:pStyle w:val="Compact"/>
              <w:jc w:val="left"/>
            </w:pPr>
            <w:r>
              <w:t xml:space="preserve">A²</w:t>
            </w:r>
          </w:p>
        </w:tc>
        <w:tc>
          <w:tcPr/>
          <w:p>
            <w:pPr>
              <w:pStyle w:val="Compact"/>
              <w:jc w:val="right"/>
            </w:pPr>
            <w:r>
              <w:t xml:space="preserve">0.0696</w:t>
            </w:r>
          </w:p>
        </w:tc>
        <w:tc>
          <w:tcPr/>
          <w:p>
            <w:pPr>
              <w:pStyle w:val="Compact"/>
              <w:jc w:val="right"/>
            </w:pPr>
            <w:r>
              <w:t xml:space="preserve">0.195</w:t>
            </w:r>
          </w:p>
        </w:tc>
        <w:tc>
          <w:tcPr/>
          <w:p>
            <w:pPr>
              <w:pStyle w:val="Compact"/>
              <w:jc w:val="right"/>
            </w:pPr>
            <w:r>
              <w:t xml:space="preserve">0.356</w:t>
            </w:r>
          </w:p>
        </w:tc>
        <w:tc>
          <w:tcPr/>
          <w:p>
            <w:pPr>
              <w:pStyle w:val="Compact"/>
              <w:jc w:val="right"/>
            </w:pPr>
            <w:r>
              <w:t xml:space="preserve">0.727</w:t>
            </w:r>
          </w:p>
        </w:tc>
        <w:tc>
          <w:tcPr/>
          <w:p>
            <w:pPr>
              <w:pStyle w:val="Compact"/>
            </w:pPr>
          </w:p>
        </w:tc>
      </w:tr>
      <w:tr>
        <w:tc>
          <w:tcPr/>
          <w:p>
            <w:pPr>
              <w:pStyle w:val="Compact"/>
              <w:jc w:val="left"/>
            </w:pPr>
            <w:r>
              <w:t xml:space="preserve">B²</w:t>
            </w:r>
          </w:p>
        </w:tc>
        <w:tc>
          <w:tcPr/>
          <w:p>
            <w:pPr>
              <w:pStyle w:val="Compact"/>
              <w:jc w:val="right"/>
            </w:pPr>
            <w:r>
              <w:t xml:space="preserve">-0.328</w:t>
            </w:r>
          </w:p>
        </w:tc>
        <w:tc>
          <w:tcPr/>
          <w:p>
            <w:pPr>
              <w:pStyle w:val="Compact"/>
              <w:jc w:val="right"/>
            </w:pPr>
            <w:r>
              <w:t xml:space="preserve">0.195</w:t>
            </w:r>
          </w:p>
        </w:tc>
        <w:tc>
          <w:tcPr/>
          <w:p>
            <w:pPr>
              <w:pStyle w:val="Compact"/>
              <w:jc w:val="right"/>
            </w:pPr>
            <w:r>
              <w:t xml:space="preserve">-1.68</w:t>
            </w:r>
          </w:p>
        </w:tc>
        <w:tc>
          <w:tcPr/>
          <w:p>
            <w:pPr>
              <w:pStyle w:val="Compact"/>
              <w:jc w:val="right"/>
            </w:pPr>
            <w:r>
              <w:t xml:space="preserve">0.118</w:t>
            </w:r>
          </w:p>
        </w:tc>
        <w:tc>
          <w:tcPr/>
          <w:p>
            <w:pPr>
              <w:pStyle w:val="Compact"/>
            </w:pPr>
          </w:p>
        </w:tc>
      </w:tr>
      <w:tr>
        <w:tc>
          <w:tcPr/>
          <w:p>
            <w:pPr>
              <w:pStyle w:val="Compact"/>
              <w:jc w:val="left"/>
            </w:pPr>
            <w:r>
              <w:t xml:space="preserve">C²</w:t>
            </w:r>
          </w:p>
        </w:tc>
        <w:tc>
          <w:tcPr/>
          <w:p>
            <w:pPr>
              <w:pStyle w:val="Compact"/>
              <w:jc w:val="right"/>
            </w:pPr>
            <w:r>
              <w:t xml:space="preserve">0.152</w:t>
            </w:r>
          </w:p>
        </w:tc>
        <w:tc>
          <w:tcPr/>
          <w:p>
            <w:pPr>
              <w:pStyle w:val="Compact"/>
              <w:jc w:val="right"/>
            </w:pPr>
            <w:r>
              <w:t xml:space="preserve">0.195</w:t>
            </w:r>
          </w:p>
        </w:tc>
        <w:tc>
          <w:tcPr/>
          <w:p>
            <w:pPr>
              <w:pStyle w:val="Compact"/>
              <w:jc w:val="right"/>
            </w:pPr>
            <w:r>
              <w:t xml:space="preserve">0.779</w:t>
            </w:r>
          </w:p>
        </w:tc>
        <w:tc>
          <w:tcPr/>
          <w:p>
            <w:pPr>
              <w:pStyle w:val="Compact"/>
              <w:jc w:val="right"/>
            </w:pPr>
            <w:r>
              <w:t xml:space="preserve">0.45</w:t>
            </w:r>
          </w:p>
        </w:tc>
        <w:tc>
          <w:tcPr/>
          <w:p>
            <w:pPr>
              <w:pStyle w:val="Compact"/>
            </w:pPr>
          </w:p>
        </w:tc>
      </w:tr>
      <w:tr>
        <w:tc>
          <w:tcPr/>
          <w:p>
            <w:pPr>
              <w:pStyle w:val="Compact"/>
              <w:jc w:val="left"/>
            </w:pPr>
            <w:r>
              <w:t xml:space="preserve">D²</w:t>
            </w:r>
          </w:p>
        </w:tc>
        <w:tc>
          <w:tcPr/>
          <w:p>
            <w:pPr>
              <w:pStyle w:val="Compact"/>
              <w:jc w:val="right"/>
            </w:pPr>
            <w:r>
              <w:t xml:space="preserve">0.0761</w:t>
            </w:r>
          </w:p>
        </w:tc>
        <w:tc>
          <w:tcPr/>
          <w:p>
            <w:pPr>
              <w:pStyle w:val="Compact"/>
              <w:jc w:val="right"/>
            </w:pPr>
            <w:r>
              <w:t xml:space="preserve">0.195</w:t>
            </w:r>
          </w:p>
        </w:tc>
        <w:tc>
          <w:tcPr/>
          <w:p>
            <w:pPr>
              <w:pStyle w:val="Compact"/>
              <w:jc w:val="right"/>
            </w:pPr>
            <w:r>
              <w:t xml:space="preserve">0.39</w:t>
            </w:r>
          </w:p>
        </w:tc>
        <w:tc>
          <w:tcPr/>
          <w:p>
            <w:pPr>
              <w:pStyle w:val="Compact"/>
              <w:jc w:val="right"/>
            </w:pPr>
            <w:r>
              <w:t xml:space="preserve">0.703</w:t>
            </w:r>
          </w:p>
        </w:tc>
        <w:tc>
          <w:tcPr/>
          <w:p>
            <w:pPr>
              <w:pStyle w:val="Compact"/>
            </w:pPr>
          </w:p>
        </w:tc>
      </w:tr>
    </w:tbl>
    <w:p>
      <w:pPr>
        <w:pStyle w:val="BodyText"/>
      </w:pPr>
      <w:r>
        <w:rPr>
          <w:b/>
          <w:bCs/>
        </w:rPr>
        <w:t xml:space="preserve">Step yield</w:t>
      </w:r>
    </w:p>
    <w:tbl>
      <w:tblPr>
        <w:tblStyle w:val="Table"/>
        <w:tblW w:type="pct" w:w="5000"/>
        <w:tblLayout w:type="fixed"/>
        <w:tblLook w:firstRow="0" w:lastRow="0" w:firstColumn="0" w:lastColumn="0" w:noHBand="0" w:noVBand="0" w:val="0000"/>
      </w:tblPr>
      <w:tblGrid>
        <w:gridCol w:w="7920"/>
      </w:tblGrid>
      <w:tr>
        <w:tc>
          <w:tcPr/>
          <w:bookmarkStart w:id="104" w:name="tbl-appc2"/>
          <w:p>
            <w:pPr>
              <w:jc w:val="center"/>
            </w:pPr>
            <w:pPr>
              <w:jc w:val="left"/>
              <w:spacing w:before="200"/>
              <w:pStyle w:val="ImageCaption"/>
            </w:pPr>
            <w:r>
              <w:t xml:space="preserve">Table 27: Response-surface coefficients for the responses not tabulated in §5.</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0.961</w:t>
                  </w:r>
                </w:p>
              </w:tc>
              <w:tc>
                <w:tcPr/>
                <w:p>
                  <w:pPr>
                    <w:pStyle w:val="Compact"/>
                    <w:jc w:val="right"/>
                    <w:jc w:val="center"/>
                  </w:pPr>
                  <w:r>
                    <w:t xml:space="preserve">0.00501</w:t>
                  </w:r>
                </w:p>
              </w:tc>
              <w:tc>
                <w:tcPr/>
                <w:p>
                  <w:pPr>
                    <w:pStyle w:val="Compact"/>
                    <w:jc w:val="right"/>
                    <w:jc w:val="center"/>
                  </w:pPr>
                  <w:r>
                    <w:t xml:space="preserve">192</w:t>
                  </w:r>
                </w:p>
              </w:tc>
              <w:tc>
                <w:tcPr/>
                <w:p>
                  <w:pPr>
                    <w:pStyle w:val="Compact"/>
                    <w:jc w:val="right"/>
                    <w:jc w:val="center"/>
                  </w:pPr>
                  <w:r>
                    <w:t xml:space="preserve">7.92e-24</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-0.000294</w:t>
                  </w:r>
                </w:p>
              </w:tc>
              <w:tc>
                <w:tcPr/>
                <w:p>
                  <w:pPr>
                    <w:pStyle w:val="Compact"/>
                    <w:jc w:val="right"/>
                    <w:jc w:val="center"/>
                  </w:pPr>
                  <w:r>
                    <w:t xml:space="preserve">0.00342</w:t>
                  </w:r>
                </w:p>
              </w:tc>
              <w:tc>
                <w:tcPr/>
                <w:p>
                  <w:pPr>
                    <w:pStyle w:val="Compact"/>
                    <w:jc w:val="right"/>
                    <w:jc w:val="center"/>
                  </w:pPr>
                  <w:r>
                    <w:t xml:space="preserve">-0.086</w:t>
                  </w:r>
                </w:p>
              </w:tc>
              <w:tc>
                <w:tcPr/>
                <w:p>
                  <w:pPr>
                    <w:pStyle w:val="Compact"/>
                    <w:jc w:val="right"/>
                    <w:jc w:val="center"/>
                  </w:pPr>
                  <w:r>
                    <w:t xml:space="preserve">0.933</w:t>
                  </w:r>
                </w:p>
              </w:tc>
              <w:tc>
                <w:tcPr/>
                <w:p>
                  <w:pPr>
                    <w:pStyle w:val="Compact"/>
                  </w:pPr>
                </w:p>
              </w:tc>
            </w:tr>
            <w:tr>
              <w:tc>
                <w:tcPr/>
                <w:p>
                  <w:pPr>
                    <w:pStyle w:val="Compact"/>
                    <w:jc w:val="left"/>
                    <w:jc w:val="center"/>
                  </w:pPr>
                  <w:r>
                    <w:t xml:space="preserve">B</w:t>
                  </w:r>
                </w:p>
              </w:tc>
              <w:tc>
                <w:tcPr/>
                <w:p>
                  <w:pPr>
                    <w:pStyle w:val="Compact"/>
                    <w:jc w:val="right"/>
                    <w:jc w:val="center"/>
                  </w:pPr>
                  <w:r>
                    <w:t xml:space="preserve">0.00022</w:t>
                  </w:r>
                </w:p>
              </w:tc>
              <w:tc>
                <w:tcPr/>
                <w:p>
                  <w:pPr>
                    <w:pStyle w:val="Compact"/>
                    <w:jc w:val="right"/>
                    <w:jc w:val="center"/>
                  </w:pPr>
                  <w:r>
                    <w:t xml:space="preserve">0.00342</w:t>
                  </w:r>
                </w:p>
              </w:tc>
              <w:tc>
                <w:tcPr/>
                <w:p>
                  <w:pPr>
                    <w:pStyle w:val="Compact"/>
                    <w:jc w:val="right"/>
                    <w:jc w:val="center"/>
                  </w:pPr>
                  <w:r>
                    <w:t xml:space="preserve">0.0643</w:t>
                  </w:r>
                </w:p>
              </w:tc>
              <w:tc>
                <w:tcPr/>
                <w:p>
                  <w:pPr>
                    <w:pStyle w:val="Compact"/>
                    <w:jc w:val="right"/>
                    <w:jc w:val="center"/>
                  </w:pPr>
                  <w:r>
                    <w:t xml:space="preserve">0.95</w:t>
                  </w:r>
                </w:p>
              </w:tc>
              <w:tc>
                <w:tcPr/>
                <w:p>
                  <w:pPr>
                    <w:pStyle w:val="Compact"/>
                  </w:pPr>
                </w:p>
              </w:tc>
            </w:tr>
            <w:tr>
              <w:tc>
                <w:tcPr/>
                <w:p>
                  <w:pPr>
                    <w:pStyle w:val="Compact"/>
                    <w:jc w:val="left"/>
                    <w:jc w:val="center"/>
                  </w:pPr>
                  <w:r>
                    <w:t xml:space="preserve">C</w:t>
                  </w:r>
                </w:p>
              </w:tc>
              <w:tc>
                <w:tcPr/>
                <w:p>
                  <w:pPr>
                    <w:pStyle w:val="Compact"/>
                    <w:jc w:val="right"/>
                    <w:jc w:val="center"/>
                  </w:pPr>
                  <w:r>
                    <w:t xml:space="preserve">0.00109</w:t>
                  </w:r>
                </w:p>
              </w:tc>
              <w:tc>
                <w:tcPr/>
                <w:p>
                  <w:pPr>
                    <w:pStyle w:val="Compact"/>
                    <w:jc w:val="right"/>
                    <w:jc w:val="center"/>
                  </w:pPr>
                  <w:r>
                    <w:t xml:space="preserve">0.00342</w:t>
                  </w:r>
                </w:p>
              </w:tc>
              <w:tc>
                <w:tcPr/>
                <w:p>
                  <w:pPr>
                    <w:pStyle w:val="Compact"/>
                    <w:jc w:val="right"/>
                    <w:jc w:val="center"/>
                  </w:pPr>
                  <w:r>
                    <w:t xml:space="preserve">0.318</w:t>
                  </w:r>
                </w:p>
              </w:tc>
              <w:tc>
                <w:tcPr/>
                <w:p>
                  <w:pPr>
                    <w:pStyle w:val="Compact"/>
                    <w:jc w:val="right"/>
                    <w:jc w:val="center"/>
                  </w:pPr>
                  <w:r>
                    <w:t xml:space="preserve">0.756</w:t>
                  </w:r>
                </w:p>
              </w:tc>
              <w:tc>
                <w:tcPr/>
                <w:p>
                  <w:pPr>
                    <w:pStyle w:val="Compact"/>
                  </w:pPr>
                </w:p>
              </w:tc>
            </w:tr>
            <w:tr>
              <w:tc>
                <w:tcPr/>
                <w:p>
                  <w:pPr>
                    <w:pStyle w:val="Compact"/>
                    <w:jc w:val="left"/>
                    <w:jc w:val="center"/>
                  </w:pPr>
                  <w:r>
                    <w:t xml:space="preserve">D</w:t>
                  </w:r>
                </w:p>
              </w:tc>
              <w:tc>
                <w:tcPr/>
                <w:p>
                  <w:pPr>
                    <w:pStyle w:val="Compact"/>
                    <w:jc w:val="right"/>
                    <w:jc w:val="center"/>
                  </w:pPr>
                  <w:r>
                    <w:t xml:space="preserve">-0.00203</w:t>
                  </w:r>
                </w:p>
              </w:tc>
              <w:tc>
                <w:tcPr/>
                <w:p>
                  <w:pPr>
                    <w:pStyle w:val="Compact"/>
                    <w:jc w:val="right"/>
                    <w:jc w:val="center"/>
                  </w:pPr>
                  <w:r>
                    <w:t xml:space="preserve">0.00342</w:t>
                  </w:r>
                </w:p>
              </w:tc>
              <w:tc>
                <w:tcPr/>
                <w:p>
                  <w:pPr>
                    <w:pStyle w:val="Compact"/>
                    <w:jc w:val="right"/>
                    <w:jc w:val="center"/>
                  </w:pPr>
                  <w:r>
                    <w:t xml:space="preserve">-0.594</w:t>
                  </w:r>
                </w:p>
              </w:tc>
              <w:tc>
                <w:tcPr/>
                <w:p>
                  <w:pPr>
                    <w:pStyle w:val="Compact"/>
                    <w:jc w:val="right"/>
                    <w:jc w:val="center"/>
                  </w:pPr>
                  <w:r>
                    <w:t xml:space="preserve">0.563</w:t>
                  </w:r>
                </w:p>
              </w:tc>
              <w:tc>
                <w:tcPr/>
                <w:p>
                  <w:pPr>
                    <w:pStyle w:val="Compact"/>
                  </w:pPr>
                </w:p>
              </w:tc>
            </w:tr>
            <w:tr>
              <w:tc>
                <w:tcPr/>
                <w:p>
                  <w:pPr>
                    <w:pStyle w:val="Compact"/>
                    <w:jc w:val="left"/>
                    <w:jc w:val="center"/>
                  </w:pPr>
                  <w:r>
                    <w:t xml:space="preserve">AB</w:t>
                  </w:r>
                </w:p>
              </w:tc>
              <w:tc>
                <w:tcPr/>
                <w:p>
                  <w:pPr>
                    <w:pStyle w:val="Compact"/>
                    <w:jc w:val="right"/>
                    <w:jc w:val="center"/>
                  </w:pPr>
                  <w:r>
                    <w:t xml:space="preserve">-0.00464</w:t>
                  </w:r>
                </w:p>
              </w:tc>
              <w:tc>
                <w:tcPr/>
                <w:p>
                  <w:pPr>
                    <w:pStyle w:val="Compact"/>
                    <w:jc w:val="right"/>
                    <w:jc w:val="center"/>
                  </w:pPr>
                  <w:r>
                    <w:t xml:space="preserve">0.00362</w:t>
                  </w:r>
                </w:p>
              </w:tc>
              <w:tc>
                <w:tcPr/>
                <w:p>
                  <w:pPr>
                    <w:pStyle w:val="Compact"/>
                    <w:jc w:val="right"/>
                    <w:jc w:val="center"/>
                  </w:pPr>
                  <w:r>
                    <w:t xml:space="preserve">-1.28</w:t>
                  </w:r>
                </w:p>
              </w:tc>
              <w:tc>
                <w:tcPr/>
                <w:p>
                  <w:pPr>
                    <w:pStyle w:val="Compact"/>
                    <w:jc w:val="right"/>
                    <w:jc w:val="center"/>
                  </w:pPr>
                  <w:r>
                    <w:t xml:space="preserve">0.223</w:t>
                  </w:r>
                </w:p>
              </w:tc>
              <w:tc>
                <w:tcPr/>
                <w:p>
                  <w:pPr>
                    <w:pStyle w:val="Compact"/>
                  </w:pPr>
                </w:p>
              </w:tc>
            </w:tr>
            <w:tr>
              <w:tc>
                <w:tcPr/>
                <w:p>
                  <w:pPr>
                    <w:pStyle w:val="Compact"/>
                    <w:jc w:val="left"/>
                    <w:jc w:val="center"/>
                  </w:pPr>
                  <w:r>
                    <w:t xml:space="preserve">AC</w:t>
                  </w:r>
                </w:p>
              </w:tc>
              <w:tc>
                <w:tcPr/>
                <w:p>
                  <w:pPr>
                    <w:pStyle w:val="Compact"/>
                    <w:jc w:val="right"/>
                    <w:jc w:val="center"/>
                  </w:pPr>
                  <w:r>
                    <w:t xml:space="preserve">-0.00175</w:t>
                  </w:r>
                </w:p>
              </w:tc>
              <w:tc>
                <w:tcPr/>
                <w:p>
                  <w:pPr>
                    <w:pStyle w:val="Compact"/>
                    <w:jc w:val="right"/>
                    <w:jc w:val="center"/>
                  </w:pPr>
                  <w:r>
                    <w:t xml:space="preserve">0.00362</w:t>
                  </w:r>
                </w:p>
              </w:tc>
              <w:tc>
                <w:tcPr/>
                <w:p>
                  <w:pPr>
                    <w:pStyle w:val="Compact"/>
                    <w:jc w:val="right"/>
                    <w:jc w:val="center"/>
                  </w:pPr>
                  <w:r>
                    <w:t xml:space="preserve">-0.482</w:t>
                  </w:r>
                </w:p>
              </w:tc>
              <w:tc>
                <w:tcPr/>
                <w:p>
                  <w:pPr>
                    <w:pStyle w:val="Compact"/>
                    <w:jc w:val="right"/>
                    <w:jc w:val="center"/>
                  </w:pPr>
                  <w:r>
                    <w:t xml:space="preserve">0.637</w:t>
                  </w:r>
                </w:p>
              </w:tc>
              <w:tc>
                <w:tcPr/>
                <w:p>
                  <w:pPr>
                    <w:pStyle w:val="Compact"/>
                  </w:pPr>
                </w:p>
              </w:tc>
            </w:tr>
            <w:tr>
              <w:tc>
                <w:tcPr/>
                <w:p>
                  <w:pPr>
                    <w:pStyle w:val="Compact"/>
                    <w:jc w:val="left"/>
                    <w:jc w:val="center"/>
                  </w:pPr>
                  <w:r>
                    <w:t xml:space="preserve">AD</w:t>
                  </w:r>
                </w:p>
              </w:tc>
              <w:tc>
                <w:tcPr/>
                <w:p>
                  <w:pPr>
                    <w:pStyle w:val="Compact"/>
                    <w:jc w:val="right"/>
                    <w:jc w:val="center"/>
                  </w:pPr>
                  <w:r>
                    <w:t xml:space="preserve">0.00608</w:t>
                  </w:r>
                </w:p>
              </w:tc>
              <w:tc>
                <w:tcPr/>
                <w:p>
                  <w:pPr>
                    <w:pStyle w:val="Compact"/>
                    <w:jc w:val="right"/>
                    <w:jc w:val="center"/>
                  </w:pPr>
                  <w:r>
                    <w:t xml:space="preserve">0.00362</w:t>
                  </w:r>
                </w:p>
              </w:tc>
              <w:tc>
                <w:tcPr/>
                <w:p>
                  <w:pPr>
                    <w:pStyle w:val="Compact"/>
                    <w:jc w:val="right"/>
                    <w:jc w:val="center"/>
                  </w:pPr>
                  <w:r>
                    <w:t xml:space="preserve">1.68</w:t>
                  </w:r>
                </w:p>
              </w:tc>
              <w:tc>
                <w:tcPr/>
                <w:p>
                  <w:pPr>
                    <w:pStyle w:val="Compact"/>
                    <w:jc w:val="right"/>
                    <w:jc w:val="center"/>
                  </w:pPr>
                  <w:r>
                    <w:t xml:space="preserve">0.117</w:t>
                  </w:r>
                </w:p>
              </w:tc>
              <w:tc>
                <w:tcPr/>
                <w:p>
                  <w:pPr>
                    <w:pStyle w:val="Compact"/>
                  </w:pPr>
                </w:p>
              </w:tc>
            </w:tr>
            <w:tr>
              <w:tc>
                <w:tcPr/>
                <w:p>
                  <w:pPr>
                    <w:pStyle w:val="Compact"/>
                    <w:jc w:val="left"/>
                    <w:jc w:val="center"/>
                  </w:pPr>
                  <w:r>
                    <w:t xml:space="preserve">BC</w:t>
                  </w:r>
                </w:p>
              </w:tc>
              <w:tc>
                <w:tcPr/>
                <w:p>
                  <w:pPr>
                    <w:pStyle w:val="Compact"/>
                    <w:jc w:val="right"/>
                    <w:jc w:val="center"/>
                  </w:pPr>
                  <w:r>
                    <w:t xml:space="preserve">-0.000152</w:t>
                  </w:r>
                </w:p>
              </w:tc>
              <w:tc>
                <w:tcPr/>
                <w:p>
                  <w:pPr>
                    <w:pStyle w:val="Compact"/>
                    <w:jc w:val="right"/>
                    <w:jc w:val="center"/>
                  </w:pPr>
                  <w:r>
                    <w:t xml:space="preserve">0.00362</w:t>
                  </w:r>
                </w:p>
              </w:tc>
              <w:tc>
                <w:tcPr/>
                <w:p>
                  <w:pPr>
                    <w:pStyle w:val="Compact"/>
                    <w:jc w:val="right"/>
                    <w:jc w:val="center"/>
                  </w:pPr>
                  <w:r>
                    <w:t xml:space="preserve">-0.042</w:t>
                  </w:r>
                </w:p>
              </w:tc>
              <w:tc>
                <w:tcPr/>
                <w:p>
                  <w:pPr>
                    <w:pStyle w:val="Compact"/>
                    <w:jc w:val="right"/>
                    <w:jc w:val="center"/>
                  </w:pPr>
                  <w:r>
                    <w:t xml:space="preserve">0.967</w:t>
                  </w:r>
                </w:p>
              </w:tc>
              <w:tc>
                <w:tcPr/>
                <w:p>
                  <w:pPr>
                    <w:pStyle w:val="Compact"/>
                  </w:pPr>
                </w:p>
              </w:tc>
            </w:tr>
            <w:tr>
              <w:tc>
                <w:tcPr/>
                <w:p>
                  <w:pPr>
                    <w:pStyle w:val="Compact"/>
                    <w:jc w:val="left"/>
                    <w:jc w:val="center"/>
                  </w:pPr>
                  <w:r>
                    <w:t xml:space="preserve">BD</w:t>
                  </w:r>
                </w:p>
              </w:tc>
              <w:tc>
                <w:tcPr/>
                <w:p>
                  <w:pPr>
                    <w:pStyle w:val="Compact"/>
                    <w:jc w:val="right"/>
                    <w:jc w:val="center"/>
                  </w:pPr>
                  <w:r>
                    <w:t xml:space="preserve">-0.00433</w:t>
                  </w:r>
                </w:p>
              </w:tc>
              <w:tc>
                <w:tcPr/>
                <w:p>
                  <w:pPr>
                    <w:pStyle w:val="Compact"/>
                    <w:jc w:val="right"/>
                    <w:jc w:val="center"/>
                  </w:pPr>
                  <w:r>
                    <w:t xml:space="preserve">0.00362</w:t>
                  </w:r>
                </w:p>
              </w:tc>
              <w:tc>
                <w:tcPr/>
                <w:p>
                  <w:pPr>
                    <w:pStyle w:val="Compact"/>
                    <w:jc w:val="right"/>
                    <w:jc w:val="center"/>
                  </w:pPr>
                  <w:r>
                    <w:t xml:space="preserve">-1.2</w:t>
                  </w:r>
                </w:p>
              </w:tc>
              <w:tc>
                <w:tcPr/>
                <w:p>
                  <w:pPr>
                    <w:pStyle w:val="Compact"/>
                    <w:jc w:val="right"/>
                    <w:jc w:val="center"/>
                  </w:pPr>
                  <w:r>
                    <w:t xml:space="preserve">0.253</w:t>
                  </w:r>
                </w:p>
              </w:tc>
              <w:tc>
                <w:tcPr/>
                <w:p>
                  <w:pPr>
                    <w:pStyle w:val="Compact"/>
                  </w:pPr>
                </w:p>
              </w:tc>
            </w:tr>
            <w:tr>
              <w:tc>
                <w:tcPr/>
                <w:p>
                  <w:pPr>
                    <w:pStyle w:val="Compact"/>
                    <w:jc w:val="left"/>
                    <w:jc w:val="center"/>
                  </w:pPr>
                  <w:r>
                    <w:t xml:space="preserve">CD</w:t>
                  </w:r>
                </w:p>
              </w:tc>
              <w:tc>
                <w:tcPr/>
                <w:p>
                  <w:pPr>
                    <w:pStyle w:val="Compact"/>
                    <w:jc w:val="right"/>
                    <w:jc w:val="center"/>
                  </w:pPr>
                  <w:r>
                    <w:t xml:space="preserve">-0.00413</w:t>
                  </w:r>
                </w:p>
              </w:tc>
              <w:tc>
                <w:tcPr/>
                <w:p>
                  <w:pPr>
                    <w:pStyle w:val="Compact"/>
                    <w:jc w:val="right"/>
                    <w:jc w:val="center"/>
                  </w:pPr>
                  <w:r>
                    <w:t xml:space="preserve">0.00362</w:t>
                  </w:r>
                </w:p>
              </w:tc>
              <w:tc>
                <w:tcPr/>
                <w:p>
                  <w:pPr>
                    <w:pStyle w:val="Compact"/>
                    <w:jc w:val="right"/>
                    <w:jc w:val="center"/>
                  </w:pPr>
                  <w:r>
                    <w:t xml:space="preserve">-1.14</w:t>
                  </w:r>
                </w:p>
              </w:tc>
              <w:tc>
                <w:tcPr/>
                <w:p>
                  <w:pPr>
                    <w:pStyle w:val="Compact"/>
                    <w:jc w:val="right"/>
                    <w:jc w:val="center"/>
                  </w:pPr>
                  <w:r>
                    <w:t xml:space="preserve">0.275</w:t>
                  </w:r>
                </w:p>
              </w:tc>
              <w:tc>
                <w:tcPr/>
                <w:p>
                  <w:pPr>
                    <w:pStyle w:val="Compact"/>
                  </w:pPr>
                </w:p>
              </w:tc>
            </w:tr>
            <w:tr>
              <w:tc>
                <w:tcPr/>
                <w:p>
                  <w:pPr>
                    <w:pStyle w:val="Compact"/>
                    <w:jc w:val="left"/>
                    <w:jc w:val="center"/>
                  </w:pPr>
                  <w:r>
                    <w:t xml:space="preserve">A²</w:t>
                  </w:r>
                </w:p>
              </w:tc>
              <w:tc>
                <w:tcPr/>
                <w:p>
                  <w:pPr>
                    <w:pStyle w:val="Compact"/>
                    <w:jc w:val="right"/>
                    <w:jc w:val="center"/>
                  </w:pPr>
                  <w:r>
                    <w:t xml:space="preserve">0.00932</w:t>
                  </w:r>
                </w:p>
              </w:tc>
              <w:tc>
                <w:tcPr/>
                <w:p>
                  <w:pPr>
                    <w:pStyle w:val="Compact"/>
                    <w:jc w:val="right"/>
                    <w:jc w:val="center"/>
                  </w:pPr>
                  <w:r>
                    <w:t xml:space="preserve">0.00902</w:t>
                  </w:r>
                </w:p>
              </w:tc>
              <w:tc>
                <w:tcPr/>
                <w:p>
                  <w:pPr>
                    <w:pStyle w:val="Compact"/>
                    <w:jc w:val="right"/>
                    <w:jc w:val="center"/>
                  </w:pPr>
                  <w:r>
                    <w:t xml:space="preserve">1.03</w:t>
                  </w:r>
                </w:p>
              </w:tc>
              <w:tc>
                <w:tcPr/>
                <w:p>
                  <w:pPr>
                    <w:pStyle w:val="Compact"/>
                    <w:jc w:val="right"/>
                    <w:jc w:val="center"/>
                  </w:pPr>
                  <w:r>
                    <w:t xml:space="preserve">0.32</w:t>
                  </w:r>
                </w:p>
              </w:tc>
              <w:tc>
                <w:tcPr/>
                <w:p>
                  <w:pPr>
                    <w:pStyle w:val="Compact"/>
                  </w:pPr>
                </w:p>
              </w:tc>
            </w:tr>
            <w:tr>
              <w:tc>
                <w:tcPr/>
                <w:p>
                  <w:pPr>
                    <w:pStyle w:val="Compact"/>
                    <w:jc w:val="left"/>
                    <w:jc w:val="center"/>
                  </w:pPr>
                  <w:r>
                    <w:t xml:space="preserve">B²</w:t>
                  </w:r>
                </w:p>
              </w:tc>
              <w:tc>
                <w:tcPr/>
                <w:p>
                  <w:pPr>
                    <w:pStyle w:val="Compact"/>
                    <w:jc w:val="right"/>
                    <w:jc w:val="center"/>
                  </w:pPr>
                  <w:r>
                    <w:t xml:space="preserve">0.000524</w:t>
                  </w:r>
                </w:p>
              </w:tc>
              <w:tc>
                <w:tcPr/>
                <w:p>
                  <w:pPr>
                    <w:pStyle w:val="Compact"/>
                    <w:jc w:val="right"/>
                    <w:jc w:val="center"/>
                  </w:pPr>
                  <w:r>
                    <w:t xml:space="preserve">0.00902</w:t>
                  </w:r>
                </w:p>
              </w:tc>
              <w:tc>
                <w:tcPr/>
                <w:p>
                  <w:pPr>
                    <w:pStyle w:val="Compact"/>
                    <w:jc w:val="right"/>
                    <w:jc w:val="center"/>
                  </w:pPr>
                  <w:r>
                    <w:t xml:space="preserve">0.0581</w:t>
                  </w:r>
                </w:p>
              </w:tc>
              <w:tc>
                <w:tcPr/>
                <w:p>
                  <w:pPr>
                    <w:pStyle w:val="Compact"/>
                    <w:jc w:val="right"/>
                    <w:jc w:val="center"/>
                  </w:pPr>
                  <w:r>
                    <w:t xml:space="preserve">0.955</w:t>
                  </w:r>
                </w:p>
              </w:tc>
              <w:tc>
                <w:tcPr/>
                <w:p>
                  <w:pPr>
                    <w:pStyle w:val="Compact"/>
                  </w:pPr>
                </w:p>
              </w:tc>
            </w:tr>
            <w:tr>
              <w:tc>
                <w:tcPr/>
                <w:p>
                  <w:pPr>
                    <w:pStyle w:val="Compact"/>
                    <w:jc w:val="left"/>
                    <w:jc w:val="center"/>
                  </w:pPr>
                  <w:r>
                    <w:t xml:space="preserve">C²</w:t>
                  </w:r>
                </w:p>
              </w:tc>
              <w:tc>
                <w:tcPr/>
                <w:p>
                  <w:pPr>
                    <w:pStyle w:val="Compact"/>
                    <w:jc w:val="right"/>
                    <w:jc w:val="center"/>
                  </w:pPr>
                  <w:r>
                    <w:t xml:space="preserve">0.00152</w:t>
                  </w:r>
                </w:p>
              </w:tc>
              <w:tc>
                <w:tcPr/>
                <w:p>
                  <w:pPr>
                    <w:pStyle w:val="Compact"/>
                    <w:jc w:val="right"/>
                    <w:jc w:val="center"/>
                  </w:pPr>
                  <w:r>
                    <w:t xml:space="preserve">0.00902</w:t>
                  </w:r>
                </w:p>
              </w:tc>
              <w:tc>
                <w:tcPr/>
                <w:p>
                  <w:pPr>
                    <w:pStyle w:val="Compact"/>
                    <w:jc w:val="right"/>
                    <w:jc w:val="center"/>
                  </w:pPr>
                  <w:r>
                    <w:t xml:space="preserve">0.168</w:t>
                  </w:r>
                </w:p>
              </w:tc>
              <w:tc>
                <w:tcPr/>
                <w:p>
                  <w:pPr>
                    <w:pStyle w:val="Compact"/>
                    <w:jc w:val="right"/>
                    <w:jc w:val="center"/>
                  </w:pPr>
                  <w:r>
                    <w:t xml:space="preserve">0.869</w:t>
                  </w:r>
                </w:p>
              </w:tc>
              <w:tc>
                <w:tcPr/>
                <w:p>
                  <w:pPr>
                    <w:pStyle w:val="Compact"/>
                  </w:pPr>
                </w:p>
              </w:tc>
            </w:tr>
            <w:tr>
              <w:tc>
                <w:tcPr/>
                <w:p>
                  <w:pPr>
                    <w:pStyle w:val="Compact"/>
                    <w:jc w:val="left"/>
                    <w:jc w:val="center"/>
                  </w:pPr>
                  <w:r>
                    <w:t xml:space="preserve">D²</w:t>
                  </w:r>
                </w:p>
              </w:tc>
              <w:tc>
                <w:tcPr/>
                <w:p>
                  <w:pPr>
                    <w:pStyle w:val="Compact"/>
                    <w:jc w:val="right"/>
                    <w:jc w:val="center"/>
                  </w:pPr>
                  <w:r>
                    <w:t xml:space="preserve">0.00177</w:t>
                  </w:r>
                </w:p>
              </w:tc>
              <w:tc>
                <w:tcPr/>
                <w:p>
                  <w:pPr>
                    <w:pStyle w:val="Compact"/>
                    <w:jc w:val="right"/>
                    <w:jc w:val="center"/>
                  </w:pPr>
                  <w:r>
                    <w:t xml:space="preserve">0.00902</w:t>
                  </w:r>
                </w:p>
              </w:tc>
              <w:tc>
                <w:tcPr/>
                <w:p>
                  <w:pPr>
                    <w:pStyle w:val="Compact"/>
                    <w:jc w:val="right"/>
                    <w:jc w:val="center"/>
                  </w:pPr>
                  <w:r>
                    <w:t xml:space="preserve">0.196</w:t>
                  </w:r>
                </w:p>
              </w:tc>
              <w:tc>
                <w:tcPr/>
                <w:p>
                  <w:pPr>
                    <w:pStyle w:val="Compact"/>
                    <w:jc w:val="right"/>
                    <w:jc w:val="center"/>
                  </w:pPr>
                  <w:r>
                    <w:t xml:space="preserve">0.847</w:t>
                  </w:r>
                </w:p>
              </w:tc>
              <w:tc>
                <w:tcPr/>
                <w:p>
                  <w:pPr>
                    <w:pStyle w:val="Compact"/>
                  </w:pPr>
                </w:p>
              </w:tc>
            </w:tr>
          </w:tbl>
          <w:bookmarkEnd w:id="104"/>
          <w:p/>
        </w:tc>
      </w:tr>
    </w:tbl>
    <w:bookmarkEnd w:id="105"/>
    <w:bookmarkStart w:id="107" w:name="appendix-d-analytical-methods-summary"/>
    <w:p>
      <w:pPr>
        <w:pStyle w:val="Heading2"/>
      </w:pPr>
      <w:r>
        <w:t xml:space="preserve">Appendix D — Analytical methods summary</w:t>
      </w:r>
    </w:p>
    <w:p>
      <w:pPr>
        <w:pStyle w:val="FirstParagraph"/>
      </w:pPr>
      <w:r>
        <w:t xml:space="preserve">Validated method performance for the methods applied at this step is given below, and the</w:t>
      </w:r>
      <w:r>
        <w:t xml:space="preserve"> </w:t>
      </w:r>
      <w:r>
        <w:t xml:space="preserve">remaining methods listed in</w:t>
      </w:r>
      <w:r>
        <w:t xml:space="preserve"> </w:t>
      </w:r>
      <w:hyperlink w:anchor="tbl-methods">
        <w:r>
          <w:rPr>
            <w:rStyle w:val="Hyperlink"/>
          </w:rPr>
          <w:t xml:space="preserve">Table 6</w:t>
        </w:r>
      </w:hyperlink>
      <w:r>
        <w:t xml:space="preserve"> </w:t>
      </w:r>
      <w:r>
        <w:t xml:space="preserve">are covered by their own validation reports.</w:t>
      </w:r>
    </w:p>
    <w:tbl>
      <w:tblPr>
        <w:tblStyle w:val="Table"/>
        <w:tblW w:type="pct" w:w="5000"/>
        <w:tblLayout w:type="fixed"/>
        <w:tblLook w:firstRow="0" w:lastRow="0" w:firstColumn="0" w:lastColumn="0" w:noHBand="0" w:noVBand="0" w:val="0000"/>
      </w:tblPr>
      <w:tblGrid>
        <w:gridCol w:w="7920"/>
      </w:tblGrid>
      <w:tr>
        <w:tc>
          <w:tcPr/>
          <w:bookmarkStart w:id="106" w:name="tbl-appd"/>
          <w:p>
            <w:pPr>
              <w:jc w:val="center"/>
            </w:pPr>
            <w:pPr>
              <w:jc w:val="left"/>
              <w:spacing w:before="200"/>
              <w:pStyle w:val="ImageCaption"/>
            </w:pPr>
            <w:r>
              <w:t xml:space="preserve">Table 28: Performance of the validated analytical methods applied at this step.</w:t>
            </w:r>
          </w:p>
          <w:tbl>
            <w:tblPr>
              <w:tblStyle w:val="Table"/>
              <w:tblW w:type="pct" w:w="5000"/>
              <w:tblLayout w:type="fixed"/>
              <w:tblLook w:firstRow="1" w:lastRow="0" w:firstColumn="0" w:lastColumn="0" w:noHBand="0" w:noVBand="0" w:val="0020"/>
            </w:tblPr>
            <w:tblGrid>
              <w:gridCol w:w="565"/>
              <w:gridCol w:w="2093"/>
              <w:gridCol w:w="1470"/>
              <w:gridCol w:w="395"/>
              <w:gridCol w:w="961"/>
              <w:gridCol w:w="905"/>
              <w:gridCol w:w="1527"/>
            </w:tblGrid>
            <w:tr>
              <w:trPr>
                <w:tblHeader w:val="on"/>
              </w:trPr>
              <w:tc>
                <w:tcPr/>
                <w:p>
                  <w:pPr>
                    <w:pStyle w:val="Compact"/>
                    <w:jc w:val="left"/>
                    <w:jc w:val="center"/>
                  </w:pPr>
                  <w:r>
                    <w:t xml:space="preserve">Method</w:t>
                  </w:r>
                </w:p>
              </w:tc>
              <w:tc>
                <w:tcPr/>
                <w:p>
                  <w:pPr>
                    <w:pStyle w:val="Compact"/>
                    <w:jc w:val="left"/>
                    <w:jc w:val="center"/>
                  </w:pPr>
                  <w:r>
                    <w:t xml:space="preserve">Analytical method</w:t>
                  </w:r>
                </w:p>
              </w:tc>
              <w:tc>
                <w:tcPr/>
                <w:p>
                  <w:pPr>
                    <w:pStyle w:val="Compact"/>
                    <w:jc w:val="right"/>
                    <w:jc w:val="center"/>
                  </w:pPr>
                  <w:r>
                    <w:t xml:space="preserve">Intermediate precision</w:t>
                  </w:r>
                </w:p>
              </w:tc>
              <w:tc>
                <w:tcPr/>
                <w:p>
                  <w:pPr>
                    <w:pStyle w:val="Compact"/>
                    <w:jc w:val="right"/>
                    <w:jc w:val="center"/>
                  </w:pPr>
                  <w:r>
                    <w:t xml:space="preserve">LOQ</w:t>
                  </w:r>
                </w:p>
              </w:tc>
              <w:tc>
                <w:tcPr/>
                <w:p>
                  <w:pPr>
                    <w:pStyle w:val="Compact"/>
                    <w:jc w:val="left"/>
                    <w:jc w:val="center"/>
                  </w:pPr>
                  <w:r>
                    <w:t xml:space="preserve">LOQ unit</w:t>
                  </w:r>
                </w:p>
              </w:tc>
              <w:tc>
                <w:tcPr/>
                <w:p>
                  <w:pPr>
                    <w:pStyle w:val="Compact"/>
                    <w:jc w:val="right"/>
                    <w:jc w:val="center"/>
                  </w:pPr>
                  <w:r>
                    <w:t xml:space="preserve">Accuracy (%)</w:t>
                  </w:r>
                </w:p>
              </w:tc>
              <w:tc>
                <w:tcPr/>
                <w:p>
                  <w:pPr>
                    <w:pStyle w:val="Compact"/>
                    <w:jc w:val="right"/>
                    <w:jc w:val="center"/>
                  </w:pPr>
                  <w:r>
                    <w:t xml:space="preserve">Assay share of variance</w:t>
                  </w:r>
                </w:p>
              </w:tc>
            </w:tr>
            <w:tr>
              <w:tc>
                <w:tcPr/>
                <w:p>
                  <w:pPr>
                    <w:pStyle w:val="Compact"/>
                    <w:jc w:val="left"/>
                    <w:jc w:val="center"/>
                  </w:pPr>
                  <w:r>
                    <w:t xml:space="preserve">AMV-3016</w:t>
                  </w:r>
                </w:p>
              </w:tc>
              <w:tc>
                <w:tcPr/>
                <w:p>
                  <w:pPr>
                    <w:pStyle w:val="Compact"/>
                    <w:jc w:val="left"/>
                    <w:jc w:val="center"/>
                  </w:pPr>
                  <w:r>
                    <w:t xml:space="preserve">Leached Protein A by ELISA</w:t>
                  </w:r>
                </w:p>
              </w:tc>
              <w:tc>
                <w:tcPr/>
                <w:p>
                  <w:pPr>
                    <w:pStyle w:val="Compact"/>
                    <w:jc w:val="right"/>
                    <w:jc w:val="center"/>
                  </w:pPr>
                  <w:r>
                    <w:t xml:space="preserve">6.5</w:t>
                  </w:r>
                </w:p>
              </w:tc>
              <w:tc>
                <w:tcPr/>
                <w:p>
                  <w:pPr>
                    <w:pStyle w:val="Compact"/>
                    <w:jc w:val="right"/>
                    <w:jc w:val="center"/>
                  </w:pPr>
                  <w:r>
                    <w:t xml:space="preserve">0.25</w:t>
                  </w:r>
                </w:p>
              </w:tc>
              <w:tc>
                <w:tcPr/>
                <w:p>
                  <w:pPr>
                    <w:pStyle w:val="Compact"/>
                    <w:jc w:val="left"/>
                    <w:jc w:val="center"/>
                  </w:pPr>
                  <w:r>
                    <w:t xml:space="preserve">ppm</w:t>
                  </w:r>
                </w:p>
              </w:tc>
              <w:tc>
                <w:tcPr/>
                <w:p>
                  <w:pPr>
                    <w:pStyle w:val="Compact"/>
                    <w:jc w:val="right"/>
                    <w:jc w:val="center"/>
                  </w:pPr>
                  <w:r>
                    <w:t xml:space="preserve">97.4</w:t>
                  </w:r>
                </w:p>
              </w:tc>
              <w:tc>
                <w:tcPr/>
                <w:p>
                  <w:pPr>
                    <w:pStyle w:val="Compact"/>
                    <w:jc w:val="right"/>
                    <w:jc w:val="center"/>
                  </w:pPr>
                  <w:r>
                    <w:t xml:space="preserve">0.41</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right"/>
                    <w:jc w:val="center"/>
                  </w:pPr>
                  <w:r>
                    <w:t xml:space="preserve">0.3</w:t>
                  </w:r>
                </w:p>
              </w:tc>
              <w:tc>
                <w:tcPr/>
                <w:p>
                  <w:pPr>
                    <w:pStyle w:val="Compact"/>
                    <w:jc w:val="right"/>
                    <w:jc w:val="center"/>
                  </w:pPr>
                  <w:r>
                    <w:t xml:space="preserve">1.5</w:t>
                  </w:r>
                </w:p>
              </w:tc>
              <w:tc>
                <w:tcPr/>
                <w:p>
                  <w:pPr>
                    <w:pStyle w:val="Compact"/>
                    <w:jc w:val="left"/>
                    <w:jc w:val="center"/>
                  </w:pPr>
                  <w:r>
                    <w:t xml:space="preserve">log10 TCID50/mL</w:t>
                  </w:r>
                </w:p>
              </w:tc>
              <w:tc>
                <w:tcPr/>
                <w:p>
                  <w:pPr>
                    <w:pStyle w:val="Compact"/>
                    <w:jc w:val="right"/>
                    <w:jc w:val="center"/>
                  </w:pPr>
                  <w:r>
                    <w:t xml:space="preserve">96</w:t>
                  </w:r>
                </w:p>
              </w:tc>
              <w:tc>
                <w:tcPr/>
                <w:p>
                  <w:pPr>
                    <w:pStyle w:val="Compact"/>
                    <w:jc w:val="right"/>
                    <w:jc w:val="center"/>
                  </w:pPr>
                  <w:r>
                    <w:t xml:space="preserve">0.28</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right"/>
                    <w:jc w:val="center"/>
                  </w:pPr>
                  <w:r>
                    <w:t xml:space="preserve">0.32</w:t>
                  </w:r>
                </w:p>
              </w:tc>
              <w:tc>
                <w:tcPr/>
                <w:p>
                  <w:pPr>
                    <w:pStyle w:val="Compact"/>
                    <w:jc w:val="right"/>
                    <w:jc w:val="center"/>
                  </w:pPr>
                  <w:r>
                    <w:t xml:space="preserve">1.4</w:t>
                  </w:r>
                </w:p>
              </w:tc>
              <w:tc>
                <w:tcPr/>
                <w:p>
                  <w:pPr>
                    <w:pStyle w:val="Compact"/>
                    <w:jc w:val="left"/>
                    <w:jc w:val="center"/>
                  </w:pPr>
                  <w:r>
                    <w:t xml:space="preserve">log10 TCID50/mL</w:t>
                  </w:r>
                </w:p>
              </w:tc>
              <w:tc>
                <w:tcPr/>
                <w:p>
                  <w:pPr>
                    <w:pStyle w:val="Compact"/>
                    <w:jc w:val="right"/>
                    <w:jc w:val="center"/>
                  </w:pPr>
                  <w:r>
                    <w:t xml:space="preserve">96</w:t>
                  </w:r>
                </w:p>
              </w:tc>
              <w:tc>
                <w:tcPr/>
                <w:p>
                  <w:pPr>
                    <w:pStyle w:val="Compact"/>
                    <w:jc w:val="right"/>
                    <w:jc w:val="center"/>
                  </w:pPr>
                  <w:r>
                    <w:t xml:space="preserve">0.3</w:t>
                  </w:r>
                </w:p>
              </w:tc>
            </w:tr>
            <w:tr>
              <w:tc>
                <w:tcPr/>
                <w:p>
                  <w:pPr>
                    <w:pStyle w:val="Compact"/>
                    <w:jc w:val="left"/>
                    <w:jc w:val="center"/>
                  </w:pPr>
                  <w:r>
                    <w:t xml:space="preserve">AMV-3012</w:t>
                  </w:r>
                </w:p>
              </w:tc>
              <w:tc>
                <w:tcPr/>
                <w:p>
                  <w:pPr>
                    <w:pStyle w:val="Compact"/>
                    <w:jc w:val="left"/>
                    <w:jc w:val="center"/>
                  </w:pPr>
                  <w:r>
                    <w:t xml:space="preserve">Host-Cell Protein by ELISA</w:t>
                  </w:r>
                </w:p>
              </w:tc>
              <w:tc>
                <w:tcPr/>
                <w:p>
                  <w:pPr>
                    <w:pStyle w:val="Compact"/>
                    <w:jc w:val="right"/>
                    <w:jc w:val="center"/>
                  </w:pPr>
                  <w:r>
                    <w:t xml:space="preserve">9.5</w:t>
                  </w:r>
                </w:p>
              </w:tc>
              <w:tc>
                <w:tcPr/>
                <w:p>
                  <w:pPr>
                    <w:pStyle w:val="Compact"/>
                    <w:jc w:val="right"/>
                    <w:jc w:val="center"/>
                  </w:pPr>
                  <w:r>
                    <w:t xml:space="preserve">1</w:t>
                  </w:r>
                </w:p>
              </w:tc>
              <w:tc>
                <w:tcPr/>
                <w:p>
                  <w:pPr>
                    <w:pStyle w:val="Compact"/>
                    <w:jc w:val="left"/>
                    <w:jc w:val="center"/>
                  </w:pPr>
                  <w:r>
                    <w:t xml:space="preserve">ng/mg</w:t>
                  </w:r>
                </w:p>
              </w:tc>
              <w:tc>
                <w:tcPr/>
                <w:p>
                  <w:pPr>
                    <w:pStyle w:val="Compact"/>
                    <w:jc w:val="right"/>
                    <w:jc w:val="center"/>
                  </w:pPr>
                  <w:r>
                    <w:t xml:space="preserve">95</w:t>
                  </w:r>
                </w:p>
              </w:tc>
              <w:tc>
                <w:tcPr/>
                <w:p>
                  <w:pPr>
                    <w:pStyle w:val="Compact"/>
                    <w:jc w:val="right"/>
                    <w:jc w:val="center"/>
                  </w:pPr>
                  <w:r>
                    <w:t xml:space="preserve">0.4</w:t>
                  </w:r>
                </w:p>
              </w:tc>
            </w:tr>
          </w:tbl>
          <w:bookmarkEnd w:id="106"/>
          <w:p/>
        </w:tc>
      </w:tr>
    </w:tbl>
    <w:p>
      <w:r>
        <w:br w:type="page"/>
      </w:r>
    </w:p>
    <w:bookmarkEnd w:id="107"/>
    <w:bookmarkEnd w:id="108"/>
    <w:bookmarkStart w:id="117" w:name="references"/>
    <w:p>
      <w:pPr>
        <w:pStyle w:val="Heading1"/>
      </w:pPr>
      <w:r>
        <w:t xml:space="preserve">References</w:t>
      </w:r>
    </w:p>
    <w:bookmarkStart w:id="116" w:name="refs"/>
    <w:bookmarkStart w:id="109"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109"/>
    <w:bookmarkStart w:id="110" w:name="ref-ichq10"/>
    <w:p>
      <w:pPr>
        <w:pStyle w:val="Bibliography"/>
      </w:pPr>
      <w:r>
        <w:t xml:space="preserve">International Council for Harmonisation. 2008.</w:t>
      </w:r>
      <w:r>
        <w:t xml:space="preserve"> </w:t>
      </w:r>
      <w:r>
        <w:rPr>
          <w:i/>
          <w:iCs/>
        </w:rPr>
        <w:t xml:space="preserve">ICH Q10: Pharmaceutical Quality System</w:t>
      </w:r>
      <w:r>
        <w:t xml:space="preserve">. ICH.</w:t>
      </w:r>
    </w:p>
    <w:bookmarkEnd w:id="110"/>
    <w:bookmarkStart w:id="111"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111"/>
    <w:bookmarkStart w:id="112" w:name="ref-ichq11"/>
    <w:p>
      <w:pPr>
        <w:pStyle w:val="Bibliography"/>
      </w:pPr>
      <w:r>
        <w:t xml:space="preserve">International Council for Harmonisation. 2012.</w:t>
      </w:r>
      <w:r>
        <w:t xml:space="preserve"> </w:t>
      </w:r>
      <w:r>
        <w:rPr>
          <w:i/>
          <w:iCs/>
        </w:rPr>
        <w:t xml:space="preserve">ICH Q11: Development and Manufacture of Drug Substances</w:t>
      </w:r>
      <w:r>
        <w:t xml:space="preserve">. ICH.</w:t>
      </w:r>
    </w:p>
    <w:bookmarkEnd w:id="112"/>
    <w:bookmarkStart w:id="113" w:name="ref-ichq5a"/>
    <w:p>
      <w:pPr>
        <w:pStyle w:val="Bibliography"/>
      </w:pPr>
      <w:r>
        <w:t xml:space="preserve">International Council for Harmonisation. 2023a.</w:t>
      </w:r>
      <w:r>
        <w:t xml:space="preserve"> </w:t>
      </w:r>
      <w:r>
        <w:rPr>
          <w:i/>
          <w:iCs/>
        </w:rPr>
        <w:t xml:space="preserve">ICH Q5A(R2): Viral Safety Evaluation of Biotechnology Products Derived from Cell Lines of Human or Animal Origin</w:t>
      </w:r>
      <w:r>
        <w:t xml:space="preserve">. ICH.</w:t>
      </w:r>
    </w:p>
    <w:bookmarkEnd w:id="113"/>
    <w:bookmarkStart w:id="114" w:name="ref-ichq9"/>
    <w:p>
      <w:pPr>
        <w:pStyle w:val="Bibliography"/>
      </w:pPr>
      <w:r>
        <w:t xml:space="preserve">International Council for Harmonisation. 2023b.</w:t>
      </w:r>
      <w:r>
        <w:t xml:space="preserve"> </w:t>
      </w:r>
      <w:r>
        <w:rPr>
          <w:i/>
          <w:iCs/>
        </w:rPr>
        <w:t xml:space="preserve">ICH Q9(R1): Quality Risk Management</w:t>
      </w:r>
      <w:r>
        <w:t xml:space="preserve">. ICH.</w:t>
      </w:r>
    </w:p>
    <w:bookmarkEnd w:id="114"/>
    <w:bookmarkStart w:id="115"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322">
    <w:nsid w:val="0A9973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num w:numId="1000">
    <w:abstractNumId w:val="990"/>
  </w:num>
  <w:num w:numId="1001">
    <w:abstractNumId w:val="991"/>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7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81" Target="media/rId81.png" /><Relationship Type="http://schemas.openxmlformats.org/officeDocument/2006/relationships/image" Id="rId73" Target="media/rId73.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2026-07-27T07:59:14Z</dcterms:created>
  <dcterms:modified xsi:type="dcterms:W3CDTF">2026-07-27T07:59:14Z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Anion Exchange Chromatography (Step 8) — PCR-008</vt:lpwstr>
  </property>
  <property fmtid="{D5CDD505-2E9C-101B-9397-08002B2CF9AE}" pid="15" name="tbl-cap-location">
    <vt:lpwstr>top</vt:lpwstr>
  </property>
  <property fmtid="{D5CDD505-2E9C-101B-9397-08002B2CF9AE}" pid="16" name="toc-title">
    <vt:lpwstr>Table of contents</vt:lpwstr>
  </property>
</Properties>
</file>