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Investigation Report</w:t>
      </w:r>
    </w:p>
    <w:p>
      <w:pPr>
        <w:pStyle w:val="Subtitle"/>
      </w:pPr>
      <w:r>
        <w:t xml:space="preserve">A-Mab Drug Substance — INV-001</w:t>
      </w:r>
    </w:p>
    <w:p>
      <w:pPr>
        <w:pStyle w:val="Author"/>
      </w:pPr>
      <w:r>
        <w:t xml:space="preserve">Quality Assurance (QA)</w:t>
      </w:r>
    </w:p>
    <w:p>
      <w:pPr>
        <w:pStyle w:val="Date"/>
      </w:pPr>
      <w:r>
        <w:t xml:space="preserve">2026-09-18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W w:type="pct" w:w="5000"/>
        <w:tblLayout w:type="fixed"/>
        <w:tblLook w:firstRow="1" w:lastRow="0" w:firstColumn="0" w:lastColumn="0" w:noHBand="0" w:noVBand="0" w:val="0020"/>
      </w:tblPr>
      <w:tblGrid>
        <w:gridCol w:w="975"/>
        <w:gridCol w:w="6944"/>
      </w:tblGrid>
      <w:tr>
        <w:trPr>
          <w:tblHeader w:val="on"/>
        </w:trPr>
        <w:tc>
          <w:tcPr/>
          <w:p>
            <w:pPr>
              <w:pStyle w:val="Compact"/>
              <w:jc w:val="left"/>
            </w:pPr>
            <w:r>
              <w:t xml:space="preserve">Field</w:t>
            </w:r>
          </w:p>
        </w:tc>
        <w:tc>
          <w:tcPr/>
          <w:p>
            <w:pPr>
              <w:pStyle w:val="Compact"/>
              <w:jc w:val="left"/>
            </w:pPr>
            <w:r>
              <w:t xml:space="preserve">Value</w:t>
            </w:r>
          </w:p>
        </w:tc>
      </w:tr>
      <w:tr>
        <w:tc>
          <w:tcPr/>
          <w:p>
            <w:pPr>
              <w:pStyle w:val="Compact"/>
              <w:jc w:val="left"/>
            </w:pPr>
            <w:r>
              <w:t xml:space="preserve">Document ID</w:t>
            </w:r>
          </w:p>
        </w:tc>
        <w:tc>
          <w:tcPr/>
          <w:p>
            <w:pPr>
              <w:pStyle w:val="Compact"/>
              <w:jc w:val="left"/>
            </w:pPr>
            <w:r>
              <w:t xml:space="preserve">INV-001</w:t>
            </w:r>
          </w:p>
        </w:tc>
      </w:tr>
      <w:tr>
        <w:tc>
          <w:tcPr/>
          <w:p>
            <w:pPr>
              <w:pStyle w:val="Compact"/>
              <w:jc w:val="left"/>
            </w:pPr>
            <w:r>
              <w:t xml:space="preserve">Document class</w:t>
            </w:r>
          </w:p>
        </w:tc>
        <w:tc>
          <w:tcPr/>
          <w:p>
            <w:pPr>
              <w:pStyle w:val="Compact"/>
              <w:jc w:val="left"/>
            </w:pPr>
            <w:r>
              <w:t xml:space="preserve">Investigation Report</w:t>
            </w:r>
          </w:p>
        </w:tc>
      </w:tr>
      <w:tr>
        <w:tc>
          <w:tcPr/>
          <w:p>
            <w:pPr>
              <w:pStyle w:val="Compact"/>
              <w:jc w:val="left"/>
            </w:pPr>
            <w:r>
              <w:t xml:space="preserve">Title</w:t>
            </w:r>
          </w:p>
        </w:tc>
        <w:tc>
          <w:tcPr/>
          <w:p>
            <w:pPr>
              <w:pStyle w:val="Compact"/>
              <w:jc w:val="left"/>
            </w:pPr>
            <w:r>
              <w:t xml:space="preserve">Investigation Report: A-Mab Drug Substance</w:t>
            </w:r>
          </w:p>
        </w:tc>
      </w:tr>
      <w:tr>
        <w:tc>
          <w:tcPr/>
          <w:p>
            <w:pPr>
              <w:pStyle w:val="Compact"/>
              <w:jc w:val="left"/>
            </w:pPr>
            <w:r>
              <w:t xml:space="preserve">Product</w:t>
            </w:r>
          </w:p>
        </w:tc>
        <w:tc>
          <w:tcPr/>
          <w:p>
            <w:pPr>
              <w:pStyle w:val="Compact"/>
              <w:jc w:val="left"/>
            </w:pPr>
            <w:r>
              <w:t xml:space="preserve">A-Mab</w:t>
            </w:r>
          </w:p>
        </w:tc>
      </w:tr>
      <w:tr>
        <w:tc>
          <w:tcPr/>
          <w:p>
            <w:pPr>
              <w:pStyle w:val="Compact"/>
              <w:jc w:val="left"/>
            </w:pPr>
            <w:r>
              <w:t xml:space="preserve">Version</w:t>
            </w:r>
          </w:p>
        </w:tc>
        <w:tc>
          <w:tcPr/>
          <w:p>
            <w:pPr>
              <w:pStyle w:val="Compact"/>
              <w:jc w:val="left"/>
            </w:pPr>
            <w:r>
              <w:t xml:space="preserve">1.0</w:t>
            </w:r>
          </w:p>
        </w:tc>
      </w:tr>
      <w:tr>
        <w:tc>
          <w:tcPr/>
          <w:p>
            <w:pPr>
              <w:pStyle w:val="Compact"/>
              <w:jc w:val="left"/>
            </w:pPr>
            <w:r>
              <w:t xml:space="preserve">Effective date</w:t>
            </w:r>
          </w:p>
        </w:tc>
        <w:tc>
          <w:tcPr/>
          <w:p>
            <w:pPr>
              <w:pStyle w:val="Compact"/>
              <w:jc w:val="left"/>
            </w:pPr>
            <w:r>
              <w:t xml:space="preserve">2026-09-18</w:t>
            </w:r>
          </w:p>
        </w:tc>
      </w:tr>
      <w:tr>
        <w:tc>
          <w:tcPr/>
          <w:p>
            <w:pPr>
              <w:pStyle w:val="Compact"/>
              <w:jc w:val="left"/>
            </w:pPr>
            <w:r>
              <w:t xml:space="preserve">Supersedes</w:t>
            </w:r>
          </w:p>
        </w:tc>
        <w:tc>
          <w:tcPr/>
          <w:p>
            <w:pPr>
              <w:pStyle w:val="Compact"/>
              <w:jc w:val="left"/>
            </w:pPr>
            <w:r>
              <w:t xml:space="preserve">—</w:t>
            </w:r>
          </w:p>
        </w:tc>
      </w:tr>
      <w:tr>
        <w:tc>
          <w:tcPr/>
          <w:p>
            <w:pPr>
              <w:pStyle w:val="Compact"/>
              <w:jc w:val="left"/>
            </w:pPr>
            <w:r>
              <w:t xml:space="preserve">Status</w:t>
            </w:r>
          </w:p>
        </w:tc>
        <w:tc>
          <w:tcPr/>
          <w:p>
            <w:pPr>
              <w:pStyle w:val="Compact"/>
              <w:jc w:val="left"/>
            </w:pPr>
            <w:r>
              <w:t xml:space="preserve">Approved (synthetic)</w:t>
            </w:r>
          </w:p>
        </w:tc>
      </w:tr>
      <w:tr>
        <w:tc>
          <w:tcPr/>
          <w:p>
            <w:pPr>
              <w:pStyle w:val="Compact"/>
              <w:jc w:val="left"/>
            </w:pPr>
            <w:r>
              <w:t xml:space="preserve">Document owner</w:t>
            </w:r>
          </w:p>
        </w:tc>
        <w:tc>
          <w:tcPr/>
          <w:p>
            <w:pPr>
              <w:pStyle w:val="Compact"/>
              <w:jc w:val="left"/>
            </w:pPr>
            <w:r>
              <w:t xml:space="preserve">Quality Assurance (QA)</w:t>
            </w:r>
          </w:p>
        </w:tc>
      </w:tr>
      <w:tr>
        <w:tc>
          <w:tcPr/>
          <w:p>
            <w:pPr>
              <w:pStyle w:val="Compact"/>
              <w:jc w:val="left"/>
            </w:pPr>
            <w:r>
              <w:t xml:space="preserve">Sponsor / sites</w:t>
            </w:r>
          </w:p>
        </w:tc>
        <w:tc>
          <w:tcPr/>
          <w:p>
            <w:pPr>
              <w:pStyle w:val="Compact"/>
              <w:jc w:val="left"/>
            </w:pPr>
            <w:r>
              <w:t xml:space="preserve">Novacyte Biologics; Novacyte Biologics — Cambridge, MA (Development) → Novacyte Biologics — Grafton, WI (Commercial DS)</w:t>
            </w:r>
          </w:p>
        </w:tc>
      </w:tr>
    </w:tbl>
    <w:p>
      <w:pPr>
        <w:pStyle w:val="BlockText"/>
      </w:pPr>
      <w:r>
        <w:rPr>
          <w:b/>
          <w:bCs/>
        </w:rPr>
        <w:t xml:space="preserve">SYNTHETIC DOCUMENT — NOT A REAL RECORD.</w:t>
      </w:r>
      <w:r>
        <w:t xml:space="preserve"> </w:t>
      </w:r>
      <w:r>
        <w:t xml:space="preserve">Illustrative content generated from a seeded model of the</w:t>
      </w:r>
      <w:r>
        <w:t xml:space="preserve"> </w:t>
      </w:r>
      <w:r>
        <w:rPr>
          <w:i/>
          <w:iCs/>
        </w:rPr>
        <w:t xml:space="preserve">A-Mab</w:t>
      </w:r>
      <w:r>
        <w:t xml:space="preserve"> </w:t>
      </w:r>
      <w:r>
        <w:t xml:space="preserve">case study (CMC Biotech Working Group, 2009). Novacyte Biologics and all sites, SOP/AMV numbers and signatories are fictional. For NLP corpus development only; not for any regulated use.</w:t>
      </w:r>
    </w:p>
    <w:bookmarkStart w:id="21" w:name="approvals"/>
    <w:p>
      <w:pPr>
        <w:pStyle w:val="Heading2"/>
      </w:pPr>
      <w:r>
        <w:t xml:space="preserve">Approvals</w:t>
      </w:r>
    </w:p>
    <w:tbl>
      <w:tblPr>
        <w:tblStyle w:val="Table"/>
        <w:tblW w:type="pct" w:w="5000"/>
        <w:tblLayout w:type="fixed"/>
        <w:tblLook w:firstRow="0" w:lastRow="0" w:firstColumn="0" w:lastColumn="0" w:noHBand="0" w:noVBand="0" w:val="0000"/>
      </w:tblPr>
      <w:tblGrid>
        <w:gridCol w:w="7920"/>
      </w:tblGrid>
      <w:tr>
        <w:tc>
          <w:tcPr/>
          <w:bookmarkStart w:id="20" w:name="tbl-appr"/>
          <w:p>
            <w:pPr>
              <w:jc w:val="center"/>
            </w:pPr>
            <w:pPr>
              <w:jc w:val="start"/>
              <w:spacing w:before="200"/>
              <w:pStyle w:val="ImageCaption"/>
            </w:pPr>
            <w:r>
              <w:t xml:space="preserve">Table 1: Approval record (synthetic; signatures not applied).</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Role</w:t>
                  </w:r>
                </w:p>
              </w:tc>
              <w:tc>
                <w:tcPr/>
                <w:p>
                  <w:pPr>
                    <w:pStyle w:val="Compact"/>
                    <w:jc w:val="center"/>
                  </w:pPr>
                  <w:r>
                    <w:t xml:space="preserve">Function</w:t>
                  </w:r>
                </w:p>
              </w:tc>
              <w:tc>
                <w:tcPr/>
                <w:p>
                  <w:pPr>
                    <w:pStyle w:val="Compact"/>
                    <w:jc w:val="center"/>
                  </w:pPr>
                  <w:r>
                    <w:t xml:space="preserve">Name (synthetic)</w:t>
                  </w:r>
                </w:p>
              </w:tc>
              <w:tc>
                <w:tcPr/>
                <w:p>
                  <w:pPr>
                    <w:pStyle w:val="Compact"/>
                    <w:jc w:val="center"/>
                  </w:pPr>
                  <w:r>
                    <w:t xml:space="preserve">Signature</w:t>
                  </w:r>
                </w:p>
              </w:tc>
              <w:tc>
                <w:tcPr/>
                <w:p>
                  <w:pPr>
                    <w:pStyle w:val="Compact"/>
                    <w:jc w:val="center"/>
                  </w:pPr>
                  <w:r>
                    <w:t xml:space="preserve">Date</w:t>
                  </w:r>
                </w:p>
              </w:tc>
            </w:tr>
            <w:tr>
              <w:tc>
                <w:tcPr/>
                <w:p>
                  <w:pPr>
                    <w:pStyle w:val="Compact"/>
                    <w:jc w:val="center"/>
                  </w:pPr>
                  <w:r>
                    <w:t xml:space="preserve">Author</w:t>
                  </w:r>
                </w:p>
              </w:tc>
              <w:tc>
                <w:tcPr/>
                <w:p>
                  <w:pPr>
                    <w:pStyle w:val="Compact"/>
                    <w:jc w:val="center"/>
                  </w:pPr>
                  <w:r>
                    <w:t xml:space="preserve">Quality Assurance (investigator)</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Manufacturing Science &amp; Technology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Analytical Development</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Reviewer</w:t>
                  </w:r>
                </w:p>
              </w:tc>
              <w:tc>
                <w:tcPr/>
                <w:p>
                  <w:pPr>
                    <w:pStyle w:val="Compact"/>
                    <w:jc w:val="center"/>
                  </w:pPr>
                  <w:r>
                    <w:t xml:space="preserve">Statistics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r>
              <w:tc>
                <w:tcPr/>
                <w:p>
                  <w:pPr>
                    <w:pStyle w:val="Compact"/>
                    <w:jc w:val="center"/>
                  </w:pPr>
                  <w:r>
                    <w:t xml:space="preserve">Approver</w:t>
                  </w:r>
                </w:p>
              </w:tc>
              <w:tc>
                <w:tcPr/>
                <w:p>
                  <w:pPr>
                    <w:pStyle w:val="Compact"/>
                    <w:jc w:val="center"/>
                  </w:pPr>
                  <w:r>
                    <w:t xml:space="preserve">Head of Quality</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r>
          </w:tbl>
          <w:bookmarkEnd w:id="20"/>
          <w:p/>
        </w:tc>
      </w:tr>
    </w:tbl>
    <w:bookmarkEnd w:id="21"/>
    <w:bookmarkStart w:id="22" w:name="revision-history"/>
    <w:p>
      <w:pPr>
        <w:pStyle w:val="Heading2"/>
      </w:pPr>
      <w:r>
        <w:t xml:space="preserve">Revision history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Version</w:t>
            </w:r>
          </w:p>
        </w:tc>
        <w:tc>
          <w:tcPr/>
          <w:p>
            <w:pPr>
              <w:pStyle w:val="Compact"/>
              <w:jc w:val="left"/>
            </w:pPr>
            <w:r>
              <w:t xml:space="preserve">Effective date</w:t>
            </w:r>
          </w:p>
        </w:tc>
        <w:tc>
          <w:tcPr/>
          <w:p>
            <w:pPr>
              <w:pStyle w:val="Compact"/>
              <w:jc w:val="left"/>
            </w:pPr>
            <w:r>
              <w:t xml:space="preserve">Description of change</w:t>
            </w:r>
          </w:p>
        </w:tc>
      </w:tr>
      <w:tr>
        <w:tc>
          <w:tcPr/>
          <w:p>
            <w:pPr>
              <w:pStyle w:val="Compact"/>
              <w:jc w:val="left"/>
            </w:pPr>
            <w:r>
              <w:t xml:space="preserve">1.0</w:t>
            </w:r>
          </w:p>
        </w:tc>
        <w:tc>
          <w:tcPr/>
          <w:p>
            <w:pPr>
              <w:pStyle w:val="Compact"/>
              <w:jc w:val="left"/>
            </w:pPr>
            <w:r>
              <w:t xml:space="preserve">2026-09-18</w:t>
            </w:r>
          </w:p>
        </w:tc>
        <w:tc>
          <w:tcPr/>
          <w:p>
            <w:pPr>
              <w:pStyle w:val="Compact"/>
              <w:jc w:val="left"/>
            </w:pPr>
            <w:r>
              <w:t xml:space="preserve">Initial issue</w:t>
            </w:r>
          </w:p>
        </w:tc>
      </w:tr>
    </w:tbl>
    <w:bookmarkEnd w:id="22"/>
    <w:bookmarkStart w:id="23" w:name="abbreviations"/>
    <w:p>
      <w:pPr>
        <w:pStyle w:val="Heading2"/>
      </w:pPr>
      <w:r>
        <w:t xml:space="preserve">Abbreviations</w:t>
      </w:r>
    </w:p>
    <w:p>
      <w:pPr>
        <w:pStyle w:val="FirstParagraph"/>
      </w:pPr>
      <w:r>
        <w:t xml:space="preserve">AEX, anion exchange chromatography; BLA, Biologics License Application; CAPA, corrective and preventive action; CEX, cation exchange chromatography; Cpk, process capability index; CQA, critical quality attribute; DoE, design of experiments; HCP, host cell protein; HMW, high molecular weight species; LMW, low molecular weight species; MSAT, Manufacturing Science &amp; Technology; MVM, minute virus of mice; NOR, normal operating range; nrCE-SDS, non-reduced capillary electrophoresis with sodium dodecyl sulfate; PAR, proven acceptable range; QA, Quality Assurance; SD, standard deviation; SEC, size-exclusion chromatography; SOP, standard operating procedure; VI, viral inactivation; XMuLV, xenotropic murine leukemia virus.</w:t>
      </w:r>
    </w:p>
    <w:p>
      <w:r>
        <w:br w:type="page"/>
      </w:r>
    </w:p>
    <w:bookmarkEnd w:id="23"/>
    <w:bookmarkStart w:id="24" w:name="summary"/>
    <w:p>
      <w:pPr>
        <w:pStyle w:val="Heading1"/>
      </w:pPr>
      <w:r>
        <w:t xml:space="preserve">Summary</w:t>
      </w:r>
    </w:p>
    <w:p>
      <w:pPr>
        <w:pStyle w:val="FirstParagraph"/>
      </w:pPr>
      <w:r>
        <w:t xml:space="preserve">On 2026-08-03, Quality Assurance opened INV-001 during the review of PCMR-001 Version 1.0 for BLA readiness. The review found that the acceptance criteria against which each step was judged in the proven acceptable range analysis were not in any protocol approved before the studies ran. They had been set at analysis time, after the data were known. The investigation was classified as major.</w:t>
      </w:r>
    </w:p>
    <w:p>
      <w:pPr>
        <w:pStyle w:val="BodyText"/>
      </w:pPr>
      <w:r>
        <w:t xml:space="preserve">Six findings are numbered F1 to F6 in §4. Four concern the criteria themselves. They were defined after the data were seen (F1), the safety factors that divided them differed by step and let every step pass at its own set-point (F2), the bioreactor limits were computed from the capability data they were then used to judge (F3), and acidic variants were assessed for capability against one end of a two-sided range (F4). F5 concerns the records, whose title blocks misstated the dates on which the plans were approved and which gave no execution dates. F6 concerns the method for fragments, where SEC read high in the capture matrices and the method decision AMD-001 was not carried into the documents.</w:t>
      </w:r>
    </w:p>
    <w:p>
      <w:pPr>
        <w:pStyle w:val="BodyText"/>
      </w:pPr>
      <w:r>
        <w:t xml:space="preserve">The root cause is that PCMP-001 Version 1.0 required a criterion for each step but gave no rule for deriving one. The criteria were therefore derived during the analysis, by the people analysing the data (§5).</w:t>
      </w:r>
    </w:p>
    <w:p>
      <w:pPr>
        <w:pStyle w:val="BodyText"/>
      </w:pPr>
      <w:r>
        <w:t xml:space="preserve">The investigation derived intermediate acceptance criteria a priori, carried back from the drug-substance criteria through the platform worst case of each downstream step, with no margin, and re-analysed the same models against them. The corrective actions reissue PCMP-001 at Version 2.0 with these criteria and reissue every other document in the package against them, with fragments measured by nrCE-SDS under AMD-001. They are due on 2026-09-30 and were open at closure. The preventive actions revise SOP-1002 so that a characterization protocol cannot be approved without its criteria (§7).</w:t>
      </w:r>
    </w:p>
    <w:p>
      <w:pPr>
        <w:pStyle w:val="BodyText"/>
      </w:pPr>
      <w:r>
        <w:t xml:space="preserve">Of the 61 proven acceptable ranges that Version 1.0 reported with the other parameters varying within their NORs, 29 are wider in the re-analysis, 4 are narrower, 3 have moved and 25 are unchanged. In the re-analysis, the lowest capability index of the drug substance is that of acidic variants, at 1.03, against its lower limit. No GMP batch was dispositioned on these documents, and there is no product impact (§6).</w:t>
      </w:r>
    </w:p>
    <w:bookmarkEnd w:id="24"/>
    <w:bookmarkStart w:id="25" w:name="event-description"/>
    <w:p>
      <w:pPr>
        <w:pStyle w:val="Heading1"/>
      </w:pPr>
      <w:r>
        <w:t xml:space="preserve">1. Event description</w:t>
      </w:r>
    </w:p>
    <w:p>
      <w:pPr>
        <w:pStyle w:val="FirstParagraph"/>
      </w:pPr>
      <w:r>
        <w:t xml:space="preserve">PCMR-001 Version 1.0 and the reports it consolidates were approved on 2026-07-24. On 2026-08-03, QA reviewed PCMR-001 for use in the BLA. The review traced the in-process criteria in the control strategy of PCMR-001 back to the step plans and step reports. It found that none of the criteria could be traced to a plan as it was approved before execution, and that the master plan gave no rule from which the criteria could have been derived in advance. QA opened INV-001 the same day.</w:t>
      </w:r>
    </w:p>
    <w:p>
      <w:pPr>
        <w:pStyle w:val="BodyText"/>
      </w:pPr>
      <w:r>
        <w:t xml:space="preserve">The 33 studies that Version 1.0 reported were executed between 2025-08-27 and 2026-05-15, and each of them closed before the Version 1.0 reports were approved.</w:t>
      </w:r>
    </w:p>
    <w:p>
      <w:pPr>
        <w:pStyle w:val="BodyText"/>
      </w:pPr>
      <w:r>
        <w:t xml:space="preserve">Two immediate actions were taken on the day the investigation was opened.</w:t>
      </w:r>
    </w:p>
    <w:p>
      <w:pPr>
        <w:pStyle w:val="Compact"/>
        <w:numPr>
          <w:ilvl w:val="0"/>
          <w:numId w:val="1001"/>
        </w:numPr>
      </w:pPr>
      <w:r>
        <w:t xml:space="preserve">The Version 1.0 documents were placed on hold for BLA use. They were kept unchanged, as the record under investigation.</w:t>
      </w:r>
    </w:p>
    <w:p>
      <w:pPr>
        <w:pStyle w:val="Compact"/>
        <w:numPr>
          <w:ilvl w:val="0"/>
          <w:numId w:val="1001"/>
        </w:numPr>
      </w:pPr>
      <w:r>
        <w:t xml:space="preserve">No analysis that depended on the Version 1.0 step criteria was to be issued until the investigation had concluded.</w:t>
      </w:r>
    </w:p>
    <w:p>
      <w:pPr>
        <w:pStyle w:val="FirstParagraph"/>
      </w:pPr>
      <w:r>
        <w:t xml:space="preserve">The investigation was closed on 2026-09-18.</w:t>
      </w:r>
    </w:p>
    <w:bookmarkEnd w:id="25"/>
    <w:bookmarkStart w:id="27" w:name="scope"/>
    <w:p>
      <w:pPr>
        <w:pStyle w:val="Heading1"/>
      </w:pPr>
      <w:r>
        <w:t xml:space="preserve">2. Scope</w:t>
      </w:r>
    </w:p>
    <w:p>
      <w:pPr>
        <w:pStyle w:val="FirstParagraph"/>
      </w:pPr>
      <w:r>
        <w:t xml:space="preserve">The investigation covers the twenty Version 1.0 documents of the A-Mab characterization package, listed in</w:t>
      </w:r>
      <w:r>
        <w:t xml:space="preserve"> </w:t>
      </w:r>
      <w:hyperlink w:anchor="tbl-docs">
        <w:r>
          <w:rPr>
            <w:rStyle w:val="Hyperlink"/>
          </w:rPr>
          <w:t xml:space="preserve">Table 2</w:t>
        </w:r>
      </w:hyperlink>
      <w:r>
        <w:t xml:space="preserve">. Within them it covers four subjects. These are the step acceptance criteria used in the proven acceptable range analyses, with their derivation and their place in the protocols, the method used for fragments, the capability assessment of the drug substance, and the execution records of the studies.</w:t>
      </w:r>
    </w:p>
    <w:tbl>
      <w:tblPr>
        <w:tblStyle w:val="Table"/>
        <w:tblW w:type="pct" w:w="5000"/>
        <w:tblLayout w:type="fixed"/>
        <w:tblLook w:firstRow="0" w:lastRow="0" w:firstColumn="0" w:lastColumn="0" w:noHBand="0" w:noVBand="0" w:val="0000"/>
      </w:tblPr>
      <w:tblGrid>
        <w:gridCol w:w="7920"/>
      </w:tblGrid>
      <w:tr>
        <w:tc>
          <w:tcPr/>
          <w:bookmarkStart w:id="26" w:name="tbl-docs"/>
          <w:p>
            <w:pPr>
              <w:jc w:val="center"/>
            </w:pPr>
            <w:pPr>
              <w:jc w:val="start"/>
              <w:spacing w:before="200"/>
              <w:pStyle w:val="ImageCaption"/>
            </w:pPr>
            <w:r>
              <w:t xml:space="preserve">Table 2: Documents in the scope of the investigation, all at Version 1.0 when it was opened.</w:t>
            </w:r>
          </w:p>
          <w:tbl>
            <w:tblPr>
              <w:tblStyle w:val="Table"/>
              <w:tblW w:type="pct" w:w="5000"/>
              <w:tblLayout w:type="fixed"/>
              <w:tblLook w:firstRow="1" w:lastRow="0" w:firstColumn="0" w:lastColumn="0" w:noHBand="0" w:noVBand="0" w:val="0020"/>
            </w:tblPr>
            <w:tblGrid>
              <w:gridCol w:w="1142"/>
              <w:gridCol w:w="3503"/>
              <w:gridCol w:w="3274"/>
            </w:tblGrid>
            <w:tr>
              <w:trPr>
                <w:tblHeader w:val="on"/>
              </w:trPr>
              <w:tc>
                <w:tcPr/>
                <w:p>
                  <w:pPr>
                    <w:pStyle w:val="Compact"/>
                    <w:jc w:val="left"/>
                    <w:jc w:val="center"/>
                  </w:pPr>
                  <w:r>
                    <w:t xml:space="preserve">Document ID</w:t>
                  </w:r>
                </w:p>
              </w:tc>
              <w:tc>
                <w:tcPr/>
                <w:p>
                  <w:pPr>
                    <w:pStyle w:val="Compact"/>
                    <w:jc w:val="left"/>
                    <w:jc w:val="center"/>
                  </w:pPr>
                  <w:r>
                    <w:t xml:space="preserve">Document class</w:t>
                  </w:r>
                </w:p>
              </w:tc>
              <w:tc>
                <w:tcPr/>
                <w:p>
                  <w:pPr>
                    <w:pStyle w:val="Compact"/>
                    <w:jc w:val="left"/>
                    <w:jc w:val="center"/>
                  </w:pPr>
                  <w:r>
                    <w:t xml:space="preserve">Subject</w:t>
                  </w:r>
                </w:p>
              </w:tc>
            </w:tr>
            <w:tr>
              <w:tc>
                <w:tcPr/>
                <w:p>
                  <w:pPr>
                    <w:pStyle w:val="Compact"/>
                    <w:jc w:val="left"/>
                    <w:jc w:val="center"/>
                  </w:pPr>
                  <w:r>
                    <w:t xml:space="preserve">PTP-001</w:t>
                  </w:r>
                </w:p>
              </w:tc>
              <w:tc>
                <w:tcPr/>
                <w:p>
                  <w:pPr>
                    <w:pStyle w:val="Compact"/>
                    <w:jc w:val="left"/>
                    <w:jc w:val="center"/>
                  </w:pPr>
                  <w:r>
                    <w:t xml:space="preserve">Process Transfer Plan</w:t>
                  </w:r>
                </w:p>
              </w:tc>
              <w:tc>
                <w:tcPr/>
                <w:p>
                  <w:pPr>
                    <w:pStyle w:val="Compact"/>
                    <w:jc w:val="left"/>
                    <w:jc w:val="center"/>
                  </w:pPr>
                  <w:r>
                    <w:t xml:space="preserve">A-Mab Drug Substance</w:t>
                  </w:r>
                </w:p>
              </w:tc>
            </w:tr>
            <w:tr>
              <w:tc>
                <w:tcPr/>
                <w:p>
                  <w:pPr>
                    <w:pStyle w:val="Compact"/>
                    <w:jc w:val="left"/>
                    <w:jc w:val="center"/>
                  </w:pPr>
                  <w:r>
                    <w:t xml:space="preserve">RA-001</w:t>
                  </w:r>
                </w:p>
              </w:tc>
              <w:tc>
                <w:tcPr/>
                <w:p>
                  <w:pPr>
                    <w:pStyle w:val="Compact"/>
                    <w:jc w:val="left"/>
                    <w:jc w:val="center"/>
                  </w:pPr>
                  <w:r>
                    <w:t xml:space="preserve">Pre-Characterization Process Risk Assessment</w:t>
                  </w:r>
                </w:p>
              </w:tc>
              <w:tc>
                <w:tcPr/>
                <w:p>
                  <w:pPr>
                    <w:pStyle w:val="Compact"/>
                    <w:jc w:val="left"/>
                    <w:jc w:val="center"/>
                  </w:pPr>
                  <w:r>
                    <w:t xml:space="preserve">A-Mab Drug Substance</w:t>
                  </w:r>
                </w:p>
              </w:tc>
            </w:tr>
            <w:tr>
              <w:tc>
                <w:tcPr/>
                <w:p>
                  <w:pPr>
                    <w:pStyle w:val="Compact"/>
                    <w:jc w:val="left"/>
                    <w:jc w:val="center"/>
                  </w:pPr>
                  <w:r>
                    <w:t xml:space="preserve">PCMP-001</w:t>
                  </w:r>
                </w:p>
              </w:tc>
              <w:tc>
                <w:tcPr/>
                <w:p>
                  <w:pPr>
                    <w:pStyle w:val="Compact"/>
                    <w:jc w:val="left"/>
                    <w:jc w:val="center"/>
                  </w:pPr>
                  <w:r>
                    <w:t xml:space="preserve">Process Characterization Master Plan</w:t>
                  </w:r>
                </w:p>
              </w:tc>
              <w:tc>
                <w:tcPr/>
                <w:p>
                  <w:pPr>
                    <w:pStyle w:val="Compact"/>
                    <w:jc w:val="left"/>
                    <w:jc w:val="center"/>
                  </w:pPr>
                  <w:r>
                    <w:t xml:space="preserve">A-Mab Drug Substance</w:t>
                  </w:r>
                </w:p>
              </w:tc>
            </w:tr>
            <w:tr>
              <w:tc>
                <w:tcPr/>
                <w:p>
                  <w:pPr>
                    <w:pStyle w:val="Compact"/>
                    <w:jc w:val="left"/>
                    <w:jc w:val="center"/>
                  </w:pPr>
                  <w:r>
                    <w:t xml:space="preserve">PCP-003</w:t>
                  </w:r>
                </w:p>
              </w:tc>
              <w:tc>
                <w:tcPr/>
                <w:p>
                  <w:pPr>
                    <w:pStyle w:val="Compact"/>
                    <w:jc w:val="left"/>
                    <w:jc w:val="center"/>
                  </w:pPr>
                  <w:r>
                    <w:t xml:space="preserve">Process Characterization Plan</w:t>
                  </w:r>
                </w:p>
              </w:tc>
              <w:tc>
                <w:tcPr/>
                <w:p>
                  <w:pPr>
                    <w:pStyle w:val="Compact"/>
                    <w:jc w:val="left"/>
                    <w:jc w:val="center"/>
                  </w:pPr>
                  <w:r>
                    <w:t xml:space="preserve">Production Bioreactor (Step 3)</w:t>
                  </w:r>
                </w:p>
              </w:tc>
            </w:tr>
            <w:tr>
              <w:tc>
                <w:tcPr/>
                <w:p>
                  <w:pPr>
                    <w:pStyle w:val="Compact"/>
                    <w:jc w:val="left"/>
                    <w:jc w:val="center"/>
                  </w:pPr>
                  <w:r>
                    <w:t xml:space="preserve">PCR-003</w:t>
                  </w:r>
                </w:p>
              </w:tc>
              <w:tc>
                <w:tcPr/>
                <w:p>
                  <w:pPr>
                    <w:pStyle w:val="Compact"/>
                    <w:jc w:val="left"/>
                    <w:jc w:val="center"/>
                  </w:pPr>
                  <w:r>
                    <w:t xml:space="preserve">Process Characterization Report</w:t>
                  </w:r>
                </w:p>
              </w:tc>
              <w:tc>
                <w:tcPr/>
                <w:p>
                  <w:pPr>
                    <w:pStyle w:val="Compact"/>
                    <w:jc w:val="left"/>
                    <w:jc w:val="center"/>
                  </w:pPr>
                  <w:r>
                    <w:t xml:space="preserve">Production Bioreactor (Step 3)</w:t>
                  </w:r>
                </w:p>
              </w:tc>
            </w:tr>
            <w:tr>
              <w:tc>
                <w:tcPr/>
                <w:p>
                  <w:pPr>
                    <w:pStyle w:val="Compact"/>
                    <w:jc w:val="left"/>
                    <w:jc w:val="center"/>
                  </w:pPr>
                  <w:r>
                    <w:t xml:space="preserve">PCP-004</w:t>
                  </w:r>
                </w:p>
              </w:tc>
              <w:tc>
                <w:tcPr/>
                <w:p>
                  <w:pPr>
                    <w:pStyle w:val="Compact"/>
                    <w:jc w:val="left"/>
                    <w:jc w:val="center"/>
                  </w:pPr>
                  <w:r>
                    <w:t xml:space="preserve">Process Characterization Plan</w:t>
                  </w:r>
                </w:p>
              </w:tc>
              <w:tc>
                <w:tcPr/>
                <w:p>
                  <w:pPr>
                    <w:pStyle w:val="Compact"/>
                    <w:jc w:val="left"/>
                    <w:jc w:val="center"/>
                  </w:pPr>
                  <w:r>
                    <w:t xml:space="preserve">Harvest and Clarification (Step 4)</w:t>
                  </w:r>
                </w:p>
              </w:tc>
            </w:tr>
            <w:tr>
              <w:tc>
                <w:tcPr/>
                <w:p>
                  <w:pPr>
                    <w:pStyle w:val="Compact"/>
                    <w:jc w:val="left"/>
                    <w:jc w:val="center"/>
                  </w:pPr>
                  <w:r>
                    <w:t xml:space="preserve">PCR-004</w:t>
                  </w:r>
                </w:p>
              </w:tc>
              <w:tc>
                <w:tcPr/>
                <w:p>
                  <w:pPr>
                    <w:pStyle w:val="Compact"/>
                    <w:jc w:val="left"/>
                    <w:jc w:val="center"/>
                  </w:pPr>
                  <w:r>
                    <w:t xml:space="preserve">Process Characterization Report</w:t>
                  </w:r>
                </w:p>
              </w:tc>
              <w:tc>
                <w:tcPr/>
                <w:p>
                  <w:pPr>
                    <w:pStyle w:val="Compact"/>
                    <w:jc w:val="left"/>
                    <w:jc w:val="center"/>
                  </w:pPr>
                  <w:r>
                    <w:t xml:space="preserve">Harvest and Clarification (Step 4)</w:t>
                  </w:r>
                </w:p>
              </w:tc>
            </w:tr>
            <w:tr>
              <w:tc>
                <w:tcPr/>
                <w:p>
                  <w:pPr>
                    <w:pStyle w:val="Compact"/>
                    <w:jc w:val="left"/>
                    <w:jc w:val="center"/>
                  </w:pPr>
                  <w:r>
                    <w:t xml:space="preserve">PCP-005</w:t>
                  </w:r>
                </w:p>
              </w:tc>
              <w:tc>
                <w:tcPr/>
                <w:p>
                  <w:pPr>
                    <w:pStyle w:val="Compact"/>
                    <w:jc w:val="left"/>
                    <w:jc w:val="center"/>
                  </w:pPr>
                  <w:r>
                    <w:t xml:space="preserve">Process Characterization Plan</w:t>
                  </w:r>
                </w:p>
              </w:tc>
              <w:tc>
                <w:tcPr/>
                <w:p>
                  <w:pPr>
                    <w:pStyle w:val="Compact"/>
                    <w:jc w:val="left"/>
                    <w:jc w:val="center"/>
                  </w:pPr>
                  <w:r>
                    <w:t xml:space="preserve">Protein A Chromatography (Step 5)</w:t>
                  </w:r>
                </w:p>
              </w:tc>
            </w:tr>
            <w:tr>
              <w:tc>
                <w:tcPr/>
                <w:p>
                  <w:pPr>
                    <w:pStyle w:val="Compact"/>
                    <w:jc w:val="left"/>
                    <w:jc w:val="center"/>
                  </w:pPr>
                  <w:r>
                    <w:t xml:space="preserve">PCR-005</w:t>
                  </w:r>
                </w:p>
              </w:tc>
              <w:tc>
                <w:tcPr/>
                <w:p>
                  <w:pPr>
                    <w:pStyle w:val="Compact"/>
                    <w:jc w:val="left"/>
                    <w:jc w:val="center"/>
                  </w:pPr>
                  <w:r>
                    <w:t xml:space="preserve">Process Characterization Report</w:t>
                  </w:r>
                </w:p>
              </w:tc>
              <w:tc>
                <w:tcPr/>
                <w:p>
                  <w:pPr>
                    <w:pStyle w:val="Compact"/>
                    <w:jc w:val="left"/>
                    <w:jc w:val="center"/>
                  </w:pPr>
                  <w:r>
                    <w:t xml:space="preserve">Protein A Chromatography (Step 5)</w:t>
                  </w:r>
                </w:p>
              </w:tc>
            </w:tr>
            <w:tr>
              <w:tc>
                <w:tcPr/>
                <w:p>
                  <w:pPr>
                    <w:pStyle w:val="Compact"/>
                    <w:jc w:val="left"/>
                    <w:jc w:val="center"/>
                  </w:pPr>
                  <w:r>
                    <w:t xml:space="preserve">PCP-006</w:t>
                  </w:r>
                </w:p>
              </w:tc>
              <w:tc>
                <w:tcPr/>
                <w:p>
                  <w:pPr>
                    <w:pStyle w:val="Compact"/>
                    <w:jc w:val="left"/>
                    <w:jc w:val="center"/>
                  </w:pPr>
                  <w:r>
                    <w:t xml:space="preserve">Process Characterization Plan</w:t>
                  </w:r>
                </w:p>
              </w:tc>
              <w:tc>
                <w:tcPr/>
                <w:p>
                  <w:pPr>
                    <w:pStyle w:val="Compact"/>
                    <w:jc w:val="left"/>
                    <w:jc w:val="center"/>
                  </w:pPr>
                  <w:r>
                    <w:t xml:space="preserve">Low-pH Viral Inactivation (Step 6)</w:t>
                  </w:r>
                </w:p>
              </w:tc>
            </w:tr>
            <w:tr>
              <w:tc>
                <w:tcPr/>
                <w:p>
                  <w:pPr>
                    <w:pStyle w:val="Compact"/>
                    <w:jc w:val="left"/>
                    <w:jc w:val="center"/>
                  </w:pPr>
                  <w:r>
                    <w:t xml:space="preserve">PCR-006</w:t>
                  </w:r>
                </w:p>
              </w:tc>
              <w:tc>
                <w:tcPr/>
                <w:p>
                  <w:pPr>
                    <w:pStyle w:val="Compact"/>
                    <w:jc w:val="left"/>
                    <w:jc w:val="center"/>
                  </w:pPr>
                  <w:r>
                    <w:t xml:space="preserve">Process Characterization Report</w:t>
                  </w:r>
                </w:p>
              </w:tc>
              <w:tc>
                <w:tcPr/>
                <w:p>
                  <w:pPr>
                    <w:pStyle w:val="Compact"/>
                    <w:jc w:val="left"/>
                    <w:jc w:val="center"/>
                  </w:pPr>
                  <w:r>
                    <w:t xml:space="preserve">Low-pH Viral Inactivation (Step 6)</w:t>
                  </w:r>
                </w:p>
              </w:tc>
            </w:tr>
            <w:tr>
              <w:tc>
                <w:tcPr/>
                <w:p>
                  <w:pPr>
                    <w:pStyle w:val="Compact"/>
                    <w:jc w:val="left"/>
                    <w:jc w:val="center"/>
                  </w:pPr>
                  <w:r>
                    <w:t xml:space="preserve">PCP-007</w:t>
                  </w:r>
                </w:p>
              </w:tc>
              <w:tc>
                <w:tcPr/>
                <w:p>
                  <w:pPr>
                    <w:pStyle w:val="Compact"/>
                    <w:jc w:val="left"/>
                    <w:jc w:val="center"/>
                  </w:pPr>
                  <w:r>
                    <w:t xml:space="preserve">Process Characterization Plan</w:t>
                  </w:r>
                </w:p>
              </w:tc>
              <w:tc>
                <w:tcPr/>
                <w:p>
                  <w:pPr>
                    <w:pStyle w:val="Compact"/>
                    <w:jc w:val="left"/>
                    <w:jc w:val="center"/>
                  </w:pPr>
                  <w:r>
                    <w:t xml:space="preserve">Cation Exchange Chromatography (Step 7)</w:t>
                  </w:r>
                </w:p>
              </w:tc>
            </w:tr>
            <w:tr>
              <w:tc>
                <w:tcPr/>
                <w:p>
                  <w:pPr>
                    <w:pStyle w:val="Compact"/>
                    <w:jc w:val="left"/>
                    <w:jc w:val="center"/>
                  </w:pPr>
                  <w:r>
                    <w:t xml:space="preserve">PCR-007</w:t>
                  </w:r>
                </w:p>
              </w:tc>
              <w:tc>
                <w:tcPr/>
                <w:p>
                  <w:pPr>
                    <w:pStyle w:val="Compact"/>
                    <w:jc w:val="left"/>
                    <w:jc w:val="center"/>
                  </w:pPr>
                  <w:r>
                    <w:t xml:space="preserve">Process Characterization Report</w:t>
                  </w:r>
                </w:p>
              </w:tc>
              <w:tc>
                <w:tcPr/>
                <w:p>
                  <w:pPr>
                    <w:pStyle w:val="Compact"/>
                    <w:jc w:val="left"/>
                    <w:jc w:val="center"/>
                  </w:pPr>
                  <w:r>
                    <w:t xml:space="preserve">Cation Exchange Chromatography (Step 7)</w:t>
                  </w:r>
                </w:p>
              </w:tc>
            </w:tr>
            <w:tr>
              <w:tc>
                <w:tcPr/>
                <w:p>
                  <w:pPr>
                    <w:pStyle w:val="Compact"/>
                    <w:jc w:val="left"/>
                    <w:jc w:val="center"/>
                  </w:pPr>
                  <w:r>
                    <w:t xml:space="preserve">PCP-008</w:t>
                  </w:r>
                </w:p>
              </w:tc>
              <w:tc>
                <w:tcPr/>
                <w:p>
                  <w:pPr>
                    <w:pStyle w:val="Compact"/>
                    <w:jc w:val="left"/>
                    <w:jc w:val="center"/>
                  </w:pPr>
                  <w:r>
                    <w:t xml:space="preserve">Process Characterization Plan</w:t>
                  </w:r>
                </w:p>
              </w:tc>
              <w:tc>
                <w:tcPr/>
                <w:p>
                  <w:pPr>
                    <w:pStyle w:val="Compact"/>
                    <w:jc w:val="left"/>
                    <w:jc w:val="center"/>
                  </w:pPr>
                  <w:r>
                    <w:t xml:space="preserve">Anion Exchange Chromatography (Step 8)</w:t>
                  </w:r>
                </w:p>
              </w:tc>
            </w:tr>
            <w:tr>
              <w:tc>
                <w:tcPr/>
                <w:p>
                  <w:pPr>
                    <w:pStyle w:val="Compact"/>
                    <w:jc w:val="left"/>
                    <w:jc w:val="center"/>
                  </w:pPr>
                  <w:r>
                    <w:t xml:space="preserve">PCR-008</w:t>
                  </w:r>
                </w:p>
              </w:tc>
              <w:tc>
                <w:tcPr/>
                <w:p>
                  <w:pPr>
                    <w:pStyle w:val="Compact"/>
                    <w:jc w:val="left"/>
                    <w:jc w:val="center"/>
                  </w:pPr>
                  <w:r>
                    <w:t xml:space="preserve">Process Characterization Report</w:t>
                  </w:r>
                </w:p>
              </w:tc>
              <w:tc>
                <w:tcPr/>
                <w:p>
                  <w:pPr>
                    <w:pStyle w:val="Compact"/>
                    <w:jc w:val="left"/>
                    <w:jc w:val="center"/>
                  </w:pPr>
                  <w:r>
                    <w:t xml:space="preserve">Anion Exchange Chromatography (Step 8)</w:t>
                  </w:r>
                </w:p>
              </w:tc>
            </w:tr>
            <w:tr>
              <w:tc>
                <w:tcPr/>
                <w:p>
                  <w:pPr>
                    <w:pStyle w:val="Compact"/>
                    <w:jc w:val="left"/>
                    <w:jc w:val="center"/>
                  </w:pPr>
                  <w:r>
                    <w:t xml:space="preserve">PCP-009</w:t>
                  </w:r>
                </w:p>
              </w:tc>
              <w:tc>
                <w:tcPr/>
                <w:p>
                  <w:pPr>
                    <w:pStyle w:val="Compact"/>
                    <w:jc w:val="left"/>
                    <w:jc w:val="center"/>
                  </w:pPr>
                  <w:r>
                    <w:t xml:space="preserve">Process Characterization Plan</w:t>
                  </w:r>
                </w:p>
              </w:tc>
              <w:tc>
                <w:tcPr/>
                <w:p>
                  <w:pPr>
                    <w:pStyle w:val="Compact"/>
                    <w:jc w:val="left"/>
                    <w:jc w:val="center"/>
                  </w:pPr>
                  <w:r>
                    <w:t xml:space="preserve">Small-Virus Retentive Filtration (Step 9)</w:t>
                  </w:r>
                </w:p>
              </w:tc>
            </w:tr>
            <w:tr>
              <w:tc>
                <w:tcPr/>
                <w:p>
                  <w:pPr>
                    <w:pStyle w:val="Compact"/>
                    <w:jc w:val="left"/>
                    <w:jc w:val="center"/>
                  </w:pPr>
                  <w:r>
                    <w:t xml:space="preserve">PCR-009</w:t>
                  </w:r>
                </w:p>
              </w:tc>
              <w:tc>
                <w:tcPr/>
                <w:p>
                  <w:pPr>
                    <w:pStyle w:val="Compact"/>
                    <w:jc w:val="left"/>
                    <w:jc w:val="center"/>
                  </w:pPr>
                  <w:r>
                    <w:t xml:space="preserve">Process Characterization Report</w:t>
                  </w:r>
                </w:p>
              </w:tc>
              <w:tc>
                <w:tcPr/>
                <w:p>
                  <w:pPr>
                    <w:pStyle w:val="Compact"/>
                    <w:jc w:val="left"/>
                    <w:jc w:val="center"/>
                  </w:pPr>
                  <w:r>
                    <w:t xml:space="preserve">Small-Virus Retentive Filtration (Step 9)</w:t>
                  </w:r>
                </w:p>
              </w:tc>
            </w:tr>
            <w:tr>
              <w:tc>
                <w:tcPr/>
                <w:p>
                  <w:pPr>
                    <w:pStyle w:val="Compact"/>
                    <w:jc w:val="left"/>
                    <w:jc w:val="center"/>
                  </w:pPr>
                  <w:r>
                    <w:t xml:space="preserve">PCP-010</w:t>
                  </w:r>
                </w:p>
              </w:tc>
              <w:tc>
                <w:tcPr/>
                <w:p>
                  <w:pPr>
                    <w:pStyle w:val="Compact"/>
                    <w:jc w:val="left"/>
                    <w:jc w:val="center"/>
                  </w:pPr>
                  <w:r>
                    <w:t xml:space="preserve">Process Characterization Plan</w:t>
                  </w:r>
                </w:p>
              </w:tc>
              <w:tc>
                <w:tcPr/>
                <w:p>
                  <w:pPr>
                    <w:pStyle w:val="Compact"/>
                    <w:jc w:val="left"/>
                    <w:jc w:val="center"/>
                  </w:pPr>
                  <w:r>
                    <w:t xml:space="preserve">Ultrafiltration / Diafiltration (Step 10)</w:t>
                  </w:r>
                </w:p>
              </w:tc>
            </w:tr>
            <w:tr>
              <w:tc>
                <w:tcPr/>
                <w:p>
                  <w:pPr>
                    <w:pStyle w:val="Compact"/>
                    <w:jc w:val="left"/>
                    <w:jc w:val="center"/>
                  </w:pPr>
                  <w:r>
                    <w:t xml:space="preserve">PCR-010</w:t>
                  </w:r>
                </w:p>
              </w:tc>
              <w:tc>
                <w:tcPr/>
                <w:p>
                  <w:pPr>
                    <w:pStyle w:val="Compact"/>
                    <w:jc w:val="left"/>
                    <w:jc w:val="center"/>
                  </w:pPr>
                  <w:r>
                    <w:t xml:space="preserve">Process Characterization Report</w:t>
                  </w:r>
                </w:p>
              </w:tc>
              <w:tc>
                <w:tcPr/>
                <w:p>
                  <w:pPr>
                    <w:pStyle w:val="Compact"/>
                    <w:jc w:val="left"/>
                    <w:jc w:val="center"/>
                  </w:pPr>
                  <w:r>
                    <w:t xml:space="preserve">Ultrafiltration / Diafiltration (Step 10)</w:t>
                  </w:r>
                </w:p>
              </w:tc>
            </w:tr>
            <w:tr>
              <w:tc>
                <w:tcPr/>
                <w:p>
                  <w:pPr>
                    <w:pStyle w:val="Compact"/>
                    <w:jc w:val="left"/>
                    <w:jc w:val="center"/>
                  </w:pPr>
                  <w:r>
                    <w:t xml:space="preserve">PCMR-001</w:t>
                  </w:r>
                </w:p>
              </w:tc>
              <w:tc>
                <w:tcPr/>
                <w:p>
                  <w:pPr>
                    <w:pStyle w:val="Compact"/>
                    <w:jc w:val="left"/>
                    <w:jc w:val="center"/>
                  </w:pPr>
                  <w:r>
                    <w:t xml:space="preserve">Process Characterization Master Report</w:t>
                  </w:r>
                </w:p>
              </w:tc>
              <w:tc>
                <w:tcPr/>
                <w:p>
                  <w:pPr>
                    <w:pStyle w:val="Compact"/>
                    <w:jc w:val="left"/>
                    <w:jc w:val="center"/>
                  </w:pPr>
                  <w:r>
                    <w:t xml:space="preserve">A-Mab Drug Substance</w:t>
                  </w:r>
                </w:p>
              </w:tc>
            </w:tr>
          </w:tbl>
          <w:bookmarkEnd w:id="26"/>
          <w:p/>
        </w:tc>
      </w:tr>
    </w:tbl>
    <w:p>
      <w:pPr>
        <w:pStyle w:val="BodyText"/>
      </w:pPr>
      <w:r>
        <w:t xml:space="preserve">Three things are outside the scope. The computation of a proven acceptable range itself, which is how the other parameters are held or varied while one parameter is scanned, is not reviewed here. The experiments are not reviewed either. Every study that Version 1.0 reported closed before the Version 1.0 reports were approved, so the re-analysis in §6 uses the same characterization data as Version 1.0. One further study ran during the investigation. The re-analysis of the Protein A scale-down qualification found that the 3 planned set-point runs could never demonstrate equivalence against the margin of PCP-005, because the confidence interval alone was wider than the margin (DEV-005-03). For this reason, 6 supplementary set-point runs (study S-PA-SDM2) were made from 2026-09-07 to 2026-09-11, and the margin was not changed. These runs add scale-down data only and change no characterization data that Version 1.0 analysed. They are a further action that the re-analysis needed, recorded in PCR-005, and not a corrective action of this investigation. Finally, the study deviations recorded in the step reports keep the disposition those reports give them.</w:t>
      </w:r>
    </w:p>
    <w:bookmarkEnd w:id="27"/>
    <w:bookmarkStart w:id="32" w:name="background"/>
    <w:p>
      <w:pPr>
        <w:pStyle w:val="Heading1"/>
      </w:pPr>
      <w:r>
        <w:t xml:space="preserve">3. Background</w:t>
      </w:r>
    </w:p>
    <w:bookmarkStart w:id="28" w:name="the-master-plan"/>
    <w:p>
      <w:pPr>
        <w:pStyle w:val="Heading2"/>
      </w:pPr>
      <w:r>
        <w:t xml:space="preserve">3.1 The master plan</w:t>
      </w:r>
    </w:p>
    <w:p>
      <w:pPr>
        <w:pStyle w:val="FirstParagraph"/>
      </w:pPr>
      <w:r>
        <w:t xml:space="preserve">PCMP-001 Version 1.0 required that each step be judged against a criterion that applies to it. It did not say how that criterion was to be obtained. Its §7 left the threshold to the step plans.</w:t>
      </w:r>
    </w:p>
    <w:p>
      <w:pPr>
        <w:pStyle w:val="BlockText"/>
      </w:pPr>
      <w:r>
        <w:t xml:space="preserve">Where a threshold depends on the step, on the attribute or on the precision of the method, the criterion is defined in the plan of that step and the reason is given there.</w:t>
      </w:r>
    </w:p>
    <w:p>
      <w:pPr>
        <w:pStyle w:val="FirstParagraph"/>
      </w:pPr>
      <w:r>
        <w:t xml:space="preserve">The same section stated that the criterion for a response is the in-process limit of the step where one has been established, and the drug-substance criterion where none has. It gave neither a rule nor a value for an in-process limit.</w:t>
      </w:r>
    </w:p>
    <w:bookmarkEnd w:id="28"/>
    <w:bookmarkStart w:id="29" w:name="the-protein-a-analysis"/>
    <w:p>
      <w:pPr>
        <w:pStyle w:val="Heading2"/>
      </w:pPr>
      <w:r>
        <w:t xml:space="preserve">3.2 The Protein A analysis</w:t>
      </w:r>
    </w:p>
    <w:p>
      <w:pPr>
        <w:pStyle w:val="FirstParagraph"/>
      </w:pPr>
      <w:r>
        <w:t xml:space="preserve">The need for step criteria became apparent during the analysis of the Protein A study. The capture pool carries host cell protein at a level far above the drug-substance criterion of 100 ng/mg. Protein A capture removes most of the host cell protein of the harvest, and part of the remainder is carried into the eluate bound to the antibody. That level is acceptable in an intermediate, because cation exchange and anion exchange remove most of it afterwards. Judged against the drug-substance criterion, no part of the Protein A operating region would have been acceptable. PCMR-001 Version 1.0 put the argument in one sentence.</w:t>
      </w:r>
    </w:p>
    <w:p>
      <w:pPr>
        <w:pStyle w:val="BlockText"/>
      </w:pPr>
      <w:r>
        <w:t xml:space="preserve">The drug substance limit is the wrong yardstick for an intermediate, and the campaign uses a criterion for each step that applies to that step.</w:t>
      </w:r>
    </w:p>
    <w:p>
      <w:pPr>
        <w:pStyle w:val="FirstParagraph"/>
      </w:pPr>
      <w:r>
        <w:t xml:space="preserve">What the investigation examined is how the step criteria were then set, and when.</w:t>
      </w:r>
    </w:p>
    <w:bookmarkEnd w:id="29"/>
    <w:bookmarkStart w:id="31" w:name="the-version-1.0-criteria"/>
    <w:p>
      <w:pPr>
        <w:pStyle w:val="Heading2"/>
      </w:pPr>
      <w:r>
        <w:t xml:space="preserve">3.3 The Version 1.0 criteria</w:t>
      </w:r>
    </w:p>
    <w:p>
      <w:pPr>
        <w:pStyle w:val="FirstParagraph"/>
      </w:pPr>
      <w:r>
        <w:t xml:space="preserve">Version 1.0 set 15 step criteria at 6 steps, by four rules.</w:t>
      </w:r>
      <w:r>
        <w:t xml:space="preserve"> </w:t>
      </w:r>
      <w:hyperlink w:anchor="tbl-criteria-change">
        <w:r>
          <w:rPr>
            <w:rStyle w:val="Hyperlink"/>
          </w:rPr>
          <w:t xml:space="preserve">Table 3</w:t>
        </w:r>
      </w:hyperlink>
      <w:r>
        <w:t xml:space="preserve"> </w:t>
      </w:r>
      <w:r>
        <w:t xml:space="preserve">gives each criterion with its rule, beside the Version 2.0 criterion that replaced it. The Version 2.0 columns are discussed in §6.</w:t>
      </w:r>
    </w:p>
    <w:p>
      <w:pPr>
        <w:pStyle w:val="Compact"/>
        <w:numPr>
          <w:ilvl w:val="0"/>
          <w:numId w:val="1002"/>
        </w:numPr>
      </w:pPr>
      <w:r>
        <w:t xml:space="preserve">For an impurity that downstream steps clear, the drug-substance criterion was carried back through the clearance the downstream steps delivered at their set-points in this campaign, and the result was divided by a safety factor. This rule (R1) set 6 criteria.</w:t>
      </w:r>
    </w:p>
    <w:p>
      <w:pPr>
        <w:pStyle w:val="Compact"/>
        <w:numPr>
          <w:ilvl w:val="0"/>
          <w:numId w:val="1002"/>
        </w:numPr>
      </w:pPr>
      <w:r>
        <w:t xml:space="preserve">For an attribute that no downstream step changes, the criterion was an alert limit at the capability mean plus 2.5 SD. This rule (R2) set 4 criteria, all at the bioreactor.</w:t>
      </w:r>
    </w:p>
    <w:p>
      <w:pPr>
        <w:pStyle w:val="Compact"/>
        <w:numPr>
          <w:ilvl w:val="0"/>
          <w:numId w:val="1002"/>
        </w:numPr>
      </w:pPr>
      <w:r>
        <w:t xml:space="preserve">For viral clearance at low-pH viral inactivation and anion exchange, the criterion was the cumulative requirement less the nominal clearance of the other credited steps. This rule (R3) set 3 criteria.</w:t>
      </w:r>
    </w:p>
    <w:p>
      <w:pPr>
        <w:pStyle w:val="Compact"/>
        <w:numPr>
          <w:ilvl w:val="0"/>
          <w:numId w:val="1002"/>
        </w:numPr>
      </w:pPr>
      <w:r>
        <w:t xml:space="preserve">For viral clearance at virus filtration, the criterion was the nominal clearance claimed for the step less 0.35 log10 for assay variability. This rule (R4) set 2 criteria.</w:t>
      </w:r>
    </w:p>
    <w:tbl>
      <w:tblPr>
        <w:tblStyle w:val="Table"/>
        <w:tblW w:type="pct" w:w="5000"/>
        <w:tblLayout w:type="fixed"/>
        <w:tblLook w:firstRow="0" w:lastRow="0" w:firstColumn="0" w:lastColumn="0" w:noHBand="0" w:noVBand="0" w:val="0000"/>
      </w:tblPr>
      <w:tblGrid>
        <w:gridCol w:w="7920"/>
      </w:tblGrid>
      <w:tr>
        <w:tc>
          <w:tcPr/>
          <w:bookmarkStart w:id="30" w:name="tbl-criteria-change"/>
          <w:p>
            <w:pPr>
              <w:jc w:val="center"/>
            </w:pPr>
            <w:pPr>
              <w:jc w:val="start"/>
              <w:spacing w:before="200"/>
              <w:pStyle w:val="ImageCaption"/>
            </w:pPr>
            <w:r>
              <w:t xml:space="preserve">Table 3: Acceptance criteria for the step outputs in Version 1.0 and Version 2.0.</w:t>
            </w:r>
          </w:p>
          <w:tbl>
            <w:tblPr>
              <w:tblStyle w:val="Table"/>
              <w:tblW w:type="auto" w:w="0"/>
              <w:tblLook w:firstRow="1" w:lastRow="1" w:firstColumn="0" w:lastColumn="0" w:noHBand="0" w:noVBand="0" w:val="0020"/>
            </w:tblPr>
            <w:tblGrid>
              <w:gridCol w:w="1320"/>
              <w:gridCol w:w="1320"/>
              <w:gridCol w:w="1320"/>
              <w:gridCol w:w="1320"/>
              <w:gridCol w:w="1320"/>
              <w:gridCol w:w="132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Version 1.0</w:t>
                  </w:r>
                  <w:r>
                    <w:rPr>
                      <w:vertAlign w:val="superscript"/>
                    </w:rPr>
                    <w:t xml:space="preserve">b)</w:t>
                  </w:r>
                </w:p>
              </w:tc>
              <w:tc>
                <w:tcPr>
                  <w:gridSpan w:val="2"/>
                </w:tcPr>
                <w:p>
                  <w:pPr>
                    <w:pStyle w:val="Compact"/>
                    <w:jc w:val="center"/>
                  </w:pPr>
                  <w:r>
                    <w:t xml:space="preserve">Version 2.0</w:t>
                  </w:r>
                </w:p>
              </w:tc>
            </w:tr>
            <w:tr>
              <w:trPr>
                <w:tblHeader w:val="on"/>
              </w:trPr>
              <w:tc>
                <w:tcPr>
                  <w:gridSpan w:val="1"/>
                  <w:vMerge w:val="continue"/>
                </w:tcPr>
                <w:p>
                  <w:pPr/>
                </w:p>
              </w:tc>
              <w:tc>
                <w:tcPr>
                  <w:gridSpan w:val="1"/>
                  <w:vMerge w:val="continue"/>
                </w:tcPr>
                <w:p>
                  <w:pPr/>
                </w:p>
              </w:tc>
              <w:tc>
                <w:tcPr/>
                <w:p>
                  <w:pPr>
                    <w:pStyle w:val="Compact"/>
                    <w:jc w:val="center"/>
                  </w:pPr>
                  <w:r>
                    <w:t xml:space="preserve">Criterion</w:t>
                  </w:r>
                </w:p>
              </w:tc>
              <w:tc>
                <w:tcPr/>
                <w:p>
                  <w:pPr>
                    <w:pStyle w:val="Compact"/>
                    <w:jc w:val="center"/>
                  </w:pPr>
                  <w:r>
                    <w:t xml:space="preserve">Rule</w:t>
                  </w:r>
                </w:p>
              </w:tc>
              <w:tc>
                <w:tcPr/>
                <w:p>
                  <w:pPr>
                    <w:pStyle w:val="Compact"/>
                    <w:jc w:val="center"/>
                  </w:pPr>
                  <w:r>
                    <w:t xml:space="preserve">Criterion</w:t>
                  </w:r>
                </w:p>
              </w:tc>
              <w:tc>
                <w:tcPr/>
                <w:p>
                  <w:pPr>
                    <w:pStyle w:val="Compact"/>
                    <w:jc w:val="center"/>
                  </w:pPr>
                  <w:r>
                    <w:t xml:space="preserve">Basis</w:t>
                  </w:r>
                </w:p>
              </w:tc>
            </w:tr>
            <w:tr>
              <w:tc>
                <w:tcPr>
                  <w:vMerge w:val="restart"/>
                </w:tcPr>
                <w:p>
                  <w:pPr>
                    <w:pStyle w:val="Compact"/>
                    <w:jc w:val="center"/>
                  </w:pPr>
                  <w:r>
                    <w:t xml:space="preserve">Production bioreactor</w:t>
                  </w:r>
                </w:p>
              </w:tc>
              <w:tc>
                <w:tcPr/>
                <w:p>
                  <w:pPr>
                    <w:pStyle w:val="Compact"/>
                    <w:jc w:val="center"/>
                  </w:pPr>
                  <w:r>
                    <w:t xml:space="preserve">Acidic variants (%)</w:t>
                  </w:r>
                </w:p>
              </w:tc>
              <w:tc>
                <w:tcPr/>
                <w:p>
                  <w:pPr>
                    <w:pStyle w:val="Compact"/>
                    <w:jc w:val="center"/>
                  </w:pPr>
                  <w:r>
                    <w:t xml:space="preserve">18.0–25.8</w:t>
                  </w:r>
                </w:p>
              </w:tc>
              <w:tc>
                <w:tcPr/>
                <w:p>
                  <w:pPr>
                    <w:pStyle w:val="Compact"/>
                    <w:jc w:val="center"/>
                  </w:pPr>
                  <w:r>
                    <w:rPr>
                      <w:vertAlign w:val="superscript"/>
                    </w:rPr>
                    <w:t xml:space="preserve">R2</w:t>
                  </w:r>
                </w:p>
              </w:tc>
              <w:tc>
                <w:tcPr/>
                <w:p>
                  <w:pPr>
                    <w:pStyle w:val="Compact"/>
                    <w:jc w:val="center"/>
                  </w:pPr>
                  <w:r>
                    <w:t xml:space="preserve">18.0–39.0</w:t>
                  </w:r>
                </w:p>
              </w:tc>
              <w:tc>
                <w:tcPr/>
                <w:p>
                  <w:pPr>
                    <w:pStyle w:val="Compact"/>
                    <w:jc w:val="center"/>
                  </w:pPr>
                  <w:r>
                    <w:t xml:space="preserve">back-calculated</w:t>
                  </w:r>
                </w:p>
              </w:tc>
            </w:tr>
            <w:tr>
              <w:tc>
                <w:tcPr>
                  <w:gridSpan w:val="1"/>
                  <w:vMerge w:val="continue"/>
                </w:tcPr>
                <w:p>
                  <w:pPr/>
                </w:p>
              </w:tc>
              <w:tc>
                <w:tcPr/>
                <w:p>
                  <w:pPr>
                    <w:pStyle w:val="Compact"/>
                    <w:jc w:val="center"/>
                  </w:pPr>
                  <w:r>
                    <w:t xml:space="preserve">Afucosylation (%)</w:t>
                  </w:r>
                </w:p>
              </w:tc>
              <w:tc>
                <w:tcPr/>
                <w:p>
                  <w:pPr>
                    <w:pStyle w:val="Compact"/>
                    <w:jc w:val="center"/>
                  </w:pPr>
                  <w:r>
                    <w:t xml:space="preserve">2.00–9.43</w:t>
                  </w:r>
                </w:p>
              </w:tc>
              <w:tc>
                <w:tcPr/>
                <w:p>
                  <w:pPr>
                    <w:pStyle w:val="Compact"/>
                    <w:jc w:val="center"/>
                  </w:pPr>
                  <w:r>
                    <w:rPr>
                      <w:vertAlign w:val="superscript"/>
                    </w:rPr>
                    <w:t xml:space="preserve">R2</w:t>
                  </w:r>
                </w:p>
              </w:tc>
              <w:tc>
                <w:tcPr/>
                <w:p>
                  <w:pPr>
                    <w:pStyle w:val="Compact"/>
                    <w:jc w:val="center"/>
                  </w:pPr>
                  <w:r>
                    <w:t xml:space="preserve">2.00–13.0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1.86</w:t>
                  </w:r>
                </w:p>
              </w:tc>
              <w:tc>
                <w:tcPr/>
                <w:p>
                  <w:pPr>
                    <w:pStyle w:val="Compact"/>
                    <w:jc w:val="center"/>
                  </w:pPr>
                  <w:r>
                    <w:rPr>
                      <w:vertAlign w:val="superscript"/>
                    </w:rPr>
                    <w:t xml:space="preserve">R1</w:t>
                  </w:r>
                  <w:r>
                    <w:t xml:space="preserve"> </w:t>
                  </w:r>
                  <w:r>
                    <w:t xml:space="preserve">margin 6.8</w:t>
                  </w:r>
                </w:p>
              </w:tc>
              <w:tc>
                <w:tcPr/>
                <w:p>
                  <w:pPr>
                    <w:pStyle w:val="Compact"/>
                    <w:jc w:val="center"/>
                  </w:pPr>
                  <w:r>
                    <w:t xml:space="preserve">≤ 6.83</w:t>
                  </w:r>
                </w:p>
              </w:tc>
              <w:tc>
                <w:tcPr/>
                <w:p>
                  <w:pPr>
                    <w:pStyle w:val="Compact"/>
                    <w:jc w:val="center"/>
                  </w:pPr>
                  <w:r>
                    <w:t xml:space="preserve">back-calculated, tightened on verification</w:t>
                  </w:r>
                </w:p>
              </w:tc>
            </w:tr>
            <w:tr>
              <w:tc>
                <w:tcPr>
                  <w:gridSpan w:val="1"/>
                  <w:vMerge w:val="continue"/>
                </w:tcPr>
                <w:p>
                  <w:pPr/>
                </w:p>
              </w:tc>
              <w:tc>
                <w:tcPr/>
                <w:p>
                  <w:pPr>
                    <w:pStyle w:val="Compact"/>
                    <w:jc w:val="center"/>
                  </w:pPr>
                  <w:r>
                    <w:t xml:space="preserve">Galactosylation (%)</w:t>
                  </w:r>
                </w:p>
              </w:tc>
              <w:tc>
                <w:tcPr/>
                <w:p>
                  <w:pPr>
                    <w:pStyle w:val="Compact"/>
                    <w:jc w:val="center"/>
                  </w:pPr>
                  <w:r>
                    <w:t xml:space="preserve">10.0–30.1</w:t>
                  </w:r>
                </w:p>
              </w:tc>
              <w:tc>
                <w:tcPr/>
                <w:p>
                  <w:pPr>
                    <w:pStyle w:val="Compact"/>
                    <w:jc w:val="center"/>
                  </w:pPr>
                  <w:r>
                    <w:rPr>
                      <w:vertAlign w:val="superscript"/>
                    </w:rPr>
                    <w:t xml:space="preserve">R2</w:t>
                  </w:r>
                </w:p>
              </w:tc>
              <w:tc>
                <w:tcPr/>
                <w:p>
                  <w:pPr>
                    <w:pStyle w:val="Compact"/>
                    <w:jc w:val="center"/>
                  </w:pPr>
                  <w:r>
                    <w:t xml:space="preserve">10.0–40.0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High mannose (%)</w:t>
                  </w:r>
                </w:p>
              </w:tc>
              <w:tc>
                <w:tcPr/>
                <w:p>
                  <w:pPr>
                    <w:pStyle w:val="Compact"/>
                    <w:jc w:val="center"/>
                  </w:pPr>
                  <w:r>
                    <w:t xml:space="preserve">3.00–7.28</w:t>
                  </w:r>
                </w:p>
              </w:tc>
              <w:tc>
                <w:tcPr/>
                <w:p>
                  <w:pPr>
                    <w:pStyle w:val="Compact"/>
                    <w:jc w:val="center"/>
                  </w:pPr>
                  <w:r>
                    <w:rPr>
                      <w:vertAlign w:val="superscript"/>
                    </w:rPr>
                    <w:t xml:space="preserve">R2</w:t>
                  </w:r>
                </w:p>
              </w:tc>
              <w:tc>
                <w:tcPr/>
                <w:p>
                  <w:pPr>
                    <w:pStyle w:val="Compact"/>
                    <w:jc w:val="center"/>
                  </w:pPr>
                  <w:r>
                    <w:t xml:space="preserve">3.00–10.0</w:t>
                  </w:r>
                </w:p>
              </w:tc>
              <w:tc>
                <w:tcPr/>
                <w:p>
                  <w:pPr>
                    <w:pStyle w:val="Compact"/>
                    <w:jc w:val="center"/>
                  </w:pPr>
                  <w:r>
                    <w:t xml:space="preserve">drug substance</w:t>
                  </w:r>
                </w:p>
              </w:tc>
            </w:tr>
            <w:tr>
              <w:tc>
                <w:tcPr>
                  <w:vMerge w:val="restart"/>
                </w:tcPr>
                <w:p>
                  <w:pPr>
                    <w:pStyle w:val="Compact"/>
                    <w:jc w:val="center"/>
                  </w:pPr>
                  <w:r>
                    <w:t xml:space="preserve">Protein A</w:t>
                  </w:r>
                </w:p>
              </w:tc>
              <w:tc>
                <w:tcPr/>
                <w:p>
                  <w:pPr>
                    <w:pStyle w:val="Compact"/>
                    <w:jc w:val="center"/>
                  </w:pPr>
                  <w:r>
                    <w:t xml:space="preserve">Leached Protein A (ppm)</w:t>
                  </w:r>
                </w:p>
              </w:tc>
              <w:tc>
                <w:tcPr>
                  <w:gridSpan w:val="2"/>
                </w:tcPr>
                <w:p>
                  <w:pPr>
                    <w:pStyle w:val="Compact"/>
                    <w:jc w:val="center"/>
                  </w:pPr>
                  <w:r>
                    <w:t xml:space="preserve">none</w:t>
                  </w:r>
                  <w:r>
                    <w:rPr>
                      <w:vertAlign w:val="superscript"/>
                    </w:rPr>
                    <w:t xml:space="preserve">a)</w:t>
                  </w:r>
                </w:p>
              </w:tc>
              <w:tc>
                <w:tcPr/>
                <w:p>
                  <w:pPr>
                    <w:pStyle w:val="Compact"/>
                    <w:jc w:val="center"/>
                  </w:pPr>
                  <w:r>
                    <w:t xml:space="preserve">≤ 158</w:t>
                  </w:r>
                </w:p>
              </w:tc>
              <w:tc>
                <w:tcPr/>
                <w:p>
                  <w:pPr>
                    <w:pStyle w:val="Compact"/>
                    <w:jc w:val="center"/>
                  </w:pPr>
                  <w:r>
                    <w:t xml:space="preserve">back-calculated</w:t>
                  </w:r>
                </w:p>
              </w:tc>
            </w:tr>
            <w:tr>
              <w:tc>
                <w:tcPr>
                  <w:gridSpan w:val="1"/>
                  <w:vMerge w:val="continue"/>
                </w:tcPr>
                <w:p>
                  <w:pPr/>
                </w:p>
              </w:tc>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c)</w:t>
                  </w:r>
                </w:p>
              </w:tc>
              <w:tc>
                <w:tcPr/>
                <w:p>
                  <w:pPr>
                    <w:pStyle w:val="Compact"/>
                    <w:jc w:val="center"/>
                  </w:pPr>
                  <w:r>
                    <w:t xml:space="preserve">≤ 2.45</w:t>
                  </w:r>
                </w:p>
              </w:tc>
              <w:tc>
                <w:tcPr/>
                <w:p>
                  <w:pPr>
                    <w:pStyle w:val="Compact"/>
                    <w:jc w:val="center"/>
                  </w:pPr>
                  <w:r>
                    <w:t xml:space="preserve">back-calculated</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10,724</w:t>
                  </w:r>
                </w:p>
              </w:tc>
              <w:tc>
                <w:tcPr/>
                <w:p>
                  <w:pPr>
                    <w:pStyle w:val="Compact"/>
                    <w:jc w:val="center"/>
                  </w:pPr>
                  <w:r>
                    <w:rPr>
                      <w:vertAlign w:val="superscript"/>
                    </w:rPr>
                    <w:t xml:space="preserve">R1</w:t>
                  </w:r>
                  <w:r>
                    <w:t xml:space="preserve"> </w:t>
                  </w:r>
                  <w:r>
                    <w:t xml:space="preserve">margin 4.5</w:t>
                  </w:r>
                </w:p>
              </w:tc>
              <w:tc>
                <w:tcPr/>
                <w:p>
                  <w:pPr>
                    <w:pStyle w:val="Compact"/>
                    <w:jc w:val="center"/>
                  </w:pPr>
                  <w:r>
                    <w:t xml:space="preserve">≤ 16,000</w:t>
                  </w:r>
                </w:p>
              </w:tc>
              <w:tc>
                <w:tcPr/>
                <w:p>
                  <w:pPr>
                    <w:pStyle w:val="Compact"/>
                    <w:jc w:val="center"/>
                  </w:pPr>
                  <w:r>
                    <w:t xml:space="preserve">back-calculated</w:t>
                  </w:r>
                </w:p>
              </w:tc>
            </w:tr>
            <w:tr>
              <w:tc>
                <w:tcPr>
                  <w:vMerge w:val="restart"/>
                </w:tcPr>
                <w:p>
                  <w:pPr>
                    <w:pStyle w:val="Compact"/>
                    <w:jc w:val="center"/>
                  </w:pPr>
                  <w:r>
                    <w:t xml:space="preserve">Low-pH viral inactivation</w:t>
                  </w:r>
                </w:p>
              </w:tc>
              <w:tc>
                <w:tcPr/>
                <w:p>
                  <w:pPr>
                    <w:pStyle w:val="Compact"/>
                    <w:jc w:val="center"/>
                  </w:pPr>
                  <w:r>
                    <w:t xml:space="preserve">Acidic variants (%)</w:t>
                  </w:r>
                </w:p>
              </w:tc>
              <w:tc>
                <w:tcPr>
                  <w:gridSpan w:val="2"/>
                </w:tcPr>
                <w:p>
                  <w:pPr>
                    <w:pStyle w:val="Compact"/>
                    <w:jc w:val="center"/>
                  </w:pPr>
                  <w:r>
                    <w:t xml:space="preserve">none</w:t>
                  </w:r>
                  <w:r>
                    <w:rPr>
                      <w:vertAlign w:val="superscript"/>
                    </w:rPr>
                    <w:t xml:space="preserve">a)</w:t>
                  </w:r>
                </w:p>
              </w:tc>
              <w:tc>
                <w:tcPr/>
                <w:p>
                  <w:pPr>
                    <w:pStyle w:val="Compact"/>
                    <w:jc w:val="center"/>
                  </w:pPr>
                  <w:r>
                    <w:t xml:space="preserve">18.0–40.0</w:t>
                  </w:r>
                </w:p>
              </w:tc>
              <w:tc>
                <w:tcPr/>
                <w:p>
                  <w:pPr>
                    <w:pStyle w:val="Compact"/>
                    <w:jc w:val="center"/>
                  </w:pPr>
                  <w:r>
                    <w:t xml:space="preserve">drug substance</w:t>
                  </w:r>
                </w:p>
              </w:tc>
            </w:tr>
            <w:tr>
              <w:tc>
                <w:tcPr>
                  <w:gridSpan w:val="1"/>
                  <w:vMerge w:val="continue"/>
                </w:tcPr>
                <w:p>
                  <w:pPr/>
                </w:p>
              </w:tc>
              <w:tc>
                <w:tcPr/>
                <w:p>
                  <w:pPr>
                    <w:pStyle w:val="Compact"/>
                    <w:jc w:val="center"/>
                  </w:pPr>
                  <w:r>
                    <w:t xml:space="preserve">Aggregates, HMW (%)</w:t>
                  </w:r>
                </w:p>
              </w:tc>
              <w:tc>
                <w:tcPr/>
                <w:p>
                  <w:pPr>
                    <w:pStyle w:val="Compact"/>
                    <w:jc w:val="center"/>
                  </w:pPr>
                  <w:r>
                    <w:t xml:space="preserve">≤ 2.17</w:t>
                  </w:r>
                </w:p>
              </w:tc>
              <w:tc>
                <w:tcPr/>
                <w:p>
                  <w:pPr>
                    <w:pStyle w:val="Compact"/>
                    <w:jc w:val="center"/>
                  </w:pPr>
                  <w:r>
                    <w:rPr>
                      <w:vertAlign w:val="superscript"/>
                    </w:rPr>
                    <w:t xml:space="preserve">R1</w:t>
                  </w:r>
                  <w:r>
                    <w:t xml:space="preserve"> </w:t>
                  </w:r>
                  <w:r>
                    <w:t xml:space="preserve">margin 6.0</w:t>
                  </w:r>
                </w:p>
              </w:tc>
              <w:tc>
                <w:tcPr/>
                <w:p>
                  <w:pPr>
                    <w:pStyle w:val="Compact"/>
                    <w:jc w:val="center"/>
                  </w:pPr>
                  <w:r>
                    <w:t xml:space="preserve">≤ 7.53</w:t>
                  </w:r>
                </w:p>
              </w:tc>
              <w:tc>
                <w:tcPr/>
                <w:p>
                  <w:pPr>
                    <w:pStyle w:val="Compact"/>
                    <w:jc w:val="center"/>
                  </w:pPr>
                  <w:r>
                    <w:t xml:space="preserve">back-calculated, tightened on verification</w:t>
                  </w:r>
                </w:p>
              </w:tc>
            </w:tr>
            <w:tr>
              <w:tc>
                <w:tcPr>
                  <w:gridSpan w:val="1"/>
                  <w:vMerge w:val="continue"/>
                </w:tcPr>
                <w:p>
                  <w:pPr/>
                </w:p>
              </w:tc>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c)</w:t>
                  </w:r>
                </w:p>
              </w:tc>
              <w:tc>
                <w:tcPr/>
                <w:p>
                  <w:pPr>
                    <w:pStyle w:val="Compact"/>
                    <w:jc w:val="center"/>
                  </w:pPr>
                  <w:r>
                    <w:t xml:space="preserve">≤ 2.60</w:t>
                  </w:r>
                </w:p>
              </w:tc>
              <w:tc>
                <w:tcPr/>
                <w:p>
                  <w:pPr>
                    <w:pStyle w:val="Compact"/>
                    <w:jc w:val="center"/>
                  </w:pPr>
                  <w:r>
                    <w:t xml:space="preserve">back-calculated</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4.93</w:t>
                  </w:r>
                </w:p>
              </w:tc>
              <w:tc>
                <w:tcPr/>
                <w:p>
                  <w:pPr>
                    <w:pStyle w:val="Compact"/>
                    <w:jc w:val="center"/>
                  </w:pPr>
                  <w:r>
                    <w:rPr>
                      <w:vertAlign w:val="superscript"/>
                    </w:rPr>
                    <w:t xml:space="preserve">R3</w:t>
                  </w:r>
                </w:p>
              </w:tc>
              <w:tc>
                <w:tcPr/>
                <w:p>
                  <w:pPr>
                    <w:pStyle w:val="Compact"/>
                    <w:jc w:val="center"/>
                  </w:pPr>
                  <w:r>
                    <w:t xml:space="preserve">≥ 6.60</w:t>
                  </w:r>
                </w:p>
              </w:tc>
              <w:tc>
                <w:tcPr/>
                <w:p>
                  <w:pPr>
                    <w:pStyle w:val="Compact"/>
                    <w:jc w:val="center"/>
                  </w:pPr>
                  <w:r>
                    <w:t xml:space="preserve">platform claim</w:t>
                  </w:r>
                </w:p>
              </w:tc>
            </w:tr>
            <w:tr>
              <w:tc>
                <w:tcPr>
                  <w:vMerge w:val="restart"/>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1.00</w:t>
                  </w:r>
                </w:p>
              </w:tc>
              <w:tc>
                <w:tcPr/>
                <w:p>
                  <w:pPr>
                    <w:pStyle w:val="Compact"/>
                    <w:jc w:val="center"/>
                  </w:pPr>
                  <w:r>
                    <w:rPr>
                      <w:vertAlign w:val="superscript"/>
                    </w:rPr>
                    <w:t xml:space="preserve">R1</w:t>
                  </w:r>
                  <w:r>
                    <w:t xml:space="preserve"> </w:t>
                  </w:r>
                  <w:r>
                    <w:t xml:space="preserve">margin 5.0</w:t>
                  </w:r>
                </w:p>
              </w:tc>
              <w:tc>
                <w:tcPr/>
                <w:p>
                  <w:pPr>
                    <w:pStyle w:val="Compact"/>
                    <w:jc w:val="center"/>
                  </w:pPr>
                  <w:r>
                    <w:t xml:space="preserve">≤ 5.00</w:t>
                  </w:r>
                </w:p>
              </w:tc>
              <w:tc>
                <w:tcPr/>
                <w:p>
                  <w:pPr>
                    <w:pStyle w:val="Compact"/>
                    <w:jc w:val="center"/>
                  </w:pPr>
                  <w:r>
                    <w:t xml:space="preserve">drug substance</w:t>
                  </w:r>
                </w:p>
              </w:tc>
            </w:tr>
            <w:tr>
              <w:tc>
                <w:tcPr>
                  <w:gridSpan w:val="1"/>
                  <w:vMerge w:val="continue"/>
                </w:tcPr>
                <w:p>
                  <w:pPr/>
                </w:p>
              </w:tc>
              <w:tc>
                <w:tcPr/>
                <w:p>
                  <w:pPr>
                    <w:pStyle w:val="Compact"/>
                    <w:jc w:val="center"/>
                  </w:pPr>
                  <w:r>
                    <w:t xml:space="preserve">Host cell protein (ng/mg)</w:t>
                  </w:r>
                </w:p>
              </w:tc>
              <w:tc>
                <w:tcPr/>
                <w:p>
                  <w:pPr>
                    <w:pStyle w:val="Compact"/>
                    <w:jc w:val="center"/>
                  </w:pPr>
                  <w:r>
                    <w:t xml:space="preserve">≤ 193</w:t>
                  </w:r>
                </w:p>
              </w:tc>
              <w:tc>
                <w:tcPr/>
                <w:p>
                  <w:pPr>
                    <w:pStyle w:val="Compact"/>
                    <w:jc w:val="center"/>
                  </w:pPr>
                  <w:r>
                    <w:rPr>
                      <w:vertAlign w:val="superscript"/>
                    </w:rPr>
                    <w:t xml:space="preserve">R1</w:t>
                  </w:r>
                  <w:r>
                    <w:t xml:space="preserve"> </w:t>
                  </w:r>
                  <w:r>
                    <w:t xml:space="preserve">margin 3.2</w:t>
                  </w:r>
                </w:p>
              </w:tc>
              <w:tc>
                <w:tcPr/>
                <w:p>
                  <w:pPr>
                    <w:pStyle w:val="Compact"/>
                    <w:jc w:val="center"/>
                  </w:pPr>
                  <w:r>
                    <w:t xml:space="preserve">≤ 400</w:t>
                  </w:r>
                </w:p>
              </w:tc>
              <w:tc>
                <w:tcPr/>
                <w:p>
                  <w:pPr>
                    <w:pStyle w:val="Compact"/>
                    <w:jc w:val="center"/>
                  </w:pPr>
                  <w:r>
                    <w:t xml:space="preserve">back-calculated</w:t>
                  </w:r>
                </w:p>
              </w:tc>
            </w:tr>
            <w:tr>
              <w:tc>
                <w:tcPr>
                  <w:gridSpan w:val="1"/>
                  <w:vMerge w:val="continue"/>
                </w:tcPr>
                <w:p>
                  <w:pPr/>
                </w:p>
              </w:tc>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c)</w:t>
                  </w:r>
                </w:p>
              </w:tc>
              <w:tc>
                <w:tcPr/>
                <w:p>
                  <w:pPr>
                    <w:pStyle w:val="Compact"/>
                    <w:jc w:val="center"/>
                  </w:pPr>
                  <w:r>
                    <w:t xml:space="preserve">≤ 2.00</w:t>
                  </w:r>
                </w:p>
              </w:tc>
              <w:tc>
                <w:tcPr/>
                <w:p>
                  <w:pPr>
                    <w:pStyle w:val="Compact"/>
                    <w:jc w:val="center"/>
                  </w:pPr>
                  <w:r>
                    <w:t xml:space="preserve">drug substance</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21.7</w:t>
                  </w:r>
                </w:p>
              </w:tc>
              <w:tc>
                <w:tcPr/>
                <w:p>
                  <w:pPr>
                    <w:pStyle w:val="Compact"/>
                    <w:jc w:val="center"/>
                  </w:pPr>
                  <w:r>
                    <w:rPr>
                      <w:vertAlign w:val="superscript"/>
                    </w:rPr>
                    <w:t xml:space="preserve">R1</w:t>
                  </w:r>
                  <w:r>
                    <w:t xml:space="preserve"> </w:t>
                  </w:r>
                  <w:r>
                    <w:t xml:space="preserve">margin 4.6</w:t>
                  </w:r>
                </w:p>
              </w:tc>
              <w:tc>
                <w:tcPr/>
                <w:p>
                  <w:pPr>
                    <w:pStyle w:val="Compact"/>
                    <w:jc w:val="center"/>
                  </w:pPr>
                  <w:r>
                    <w:t xml:space="preserve">≤ 100</w:t>
                  </w:r>
                </w:p>
              </w:tc>
              <w:tc>
                <w:tcPr/>
                <w:p>
                  <w:pPr>
                    <w:pStyle w:val="Compact"/>
                    <w:jc w:val="center"/>
                  </w:pPr>
                  <w:r>
                    <w:t xml:space="preserve">drug substance</w:t>
                  </w:r>
                </w:p>
              </w:tc>
            </w:tr>
            <w:tr>
              <w:tc>
                <w:tcPr>
                  <w:gridSpan w:val="1"/>
                  <w:vMerge w:val="continue"/>
                </w:tcPr>
                <w:p>
                  <w:pPr/>
                </w:p>
              </w:tc>
              <w:tc>
                <w:tcPr/>
                <w:p>
                  <w:pPr>
                    <w:pStyle w:val="Compact"/>
                    <w:jc w:val="center"/>
                  </w:pPr>
                  <w:r>
                    <w:t xml:space="preserve">Fragments, LMW (%)</w:t>
                  </w:r>
                </w:p>
              </w:tc>
              <w:tc>
                <w:tcPr>
                  <w:gridSpan w:val="2"/>
                </w:tcPr>
                <w:p>
                  <w:pPr>
                    <w:pStyle w:val="Compact"/>
                    <w:jc w:val="center"/>
                  </w:pPr>
                  <w:r>
                    <w:t xml:space="preserve">not assessed</w:t>
                  </w:r>
                  <w:r>
                    <w:rPr>
                      <w:vertAlign w:val="superscript"/>
                    </w:rPr>
                    <w:t xml:space="preserve">c)</w:t>
                  </w:r>
                </w:p>
              </w:tc>
              <w:tc>
                <w:tcPr/>
                <w:p>
                  <w:pPr>
                    <w:pStyle w:val="Compact"/>
                    <w:jc w:val="center"/>
                  </w:pPr>
                  <w:r>
                    <w:t xml:space="preserve">≤ 2.00</w:t>
                  </w:r>
                </w:p>
              </w:tc>
              <w:tc>
                <w:tcPr/>
                <w:p>
                  <w:pPr>
                    <w:pStyle w:val="Compact"/>
                    <w:jc w:val="center"/>
                  </w:pPr>
                  <w:r>
                    <w:t xml:space="preserve">drug substance</w:t>
                  </w:r>
                </w:p>
              </w:tc>
            </w:tr>
            <w:tr>
              <w:tc>
                <w:tcPr>
                  <w:gridSpan w:val="1"/>
                  <w:vMerge w:val="continue"/>
                </w:tcPr>
                <w:p>
                  <w:pPr/>
                </w:p>
              </w:tc>
              <w:tc>
                <w:tcPr/>
                <w:p>
                  <w:pPr>
                    <w:pStyle w:val="Compact"/>
                    <w:jc w:val="center"/>
                  </w:pPr>
                  <w:r>
                    <w:t xml:space="preserve">MVM clearance (log10)</w:t>
                  </w:r>
                </w:p>
              </w:tc>
              <w:tc>
                <w:tcPr/>
                <w:p>
                  <w:pPr>
                    <w:pStyle w:val="Compact"/>
                    <w:jc w:val="center"/>
                  </w:pPr>
                  <w:r>
                    <w:t xml:space="preserve">≥ 3.28</w:t>
                  </w:r>
                </w:p>
              </w:tc>
              <w:tc>
                <w:tcPr/>
                <w:p>
                  <w:pPr>
                    <w:pStyle w:val="Compact"/>
                    <w:jc w:val="center"/>
                  </w:pPr>
                  <w:r>
                    <w:rPr>
                      <w:vertAlign w:val="superscript"/>
                    </w:rPr>
                    <w:t xml:space="preserve">R3</w:t>
                  </w:r>
                </w:p>
              </w:tc>
              <w:tc>
                <w:tcPr/>
                <w:p>
                  <w:pPr>
                    <w:pStyle w:val="Compact"/>
                    <w:jc w:val="center"/>
                  </w:pPr>
                  <w:r>
                    <w:t xml:space="preserve">≥ 4.00</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3.78</w:t>
                  </w:r>
                </w:p>
              </w:tc>
              <w:tc>
                <w:tcPr/>
                <w:p>
                  <w:pPr>
                    <w:pStyle w:val="Compact"/>
                    <w:jc w:val="center"/>
                  </w:pPr>
                  <w:r>
                    <w:rPr>
                      <w:vertAlign w:val="superscript"/>
                    </w:rPr>
                    <w:t xml:space="preserve">R3</w:t>
                  </w:r>
                </w:p>
              </w:tc>
              <w:tc>
                <w:tcPr/>
                <w:p>
                  <w:pPr>
                    <w:pStyle w:val="Compact"/>
                    <w:jc w:val="center"/>
                  </w:pPr>
                  <w:r>
                    <w:t xml:space="preserve">≥ 5.50</w:t>
                  </w:r>
                </w:p>
              </w:tc>
              <w:tc>
                <w:tcPr/>
                <w:p>
                  <w:pPr>
                    <w:pStyle w:val="Compact"/>
                    <w:jc w:val="center"/>
                  </w:pPr>
                  <w:r>
                    <w:t xml:space="preserve">platform claim</w:t>
                  </w:r>
                </w:p>
              </w:tc>
            </w:tr>
            <w:tr>
              <w:tc>
                <w:tcPr>
                  <w:vMerge w:val="restart"/>
                </w:tcPr>
                <w:p>
                  <w:pPr>
                    <w:pStyle w:val="Compact"/>
                    <w:jc w:val="center"/>
                  </w:pPr>
                  <w:r>
                    <w:t xml:space="preserve">Virus filtration</w:t>
                  </w:r>
                </w:p>
              </w:tc>
              <w:tc>
                <w:tcPr/>
                <w:p>
                  <w:pPr>
                    <w:pStyle w:val="Compact"/>
                    <w:jc w:val="center"/>
                  </w:pPr>
                  <w:r>
                    <w:t xml:space="preserve">MVM clearance (log10)</w:t>
                  </w:r>
                </w:p>
              </w:tc>
              <w:tc>
                <w:tcPr/>
                <w:p>
                  <w:pPr>
                    <w:pStyle w:val="Compact"/>
                    <w:jc w:val="center"/>
                  </w:pPr>
                  <w:r>
                    <w:t xml:space="preserve">≥ 4.97</w:t>
                  </w:r>
                </w:p>
              </w:tc>
              <w:tc>
                <w:tcPr/>
                <w:p>
                  <w:pPr>
                    <w:pStyle w:val="Compact"/>
                    <w:jc w:val="center"/>
                  </w:pPr>
                  <w:r>
                    <w:rPr>
                      <w:vertAlign w:val="superscript"/>
                    </w:rPr>
                    <w:t xml:space="preserve">R4</w:t>
                  </w:r>
                </w:p>
              </w:tc>
              <w:tc>
                <w:tcPr/>
                <w:p>
                  <w:pPr>
                    <w:pStyle w:val="Compact"/>
                    <w:jc w:val="center"/>
                  </w:pPr>
                  <w:r>
                    <w:t xml:space="preserve">≥ 4.62</w:t>
                  </w:r>
                </w:p>
              </w:tc>
              <w:tc>
                <w:tcPr/>
                <w:p>
                  <w:pPr>
                    <w:pStyle w:val="Compact"/>
                    <w:jc w:val="center"/>
                  </w:pPr>
                  <w:r>
                    <w:t xml:space="preserve">platform claim</w:t>
                  </w:r>
                </w:p>
              </w:tc>
            </w:tr>
            <w:tr>
              <w:tc>
                <w:tcPr>
                  <w:gridSpan w:val="1"/>
                  <w:vMerge w:val="continue"/>
                </w:tcPr>
                <w:p>
                  <w:pPr/>
                </w:p>
              </w:tc>
              <w:tc>
                <w:tcPr/>
                <w:p>
                  <w:pPr>
                    <w:pStyle w:val="Compact"/>
                    <w:jc w:val="center"/>
                  </w:pPr>
                  <w:r>
                    <w:t xml:space="preserve">XMuLV clearance (log10)</w:t>
                  </w:r>
                </w:p>
              </w:tc>
              <w:tc>
                <w:tcPr/>
                <w:p>
                  <w:pPr>
                    <w:pStyle w:val="Compact"/>
                    <w:jc w:val="center"/>
                  </w:pPr>
                  <w:r>
                    <w:t xml:space="preserve">≥ 5.47</w:t>
                  </w:r>
                </w:p>
              </w:tc>
              <w:tc>
                <w:tcPr/>
                <w:p>
                  <w:pPr>
                    <w:pStyle w:val="Compact"/>
                    <w:jc w:val="center"/>
                  </w:pPr>
                  <w:r>
                    <w:rPr>
                      <w:vertAlign w:val="superscript"/>
                    </w:rPr>
                    <w:t xml:space="preserve">R4</w:t>
                  </w:r>
                </w:p>
              </w:tc>
              <w:tc>
                <w:tcPr/>
                <w:p>
                  <w:pPr>
                    <w:pStyle w:val="Compact"/>
                    <w:jc w:val="center"/>
                  </w:pPr>
                  <w:r>
                    <w:t xml:space="preserve">≥ 4.62</w:t>
                  </w:r>
                </w:p>
              </w:tc>
              <w:tc>
                <w:tcPr/>
                <w:p>
                  <w:pPr>
                    <w:pStyle w:val="Compact"/>
                    <w:jc w:val="center"/>
                  </w:pPr>
                  <w:r>
                    <w:t xml:space="preserve">platform claim</w:t>
                  </w:r>
                </w:p>
              </w:tc>
            </w:tr>
            <w:tr>
              <w:tc>
                <w:tcPr>
                  <w:gridSpan w:val="6"/>
                </w:tcPr>
                <w:p>
                  <w:pPr>
                    <w:pStyle w:val="Compact"/>
                    <w:jc w:val="center"/>
                  </w:pPr>
                  <w:r>
                    <w:rPr>
                      <w:vertAlign w:val="superscript"/>
                    </w:rPr>
                    <w:t xml:space="preserve">a)</w:t>
                  </w:r>
                  <w:r>
                    <w:t xml:space="preserve"> </w:t>
                  </w:r>
                  <w:r>
                    <w:t xml:space="preserve">Version 1.0 set no step criterion and judged the step against the drug-substance criterion.</w:t>
                  </w:r>
                </w:p>
              </w:tc>
            </w:tr>
            <w:tr>
              <w:tc>
                <w:tcPr>
                  <w:gridSpan w:val="6"/>
                </w:tcPr>
                <w:p>
                  <w:pPr>
                    <w:pStyle w:val="Compact"/>
                    <w:jc w:val="center"/>
                  </w:pPr>
                  <w:r>
                    <w:rPr>
                      <w:vertAlign w:val="superscript"/>
                    </w:rPr>
                    <w:t xml:space="preserve">b)</w:t>
                  </w:r>
                  <w:r>
                    <w:t xml:space="preserve"> </w:t>
                  </w:r>
                  <w:r>
                    <w:t xml:space="preserve">Applied in the Version 1.0 reports at analysis. No approved Version 1.0 plan contained these criteria (INV-001 finding 1).</w:t>
                  </w:r>
                </w:p>
              </w:tc>
            </w:tr>
            <w:tr>
              <w:tc>
                <w:tcPr>
                  <w:gridSpan w:val="6"/>
                </w:tcPr>
                <w:p>
                  <w:pPr>
                    <w:pStyle w:val="Compact"/>
                    <w:jc w:val="center"/>
                  </w:pPr>
                  <w:r>
                    <w:rPr>
                      <w:vertAlign w:val="superscript"/>
                    </w:rPr>
                    <w:t xml:space="preserve">c)</w:t>
                  </w:r>
                  <w:r>
                    <w:t xml:space="preserve"> </w:t>
                  </w:r>
                  <w:r>
                    <w:t xml:space="preserve">Version 1.0 did not report fragments. The attribute was added at Version 2.0.</w:t>
                  </w:r>
                </w:p>
              </w:tc>
            </w:tr>
            <w:tr>
              <w:tc>
                <w:tcPr>
                  <w:gridSpan w:val="6"/>
                </w:tcPr>
                <w:p>
                  <w:pPr>
                    <w:pStyle w:val="Compact"/>
                    <w:jc w:val="center"/>
                  </w:pPr>
                  <w:r>
                    <w:rPr>
                      <w:vertAlign w:val="superscript"/>
                    </w:rPr>
                    <w:t xml:space="preserve">R1</w:t>
                  </w:r>
                  <w:r>
                    <w:t xml:space="preserve"> </w:t>
                  </w:r>
                  <w:r>
                    <w:t xml:space="preserve">Version 1.0 rule: nominal back-calculation / margin.</w:t>
                  </w:r>
                </w:p>
              </w:tc>
            </w:tr>
            <w:tr>
              <w:tc>
                <w:tcPr>
                  <w:gridSpan w:val="6"/>
                </w:tcPr>
                <w:p>
                  <w:pPr>
                    <w:pStyle w:val="Compact"/>
                    <w:jc w:val="center"/>
                  </w:pPr>
                  <w:r>
                    <w:rPr>
                      <w:vertAlign w:val="superscript"/>
                    </w:rPr>
                    <w:t xml:space="preserve">R2</w:t>
                  </w:r>
                  <w:r>
                    <w:t xml:space="preserve"> </w:t>
                  </w:r>
                  <w:r>
                    <w:t xml:space="preserve">Version 1.0 rule: mean + 2.5 sd of capability.</w:t>
                  </w:r>
                </w:p>
              </w:tc>
            </w:tr>
            <w:tr>
              <w:tc>
                <w:tcPr>
                  <w:gridSpan w:val="6"/>
                </w:tcPr>
                <w:p>
                  <w:pPr>
                    <w:pStyle w:val="Compact"/>
                    <w:jc w:val="center"/>
                  </w:pPr>
                  <w:r>
                    <w:rPr>
                      <w:vertAlign w:val="superscript"/>
                    </w:rPr>
                    <w:t xml:space="preserve">R3</w:t>
                  </w:r>
                  <w:r>
                    <w:t xml:space="preserve"> </w:t>
                  </w:r>
                  <w:r>
                    <w:t xml:space="preserve">Version 1.0 rule: requirement - nominal of other steps.</w:t>
                  </w:r>
                </w:p>
              </w:tc>
            </w:tr>
            <w:tr>
              <w:tc>
                <w:tcPr>
                  <w:gridSpan w:val="6"/>
                </w:tcPr>
                <w:p>
                  <w:pPr>
                    <w:pStyle w:val="Compact"/>
                    <w:jc w:val="center"/>
                  </w:pPr>
                  <w:r>
                    <w:rPr>
                      <w:vertAlign w:val="superscript"/>
                    </w:rPr>
                    <w:t xml:space="preserve">R4</w:t>
                  </w:r>
                  <w:r>
                    <w:t xml:space="preserve"> </w:t>
                  </w:r>
                  <w:r>
                    <w:t xml:space="preserve">Version 1.0 rule: nominal claim less 0.35 log10 for assay variability.</w:t>
                  </w:r>
                </w:p>
              </w:tc>
            </w:tr>
          </w:tbl>
          <w:bookmarkEnd w:id="30"/>
          <w:p/>
        </w:tc>
      </w:tr>
    </w:tbl>
    <w:p>
      <w:pPr>
        <w:pStyle w:val="BodyText"/>
      </w:pPr>
      <w:r>
        <w:t xml:space="preserve">R1, R3 and R4 use the nominal results of this campaign, and R2 uses its capability data. Every Version 1.0 criterion therefore depends on data from the studies it was used to judge.</w:t>
      </w:r>
    </w:p>
    <w:bookmarkEnd w:id="31"/>
    <w:bookmarkEnd w:id="32"/>
    <w:bookmarkStart w:id="46" w:name="investigation"/>
    <w:p>
      <w:pPr>
        <w:pStyle w:val="Heading1"/>
      </w:pPr>
      <w:r>
        <w:t xml:space="preserve">4. Investigation</w:t>
      </w:r>
    </w:p>
    <w:bookmarkStart w:id="33" w:name="approach"/>
    <w:p>
      <w:pPr>
        <w:pStyle w:val="Heading2"/>
      </w:pPr>
      <w:r>
        <w:t xml:space="preserve">4.1 Approach</w:t>
      </w:r>
    </w:p>
    <w:p>
      <w:pPr>
        <w:pStyle w:val="FirstParagraph"/>
      </w:pPr>
      <w:r>
        <w:t xml:space="preserve">The sequence in which the criteria were set was reconstructed from the analysis records, from the study chronology and from the authors of the Version 1.0 reports. Each criterion in</w:t>
      </w:r>
      <w:r>
        <w:t xml:space="preserve"> </w:t>
      </w:r>
      <w:hyperlink w:anchor="tbl-criteria-change">
        <w:r>
          <w:rPr>
            <w:rStyle w:val="Hyperlink"/>
          </w:rPr>
          <w:t xml:space="preserve">Table 3</w:t>
        </w:r>
      </w:hyperlink>
      <w:r>
        <w:t xml:space="preserve"> </w:t>
      </w:r>
      <w:r>
        <w:t xml:space="preserve">was recomputed from its stated rule and compared with the value printed in the documents. The capability assessment was repeated against the drug-substance criteria as the register prints them. The execution windows of the studies were compared with the calibration records of the equipment they used. The method record for fragments was reviewed against the method decision AMD-001 and the comparability study S-CEX-FRC. Every recomputed criterion agreed with the printed value.</w:t>
      </w:r>
    </w:p>
    <w:bookmarkEnd w:id="33"/>
    <w:bookmarkStart w:id="34" w:name="Xbacd34c352409d7cf3a40c1827822df84e9a837"/>
    <w:p>
      <w:pPr>
        <w:pStyle w:val="Heading2"/>
      </w:pPr>
      <w:r>
        <w:t xml:space="preserve">4.2 F1. Criteria defined after the data were seen</w:t>
      </w:r>
    </w:p>
    <w:p>
      <w:pPr>
        <w:pStyle w:val="FirstParagraph"/>
      </w:pPr>
      <w:r>
        <w:t xml:space="preserve">The step criteria were defined after the data were seen and outside the approved protocols.</w:t>
      </w:r>
    </w:p>
    <w:p>
      <w:pPr>
        <w:pStyle w:val="BodyText"/>
      </w:pPr>
      <w:r>
        <w:t xml:space="preserve">Each step plan was approved before its studies began, as</w:t>
      </w:r>
      <w:r>
        <w:t xml:space="preserve"> </w:t>
      </w:r>
      <w:hyperlink w:anchor="tbl-plan-dates">
        <w:r>
          <w:rPr>
            <w:rStyle w:val="Hyperlink"/>
          </w:rPr>
          <w:t xml:space="preserve">Table 6</w:t>
        </w:r>
      </w:hyperlink>
      <w:r>
        <w:t xml:space="preserve"> </w:t>
      </w:r>
      <w:r>
        <w:t xml:space="preserve">in §4.6 shows. The plan for Protein A, for example, was approved on 2025-11-03, and its first study started on 2025-11-05. None of the step criteria was in a plan as approved. The criteria were introduced later, while the Protein A data were being analysed, when it became clear that the capture pool could not be judged against the drug-substance criterion (§3.2). They were then written into the text of every step plan when the Version 1.0 package was compiled, and the approved plans were not revised to carry them. The Version 1.0 plans therefore read as if the criteria had been approved before execution, which they had not.</w:t>
      </w:r>
    </w:p>
    <w:p>
      <w:pPr>
        <w:pStyle w:val="BodyText"/>
      </w:pPr>
      <w:r>
        <w:t xml:space="preserve">The master plan, approved on 2025-08-04, did not prevent this. As §3.1 shows, it required a step criterion without fixing one. The record therefore holds no protocol, approved before execution, that contains a step criterion. A criterion added to a protocol after its data are known does not meet the purpose of a protocol</w:t>
      </w:r>
      <w:r>
        <w:t xml:space="preserve"> </w:t>
      </w:r>
      <w:r>
        <w:t xml:space="preserve">(U.S. Food and Drug Administration 2011)</w:t>
      </w:r>
      <w:r>
        <w:t xml:space="preserve">.</w:t>
      </w:r>
    </w:p>
    <w:bookmarkEnd w:id="34"/>
    <w:bookmarkStart w:id="36" w:name="Xa78ddcab2e1ead6f0c578b3eeaebd424e5e3f39"/>
    <w:p>
      <w:pPr>
        <w:pStyle w:val="Heading2"/>
      </w:pPr>
      <w:r>
        <w:t xml:space="preserve">4.3 F2. Safety factors chosen so that each step passed at its set-point</w:t>
      </w:r>
    </w:p>
    <w:p>
      <w:pPr>
        <w:pStyle w:val="FirstParagraph"/>
      </w:pPr>
      <w:r>
        <w:t xml:space="preserve">Each criterion set by R1 was the drug-substance criterion carried back through the nominal downstream clearance of this campaign, then divided by a safety factor. The factors ranged from 3.2 to 6.8, and no document records why they differ.</w:t>
      </w:r>
    </w:p>
    <w:p>
      <w:pPr>
        <w:pStyle w:val="BodyText"/>
      </w:pPr>
      <w:hyperlink w:anchor="tbl-margins">
        <w:r>
          <w:rPr>
            <w:rStyle w:val="Hyperlink"/>
          </w:rPr>
          <w:t xml:space="preserve">Table 4</w:t>
        </w:r>
      </w:hyperlink>
      <w:r>
        <w:t xml:space="preserve"> </w:t>
      </w:r>
      <w:r>
        <w:t xml:space="preserve">sets each factor against the value the step’s own response surface model predicts at its set-point. The last column gives the largest factor at which that set-point value would still have met the criterion. Every step output meets its criterion at its own set-point. Had the largest factor used, 6.8, been applied to every step, the set-point value would have failed its criterion for 4 of the outputs in</w:t>
      </w:r>
      <w:r>
        <w:t xml:space="preserve"> </w:t>
      </w:r>
      <w:hyperlink w:anchor="tbl-margins">
        <w:r>
          <w:rPr>
            <w:rStyle w:val="Hyperlink"/>
          </w:rPr>
          <w:t xml:space="preserve">Table 4</w:t>
        </w:r>
      </w:hyperlink>
      <w:r>
        <w:t xml:space="preserve">. The analysis records show that a factor was reduced where the limit would otherwise have fallen below the value the step produces at its set-point. The factors were therefore chosen with the result in view.</w:t>
      </w:r>
    </w:p>
    <w:tbl>
      <w:tblPr>
        <w:tblStyle w:val="Table"/>
        <w:tblW w:type="pct" w:w="5000"/>
        <w:tblLayout w:type="fixed"/>
        <w:tblLook w:firstRow="0" w:lastRow="0" w:firstColumn="0" w:lastColumn="0" w:noHBand="0" w:noVBand="0" w:val="0000"/>
      </w:tblPr>
      <w:tblGrid>
        <w:gridCol w:w="7920"/>
      </w:tblGrid>
      <w:tr>
        <w:tc>
          <w:tcPr/>
          <w:bookmarkStart w:id="35" w:name="tbl-margins"/>
          <w:p>
            <w:pPr>
              <w:jc w:val="center"/>
            </w:pPr>
            <w:pPr>
              <w:jc w:val="start"/>
              <w:spacing w:before="200"/>
              <w:pStyle w:val="ImageCaption"/>
            </w:pPr>
            <w:r>
              <w:t xml:space="preserve">Table 4: Safety factors of the Version 1.0 step criteria against the value each step produces at its set-point. The third column is the concentration above which the downstream steps, at the nominal clearance of this campaign, can no longer bring the batch to specification.</w:t>
            </w:r>
          </w:p>
          <w:tbl>
            <w:tblPr>
              <w:tblStyle w:val="Table"/>
              <w:tblW w:type="pct" w:w="5000"/>
              <w:tblLayout w:type="fixed"/>
              <w:tblLook w:firstRow="1" w:lastRow="0" w:firstColumn="0" w:lastColumn="0" w:noHBand="0" w:noVBand="0" w:val="0020"/>
            </w:tblPr>
            <w:tblGrid>
              <w:gridCol w:w="1144"/>
              <w:gridCol w:w="1232"/>
              <w:gridCol w:w="1672"/>
              <w:gridCol w:w="704"/>
              <w:gridCol w:w="1144"/>
              <w:gridCol w:w="968"/>
              <w:gridCol w:w="1056"/>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Highest level downstream steps bring to specification</w:t>
                  </w:r>
                </w:p>
              </w:tc>
              <w:tc>
                <w:tcPr/>
                <w:p>
                  <w:pPr>
                    <w:pStyle w:val="Compact"/>
                    <w:jc w:val="center"/>
                  </w:pPr>
                  <w:r>
                    <w:t xml:space="preserve">Safety factor</w:t>
                  </w:r>
                </w:p>
              </w:tc>
              <w:tc>
                <w:tcPr/>
                <w:p>
                  <w:pPr>
                    <w:pStyle w:val="Compact"/>
                    <w:jc w:val="center"/>
                  </w:pPr>
                  <w:r>
                    <w:t xml:space="preserve">Version 1.0 criterion</w:t>
                  </w:r>
                </w:p>
              </w:tc>
              <w:tc>
                <w:tcPr/>
                <w:p>
                  <w:pPr>
                    <w:pStyle w:val="Compact"/>
                    <w:jc w:val="center"/>
                  </w:pPr>
                  <w:r>
                    <w:t xml:space="preserve">Predicted at set-point</w:t>
                  </w:r>
                </w:p>
              </w:tc>
              <w:tc>
                <w:tcPr/>
                <w:p>
                  <w:pPr>
                    <w:pStyle w:val="Compact"/>
                    <w:jc w:val="center"/>
                  </w:pPr>
                  <w:r>
                    <w:t xml:space="preserve">Largest factor met at set-point</w:t>
                  </w:r>
                </w:p>
              </w:tc>
            </w:tr>
            <w:tr>
              <w:tc>
                <w:tcPr/>
                <w:p>
                  <w:pPr>
                    <w:pStyle w:val="Compact"/>
                    <w:jc w:val="center"/>
                  </w:pPr>
                  <w:r>
                    <w:t xml:space="preserve">Production bioreactor</w:t>
                  </w:r>
                </w:p>
              </w:tc>
              <w:tc>
                <w:tcPr/>
                <w:p>
                  <w:pPr>
                    <w:pStyle w:val="Compact"/>
                    <w:jc w:val="center"/>
                  </w:pPr>
                  <w:r>
                    <w:t xml:space="preserve">Aggregates, HMW (%)</w:t>
                  </w:r>
                </w:p>
              </w:tc>
              <w:tc>
                <w:tcPr/>
                <w:p>
                  <w:pPr>
                    <w:pStyle w:val="Compact"/>
                    <w:jc w:val="center"/>
                  </w:pPr>
                  <w:r>
                    <w:t xml:space="preserve">12.7</w:t>
                  </w:r>
                </w:p>
              </w:tc>
              <w:tc>
                <w:tcPr/>
                <w:p>
                  <w:pPr>
                    <w:pStyle w:val="Compact"/>
                    <w:jc w:val="center"/>
                  </w:pPr>
                  <w:r>
                    <w:t xml:space="preserve">6.8</w:t>
                  </w:r>
                </w:p>
              </w:tc>
              <w:tc>
                <w:tcPr/>
                <w:p>
                  <w:pPr>
                    <w:pStyle w:val="Compact"/>
                    <w:jc w:val="center"/>
                  </w:pPr>
                  <w:r>
                    <w:t xml:space="preserve">≤ 1.86</w:t>
                  </w:r>
                </w:p>
              </w:tc>
              <w:tc>
                <w:tcPr/>
                <w:p>
                  <w:pPr>
                    <w:pStyle w:val="Compact"/>
                    <w:jc w:val="center"/>
                  </w:pPr>
                  <w:r>
                    <w:t xml:space="preserve">1.52</w:t>
                  </w:r>
                </w:p>
              </w:tc>
              <w:tc>
                <w:tcPr/>
                <w:p>
                  <w:pPr>
                    <w:pStyle w:val="Compact"/>
                    <w:jc w:val="center"/>
                  </w:pPr>
                  <w:r>
                    <w:t xml:space="preserve">8.32</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48,260</w:t>
                  </w:r>
                </w:p>
              </w:tc>
              <w:tc>
                <w:tcPr/>
                <w:p>
                  <w:pPr>
                    <w:pStyle w:val="Compact"/>
                    <w:jc w:val="center"/>
                  </w:pPr>
                  <w:r>
                    <w:t xml:space="preserve">4.5</w:t>
                  </w:r>
                </w:p>
              </w:tc>
              <w:tc>
                <w:tcPr/>
                <w:p>
                  <w:pPr>
                    <w:pStyle w:val="Compact"/>
                    <w:jc w:val="center"/>
                  </w:pPr>
                  <w:r>
                    <w:t xml:space="preserve">≤ 10,724</w:t>
                  </w:r>
                </w:p>
              </w:tc>
              <w:tc>
                <w:tcPr/>
                <w:p>
                  <w:pPr>
                    <w:pStyle w:val="Compact"/>
                    <w:jc w:val="center"/>
                  </w:pPr>
                  <w:r>
                    <w:t xml:space="preserve">7,216</w:t>
                  </w:r>
                </w:p>
              </w:tc>
              <w:tc>
                <w:tcPr/>
                <w:p>
                  <w:pPr>
                    <w:pStyle w:val="Compact"/>
                    <w:jc w:val="center"/>
                  </w:pPr>
                  <w:r>
                    <w:t xml:space="preserve">6.69</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13.0</w:t>
                  </w:r>
                </w:p>
              </w:tc>
              <w:tc>
                <w:tcPr/>
                <w:p>
                  <w:pPr>
                    <w:pStyle w:val="Compact"/>
                    <w:jc w:val="center"/>
                  </w:pPr>
                  <w:r>
                    <w:t xml:space="preserve">6.0</w:t>
                  </w:r>
                </w:p>
              </w:tc>
              <w:tc>
                <w:tcPr/>
                <w:p>
                  <w:pPr>
                    <w:pStyle w:val="Compact"/>
                    <w:jc w:val="center"/>
                  </w:pPr>
                  <w:r>
                    <w:t xml:space="preserve">≤ 2.17</w:t>
                  </w:r>
                </w:p>
              </w:tc>
              <w:tc>
                <w:tcPr/>
                <w:p>
                  <w:pPr>
                    <w:pStyle w:val="Compact"/>
                    <w:jc w:val="center"/>
                  </w:pPr>
                  <w:r>
                    <w:t xml:space="preserve">1.91</w:t>
                  </w:r>
                </w:p>
              </w:tc>
              <w:tc>
                <w:tcPr/>
                <w:p>
                  <w:pPr>
                    <w:pStyle w:val="Compact"/>
                    <w:jc w:val="center"/>
                  </w:pPr>
                  <w:r>
                    <w:t xml:space="preserve">6.81</w:t>
                  </w:r>
                </w:p>
              </w:tc>
            </w:tr>
            <w:tr>
              <w:tc>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5.00</w:t>
                  </w:r>
                </w:p>
              </w:tc>
              <w:tc>
                <w:tcPr/>
                <w:p>
                  <w:pPr>
                    <w:pStyle w:val="Compact"/>
                    <w:jc w:val="center"/>
                  </w:pPr>
                  <w:r>
                    <w:t xml:space="preserve">5.0</w:t>
                  </w:r>
                </w:p>
              </w:tc>
              <w:tc>
                <w:tcPr/>
                <w:p>
                  <w:pPr>
                    <w:pStyle w:val="Compact"/>
                    <w:jc w:val="center"/>
                  </w:pPr>
                  <w:r>
                    <w:t xml:space="preserve">≤ 1.00</w:t>
                  </w:r>
                </w:p>
              </w:tc>
              <w:tc>
                <w:tcPr/>
                <w:p>
                  <w:pPr>
                    <w:pStyle w:val="Compact"/>
                    <w:jc w:val="center"/>
                  </w:pPr>
                  <w:r>
                    <w:t xml:space="preserve">0.75</w:t>
                  </w:r>
                </w:p>
              </w:tc>
              <w:tc>
                <w:tcPr/>
                <w:p>
                  <w:pPr>
                    <w:pStyle w:val="Compact"/>
                    <w:jc w:val="center"/>
                  </w:pPr>
                  <w:r>
                    <w:t xml:space="preserve">6.66</w:t>
                  </w:r>
                </w:p>
              </w:tc>
            </w:tr>
            <w:tr>
              <w:tc>
                <w:tcPr/>
                <w:p>
                  <w:pPr>
                    <w:pStyle w:val="Compact"/>
                    <w:jc w:val="center"/>
                  </w:pPr>
                  <w:r>
                    <w:t xml:space="preserve">Cation exchange</w:t>
                  </w:r>
                </w:p>
              </w:tc>
              <w:tc>
                <w:tcPr/>
                <w:p>
                  <w:pPr>
                    <w:pStyle w:val="Compact"/>
                    <w:jc w:val="center"/>
                  </w:pPr>
                  <w:r>
                    <w:t xml:space="preserve">Host cell protein (ng/mg)</w:t>
                  </w:r>
                </w:p>
              </w:tc>
              <w:tc>
                <w:tcPr/>
                <w:p>
                  <w:pPr>
                    <w:pStyle w:val="Compact"/>
                    <w:jc w:val="center"/>
                  </w:pPr>
                  <w:r>
                    <w:t xml:space="preserve">619</w:t>
                  </w:r>
                </w:p>
              </w:tc>
              <w:tc>
                <w:tcPr/>
                <w:p>
                  <w:pPr>
                    <w:pStyle w:val="Compact"/>
                    <w:jc w:val="center"/>
                  </w:pPr>
                  <w:r>
                    <w:t xml:space="preserve">3.2</w:t>
                  </w:r>
                </w:p>
              </w:tc>
              <w:tc>
                <w:tcPr/>
                <w:p>
                  <w:pPr>
                    <w:pStyle w:val="Compact"/>
                    <w:jc w:val="center"/>
                  </w:pPr>
                  <w:r>
                    <w:t xml:space="preserve">≤ 193</w:t>
                  </w:r>
                </w:p>
              </w:tc>
              <w:tc>
                <w:tcPr/>
                <w:p>
                  <w:pPr>
                    <w:pStyle w:val="Compact"/>
                    <w:jc w:val="center"/>
                  </w:pPr>
                  <w:r>
                    <w:t xml:space="preserve">141</w:t>
                  </w:r>
                </w:p>
              </w:tc>
              <w:tc>
                <w:tcPr/>
                <w:p>
                  <w:pPr>
                    <w:pStyle w:val="Compact"/>
                    <w:jc w:val="center"/>
                  </w:pPr>
                  <w:r>
                    <w:t xml:space="preserve">4.38</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100.0</w:t>
                  </w:r>
                </w:p>
              </w:tc>
              <w:tc>
                <w:tcPr/>
                <w:p>
                  <w:pPr>
                    <w:pStyle w:val="Compact"/>
                    <w:jc w:val="center"/>
                  </w:pPr>
                  <w:r>
                    <w:t xml:space="preserve">4.6</w:t>
                  </w:r>
                </w:p>
              </w:tc>
              <w:tc>
                <w:tcPr/>
                <w:p>
                  <w:pPr>
                    <w:pStyle w:val="Compact"/>
                    <w:jc w:val="center"/>
                  </w:pPr>
                  <w:r>
                    <w:t xml:space="preserve">≤ 21.7</w:t>
                  </w:r>
                </w:p>
              </w:tc>
              <w:tc>
                <w:tcPr/>
                <w:p>
                  <w:pPr>
                    <w:pStyle w:val="Compact"/>
                    <w:jc w:val="center"/>
                  </w:pPr>
                  <w:r>
                    <w:t xml:space="preserve">14.8</w:t>
                  </w:r>
                </w:p>
              </w:tc>
              <w:tc>
                <w:tcPr/>
                <w:p>
                  <w:pPr>
                    <w:pStyle w:val="Compact"/>
                    <w:jc w:val="center"/>
                  </w:pPr>
                  <w:r>
                    <w:t xml:space="preserve">6.75</w:t>
                  </w:r>
                </w:p>
              </w:tc>
            </w:tr>
          </w:tbl>
          <w:bookmarkEnd w:id="35"/>
          <w:p/>
        </w:tc>
      </w:tr>
    </w:tbl>
    <w:p>
      <w:pPr>
        <w:pStyle w:val="BodyText"/>
      </w:pPr>
      <w:r>
        <w:t xml:space="preserve">That level itself rests on nominal clearance. A criterion carried back through the clearance each downstream step delivers at its set-point assumes that every downstream step performs at its set-point. The safety factor stood in for the worst case of downstream performance without being derived from it. The viral clearance criteria of R3 have the same weakness. Each was the cumulative requirement less the nominal clearance of the other steps in this campaign.</w:t>
      </w:r>
    </w:p>
    <w:bookmarkEnd w:id="36"/>
    <w:bookmarkStart w:id="38" w:name="X47b234b397a07a5b7f36164398a0408d92fe006"/>
    <w:p>
      <w:pPr>
        <w:pStyle w:val="Heading2"/>
      </w:pPr>
      <w:r>
        <w:t xml:space="preserve">4.4 F3. Capability limits judged against the data they came from</w:t>
      </w:r>
    </w:p>
    <w:p>
      <w:pPr>
        <w:pStyle w:val="FirstParagraph"/>
      </w:pPr>
      <w:r>
        <w:t xml:space="preserve">The four bioreactor criteria set by R2 were the mean plus 2.5 SD of the commercial-scale capability simulation.</w:t>
      </w:r>
      <w:r>
        <w:t xml:space="preserve"> </w:t>
      </w:r>
      <w:hyperlink w:anchor="tbl-cap-limits">
        <w:r>
          <w:rPr>
            <w:rStyle w:val="Hyperlink"/>
          </w:rPr>
          <w:t xml:space="preserve">Table 5</w:t>
        </w:r>
      </w:hyperlink>
      <w:r>
        <w:t xml:space="preserve"> </w:t>
      </w:r>
      <w:r>
        <w:t xml:space="preserve">recomputes each one. The recomputed value and the printed criterion agree to the second decimal place.</w:t>
      </w:r>
    </w:p>
    <w:tbl>
      <w:tblPr>
        <w:tblStyle w:val="Table"/>
        <w:tblW w:type="pct" w:w="5000"/>
        <w:tblLayout w:type="fixed"/>
        <w:tblLook w:firstRow="0" w:lastRow="0" w:firstColumn="0" w:lastColumn="0" w:noHBand="0" w:noVBand="0" w:val="0000"/>
      </w:tblPr>
      <w:tblGrid>
        <w:gridCol w:w="7920"/>
      </w:tblGrid>
      <w:tr>
        <w:tc>
          <w:tcPr/>
          <w:bookmarkStart w:id="37" w:name="tbl-cap-limits"/>
          <w:p>
            <w:pPr>
              <w:jc w:val="center"/>
            </w:pPr>
            <w:pPr>
              <w:jc w:val="start"/>
              <w:spacing w:before="200"/>
              <w:pStyle w:val="ImageCaption"/>
            </w:pPr>
            <w:r>
              <w:t xml:space="preserve">Table 5: Version 1.0 bioreactor criteria recomputed from the capability data. Mean and SD are those of the simulated drug substance at commercial scale.</w:t>
            </w:r>
          </w:p>
          <w:tbl>
            <w:tblPr>
              <w:tblStyle w:val="Table"/>
              <w:tblW w:type="pct" w:w="5000"/>
              <w:tblLayout w:type="fixed"/>
              <w:tblLook w:firstRow="1" w:lastRow="0" w:firstColumn="0" w:lastColumn="0" w:noHBand="0" w:noVBand="0" w:val="0020"/>
            </w:tblPr>
            <w:tblGrid>
              <w:gridCol w:w="1851"/>
              <w:gridCol w:w="1131"/>
              <w:gridCol w:w="1131"/>
              <w:gridCol w:w="1131"/>
              <w:gridCol w:w="1337"/>
              <w:gridCol w:w="1337"/>
            </w:tblGrid>
            <w:tr>
              <w:trPr>
                <w:tblHeader w:val="on"/>
              </w:trPr>
              <w:tc>
                <w:tcPr/>
                <w:p>
                  <w:pPr>
                    <w:pStyle w:val="Compact"/>
                    <w:jc w:val="center"/>
                  </w:pPr>
                  <w:r>
                    <w:t xml:space="preserve">Attribute</w:t>
                  </w:r>
                </w:p>
              </w:tc>
              <w:tc>
                <w:tcPr/>
                <w:p>
                  <w:pPr>
                    <w:pStyle w:val="Compact"/>
                    <w:jc w:val="center"/>
                  </w:pPr>
                  <w:r>
                    <w:t xml:space="preserve">Capability mean</w:t>
                  </w:r>
                </w:p>
              </w:tc>
              <w:tc>
                <w:tcPr/>
                <w:p>
                  <w:pPr>
                    <w:pStyle w:val="Compact"/>
                    <w:jc w:val="center"/>
                  </w:pPr>
                  <w:r>
                    <w:t xml:space="preserve">Capability SD</w:t>
                  </w:r>
                </w:p>
              </w:tc>
              <w:tc>
                <w:tcPr/>
                <w:p>
                  <w:pPr>
                    <w:pStyle w:val="Compact"/>
                    <w:jc w:val="center"/>
                  </w:pPr>
                  <w:r>
                    <w:t xml:space="preserve">Mean + 2.5 SD</w:t>
                  </w:r>
                </w:p>
              </w:tc>
              <w:tc>
                <w:tcPr/>
                <w:p>
                  <w:pPr>
                    <w:pStyle w:val="Compact"/>
                    <w:jc w:val="center"/>
                  </w:pPr>
                  <w:r>
                    <w:t xml:space="preserve">Version 1.0 upper criterion</w:t>
                  </w:r>
                </w:p>
              </w:tc>
              <w:tc>
                <w:tcPr/>
                <w:p>
                  <w:pPr>
                    <w:pStyle w:val="Compact"/>
                    <w:jc w:val="center"/>
                  </w:pPr>
                  <w:r>
                    <w:t xml:space="preserve">Drug-substance criterion</w:t>
                  </w:r>
                </w:p>
              </w:tc>
            </w:tr>
            <w:tr>
              <w:tc>
                <w:tcPr/>
                <w:p>
                  <w:pPr>
                    <w:pStyle w:val="Compact"/>
                    <w:jc w:val="center"/>
                  </w:pPr>
                  <w:r>
                    <w:t xml:space="preserve">Acidic variants (%)</w:t>
                  </w:r>
                </w:p>
              </w:tc>
              <w:tc>
                <w:tcPr/>
                <w:p>
                  <w:pPr>
                    <w:pStyle w:val="Compact"/>
                    <w:jc w:val="center"/>
                  </w:pPr>
                  <w:r>
                    <w:t xml:space="preserve">22.30</w:t>
                  </w:r>
                </w:p>
              </w:tc>
              <w:tc>
                <w:tcPr/>
                <w:p>
                  <w:pPr>
                    <w:pStyle w:val="Compact"/>
                    <w:jc w:val="center"/>
                  </w:pPr>
                  <w:r>
                    <w:t xml:space="preserve">1.386</w:t>
                  </w:r>
                </w:p>
              </w:tc>
              <w:tc>
                <w:tcPr/>
                <w:p>
                  <w:pPr>
                    <w:pStyle w:val="Compact"/>
                    <w:jc w:val="center"/>
                  </w:pPr>
                  <w:r>
                    <w:t xml:space="preserve">25.76</w:t>
                  </w:r>
                </w:p>
              </w:tc>
              <w:tc>
                <w:tcPr/>
                <w:p>
                  <w:pPr>
                    <w:pStyle w:val="Compact"/>
                    <w:jc w:val="center"/>
                  </w:pPr>
                  <w:r>
                    <w:t xml:space="preserve">25.76</w:t>
                  </w:r>
                </w:p>
              </w:tc>
              <w:tc>
                <w:tcPr/>
                <w:p>
                  <w:pPr>
                    <w:pStyle w:val="Compact"/>
                    <w:jc w:val="center"/>
                  </w:pPr>
                  <w:r>
                    <w:t xml:space="preserve">18.0–40.0</w:t>
                  </w:r>
                </w:p>
              </w:tc>
            </w:tr>
            <w:tr>
              <w:tc>
                <w:tcPr/>
                <w:p>
                  <w:pPr>
                    <w:pStyle w:val="Compact"/>
                    <w:jc w:val="center"/>
                  </w:pPr>
                  <w:r>
                    <w:t xml:space="preserve">Afucosylation (%)</w:t>
                  </w:r>
                </w:p>
              </w:tc>
              <w:tc>
                <w:tcPr/>
                <w:p>
                  <w:pPr>
                    <w:pStyle w:val="Compact"/>
                    <w:jc w:val="center"/>
                  </w:pPr>
                  <w:r>
                    <w:t xml:space="preserve">7.98</w:t>
                  </w:r>
                </w:p>
              </w:tc>
              <w:tc>
                <w:tcPr/>
                <w:p>
                  <w:pPr>
                    <w:pStyle w:val="Compact"/>
                    <w:jc w:val="center"/>
                  </w:pPr>
                  <w:r>
                    <w:t xml:space="preserve">0.580</w:t>
                  </w:r>
                </w:p>
              </w:tc>
              <w:tc>
                <w:tcPr/>
                <w:p>
                  <w:pPr>
                    <w:pStyle w:val="Compact"/>
                    <w:jc w:val="center"/>
                  </w:pPr>
                  <w:r>
                    <w:t xml:space="preserve">9.43</w:t>
                  </w:r>
                </w:p>
              </w:tc>
              <w:tc>
                <w:tcPr/>
                <w:p>
                  <w:pPr>
                    <w:pStyle w:val="Compact"/>
                    <w:jc w:val="center"/>
                  </w:pPr>
                  <w:r>
                    <w:t xml:space="preserve">9.43</w:t>
                  </w:r>
                </w:p>
              </w:tc>
              <w:tc>
                <w:tcPr/>
                <w:p>
                  <w:pPr>
                    <w:pStyle w:val="Compact"/>
                    <w:jc w:val="center"/>
                  </w:pPr>
                  <w:r>
                    <w:t xml:space="preserve">2.00–13.0</w:t>
                  </w:r>
                </w:p>
              </w:tc>
            </w:tr>
            <w:tr>
              <w:tc>
                <w:tcPr/>
                <w:p>
                  <w:pPr>
                    <w:pStyle w:val="Compact"/>
                    <w:jc w:val="center"/>
                  </w:pPr>
                  <w:r>
                    <w:t xml:space="preserve">Galactosylation (%)</w:t>
                  </w:r>
                </w:p>
              </w:tc>
              <w:tc>
                <w:tcPr/>
                <w:p>
                  <w:pPr>
                    <w:pStyle w:val="Compact"/>
                    <w:jc w:val="center"/>
                  </w:pPr>
                  <w:r>
                    <w:t xml:space="preserve">25.98</w:t>
                  </w:r>
                </w:p>
              </w:tc>
              <w:tc>
                <w:tcPr/>
                <w:p>
                  <w:pPr>
                    <w:pStyle w:val="Compact"/>
                    <w:jc w:val="center"/>
                  </w:pPr>
                  <w:r>
                    <w:t xml:space="preserve">1.631</w:t>
                  </w:r>
                </w:p>
              </w:tc>
              <w:tc>
                <w:tcPr/>
                <w:p>
                  <w:pPr>
                    <w:pStyle w:val="Compact"/>
                    <w:jc w:val="center"/>
                  </w:pPr>
                  <w:r>
                    <w:t xml:space="preserve">30.06</w:t>
                  </w:r>
                </w:p>
              </w:tc>
              <w:tc>
                <w:tcPr/>
                <w:p>
                  <w:pPr>
                    <w:pStyle w:val="Compact"/>
                    <w:jc w:val="center"/>
                  </w:pPr>
                  <w:r>
                    <w:t xml:space="preserve">30.06</w:t>
                  </w:r>
                </w:p>
              </w:tc>
              <w:tc>
                <w:tcPr/>
                <w:p>
                  <w:pPr>
                    <w:pStyle w:val="Compact"/>
                    <w:jc w:val="center"/>
                  </w:pPr>
                  <w:r>
                    <w:t xml:space="preserve">10.0–40.0</w:t>
                  </w:r>
                </w:p>
              </w:tc>
            </w:tr>
            <w:tr>
              <w:tc>
                <w:tcPr/>
                <w:p>
                  <w:pPr>
                    <w:pStyle w:val="Compact"/>
                    <w:jc w:val="center"/>
                  </w:pPr>
                  <w:r>
                    <w:t xml:space="preserve">High mannose (%)</w:t>
                  </w:r>
                </w:p>
              </w:tc>
              <w:tc>
                <w:tcPr/>
                <w:p>
                  <w:pPr>
                    <w:pStyle w:val="Compact"/>
                    <w:jc w:val="center"/>
                  </w:pPr>
                  <w:r>
                    <w:t xml:space="preserve">5.99</w:t>
                  </w:r>
                </w:p>
              </w:tc>
              <w:tc>
                <w:tcPr/>
                <w:p>
                  <w:pPr>
                    <w:pStyle w:val="Compact"/>
                    <w:jc w:val="center"/>
                  </w:pPr>
                  <w:r>
                    <w:t xml:space="preserve">0.515</w:t>
                  </w:r>
                </w:p>
              </w:tc>
              <w:tc>
                <w:tcPr/>
                <w:p>
                  <w:pPr>
                    <w:pStyle w:val="Compact"/>
                    <w:jc w:val="center"/>
                  </w:pPr>
                  <w:r>
                    <w:t xml:space="preserve">7.28</w:t>
                  </w:r>
                </w:p>
              </w:tc>
              <w:tc>
                <w:tcPr/>
                <w:p>
                  <w:pPr>
                    <w:pStyle w:val="Compact"/>
                    <w:jc w:val="center"/>
                  </w:pPr>
                  <w:r>
                    <w:t xml:space="preserve">7.28</w:t>
                  </w:r>
                </w:p>
              </w:tc>
              <w:tc>
                <w:tcPr/>
                <w:p>
                  <w:pPr>
                    <w:pStyle w:val="Compact"/>
                    <w:jc w:val="center"/>
                  </w:pPr>
                  <w:r>
                    <w:t xml:space="preserve">3.00–10.0</w:t>
                  </w:r>
                </w:p>
              </w:tc>
            </w:tr>
          </w:tbl>
          <w:bookmarkEnd w:id="37"/>
          <w:p/>
        </w:tc>
      </w:tr>
    </w:tbl>
    <w:p>
      <w:pPr>
        <w:pStyle w:val="BodyText"/>
      </w:pPr>
      <w:r>
        <w:t xml:space="preserve">The capability simulation draws every parameter inside its NOR. The proven acceptable range analysis with the other parameters in their NORs then asked whether the predictive bound stayed within the alert limit while the other parameters varied inside the same NOR. For a normal distribution, about 0.62 % of the batches lie above a one-sided limit at the mean plus 2.5 SD, whatever the process. A limit of this kind is an alert limit for trending. It is not an acceptance criterion, because it carries no information about what the product needs.</w:t>
      </w:r>
    </w:p>
    <w:p>
      <w:pPr>
        <w:pStyle w:val="BodyText"/>
      </w:pPr>
      <w:r>
        <w:t xml:space="preserve">The consequence is visible in PCR-003 Version 1.0. It reported a corner of the NOR at which predicted afucosylation exceeded its alert limit while meeting the drug-substance criterion by a wide margin. Several proven acceptable ranges at the bioreactor did not cover the whole NOR for the same reason (§6.3).</w:t>
      </w:r>
    </w:p>
    <w:bookmarkEnd w:id="38"/>
    <w:bookmarkStart w:id="39" w:name="X7953882946ad8891a916e498dc050d374f657f9"/>
    <w:p>
      <w:pPr>
        <w:pStyle w:val="Heading2"/>
      </w:pPr>
      <w:r>
        <w:t xml:space="preserve">4.5 F4. Acidic variants assessed against one end of a two-sided range</w:t>
      </w:r>
    </w:p>
    <w:p>
      <w:pPr>
        <w:pStyle w:val="FirstParagraph"/>
      </w:pPr>
      <w:r>
        <w:t xml:space="preserve">The register gives acidic variants a two-sided criterion of 18 % to 40 %, and the Version 1.0 capability table printed that range. The capability index beside it was computed against the upper end alone and printed as 4.3. The simulated drug substance has a mean of 22.3 % and an SD of 1.39 %, so the lower end of the range is much nearer the distribution than the upper end. Computed against both ends, the index is 1.03, and the lower end governs it.</w:t>
      </w:r>
    </w:p>
    <w:p>
      <w:pPr>
        <w:pStyle w:val="BodyText"/>
      </w:pPr>
      <w:r>
        <w:t xml:space="preserve">Two statements in Version 1.0 rested on the one-sided value. PCMR-001 reported the lowest capability index of the drug substance as 1.51, for MVM clearance. It also reported that no simulated batch fell outside an acceptance criterion. Against both ends of the acidic variant range, the simulation puts one batch in 2,000 outside it.</w:t>
      </w:r>
    </w:p>
    <w:bookmarkEnd w:id="39"/>
    <w:bookmarkStart w:id="42" w:name="X65d07dd6ad3ad50994e5b531c214f5c4de09e60"/>
    <w:p>
      <w:pPr>
        <w:pStyle w:val="Heading2"/>
      </w:pPr>
      <w:r>
        <w:t xml:space="preserve">4.6 F5. Approval and execution dates missing from the records</w:t>
      </w:r>
    </w:p>
    <w:p>
      <w:pPr>
        <w:pStyle w:val="FirstParagraph"/>
      </w:pPr>
      <w:r>
        <w:t xml:space="preserve">The Version 1.0 records misstated when the plans were approved and did not state when the studies ran. Every Version 1.0 title block carried the date 2026-07-24. That was the approval date of the reports and the date on which the package was compiled. For the plans, it replaced the date of approval.</w:t>
      </w:r>
      <w:r>
        <w:t xml:space="preserve"> </w:t>
      </w:r>
      <w:hyperlink w:anchor="tbl-plan-dates">
        <w:r>
          <w:rPr>
            <w:rStyle w:val="Hyperlink"/>
          </w:rPr>
          <w:t xml:space="preserve">Table 6</w:t>
        </w:r>
      </w:hyperlink>
      <w:r>
        <w:t xml:space="preserve"> </w:t>
      </w:r>
      <w:r>
        <w:t xml:space="preserve">sets the approval date of each plan against the start of its first study and against the date its title block printed. Every plan was approved before its first study began. Read from the title blocks, every plan appeared to have been approved after its studies had run.</w:t>
      </w:r>
    </w:p>
    <w:tbl>
      <w:tblPr>
        <w:tblStyle w:val="Table"/>
        <w:tblW w:type="pct" w:w="5000"/>
        <w:tblLayout w:type="fixed"/>
        <w:tblLook w:firstRow="0" w:lastRow="0" w:firstColumn="0" w:lastColumn="0" w:noHBand="0" w:noVBand="0" w:val="0000"/>
      </w:tblPr>
      <w:tblGrid>
        <w:gridCol w:w="7920"/>
      </w:tblGrid>
      <w:tr>
        <w:tc>
          <w:tcPr/>
          <w:bookmarkStart w:id="40" w:name="tbl-plan-dates"/>
          <w:p>
            <w:pPr>
              <w:jc w:val="center"/>
            </w:pPr>
            <w:pPr>
              <w:jc w:val="start"/>
              <w:spacing w:before="200"/>
              <w:pStyle w:val="ImageCaption"/>
            </w:pPr>
            <w:r>
              <w:t xml:space="preserve">Table 6: Approval date of each step plan, against the start of its first study and the date printed in its Version 1.0 title block.</w:t>
            </w:r>
          </w:p>
          <w:tbl>
            <w:tblPr>
              <w:tblStyle w:val="Table"/>
              <w:tblW w:type="pct" w:w="5000"/>
              <w:tblLayout w:type="fixed"/>
              <w:tblLook w:firstRow="1" w:lastRow="0" w:firstColumn="0" w:lastColumn="0" w:noHBand="0" w:noVBand="0" w:val="0020"/>
            </w:tblPr>
            <w:tblGrid>
              <w:gridCol w:w="1063"/>
              <w:gridCol w:w="2364"/>
              <w:gridCol w:w="1418"/>
              <w:gridCol w:w="1418"/>
              <w:gridCol w:w="1654"/>
            </w:tblGrid>
            <w:tr>
              <w:trPr>
                <w:tblHeader w:val="on"/>
              </w:trPr>
              <w:tc>
                <w:tcPr/>
                <w:p>
                  <w:pPr>
                    <w:pStyle w:val="Compact"/>
                    <w:jc w:val="center"/>
                  </w:pPr>
                  <w:r>
                    <w:t xml:space="preserve">Plan</w:t>
                  </w:r>
                </w:p>
              </w:tc>
              <w:tc>
                <w:tcPr/>
                <w:p>
                  <w:pPr>
                    <w:pStyle w:val="Compact"/>
                    <w:jc w:val="center"/>
                  </w:pPr>
                  <w:r>
                    <w:t xml:space="preserve">Step</w:t>
                  </w:r>
                </w:p>
              </w:tc>
              <w:tc>
                <w:tcPr/>
                <w:p>
                  <w:pPr>
                    <w:pStyle w:val="Compact"/>
                    <w:jc w:val="center"/>
                  </w:pPr>
                  <w:r>
                    <w:t xml:space="preserve">Approved</w:t>
                  </w:r>
                </w:p>
              </w:tc>
              <w:tc>
                <w:tcPr/>
                <w:p>
                  <w:pPr>
                    <w:pStyle w:val="Compact"/>
                    <w:jc w:val="center"/>
                  </w:pPr>
                  <w:r>
                    <w:t xml:space="preserve">First study started</w:t>
                  </w:r>
                </w:p>
              </w:tc>
              <w:tc>
                <w:tcPr/>
                <w:p>
                  <w:pPr>
                    <w:pStyle w:val="Compact"/>
                    <w:jc w:val="center"/>
                  </w:pPr>
                  <w:r>
                    <w:t xml:space="preserve">Date in Version 1.0 title block</w:t>
                  </w:r>
                </w:p>
              </w:tc>
            </w:tr>
            <w:tr>
              <w:tc>
                <w:tcPr/>
                <w:p>
                  <w:pPr>
                    <w:pStyle w:val="Compact"/>
                    <w:jc w:val="center"/>
                  </w:pPr>
                  <w:r>
                    <w:t xml:space="preserve">PCP-003</w:t>
                  </w:r>
                </w:p>
              </w:tc>
              <w:tc>
                <w:tcPr/>
                <w:p>
                  <w:pPr>
                    <w:pStyle w:val="Compact"/>
                    <w:jc w:val="center"/>
                  </w:pPr>
                  <w:r>
                    <w:t xml:space="preserve">Production bioreactor</w:t>
                  </w:r>
                </w:p>
              </w:tc>
              <w:tc>
                <w:tcPr/>
                <w:p>
                  <w:pPr>
                    <w:pStyle w:val="Compact"/>
                    <w:jc w:val="center"/>
                  </w:pPr>
                  <w:r>
                    <w:t xml:space="preserve">2025-08-25</w:t>
                  </w:r>
                </w:p>
              </w:tc>
              <w:tc>
                <w:tcPr/>
                <w:p>
                  <w:pPr>
                    <w:pStyle w:val="Compact"/>
                    <w:jc w:val="center"/>
                  </w:pPr>
                  <w:r>
                    <w:t xml:space="preserve">2025-08-27</w:t>
                  </w:r>
                </w:p>
              </w:tc>
              <w:tc>
                <w:tcPr/>
                <w:p>
                  <w:pPr>
                    <w:pStyle w:val="Compact"/>
                    <w:jc w:val="center"/>
                  </w:pPr>
                  <w:r>
                    <w:t xml:space="preserve">2026-07-24</w:t>
                  </w:r>
                </w:p>
              </w:tc>
            </w:tr>
            <w:tr>
              <w:tc>
                <w:tcPr/>
                <w:p>
                  <w:pPr>
                    <w:pStyle w:val="Compact"/>
                    <w:jc w:val="center"/>
                  </w:pPr>
                  <w:r>
                    <w:t xml:space="preserve">PCP-004</w:t>
                  </w:r>
                </w:p>
              </w:tc>
              <w:tc>
                <w:tcPr/>
                <w:p>
                  <w:pPr>
                    <w:pStyle w:val="Compact"/>
                    <w:jc w:val="center"/>
                  </w:pPr>
                  <w:r>
                    <w:t xml:space="preserve">Harvest</w:t>
                  </w:r>
                </w:p>
              </w:tc>
              <w:tc>
                <w:tcPr/>
                <w:p>
                  <w:pPr>
                    <w:pStyle w:val="Compact"/>
                    <w:jc w:val="center"/>
                  </w:pPr>
                  <w:r>
                    <w:t xml:space="preserve">2025-10-20</w:t>
                  </w:r>
                </w:p>
              </w:tc>
              <w:tc>
                <w:tcPr/>
                <w:p>
                  <w:pPr>
                    <w:pStyle w:val="Compact"/>
                    <w:jc w:val="center"/>
                  </w:pPr>
                  <w:r>
                    <w:t xml:space="preserve">2025-11-03</w:t>
                  </w:r>
                </w:p>
              </w:tc>
              <w:tc>
                <w:tcPr/>
                <w:p>
                  <w:pPr>
                    <w:pStyle w:val="Compact"/>
                    <w:jc w:val="center"/>
                  </w:pPr>
                  <w:r>
                    <w:t xml:space="preserve">2026-07-24</w:t>
                  </w:r>
                </w:p>
              </w:tc>
            </w:tr>
            <w:tr>
              <w:tc>
                <w:tcPr/>
                <w:p>
                  <w:pPr>
                    <w:pStyle w:val="Compact"/>
                    <w:jc w:val="center"/>
                  </w:pPr>
                  <w:r>
                    <w:t xml:space="preserve">PCP-005</w:t>
                  </w:r>
                </w:p>
              </w:tc>
              <w:tc>
                <w:tcPr/>
                <w:p>
                  <w:pPr>
                    <w:pStyle w:val="Compact"/>
                    <w:jc w:val="center"/>
                  </w:pPr>
                  <w:r>
                    <w:t xml:space="preserve">Protein A</w:t>
                  </w:r>
                </w:p>
              </w:tc>
              <w:tc>
                <w:tcPr/>
                <w:p>
                  <w:pPr>
                    <w:pStyle w:val="Compact"/>
                    <w:jc w:val="center"/>
                  </w:pPr>
                  <w:r>
                    <w:t xml:space="preserve">2025-11-03</w:t>
                  </w:r>
                </w:p>
              </w:tc>
              <w:tc>
                <w:tcPr/>
                <w:p>
                  <w:pPr>
                    <w:pStyle w:val="Compact"/>
                    <w:jc w:val="center"/>
                  </w:pPr>
                  <w:r>
                    <w:t xml:space="preserve">2025-11-05</w:t>
                  </w:r>
                </w:p>
              </w:tc>
              <w:tc>
                <w:tcPr/>
                <w:p>
                  <w:pPr>
                    <w:pStyle w:val="Compact"/>
                    <w:jc w:val="center"/>
                  </w:pPr>
                  <w:r>
                    <w:t xml:space="preserve">2026-07-24</w:t>
                  </w:r>
                </w:p>
              </w:tc>
            </w:tr>
            <w:tr>
              <w:tc>
                <w:tcPr/>
                <w:p>
                  <w:pPr>
                    <w:pStyle w:val="Compact"/>
                    <w:jc w:val="center"/>
                  </w:pPr>
                  <w:r>
                    <w:t xml:space="preserve">PCP-006</w:t>
                  </w:r>
                </w:p>
              </w:tc>
              <w:tc>
                <w:tcPr/>
                <w:p>
                  <w:pPr>
                    <w:pStyle w:val="Compact"/>
                    <w:jc w:val="center"/>
                  </w:pPr>
                  <w:r>
                    <w:t xml:space="preserve">Low-pH viral inactivation</w:t>
                  </w:r>
                </w:p>
              </w:tc>
              <w:tc>
                <w:tcPr/>
                <w:p>
                  <w:pPr>
                    <w:pStyle w:val="Compact"/>
                    <w:jc w:val="center"/>
                  </w:pPr>
                  <w:r>
                    <w:t xml:space="preserve">2026-01-05</w:t>
                  </w:r>
                </w:p>
              </w:tc>
              <w:tc>
                <w:tcPr/>
                <w:p>
                  <w:pPr>
                    <w:pStyle w:val="Compact"/>
                    <w:jc w:val="center"/>
                  </w:pPr>
                  <w:r>
                    <w:t xml:space="preserve">2026-01-07</w:t>
                  </w:r>
                </w:p>
              </w:tc>
              <w:tc>
                <w:tcPr/>
                <w:p>
                  <w:pPr>
                    <w:pStyle w:val="Compact"/>
                    <w:jc w:val="center"/>
                  </w:pPr>
                  <w:r>
                    <w:t xml:space="preserve">2026-07-24</w:t>
                  </w:r>
                </w:p>
              </w:tc>
            </w:tr>
            <w:tr>
              <w:tc>
                <w:tcPr/>
                <w:p>
                  <w:pPr>
                    <w:pStyle w:val="Compact"/>
                    <w:jc w:val="center"/>
                  </w:pPr>
                  <w:r>
                    <w:t xml:space="preserve">PCP-007</w:t>
                  </w:r>
                </w:p>
              </w:tc>
              <w:tc>
                <w:tcPr/>
                <w:p>
                  <w:pPr>
                    <w:pStyle w:val="Compact"/>
                    <w:jc w:val="center"/>
                  </w:pPr>
                  <w:r>
                    <w:t xml:space="preserve">Cation exchange</w:t>
                  </w:r>
                </w:p>
              </w:tc>
              <w:tc>
                <w:tcPr/>
                <w:p>
                  <w:pPr>
                    <w:pStyle w:val="Compact"/>
                    <w:jc w:val="center"/>
                  </w:pPr>
                  <w:r>
                    <w:t xml:space="preserve">2026-02-02</w:t>
                  </w:r>
                </w:p>
              </w:tc>
              <w:tc>
                <w:tcPr/>
                <w:p>
                  <w:pPr>
                    <w:pStyle w:val="Compact"/>
                    <w:jc w:val="center"/>
                  </w:pPr>
                  <w:r>
                    <w:t xml:space="preserve">2026-02-04</w:t>
                  </w:r>
                </w:p>
              </w:tc>
              <w:tc>
                <w:tcPr/>
                <w:p>
                  <w:pPr>
                    <w:pStyle w:val="Compact"/>
                    <w:jc w:val="center"/>
                  </w:pPr>
                  <w:r>
                    <w:t xml:space="preserve">2026-07-24</w:t>
                  </w:r>
                </w:p>
              </w:tc>
            </w:tr>
            <w:tr>
              <w:tc>
                <w:tcPr/>
                <w:p>
                  <w:pPr>
                    <w:pStyle w:val="Compact"/>
                    <w:jc w:val="center"/>
                  </w:pPr>
                  <w:r>
                    <w:t xml:space="preserve">PCP-008</w:t>
                  </w:r>
                </w:p>
              </w:tc>
              <w:tc>
                <w:tcPr/>
                <w:p>
                  <w:pPr>
                    <w:pStyle w:val="Compact"/>
                    <w:jc w:val="center"/>
                  </w:pPr>
                  <w:r>
                    <w:t xml:space="preserve">Anion exchange</w:t>
                  </w:r>
                </w:p>
              </w:tc>
              <w:tc>
                <w:tcPr/>
                <w:p>
                  <w:pPr>
                    <w:pStyle w:val="Compact"/>
                    <w:jc w:val="center"/>
                  </w:pPr>
                  <w:r>
                    <w:t xml:space="preserve">2026-02-02</w:t>
                  </w:r>
                </w:p>
              </w:tc>
              <w:tc>
                <w:tcPr/>
                <w:p>
                  <w:pPr>
                    <w:pStyle w:val="Compact"/>
                    <w:jc w:val="center"/>
                  </w:pPr>
                  <w:r>
                    <w:t xml:space="preserve">2026-02-04</w:t>
                  </w:r>
                </w:p>
              </w:tc>
              <w:tc>
                <w:tcPr/>
                <w:p>
                  <w:pPr>
                    <w:pStyle w:val="Compact"/>
                    <w:jc w:val="center"/>
                  </w:pPr>
                  <w:r>
                    <w:t xml:space="preserve">2026-07-24</w:t>
                  </w:r>
                </w:p>
              </w:tc>
            </w:tr>
            <w:tr>
              <w:tc>
                <w:tcPr/>
                <w:p>
                  <w:pPr>
                    <w:pStyle w:val="Compact"/>
                    <w:jc w:val="center"/>
                  </w:pPr>
                  <w:r>
                    <w:t xml:space="preserve">PCP-009</w:t>
                  </w:r>
                </w:p>
              </w:tc>
              <w:tc>
                <w:tcPr/>
                <w:p>
                  <w:pPr>
                    <w:pStyle w:val="Compact"/>
                    <w:jc w:val="center"/>
                  </w:pPr>
                  <w:r>
                    <w:t xml:space="preserve">Virus filtration</w:t>
                  </w:r>
                </w:p>
              </w:tc>
              <w:tc>
                <w:tcPr/>
                <w:p>
                  <w:pPr>
                    <w:pStyle w:val="Compact"/>
                    <w:jc w:val="center"/>
                  </w:pPr>
                  <w:r>
                    <w:t xml:space="preserve">2026-04-13</w:t>
                  </w:r>
                </w:p>
              </w:tc>
              <w:tc>
                <w:tcPr/>
                <w:p>
                  <w:pPr>
                    <w:pStyle w:val="Compact"/>
                    <w:jc w:val="center"/>
                  </w:pPr>
                  <w:r>
                    <w:t xml:space="preserve">2026-04-15</w:t>
                  </w:r>
                </w:p>
              </w:tc>
              <w:tc>
                <w:tcPr/>
                <w:p>
                  <w:pPr>
                    <w:pStyle w:val="Compact"/>
                    <w:jc w:val="center"/>
                  </w:pPr>
                  <w:r>
                    <w:t xml:space="preserve">2026-07-24</w:t>
                  </w:r>
                </w:p>
              </w:tc>
            </w:tr>
            <w:tr>
              <w:tc>
                <w:tcPr/>
                <w:p>
                  <w:pPr>
                    <w:pStyle w:val="Compact"/>
                    <w:jc w:val="center"/>
                  </w:pPr>
                  <w:r>
                    <w:t xml:space="preserve">PCP-010</w:t>
                  </w:r>
                </w:p>
              </w:tc>
              <w:tc>
                <w:tcPr/>
                <w:p>
                  <w:pPr>
                    <w:pStyle w:val="Compact"/>
                    <w:jc w:val="center"/>
                  </w:pPr>
                  <w:r>
                    <w:t xml:space="preserve">UF/DF</w:t>
                  </w:r>
                </w:p>
              </w:tc>
              <w:tc>
                <w:tcPr/>
                <w:p>
                  <w:pPr>
                    <w:pStyle w:val="Compact"/>
                    <w:jc w:val="center"/>
                  </w:pPr>
                  <w:r>
                    <w:t xml:space="preserve">2026-02-23</w:t>
                  </w:r>
                </w:p>
              </w:tc>
              <w:tc>
                <w:tcPr/>
                <w:p>
                  <w:pPr>
                    <w:pStyle w:val="Compact"/>
                    <w:jc w:val="center"/>
                  </w:pPr>
                  <w:r>
                    <w:t xml:space="preserve">2026-02-25</w:t>
                  </w:r>
                </w:p>
              </w:tc>
              <w:tc>
                <w:tcPr/>
                <w:p>
                  <w:pPr>
                    <w:pStyle w:val="Compact"/>
                    <w:jc w:val="center"/>
                  </w:pPr>
                  <w:r>
                    <w:t xml:space="preserve">2026-07-24</w:t>
                  </w:r>
                </w:p>
              </w:tc>
            </w:tr>
          </w:tbl>
          <w:bookmarkEnd w:id="40"/>
          <w:p/>
        </w:tc>
      </w:tr>
    </w:tbl>
    <w:p>
      <w:pPr>
        <w:pStyle w:val="BodyText"/>
      </w:pPr>
      <w:r>
        <w:t xml:space="preserve">The Version 1.0 reports gave no execution date for any study. Their equipment tables recorded each system as in calibration at execution and gave the next calibration due date. Every one of these due dates precedes the date in the title blocks. A reader of the record could not confirm calibration at the time of use, and the tables appeared to cite expired calibrations.</w:t>
      </w:r>
    </w:p>
    <w:p>
      <w:pPr>
        <w:pStyle w:val="BodyText"/>
      </w:pPr>
      <w:r>
        <w:t xml:space="preserve">The execution windows were recovered from the study records and are given in</w:t>
      </w:r>
      <w:r>
        <w:t xml:space="preserve"> </w:t>
      </w:r>
      <w:hyperlink w:anchor="tbl-calibration">
        <w:r>
          <w:rPr>
            <w:rStyle w:val="Hyperlink"/>
          </w:rPr>
          <w:t xml:space="preserve">Table 7</w:t>
        </w:r>
      </w:hyperlink>
      <w:r>
        <w:t xml:space="preserve">. Each study in</w:t>
      </w:r>
      <w:r>
        <w:t xml:space="preserve"> </w:t>
      </w:r>
      <w:hyperlink w:anchor="tbl-calibration">
        <w:r>
          <w:rPr>
            <w:rStyle w:val="Hyperlink"/>
          </w:rPr>
          <w:t xml:space="preserve">Table 7</w:t>
        </w:r>
      </w:hyperlink>
      <w:r>
        <w:t xml:space="preserve"> </w:t>
      </w:r>
      <w:r>
        <w:t xml:space="preserve">closed before the calibration of the equipment it used fell due. The narrowest margin is at the UF/DF study, which closed on 2026-03-27 against a calibration due on 2026-04-22. No plan was approved after its studies, and none of these studies was run on equipment out of calibration.</w:t>
      </w:r>
    </w:p>
    <w:tbl>
      <w:tblPr>
        <w:tblStyle w:val="Table"/>
        <w:tblW w:type="pct" w:w="5000"/>
        <w:tblLayout w:type="fixed"/>
        <w:tblLook w:firstRow="0" w:lastRow="0" w:firstColumn="0" w:lastColumn="0" w:noHBand="0" w:noVBand="0" w:val="0000"/>
      </w:tblPr>
      <w:tblGrid>
        <w:gridCol w:w="7920"/>
      </w:tblGrid>
      <w:tr>
        <w:tc>
          <w:tcPr/>
          <w:bookmarkStart w:id="41" w:name="tbl-calibration"/>
          <w:p>
            <w:pPr>
              <w:jc w:val="center"/>
            </w:pPr>
            <w:pPr>
              <w:jc w:val="start"/>
              <w:spacing w:before="200"/>
              <w:pStyle w:val="ImageCaption"/>
            </w:pPr>
            <w:r>
              <w:t xml:space="preserve">Table 7: Execution windows of the studies that used instrumented systems, against the calibration due date and the date in the Version 1.0 title blocks.</w:t>
            </w:r>
          </w:p>
          <w:tbl>
            <w:tblPr>
              <w:tblStyle w:val="Table"/>
              <w:tblW w:type="pct" w:w="5000"/>
              <w:tblLayout w:type="fixed"/>
              <w:tblLook w:firstRow="1" w:lastRow="0" w:firstColumn="0" w:lastColumn="0" w:noHBand="0" w:noVBand="0" w:val="0020"/>
            </w:tblPr>
            <w:tblGrid>
              <w:gridCol w:w="1281"/>
              <w:gridCol w:w="1281"/>
              <w:gridCol w:w="1281"/>
              <w:gridCol w:w="1281"/>
              <w:gridCol w:w="1397"/>
              <w:gridCol w:w="1397"/>
            </w:tblGrid>
            <w:tr>
              <w:trPr>
                <w:tblHeader w:val="on"/>
              </w:trPr>
              <w:tc>
                <w:tcPr/>
                <w:p>
                  <w:pPr>
                    <w:pStyle w:val="Compact"/>
                    <w:jc w:val="center"/>
                  </w:pPr>
                  <w:r>
                    <w:t xml:space="preserve">Equipment</w:t>
                  </w:r>
                </w:p>
              </w:tc>
              <w:tc>
                <w:tcPr/>
                <w:p>
                  <w:pPr>
                    <w:pStyle w:val="Compact"/>
                    <w:jc w:val="center"/>
                  </w:pPr>
                  <w:r>
                    <w:t xml:space="preserve">Study</w:t>
                  </w:r>
                </w:p>
              </w:tc>
              <w:tc>
                <w:tcPr/>
                <w:p>
                  <w:pPr>
                    <w:pStyle w:val="Compact"/>
                    <w:jc w:val="center"/>
                  </w:pPr>
                  <w:r>
                    <w:t xml:space="preserve">Execution start</w:t>
                  </w:r>
                </w:p>
              </w:tc>
              <w:tc>
                <w:tcPr/>
                <w:p>
                  <w:pPr>
                    <w:pStyle w:val="Compact"/>
                    <w:jc w:val="center"/>
                  </w:pPr>
                  <w:r>
                    <w:t xml:space="preserve">Execution end</w:t>
                  </w:r>
                </w:p>
              </w:tc>
              <w:tc>
                <w:tcPr/>
                <w:p>
                  <w:pPr>
                    <w:pStyle w:val="Compact"/>
                    <w:jc w:val="center"/>
                  </w:pPr>
                  <w:r>
                    <w:t xml:space="preserve">Next calibration due</w:t>
                  </w:r>
                </w:p>
              </w:tc>
              <w:tc>
                <w:tcPr/>
                <w:p>
                  <w:pPr>
                    <w:pStyle w:val="Compact"/>
                    <w:jc w:val="center"/>
                  </w:pPr>
                  <w:r>
                    <w:t xml:space="preserve">Date in Version 1.0 title block</w:t>
                  </w:r>
                </w:p>
              </w:tc>
            </w:tr>
            <w:tr>
              <w:tc>
                <w:tcPr/>
                <w:p>
                  <w:pPr>
                    <w:pStyle w:val="Compact"/>
                    <w:jc w:val="center"/>
                  </w:pPr>
                  <w:r>
                    <w:t xml:space="preserve">EQ-CHR-118</w:t>
                  </w:r>
                </w:p>
              </w:tc>
              <w:tc>
                <w:tcPr/>
                <w:p>
                  <w:pPr>
                    <w:pStyle w:val="Compact"/>
                    <w:jc w:val="center"/>
                  </w:pPr>
                  <w:r>
                    <w:t xml:space="preserve">S-CEX-RSM</w:t>
                  </w:r>
                </w:p>
              </w:tc>
              <w:tc>
                <w:tcPr/>
                <w:p>
                  <w:pPr>
                    <w:pStyle w:val="Compact"/>
                    <w:jc w:val="center"/>
                  </w:pPr>
                  <w:r>
                    <w:t xml:space="preserve">2026-03-02</w:t>
                  </w:r>
                </w:p>
              </w:tc>
              <w:tc>
                <w:tcPr/>
                <w:p>
                  <w:pPr>
                    <w:pStyle w:val="Compact"/>
                    <w:jc w:val="center"/>
                  </w:pPr>
                  <w:r>
                    <w:t xml:space="preserve">2026-03-27</w:t>
                  </w:r>
                </w:p>
              </w:tc>
              <w:tc>
                <w:tcPr/>
                <w:p>
                  <w:pPr>
                    <w:pStyle w:val="Compact"/>
                    <w:jc w:val="center"/>
                  </w:pPr>
                  <w:r>
                    <w:t xml:space="preserve">2026-05-30</w:t>
                  </w:r>
                </w:p>
              </w:tc>
              <w:tc>
                <w:tcPr/>
                <w:p>
                  <w:pPr>
                    <w:pStyle w:val="Compact"/>
                    <w:jc w:val="center"/>
                  </w:pPr>
                  <w:r>
                    <w:t xml:space="preserve">2026-07-24</w:t>
                  </w:r>
                </w:p>
              </w:tc>
            </w:tr>
            <w:tr>
              <w:tc>
                <w:tcPr/>
                <w:p>
                  <w:pPr>
                    <w:pStyle w:val="Compact"/>
                    <w:jc w:val="center"/>
                  </w:pPr>
                  <w:r>
                    <w:t xml:space="preserve">EQ-BRX-205</w:t>
                  </w:r>
                </w:p>
              </w:tc>
              <w:tc>
                <w:tcPr/>
                <w:p>
                  <w:pPr>
                    <w:pStyle w:val="Compact"/>
                    <w:jc w:val="center"/>
                  </w:pPr>
                  <w:r>
                    <w:t xml:space="preserve">S-BRX-SDM</w:t>
                  </w:r>
                </w:p>
              </w:tc>
              <w:tc>
                <w:tcPr/>
                <w:p>
                  <w:pPr>
                    <w:pStyle w:val="Compact"/>
                    <w:jc w:val="center"/>
                  </w:pPr>
                  <w:r>
                    <w:t xml:space="preserve">2025-08-27</w:t>
                  </w:r>
                </w:p>
              </w:tc>
              <w:tc>
                <w:tcPr/>
                <w:p>
                  <w:pPr>
                    <w:pStyle w:val="Compact"/>
                    <w:jc w:val="center"/>
                  </w:pPr>
                  <w:r>
                    <w:t xml:space="preserve">2025-09-05</w:t>
                  </w:r>
                </w:p>
              </w:tc>
              <w:tc>
                <w:tcPr/>
                <w:p>
                  <w:pPr>
                    <w:pStyle w:val="Compact"/>
                    <w:jc w:val="center"/>
                  </w:pPr>
                  <w:r>
                    <w:t xml:space="preserve">2026-06-14</w:t>
                  </w:r>
                </w:p>
              </w:tc>
              <w:tc>
                <w:tcPr/>
                <w:p>
                  <w:pPr>
                    <w:pStyle w:val="Compact"/>
                    <w:jc w:val="center"/>
                  </w:pPr>
                  <w:r>
                    <w:t xml:space="preserve">2026-07-24</w:t>
                  </w:r>
                </w:p>
              </w:tc>
            </w:tr>
            <w:tr>
              <w:tc>
                <w:tcPr/>
                <w:p>
                  <w:pPr>
                    <w:pStyle w:val="Compact"/>
                    <w:jc w:val="center"/>
                  </w:pPr>
                  <w:r>
                    <w:t xml:space="preserve">EQ-BRX-205</w:t>
                  </w:r>
                </w:p>
              </w:tc>
              <w:tc>
                <w:tcPr/>
                <w:p>
                  <w:pPr>
                    <w:pStyle w:val="Compact"/>
                    <w:jc w:val="center"/>
                  </w:pPr>
                  <w:r>
                    <w:t xml:space="preserve">S-BRX-UNI</w:t>
                  </w:r>
                </w:p>
              </w:tc>
              <w:tc>
                <w:tcPr/>
                <w:p>
                  <w:pPr>
                    <w:pStyle w:val="Compact"/>
                    <w:jc w:val="center"/>
                  </w:pPr>
                  <w:r>
                    <w:t xml:space="preserve">2025-10-06</w:t>
                  </w:r>
                </w:p>
              </w:tc>
              <w:tc>
                <w:tcPr/>
                <w:p>
                  <w:pPr>
                    <w:pStyle w:val="Compact"/>
                    <w:jc w:val="center"/>
                  </w:pPr>
                  <w:r>
                    <w:t xml:space="preserve">2025-10-17</w:t>
                  </w:r>
                </w:p>
              </w:tc>
              <w:tc>
                <w:tcPr/>
                <w:p>
                  <w:pPr>
                    <w:pStyle w:val="Compact"/>
                    <w:jc w:val="center"/>
                  </w:pPr>
                  <w:r>
                    <w:t xml:space="preserve">2026-06-14</w:t>
                  </w:r>
                </w:p>
              </w:tc>
              <w:tc>
                <w:tcPr/>
                <w:p>
                  <w:pPr>
                    <w:pStyle w:val="Compact"/>
                    <w:jc w:val="center"/>
                  </w:pPr>
                  <w:r>
                    <w:t xml:space="preserve">2026-07-24</w:t>
                  </w:r>
                </w:p>
              </w:tc>
            </w:tr>
            <w:tr>
              <w:tc>
                <w:tcPr/>
                <w:p>
                  <w:pPr>
                    <w:pStyle w:val="Compact"/>
                    <w:jc w:val="center"/>
                  </w:pPr>
                  <w:r>
                    <w:t xml:space="preserve">EQ-BRX-205</w:t>
                  </w:r>
                </w:p>
              </w:tc>
              <w:tc>
                <w:tcPr/>
                <w:p>
                  <w:pPr>
                    <w:pStyle w:val="Compact"/>
                    <w:jc w:val="center"/>
                  </w:pPr>
                  <w:r>
                    <w:t xml:space="preserve">S-BRX-SCR</w:t>
                  </w:r>
                </w:p>
              </w:tc>
              <w:tc>
                <w:tcPr/>
                <w:p>
                  <w:pPr>
                    <w:pStyle w:val="Compact"/>
                    <w:jc w:val="center"/>
                  </w:pPr>
                  <w:r>
                    <w:t xml:space="preserve">2025-09-08</w:t>
                  </w:r>
                </w:p>
              </w:tc>
              <w:tc>
                <w:tcPr/>
                <w:p>
                  <w:pPr>
                    <w:pStyle w:val="Compact"/>
                    <w:jc w:val="center"/>
                  </w:pPr>
                  <w:r>
                    <w:t xml:space="preserve">2025-10-03</w:t>
                  </w:r>
                </w:p>
              </w:tc>
              <w:tc>
                <w:tcPr/>
                <w:p>
                  <w:pPr>
                    <w:pStyle w:val="Compact"/>
                    <w:jc w:val="center"/>
                  </w:pPr>
                  <w:r>
                    <w:t xml:space="preserve">2026-06-14</w:t>
                  </w:r>
                </w:p>
              </w:tc>
              <w:tc>
                <w:tcPr/>
                <w:p>
                  <w:pPr>
                    <w:pStyle w:val="Compact"/>
                    <w:jc w:val="center"/>
                  </w:pPr>
                  <w:r>
                    <w:t xml:space="preserve">2026-07-24</w:t>
                  </w:r>
                </w:p>
              </w:tc>
            </w:tr>
            <w:tr>
              <w:tc>
                <w:tcPr/>
                <w:p>
                  <w:pPr>
                    <w:pStyle w:val="Compact"/>
                    <w:jc w:val="center"/>
                  </w:pPr>
                  <w:r>
                    <w:t xml:space="preserve">EQ-BRX-205</w:t>
                  </w:r>
                </w:p>
              </w:tc>
              <w:tc>
                <w:tcPr/>
                <w:p>
                  <w:pPr>
                    <w:pStyle w:val="Compact"/>
                    <w:jc w:val="center"/>
                  </w:pPr>
                  <w:r>
                    <w:t xml:space="preserve">S-BRX-RSM</w:t>
                  </w:r>
                </w:p>
              </w:tc>
              <w:tc>
                <w:tcPr/>
                <w:p>
                  <w:pPr>
                    <w:pStyle w:val="Compact"/>
                    <w:jc w:val="center"/>
                  </w:pPr>
                  <w:r>
                    <w:t xml:space="preserve">2025-10-20</w:t>
                  </w:r>
                </w:p>
              </w:tc>
              <w:tc>
                <w:tcPr/>
                <w:p>
                  <w:pPr>
                    <w:pStyle w:val="Compact"/>
                    <w:jc w:val="center"/>
                  </w:pPr>
                  <w:r>
                    <w:t xml:space="preserve">2025-12-12</w:t>
                  </w:r>
                </w:p>
              </w:tc>
              <w:tc>
                <w:tcPr/>
                <w:p>
                  <w:pPr>
                    <w:pStyle w:val="Compact"/>
                    <w:jc w:val="center"/>
                  </w:pPr>
                  <w:r>
                    <w:t xml:space="preserve">2026-06-14</w:t>
                  </w:r>
                </w:p>
              </w:tc>
              <w:tc>
                <w:tcPr/>
                <w:p>
                  <w:pPr>
                    <w:pStyle w:val="Compact"/>
                    <w:jc w:val="center"/>
                  </w:pPr>
                  <w:r>
                    <w:t xml:space="preserve">2026-07-24</w:t>
                  </w:r>
                </w:p>
              </w:tc>
            </w:tr>
            <w:tr>
              <w:tc>
                <w:tcPr/>
                <w:p>
                  <w:pPr>
                    <w:pStyle w:val="Compact"/>
                    <w:jc w:val="center"/>
                  </w:pPr>
                  <w:r>
                    <w:t xml:space="preserve">EQ-TFF-142</w:t>
                  </w:r>
                </w:p>
              </w:tc>
              <w:tc>
                <w:tcPr/>
                <w:p>
                  <w:pPr>
                    <w:pStyle w:val="Compact"/>
                    <w:jc w:val="center"/>
                  </w:pPr>
                  <w:r>
                    <w:t xml:space="preserve">S-UFDF-SDM</w:t>
                  </w:r>
                </w:p>
              </w:tc>
              <w:tc>
                <w:tcPr/>
                <w:p>
                  <w:pPr>
                    <w:pStyle w:val="Compact"/>
                    <w:jc w:val="center"/>
                  </w:pPr>
                  <w:r>
                    <w:t xml:space="preserve">2026-02-25</w:t>
                  </w:r>
                </w:p>
              </w:tc>
              <w:tc>
                <w:tcPr/>
                <w:p>
                  <w:pPr>
                    <w:pStyle w:val="Compact"/>
                    <w:jc w:val="center"/>
                  </w:pPr>
                  <w:r>
                    <w:t xml:space="preserve">2026-03-06</w:t>
                  </w:r>
                </w:p>
              </w:tc>
              <w:tc>
                <w:tcPr/>
                <w:p>
                  <w:pPr>
                    <w:pStyle w:val="Compact"/>
                    <w:jc w:val="center"/>
                  </w:pPr>
                  <w:r>
                    <w:t xml:space="preserve">2026-04-22</w:t>
                  </w:r>
                </w:p>
              </w:tc>
              <w:tc>
                <w:tcPr/>
                <w:p>
                  <w:pPr>
                    <w:pStyle w:val="Compact"/>
                    <w:jc w:val="center"/>
                  </w:pPr>
                  <w:r>
                    <w:t xml:space="preserve">2026-07-24</w:t>
                  </w:r>
                </w:p>
              </w:tc>
            </w:tr>
            <w:tr>
              <w:tc>
                <w:tcPr/>
                <w:p>
                  <w:pPr>
                    <w:pStyle w:val="Compact"/>
                    <w:jc w:val="center"/>
                  </w:pPr>
                  <w:r>
                    <w:t xml:space="preserve">EQ-TFF-142</w:t>
                  </w:r>
                </w:p>
              </w:tc>
              <w:tc>
                <w:tcPr/>
                <w:p>
                  <w:pPr>
                    <w:pStyle w:val="Compact"/>
                    <w:jc w:val="center"/>
                  </w:pPr>
                  <w:r>
                    <w:t xml:space="preserve">S-UFDF-UNI</w:t>
                  </w:r>
                </w:p>
              </w:tc>
              <w:tc>
                <w:tcPr/>
                <w:p>
                  <w:pPr>
                    <w:pStyle w:val="Compact"/>
                    <w:jc w:val="center"/>
                  </w:pPr>
                  <w:r>
                    <w:t xml:space="preserve">2026-03-09</w:t>
                  </w:r>
                </w:p>
              </w:tc>
              <w:tc>
                <w:tcPr/>
                <w:p>
                  <w:pPr>
                    <w:pStyle w:val="Compact"/>
                    <w:jc w:val="center"/>
                  </w:pPr>
                  <w:r>
                    <w:t xml:space="preserve">2026-03-27</w:t>
                  </w:r>
                </w:p>
              </w:tc>
              <w:tc>
                <w:tcPr/>
                <w:p>
                  <w:pPr>
                    <w:pStyle w:val="Compact"/>
                    <w:jc w:val="center"/>
                  </w:pPr>
                  <w:r>
                    <w:t xml:space="preserve">2026-04-22</w:t>
                  </w:r>
                </w:p>
              </w:tc>
              <w:tc>
                <w:tcPr/>
                <w:p>
                  <w:pPr>
                    <w:pStyle w:val="Compact"/>
                    <w:jc w:val="center"/>
                  </w:pPr>
                  <w:r>
                    <w:t xml:space="preserve">2026-07-24</w:t>
                  </w:r>
                </w:p>
              </w:tc>
            </w:tr>
          </w:tbl>
          <w:bookmarkEnd w:id="41"/>
          <w:p/>
        </w:tc>
      </w:tr>
    </w:tbl>
    <w:bookmarkEnd w:id="42"/>
    <w:bookmarkStart w:id="45" w:name="X332d12446e80f06e76cc3c3825c4b9c2c61587f"/>
    <w:p>
      <w:pPr>
        <w:pStyle w:val="Heading2"/>
      </w:pPr>
      <w:r>
        <w:t xml:space="preserve">4.7 F6. Fragments by SEC in the capture matrices</w:t>
      </w:r>
    </w:p>
    <w:p>
      <w:pPr>
        <w:pStyle w:val="FirstParagraph"/>
      </w:pPr>
      <w:r>
        <w:t xml:space="preserve">In the comparability study S-CEX-FRC at cation exchange, executed from 2026-03-02 to 2026-03-13, fragments were measured by SEC and by nrCE-SDS on the same samples.</w:t>
      </w:r>
      <w:r>
        <w:t xml:space="preserve"> </w:t>
      </w:r>
      <w:hyperlink w:anchor="tbl-sec-cesds">
        <w:r>
          <w:rPr>
            <w:rStyle w:val="Hyperlink"/>
          </w:rPr>
          <w:t xml:space="preserve">Table 8</w:t>
        </w:r>
      </w:hyperlink>
      <w:r>
        <w:t xml:space="preserve"> </w:t>
      </w:r>
      <w:r>
        <w:t xml:space="preserve">gives every replicate.</w:t>
      </w:r>
    </w:p>
    <w:tbl>
      <w:tblPr>
        <w:tblStyle w:val="Table"/>
        <w:tblW w:type="pct" w:w="5000"/>
        <w:tblLayout w:type="fixed"/>
        <w:tblLook w:firstRow="0" w:lastRow="0" w:firstColumn="0" w:lastColumn="0" w:noHBand="0" w:noVBand="0" w:val="0000"/>
      </w:tblPr>
      <w:tblGrid>
        <w:gridCol w:w="7920"/>
      </w:tblGrid>
      <w:tr>
        <w:tc>
          <w:tcPr/>
          <w:bookmarkStart w:id="43" w:name="tbl-sec-cesds"/>
          <w:p>
            <w:pPr>
              <w:jc w:val="center"/>
            </w:pPr>
            <w:pPr>
              <w:jc w:val="start"/>
              <w:spacing w:before="200"/>
              <w:pStyle w:val="ImageCaption"/>
            </w:pPr>
            <w:r>
              <w:t xml:space="preserve">Table 8: Fragments by SEC and by non-reduced CE-SDS on the same samples (study S-CEX-FRC).</w:t>
            </w:r>
          </w:p>
          <w:tbl>
            <w:tblPr>
              <w:tblStyle w:val="Table"/>
              <w:tblW w:type="auto" w:w="0"/>
              <w:tblLook w:firstRow="1" w:lastRow="1" w:firstColumn="0" w:lastColumn="0" w:noHBand="0" w:noVBand="0" w:val="0020"/>
            </w:tblPr>
            <w:tblGrid>
              <w:gridCol w:w="1584"/>
              <w:gridCol w:w="1584"/>
              <w:gridCol w:w="1584"/>
              <w:gridCol w:w="1584"/>
              <w:gridCol w:w="1584"/>
            </w:tblGrid>
            <w:tr>
              <w:trPr>
                <w:tblHeader w:val="on"/>
              </w:trPr>
              <w:tc>
                <w:tcPr>
                  <w:vMerge w:val="restart"/>
                </w:tcPr>
                <w:p>
                  <w:pPr>
                    <w:pStyle w:val="Compact"/>
                    <w:jc w:val="center"/>
                  </w:pPr>
                  <w:r>
                    <w:t xml:space="preserve">Sample</w:t>
                  </w:r>
                </w:p>
              </w:tc>
              <w:tc>
                <w:tcPr>
                  <w:vMerge w:val="restart"/>
                </w:tcPr>
                <w:p>
                  <w:pPr>
                    <w:pStyle w:val="Compact"/>
                    <w:jc w:val="center"/>
                  </w:pPr>
                  <w:r>
                    <w:t xml:space="preserve">Replicate</w:t>
                  </w:r>
                </w:p>
              </w:tc>
              <w:tc>
                <w:tcPr>
                  <w:gridSpan w:val="2"/>
                </w:tcPr>
                <w:p>
                  <w:pPr>
                    <w:pStyle w:val="Compact"/>
                    <w:jc w:val="center"/>
                  </w:pPr>
                  <w:r>
                    <w:t xml:space="preserve">Fragments, LMW (%)</w:t>
                  </w:r>
                </w:p>
              </w:tc>
              <w:tc>
                <w:tcPr>
                  <w:vMerge w:val="restart"/>
                </w:tcPr>
                <w:p>
                  <w:pPr>
                    <w:pStyle w:val="Compact"/>
                    <w:jc w:val="center"/>
                  </w:pPr>
                  <w:r>
                    <w:t xml:space="preserve">SEC minus nrCE-SDS</w:t>
                  </w:r>
                </w:p>
              </w:tc>
            </w:tr>
            <w:tr>
              <w:trPr>
                <w:tblHeader w:val="on"/>
              </w:trPr>
              <w:tc>
                <w:tcPr>
                  <w:gridSpan w:val="1"/>
                  <w:vMerge w:val="continue"/>
                </w:tcPr>
                <w:p>
                  <w:pPr/>
                </w:p>
              </w:tc>
              <w:tc>
                <w:tcPr>
                  <w:gridSpan w:val="1"/>
                  <w:vMerge w:val="continue"/>
                </w:tcPr>
                <w:p>
                  <w:pPr/>
                </w:p>
              </w:tc>
              <w:tc>
                <w:tcPr/>
                <w:p>
                  <w:pPr>
                    <w:pStyle w:val="Compact"/>
                    <w:jc w:val="center"/>
                  </w:pPr>
                  <w:r>
                    <w:t xml:space="preserve">SEC</w:t>
                  </w:r>
                </w:p>
              </w:tc>
              <w:tc>
                <w:tcPr/>
                <w:p>
                  <w:pPr>
                    <w:pStyle w:val="Compact"/>
                    <w:jc w:val="center"/>
                  </w:pPr>
                  <w:r>
                    <w:t xml:space="preserve">nrCE-SDS</w:t>
                  </w:r>
                </w:p>
              </w:tc>
              <w:tc>
                <w:tcPr>
                  <w:gridSpan w:val="1"/>
                  <w:vMerge w:val="continue"/>
                </w:tcPr>
                <w:p>
                  <w:pPr/>
                </w:p>
              </w:tc>
            </w:tr>
            <w:tr>
              <w:tc>
                <w:tcPr>
                  <w:vMerge w:val="restart"/>
                </w:tcPr>
                <w:p>
                  <w:pPr>
                    <w:pStyle w:val="Compact"/>
                    <w:jc w:val="center"/>
                  </w:pPr>
                  <w:r>
                    <w:t xml:space="preserve">Protein A pool</w:t>
                  </w:r>
                </w:p>
              </w:tc>
              <w:tc>
                <w:tcPr/>
                <w:p>
                  <w:pPr>
                    <w:pStyle w:val="Compact"/>
                    <w:jc w:val="center"/>
                  </w:pPr>
                  <w:r>
                    <w:t xml:space="preserve">1</w:t>
                  </w:r>
                </w:p>
              </w:tc>
              <w:tc>
                <w:tcPr/>
                <w:p>
                  <w:pPr>
                    <w:pStyle w:val="Compact"/>
                    <w:jc w:val="center"/>
                  </w:pPr>
                  <w:r>
                    <w:t xml:space="preserve">1.32</w:t>
                  </w:r>
                </w:p>
              </w:tc>
              <w:tc>
                <w:tcPr/>
                <w:p>
                  <w:pPr>
                    <w:pStyle w:val="Compact"/>
                    <w:jc w:val="center"/>
                  </w:pPr>
                  <w:r>
                    <w:t xml:space="preserve">0.90</w:t>
                  </w:r>
                </w:p>
              </w:tc>
              <w:tc>
                <w:tcPr/>
                <w:p>
                  <w:pPr>
                    <w:pStyle w:val="Compact"/>
                    <w:jc w:val="center"/>
                  </w:pPr>
                  <w:r>
                    <w:t xml:space="preserve">+0.42</w:t>
                  </w:r>
                </w:p>
              </w:tc>
            </w:tr>
            <w:tr>
              <w:tc>
                <w:tcPr>
                  <w:gridSpan w:val="1"/>
                  <w:vMerge w:val="continue"/>
                </w:tcPr>
                <w:p>
                  <w:pPr/>
                </w:p>
              </w:tc>
              <w:tc>
                <w:tcPr/>
                <w:p>
                  <w:pPr>
                    <w:pStyle w:val="Compact"/>
                    <w:jc w:val="center"/>
                  </w:pPr>
                  <w:r>
                    <w:t xml:space="preserve">2</w:t>
                  </w:r>
                </w:p>
              </w:tc>
              <w:tc>
                <w:tcPr/>
                <w:p>
                  <w:pPr>
                    <w:pStyle w:val="Compact"/>
                    <w:jc w:val="center"/>
                  </w:pPr>
                  <w:r>
                    <w:t xml:space="preserve">1.42</w:t>
                  </w:r>
                </w:p>
              </w:tc>
              <w:tc>
                <w:tcPr/>
                <w:p>
                  <w:pPr>
                    <w:pStyle w:val="Compact"/>
                    <w:jc w:val="center"/>
                  </w:pPr>
                  <w:r>
                    <w:t xml:space="preserve">1.10</w:t>
                  </w:r>
                </w:p>
              </w:tc>
              <w:tc>
                <w:tcPr/>
                <w:p>
                  <w:pPr>
                    <w:pStyle w:val="Compact"/>
                    <w:jc w:val="center"/>
                  </w:pPr>
                  <w:r>
                    <w:t xml:space="preserve">+0.32</w:t>
                  </w:r>
                </w:p>
              </w:tc>
            </w:tr>
            <w:tr>
              <w:tc>
                <w:tcPr>
                  <w:gridSpan w:val="1"/>
                  <w:vMerge w:val="continue"/>
                </w:tcPr>
                <w:p>
                  <w:pPr/>
                </w:p>
              </w:tc>
              <w:tc>
                <w:tcPr/>
                <w:p>
                  <w:pPr>
                    <w:pStyle w:val="Compact"/>
                    <w:jc w:val="center"/>
                  </w:pPr>
                  <w:r>
                    <w:t xml:space="preserve">3</w:t>
                  </w:r>
                </w:p>
              </w:tc>
              <w:tc>
                <w:tcPr/>
                <w:p>
                  <w:pPr>
                    <w:pStyle w:val="Compact"/>
                    <w:jc w:val="center"/>
                  </w:pPr>
                  <w:r>
                    <w:t xml:space="preserve">1.32</w:t>
                  </w:r>
                </w:p>
              </w:tc>
              <w:tc>
                <w:tcPr/>
                <w:p>
                  <w:pPr>
                    <w:pStyle w:val="Compact"/>
                    <w:jc w:val="center"/>
                  </w:pPr>
                  <w:r>
                    <w:t xml:space="preserve">0.82</w:t>
                  </w:r>
                </w:p>
              </w:tc>
              <w:tc>
                <w:tcPr/>
                <w:p>
                  <w:pPr>
                    <w:pStyle w:val="Compact"/>
                    <w:jc w:val="center"/>
                  </w:pPr>
                  <w:r>
                    <w:t xml:space="preserve">+0.50</w:t>
                  </w:r>
                </w:p>
              </w:tc>
            </w:tr>
            <w:tr>
              <w:tc>
                <w:tcPr>
                  <w:gridSpan w:val="1"/>
                  <w:vMerge w:val="continue"/>
                </w:tcPr>
                <w:p>
                  <w:pPr/>
                </w:p>
              </w:tc>
              <w:tc>
                <w:tcPr/>
                <w:p>
                  <w:pPr>
                    <w:pStyle w:val="Compact"/>
                    <w:jc w:val="center"/>
                  </w:pPr>
                  <w:r>
                    <w:t xml:space="preserve">4</w:t>
                  </w:r>
                </w:p>
              </w:tc>
              <w:tc>
                <w:tcPr/>
                <w:p>
                  <w:pPr>
                    <w:pStyle w:val="Compact"/>
                    <w:jc w:val="center"/>
                  </w:pPr>
                  <w:r>
                    <w:t xml:space="preserve">1.29</w:t>
                  </w:r>
                </w:p>
              </w:tc>
              <w:tc>
                <w:tcPr/>
                <w:p>
                  <w:pPr>
                    <w:pStyle w:val="Compact"/>
                    <w:jc w:val="center"/>
                  </w:pPr>
                  <w:r>
                    <w:t xml:space="preserve">0.83</w:t>
                  </w:r>
                </w:p>
              </w:tc>
              <w:tc>
                <w:tcPr/>
                <w:p>
                  <w:pPr>
                    <w:pStyle w:val="Compact"/>
                    <w:jc w:val="center"/>
                  </w:pPr>
                  <w:r>
                    <w:t xml:space="preserve">+0.46</w:t>
                  </w:r>
                </w:p>
              </w:tc>
            </w:tr>
            <w:tr>
              <w:tc>
                <w:tcPr>
                  <w:vMerge w:val="restart"/>
                </w:tcPr>
                <w:p>
                  <w:pPr>
                    <w:pStyle w:val="Compact"/>
                    <w:jc w:val="center"/>
                  </w:pPr>
                  <w:r>
                    <w:t xml:space="preserve">VI pool</w:t>
                  </w:r>
                </w:p>
              </w:tc>
              <w:tc>
                <w:tcPr/>
                <w:p>
                  <w:pPr>
                    <w:pStyle w:val="Compact"/>
                    <w:jc w:val="center"/>
                  </w:pPr>
                  <w:r>
                    <w:t xml:space="preserve">1</w:t>
                  </w:r>
                </w:p>
              </w:tc>
              <w:tc>
                <w:tcPr/>
                <w:p>
                  <w:pPr>
                    <w:pStyle w:val="Compact"/>
                    <w:jc w:val="center"/>
                  </w:pPr>
                  <w:r>
                    <w:t xml:space="preserve">1.43</w:t>
                  </w:r>
                </w:p>
              </w:tc>
              <w:tc>
                <w:tcPr/>
                <w:p>
                  <w:pPr>
                    <w:pStyle w:val="Compact"/>
                    <w:jc w:val="center"/>
                  </w:pPr>
                  <w:r>
                    <w:t xml:space="preserve">0.84</w:t>
                  </w:r>
                </w:p>
              </w:tc>
              <w:tc>
                <w:tcPr/>
                <w:p>
                  <w:pPr>
                    <w:pStyle w:val="Compact"/>
                    <w:jc w:val="center"/>
                  </w:pPr>
                  <w:r>
                    <w:t xml:space="preserve">+0.59</w:t>
                  </w:r>
                </w:p>
              </w:tc>
            </w:tr>
            <w:tr>
              <w:tc>
                <w:tcPr>
                  <w:gridSpan w:val="1"/>
                  <w:vMerge w:val="continue"/>
                </w:tcPr>
                <w:p>
                  <w:pPr/>
                </w:p>
              </w:tc>
              <w:tc>
                <w:tcPr/>
                <w:p>
                  <w:pPr>
                    <w:pStyle w:val="Compact"/>
                    <w:jc w:val="center"/>
                  </w:pPr>
                  <w:r>
                    <w:t xml:space="preserve">2</w:t>
                  </w:r>
                </w:p>
              </w:tc>
              <w:tc>
                <w:tcPr/>
                <w:p>
                  <w:pPr>
                    <w:pStyle w:val="Compact"/>
                    <w:jc w:val="center"/>
                  </w:pPr>
                  <w:r>
                    <w:t xml:space="preserve">1.39</w:t>
                  </w:r>
                </w:p>
              </w:tc>
              <w:tc>
                <w:tcPr/>
                <w:p>
                  <w:pPr>
                    <w:pStyle w:val="Compact"/>
                    <w:jc w:val="center"/>
                  </w:pPr>
                  <w:r>
                    <w:t xml:space="preserve">0.88</w:t>
                  </w:r>
                </w:p>
              </w:tc>
              <w:tc>
                <w:tcPr/>
                <w:p>
                  <w:pPr>
                    <w:pStyle w:val="Compact"/>
                    <w:jc w:val="center"/>
                  </w:pPr>
                  <w:r>
                    <w:t xml:space="preserve">+0.51</w:t>
                  </w:r>
                </w:p>
              </w:tc>
            </w:tr>
            <w:tr>
              <w:tc>
                <w:tcPr>
                  <w:gridSpan w:val="1"/>
                  <w:vMerge w:val="continue"/>
                </w:tcPr>
                <w:p>
                  <w:pPr/>
                </w:p>
              </w:tc>
              <w:tc>
                <w:tcPr/>
                <w:p>
                  <w:pPr>
                    <w:pStyle w:val="Compact"/>
                    <w:jc w:val="center"/>
                  </w:pPr>
                  <w:r>
                    <w:t xml:space="preserve">3</w:t>
                  </w:r>
                </w:p>
              </w:tc>
              <w:tc>
                <w:tcPr/>
                <w:p>
                  <w:pPr>
                    <w:pStyle w:val="Compact"/>
                    <w:jc w:val="center"/>
                  </w:pPr>
                  <w:r>
                    <w:t xml:space="preserve">1.42</w:t>
                  </w:r>
                </w:p>
              </w:tc>
              <w:tc>
                <w:tcPr/>
                <w:p>
                  <w:pPr>
                    <w:pStyle w:val="Compact"/>
                    <w:jc w:val="center"/>
                  </w:pPr>
                  <w:r>
                    <w:t xml:space="preserve">0.88</w:t>
                  </w:r>
                </w:p>
              </w:tc>
              <w:tc>
                <w:tcPr/>
                <w:p>
                  <w:pPr>
                    <w:pStyle w:val="Compact"/>
                    <w:jc w:val="center"/>
                  </w:pPr>
                  <w:r>
                    <w:t xml:space="preserve">+0.54</w:t>
                  </w:r>
                </w:p>
              </w:tc>
            </w:tr>
            <w:tr>
              <w:tc>
                <w:tcPr>
                  <w:gridSpan w:val="1"/>
                  <w:vMerge w:val="continue"/>
                </w:tcPr>
                <w:p>
                  <w:pPr/>
                </w:p>
              </w:tc>
              <w:tc>
                <w:tcPr/>
                <w:p>
                  <w:pPr>
                    <w:pStyle w:val="Compact"/>
                    <w:jc w:val="center"/>
                  </w:pPr>
                  <w:r>
                    <w:t xml:space="preserve">4</w:t>
                  </w:r>
                </w:p>
              </w:tc>
              <w:tc>
                <w:tcPr/>
                <w:p>
                  <w:pPr>
                    <w:pStyle w:val="Compact"/>
                    <w:jc w:val="center"/>
                  </w:pPr>
                  <w:r>
                    <w:t xml:space="preserve">1.49</w:t>
                  </w:r>
                </w:p>
              </w:tc>
              <w:tc>
                <w:tcPr/>
                <w:p>
                  <w:pPr>
                    <w:pStyle w:val="Compact"/>
                    <w:jc w:val="center"/>
                  </w:pPr>
                  <w:r>
                    <w:t xml:space="preserve">1.02</w:t>
                  </w:r>
                </w:p>
              </w:tc>
              <w:tc>
                <w:tcPr/>
                <w:p>
                  <w:pPr>
                    <w:pStyle w:val="Compact"/>
                    <w:jc w:val="center"/>
                  </w:pPr>
                  <w:r>
                    <w:t xml:space="preserve">+0.47</w:t>
                  </w:r>
                </w:p>
              </w:tc>
            </w:tr>
            <w:tr>
              <w:tc>
                <w:tcPr>
                  <w:vMerge w:val="restart"/>
                </w:tcPr>
                <w:p>
                  <w:pPr>
                    <w:pStyle w:val="Compact"/>
                    <w:jc w:val="center"/>
                  </w:pPr>
                  <w:r>
                    <w:t xml:space="preserve">CEX load</w:t>
                  </w:r>
                </w:p>
              </w:tc>
              <w:tc>
                <w:tcPr/>
                <w:p>
                  <w:pPr>
                    <w:pStyle w:val="Compact"/>
                    <w:jc w:val="center"/>
                  </w:pPr>
                  <w:r>
                    <w:t xml:space="preserve">1</w:t>
                  </w:r>
                </w:p>
              </w:tc>
              <w:tc>
                <w:tcPr/>
                <w:p>
                  <w:pPr>
                    <w:pStyle w:val="Compact"/>
                    <w:jc w:val="center"/>
                  </w:pPr>
                  <w:r>
                    <w:t xml:space="preserve">1.36</w:t>
                  </w:r>
                </w:p>
              </w:tc>
              <w:tc>
                <w:tcPr/>
                <w:p>
                  <w:pPr>
                    <w:pStyle w:val="Compact"/>
                    <w:jc w:val="center"/>
                  </w:pPr>
                  <w:r>
                    <w:t xml:space="preserve">0.85</w:t>
                  </w:r>
                </w:p>
              </w:tc>
              <w:tc>
                <w:tcPr/>
                <w:p>
                  <w:pPr>
                    <w:pStyle w:val="Compact"/>
                    <w:jc w:val="center"/>
                  </w:pPr>
                  <w:r>
                    <w:t xml:space="preserve">+0.52</w:t>
                  </w:r>
                </w:p>
              </w:tc>
            </w:tr>
            <w:tr>
              <w:tc>
                <w:tcPr>
                  <w:gridSpan w:val="1"/>
                  <w:vMerge w:val="continue"/>
                </w:tcPr>
                <w:p>
                  <w:pPr/>
                </w:p>
              </w:tc>
              <w:tc>
                <w:tcPr/>
                <w:p>
                  <w:pPr>
                    <w:pStyle w:val="Compact"/>
                    <w:jc w:val="center"/>
                  </w:pPr>
                  <w:r>
                    <w:t xml:space="preserve">2</w:t>
                  </w:r>
                </w:p>
              </w:tc>
              <w:tc>
                <w:tcPr/>
                <w:p>
                  <w:pPr>
                    <w:pStyle w:val="Compact"/>
                    <w:jc w:val="center"/>
                  </w:pPr>
                  <w:r>
                    <w:t xml:space="preserve">1.52</w:t>
                  </w:r>
                </w:p>
              </w:tc>
              <w:tc>
                <w:tcPr/>
                <w:p>
                  <w:pPr>
                    <w:pStyle w:val="Compact"/>
                    <w:jc w:val="center"/>
                  </w:pPr>
                  <w:r>
                    <w:t xml:space="preserve">1.03</w:t>
                  </w:r>
                </w:p>
              </w:tc>
              <w:tc>
                <w:tcPr/>
                <w:p>
                  <w:pPr>
                    <w:pStyle w:val="Compact"/>
                    <w:jc w:val="center"/>
                  </w:pPr>
                  <w:r>
                    <w:t xml:space="preserve">+0.49</w:t>
                  </w:r>
                </w:p>
              </w:tc>
            </w:tr>
            <w:tr>
              <w:tc>
                <w:tcPr/>
                <w:p>
                  <w:pPr>
                    <w:pStyle w:val="Compact"/>
                    <w:jc w:val="center"/>
                  </w:pPr>
                  <w:r>
                    <w:t xml:space="preserve">CEX fraction F2</w:t>
                  </w:r>
                </w:p>
              </w:tc>
              <w:tc>
                <w:tcPr/>
                <w:p>
                  <w:pPr>
                    <w:pStyle w:val="Compact"/>
                    <w:jc w:val="center"/>
                  </w:pPr>
                  <w:r>
                    <w:t xml:space="preserve">1</w:t>
                  </w:r>
                </w:p>
              </w:tc>
              <w:tc>
                <w:tcPr/>
                <w:p>
                  <w:pPr>
                    <w:pStyle w:val="Compact"/>
                    <w:jc w:val="center"/>
                  </w:pPr>
                  <w:r>
                    <w:t xml:space="preserve">1.65</w:t>
                  </w:r>
                </w:p>
              </w:tc>
              <w:tc>
                <w:tcPr/>
                <w:p>
                  <w:pPr>
                    <w:pStyle w:val="Compact"/>
                    <w:jc w:val="center"/>
                  </w:pPr>
                  <w:r>
                    <w:t xml:space="preserve">1.56</w:t>
                  </w:r>
                </w:p>
              </w:tc>
              <w:tc>
                <w:tcPr/>
                <w:p>
                  <w:pPr>
                    <w:pStyle w:val="Compact"/>
                    <w:jc w:val="center"/>
                  </w:pPr>
                  <w:r>
                    <w:t xml:space="preserve">+0.09</w:t>
                  </w:r>
                </w:p>
              </w:tc>
            </w:tr>
            <w:tr>
              <w:tc>
                <w:tcPr/>
                <w:p>
                  <w:pPr>
                    <w:pStyle w:val="Compact"/>
                    <w:jc w:val="center"/>
                  </w:pPr>
                  <w:r>
                    <w:t xml:space="preserve">CEX fraction F3</w:t>
                  </w:r>
                </w:p>
              </w:tc>
              <w:tc>
                <w:tcPr/>
                <w:p>
                  <w:pPr>
                    <w:pStyle w:val="Compact"/>
                    <w:jc w:val="center"/>
                  </w:pPr>
                  <w:r>
                    <w:t xml:space="preserve">1</w:t>
                  </w:r>
                </w:p>
              </w:tc>
              <w:tc>
                <w:tcPr/>
                <w:p>
                  <w:pPr>
                    <w:pStyle w:val="Compact"/>
                    <w:jc w:val="center"/>
                  </w:pPr>
                  <w:r>
                    <w:t xml:space="preserve">0.64</w:t>
                  </w:r>
                </w:p>
              </w:tc>
              <w:tc>
                <w:tcPr/>
                <w:p>
                  <w:pPr>
                    <w:pStyle w:val="Compact"/>
                    <w:jc w:val="center"/>
                  </w:pPr>
                  <w:r>
                    <w:t xml:space="preserve">0.76</w:t>
                  </w:r>
                </w:p>
              </w:tc>
              <w:tc>
                <w:tcPr/>
                <w:p>
                  <w:pPr>
                    <w:pStyle w:val="Compact"/>
                    <w:jc w:val="center"/>
                  </w:pPr>
                  <w:r>
                    <w:t xml:space="preserve">-0.11</w:t>
                  </w:r>
                </w:p>
              </w:tc>
            </w:tr>
            <w:tr>
              <w:tc>
                <w:tcPr/>
                <w:p>
                  <w:pPr>
                    <w:pStyle w:val="Compact"/>
                    <w:jc w:val="center"/>
                  </w:pPr>
                  <w:r>
                    <w:t xml:space="preserve">CEX fraction F4</w:t>
                  </w:r>
                </w:p>
              </w:tc>
              <w:tc>
                <w:tcPr/>
                <w:p>
                  <w:pPr>
                    <w:pStyle w:val="Compact"/>
                    <w:jc w:val="center"/>
                  </w:pPr>
                  <w:r>
                    <w:t xml:space="preserve">1</w:t>
                  </w:r>
                </w:p>
              </w:tc>
              <w:tc>
                <w:tcPr/>
                <w:p>
                  <w:pPr>
                    <w:pStyle w:val="Compact"/>
                    <w:jc w:val="center"/>
                  </w:pPr>
                  <w:r>
                    <w:t xml:space="preserve">0.40</w:t>
                  </w:r>
                </w:p>
              </w:tc>
              <w:tc>
                <w:tcPr/>
                <w:p>
                  <w:pPr>
                    <w:pStyle w:val="Compact"/>
                    <w:jc w:val="center"/>
                  </w:pPr>
                  <w:r>
                    <w:t xml:space="preserve">0.49</w:t>
                  </w:r>
                </w:p>
              </w:tc>
              <w:tc>
                <w:tcPr/>
                <w:p>
                  <w:pPr>
                    <w:pStyle w:val="Compact"/>
                    <w:jc w:val="center"/>
                  </w:pPr>
                  <w:r>
                    <w:t xml:space="preserve">-0.09</w:t>
                  </w:r>
                </w:p>
              </w:tc>
            </w:tr>
            <w:tr>
              <w:tc>
                <w:tcPr/>
                <w:p>
                  <w:pPr>
                    <w:pStyle w:val="Compact"/>
                    <w:jc w:val="center"/>
                  </w:pPr>
                  <w:r>
                    <w:t xml:space="preserve">CEX fraction F5</w:t>
                  </w:r>
                </w:p>
              </w:tc>
              <w:tc>
                <w:tcPr/>
                <w:p>
                  <w:pPr>
                    <w:pStyle w:val="Compact"/>
                    <w:jc w:val="center"/>
                  </w:pPr>
                  <w:r>
                    <w:t xml:space="preserve">1</w:t>
                  </w:r>
                </w:p>
              </w:tc>
              <w:tc>
                <w:tcPr/>
                <w:p>
                  <w:pPr>
                    <w:pStyle w:val="Compact"/>
                    <w:jc w:val="center"/>
                  </w:pPr>
                  <w:r>
                    <w:t xml:space="preserve">0.42</w:t>
                  </w:r>
                </w:p>
              </w:tc>
              <w:tc>
                <w:tcPr/>
                <w:p>
                  <w:pPr>
                    <w:pStyle w:val="Compact"/>
                    <w:jc w:val="center"/>
                  </w:pPr>
                  <w:r>
                    <w:t xml:space="preserve">0.32</w:t>
                  </w:r>
                </w:p>
              </w:tc>
              <w:tc>
                <w:tcPr/>
                <w:p>
                  <w:pPr>
                    <w:pStyle w:val="Compact"/>
                    <w:jc w:val="center"/>
                  </w:pPr>
                  <w:r>
                    <w:t xml:space="preserve">+0.10</w:t>
                  </w:r>
                </w:p>
              </w:tc>
            </w:tr>
            <w:tr>
              <w:tc>
                <w:tcPr>
                  <w:vMerge w:val="restart"/>
                </w:tcPr>
                <w:p>
                  <w:pPr>
                    <w:pStyle w:val="Compact"/>
                    <w:jc w:val="center"/>
                  </w:pPr>
                  <w:r>
                    <w:t xml:space="preserve">CEX pool</w:t>
                  </w:r>
                </w:p>
              </w:tc>
              <w:tc>
                <w:tcPr/>
                <w:p>
                  <w:pPr>
                    <w:pStyle w:val="Compact"/>
                    <w:jc w:val="center"/>
                  </w:pPr>
                  <w:r>
                    <w:t xml:space="preserve">1</w:t>
                  </w:r>
                </w:p>
              </w:tc>
              <w:tc>
                <w:tcPr/>
                <w:p>
                  <w:pPr>
                    <w:pStyle w:val="Compact"/>
                    <w:jc w:val="center"/>
                  </w:pPr>
                  <w:r>
                    <w:t xml:space="preserve">0.61</w:t>
                  </w:r>
                </w:p>
              </w:tc>
              <w:tc>
                <w:tcPr/>
                <w:p>
                  <w:pPr>
                    <w:pStyle w:val="Compact"/>
                    <w:jc w:val="center"/>
                  </w:pPr>
                  <w:r>
                    <w:t xml:space="preserve">0.62</w:t>
                  </w:r>
                </w:p>
              </w:tc>
              <w:tc>
                <w:tcPr/>
                <w:p>
                  <w:pPr>
                    <w:pStyle w:val="Compact"/>
                    <w:jc w:val="center"/>
                  </w:pPr>
                  <w:r>
                    <w:t xml:space="preserve">-0.01</w:t>
                  </w:r>
                </w:p>
              </w:tc>
            </w:tr>
            <w:tr>
              <w:tc>
                <w:tcPr>
                  <w:gridSpan w:val="1"/>
                  <w:vMerge w:val="continue"/>
                </w:tcPr>
                <w:p>
                  <w:pPr/>
                </w:p>
              </w:tc>
              <w:tc>
                <w:tcPr/>
                <w:p>
                  <w:pPr>
                    <w:pStyle w:val="Compact"/>
                    <w:jc w:val="center"/>
                  </w:pPr>
                  <w:r>
                    <w:t xml:space="preserve">2</w:t>
                  </w:r>
                </w:p>
              </w:tc>
              <w:tc>
                <w:tcPr/>
                <w:p>
                  <w:pPr>
                    <w:pStyle w:val="Compact"/>
                    <w:jc w:val="center"/>
                  </w:pPr>
                  <w:r>
                    <w:t xml:space="preserve">0.70</w:t>
                  </w:r>
                </w:p>
              </w:tc>
              <w:tc>
                <w:tcPr/>
                <w:p>
                  <w:pPr>
                    <w:pStyle w:val="Compact"/>
                    <w:jc w:val="center"/>
                  </w:pPr>
                  <w:r>
                    <w:t xml:space="preserve">0.57</w:t>
                  </w:r>
                </w:p>
              </w:tc>
              <w:tc>
                <w:tcPr/>
                <w:p>
                  <w:pPr>
                    <w:pStyle w:val="Compact"/>
                    <w:jc w:val="center"/>
                  </w:pPr>
                  <w:r>
                    <w:t xml:space="preserve">+0.13</w:t>
                  </w:r>
                </w:p>
              </w:tc>
            </w:tr>
            <w:tr>
              <w:tc>
                <w:tcPr>
                  <w:gridSpan w:val="1"/>
                  <w:vMerge w:val="continue"/>
                </w:tcPr>
                <w:p>
                  <w:pPr/>
                </w:p>
              </w:tc>
              <w:tc>
                <w:tcPr/>
                <w:p>
                  <w:pPr>
                    <w:pStyle w:val="Compact"/>
                    <w:jc w:val="center"/>
                  </w:pPr>
                  <w:r>
                    <w:t xml:space="preserve">3</w:t>
                  </w:r>
                </w:p>
              </w:tc>
              <w:tc>
                <w:tcPr/>
                <w:p>
                  <w:pPr>
                    <w:pStyle w:val="Compact"/>
                    <w:jc w:val="center"/>
                  </w:pPr>
                  <w:r>
                    <w:t xml:space="preserve">0.51</w:t>
                  </w:r>
                </w:p>
              </w:tc>
              <w:tc>
                <w:tcPr/>
                <w:p>
                  <w:pPr>
                    <w:pStyle w:val="Compact"/>
                    <w:jc w:val="center"/>
                  </w:pPr>
                  <w:r>
                    <w:t xml:space="preserve">0.61</w:t>
                  </w:r>
                </w:p>
              </w:tc>
              <w:tc>
                <w:tcPr/>
                <w:p>
                  <w:pPr>
                    <w:pStyle w:val="Compact"/>
                    <w:jc w:val="center"/>
                  </w:pPr>
                  <w:r>
                    <w:t xml:space="preserve">-0.10</w:t>
                  </w:r>
                </w:p>
              </w:tc>
            </w:tr>
            <w:tr>
              <w:tc>
                <w:tcPr>
                  <w:gridSpan w:val="1"/>
                  <w:vMerge w:val="continue"/>
                </w:tcPr>
                <w:p>
                  <w:pPr/>
                </w:p>
              </w:tc>
              <w:tc>
                <w:tcPr/>
                <w:p>
                  <w:pPr>
                    <w:pStyle w:val="Compact"/>
                    <w:jc w:val="center"/>
                  </w:pPr>
                  <w:r>
                    <w:t xml:space="preserve">4</w:t>
                  </w:r>
                </w:p>
              </w:tc>
              <w:tc>
                <w:tcPr/>
                <w:p>
                  <w:pPr>
                    <w:pStyle w:val="Compact"/>
                    <w:jc w:val="center"/>
                  </w:pPr>
                  <w:r>
                    <w:t xml:space="preserve">0.70</w:t>
                  </w:r>
                </w:p>
              </w:tc>
              <w:tc>
                <w:tcPr/>
                <w:p>
                  <w:pPr>
                    <w:pStyle w:val="Compact"/>
                    <w:jc w:val="center"/>
                  </w:pPr>
                  <w:r>
                    <w:t xml:space="preserve">0.72</w:t>
                  </w:r>
                </w:p>
              </w:tc>
              <w:tc>
                <w:tcPr/>
                <w:p>
                  <w:pPr>
                    <w:pStyle w:val="Compact"/>
                    <w:jc w:val="center"/>
                  </w:pPr>
                  <w:r>
                    <w:t xml:space="preserve">-0.02</w:t>
                  </w:r>
                </w:p>
              </w:tc>
            </w:tr>
            <w:tr>
              <w:tc>
                <w:tcPr>
                  <w:vMerge w:val="restart"/>
                </w:tcPr>
                <w:p>
                  <w:pPr>
                    <w:pStyle w:val="Compact"/>
                    <w:jc w:val="center"/>
                  </w:pPr>
                  <w:r>
                    <w:t xml:space="preserve">AEX pool</w:t>
                  </w:r>
                </w:p>
              </w:tc>
              <w:tc>
                <w:tcPr/>
                <w:p>
                  <w:pPr>
                    <w:pStyle w:val="Compact"/>
                    <w:jc w:val="center"/>
                  </w:pPr>
                  <w:r>
                    <w:t xml:space="preserve">1</w:t>
                  </w:r>
                </w:p>
              </w:tc>
              <w:tc>
                <w:tcPr/>
                <w:p>
                  <w:pPr>
                    <w:pStyle w:val="Compact"/>
                    <w:jc w:val="center"/>
                  </w:pPr>
                  <w:r>
                    <w:t xml:space="preserve">0.55</w:t>
                  </w:r>
                </w:p>
              </w:tc>
              <w:tc>
                <w:tcPr/>
                <w:p>
                  <w:pPr>
                    <w:pStyle w:val="Compact"/>
                    <w:jc w:val="center"/>
                  </w:pPr>
                  <w:r>
                    <w:t xml:space="preserve">0.65</w:t>
                  </w:r>
                </w:p>
              </w:tc>
              <w:tc>
                <w:tcPr/>
                <w:p>
                  <w:pPr>
                    <w:pStyle w:val="Compact"/>
                    <w:jc w:val="center"/>
                  </w:pPr>
                  <w:r>
                    <w:t xml:space="preserve">-0.10</w:t>
                  </w:r>
                </w:p>
              </w:tc>
            </w:tr>
            <w:tr>
              <w:tc>
                <w:tcPr>
                  <w:gridSpan w:val="1"/>
                  <w:vMerge w:val="continue"/>
                </w:tcPr>
                <w:p>
                  <w:pPr/>
                </w:p>
              </w:tc>
              <w:tc>
                <w:tcPr/>
                <w:p>
                  <w:pPr>
                    <w:pStyle w:val="Compact"/>
                    <w:jc w:val="center"/>
                  </w:pPr>
                  <w:r>
                    <w:t xml:space="preserve">2</w:t>
                  </w:r>
                </w:p>
              </w:tc>
              <w:tc>
                <w:tcPr/>
                <w:p>
                  <w:pPr>
                    <w:pStyle w:val="Compact"/>
                    <w:jc w:val="center"/>
                  </w:pPr>
                  <w:r>
                    <w:t xml:space="preserve">0.68</w:t>
                  </w:r>
                </w:p>
              </w:tc>
              <w:tc>
                <w:tcPr/>
                <w:p>
                  <w:pPr>
                    <w:pStyle w:val="Compact"/>
                    <w:jc w:val="center"/>
                  </w:pPr>
                  <w:r>
                    <w:t xml:space="preserve">0.70</w:t>
                  </w:r>
                </w:p>
              </w:tc>
              <w:tc>
                <w:tcPr/>
                <w:p>
                  <w:pPr>
                    <w:pStyle w:val="Compact"/>
                    <w:jc w:val="center"/>
                  </w:pPr>
                  <w:r>
                    <w:t xml:space="preserve">-0.02</w:t>
                  </w:r>
                </w:p>
              </w:tc>
            </w:tr>
            <w:tr>
              <w:tc>
                <w:tcPr>
                  <w:gridSpan w:val="5"/>
                </w:tcPr>
                <w:p>
                  <w:pPr>
                    <w:pStyle w:val="Compact"/>
                    <w:jc w:val="center"/>
                  </w:pPr>
                  <w:r>
                    <w:t xml:space="preserve">nrCE-SDS reports the sum of clipped species. The partial molecules seen under SDS (HHL, HH, HL, free light chain), which come from antibody lacking one or more interchain disulfide bonds, are excluded. This makes the two methods comparable.</w:t>
                  </w:r>
                </w:p>
              </w:tc>
            </w:tr>
          </w:tbl>
          <w:bookmarkEnd w:id="43"/>
          <w:p/>
        </w:tc>
      </w:tr>
    </w:tbl>
    <w:p>
      <w:pPr>
        <w:pStyle w:val="BodyText"/>
      </w:pPr>
      <w:r>
        <w:t xml:space="preserve">On average, SEC read fragments higher than nrCE-SDS by 0.4 to 0.5 percentage points in the Protein A pool, the VI pool and the CEX load. From the CEX pool onward, the mean difference between the two methods was no more than 0.1 percentage points. The difference follows the host cell protein content of the sample. Part of the host cell protein elutes in the low molecular weight window of SEC, where it is counted with the clipped antibody species. The excess can therefore be no larger than the host cell protein in the sample. Cation exchange removes most of the host cell protein, and from its pool onward the excess is close to zero. In the Protein A pool, SEC reported a mean of 1.3 % fragments, where nrCE-SDS reported 0.9 %. The excess there is about 47 % of the fragment level that nrCE-SDS measures. SEC fragment results from the capture matrices are therefore biased high by an amount that matters for a fragment criterion.</w:t>
      </w:r>
    </w:p>
    <w:p>
      <w:pPr>
        <w:pStyle w:val="BodyText"/>
      </w:pPr>
      <w:r>
        <w:t xml:space="preserve">The method decision AMD-001 was taken on 2026-03-20 on these data. From that date, fragments were measured by nrCE-SDS in every study, at every step, so that one method spans the train. The CEX response surface study, which ran from 2026-03-02 to 2026-03-27 and so spanned the decision, measured fragments by both methods in parallel. The retained response surface samples of Protein A and viral inactivation were retested by nrCE-SDS from 2026-04-06 to 2026-04-17. The screening samples had not been retained. Their SEC results are kept and marked as not used. The re-executed anion exchange design (DEV-008-01) started on 2026-03-23, after the decision, and measured fragments by nrCE-SDS. Its invalidated first execution had used SEC. Fragments were not in the scope of the bioreactor design.</w:t>
      </w:r>
      <w:r>
        <w:t xml:space="preserve"> </w:t>
      </w:r>
      <w:hyperlink w:anchor="tbl-methods-by-study">
        <w:r>
          <w:rPr>
            <w:rStyle w:val="Hyperlink"/>
          </w:rPr>
          <w:t xml:space="preserve">Table 9</w:t>
        </w:r>
      </w:hyperlink>
      <w:r>
        <w:t xml:space="preserve"> </w:t>
      </w:r>
      <w:r>
        <w:t xml:space="preserve">shows which method ran in which study.</w:t>
      </w:r>
    </w:p>
    <w:tbl>
      <w:tblPr>
        <w:tblStyle w:val="Table"/>
        <w:tblW w:type="pct" w:w="5000"/>
        <w:tblLayout w:type="fixed"/>
        <w:tblLook w:firstRow="0" w:lastRow="0" w:firstColumn="0" w:lastColumn="0" w:noHBand="0" w:noVBand="0" w:val="0000"/>
      </w:tblPr>
      <w:tblGrid>
        <w:gridCol w:w="7920"/>
      </w:tblGrid>
      <w:tr>
        <w:tc>
          <w:tcPr/>
          <w:bookmarkStart w:id="44" w:name="tbl-methods-by-study"/>
          <w:p>
            <w:pPr>
              <w:jc w:val="center"/>
            </w:pPr>
            <w:pPr>
              <w:jc w:val="start"/>
              <w:spacing w:before="200"/>
              <w:pStyle w:val="ImageCaption"/>
            </w:pPr>
            <w:r>
              <w:t xml:space="preserve">Table 9: Methods used for size variants, by step and study.</w:t>
            </w:r>
          </w:p>
          <w:tbl>
            <w:tblPr>
              <w:tblStyle w:val="Table"/>
              <w:tblW w:type="auto" w:w="0"/>
              <w:tblLook w:firstRow="1" w:lastRow="1" w:firstColumn="0" w:lastColumn="0" w:noHBand="0" w:noVBand="0" w:val="0020"/>
            </w:tblPr>
            <w:tblGrid>
              <w:gridCol w:w="1980"/>
              <w:gridCol w:w="1980"/>
              <w:gridCol w:w="1980"/>
              <w:gridCol w:w="1980"/>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gridSpan w:val="2"/>
                </w:tcPr>
                <w:p>
                  <w:pPr>
                    <w:pStyle w:val="Compact"/>
                    <w:jc w:val="center"/>
                  </w:pPr>
                  <w:r>
                    <w:t xml:space="preserve">Method used in study</w:t>
                  </w:r>
                </w:p>
              </w:tc>
            </w:tr>
            <w:tr>
              <w:trPr>
                <w:tblHeader w:val="on"/>
              </w:trPr>
              <w:tc>
                <w:tcPr>
                  <w:gridSpan w:val="1"/>
                  <w:vMerge w:val="continue"/>
                </w:tcPr>
                <w:p>
                  <w:pPr/>
                </w:p>
              </w:tc>
              <w:tc>
                <w:tcPr>
                  <w:gridSpan w:val="1"/>
                  <w:vMerge w:val="continue"/>
                </w:tcPr>
                <w:p>
                  <w:pPr/>
                </w:p>
              </w:tc>
              <w:tc>
                <w:tcPr/>
                <w:p>
                  <w:pPr>
                    <w:pStyle w:val="Compact"/>
                    <w:jc w:val="center"/>
                  </w:pPr>
                  <w:r>
                    <w:t xml:space="preserve">Screening</w:t>
                  </w:r>
                </w:p>
              </w:tc>
              <w:tc>
                <w:tcPr/>
                <w:p>
                  <w:pPr>
                    <w:pStyle w:val="Compact"/>
                    <w:jc w:val="center"/>
                  </w:pPr>
                  <w:r>
                    <w:t xml:space="preserve">Response surface</w:t>
                  </w:r>
                </w:p>
              </w:tc>
            </w:tr>
            <w:tr>
              <w:tc>
                <w:tcPr>
                  <w:vMerge w:val="restart"/>
                </w:tcPr>
                <w:p>
                  <w:pPr>
                    <w:pStyle w:val="Compact"/>
                    <w:jc w:val="center"/>
                  </w:pPr>
                  <w:r>
                    <w:t xml:space="preserve">Production bioreactor</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not in scope</w:t>
                  </w:r>
                  <w:r>
                    <w:rPr>
                      <w:vertAlign w:val="superscript"/>
                    </w:rPr>
                    <w:t xml:space="preserve">f)</w:t>
                  </w:r>
                </w:p>
              </w:tc>
            </w:tr>
            <w:tr>
              <w:tc>
                <w:tcPr>
                  <w:vMerge w:val="restart"/>
                </w:tcPr>
                <w:p>
                  <w:pPr>
                    <w:pStyle w:val="Compact"/>
                    <w:jc w:val="center"/>
                  </w:pPr>
                  <w:r>
                    <w:t xml:space="preserve">Harvest</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e)</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e)</w:t>
                  </w:r>
                </w:p>
              </w:tc>
            </w:tr>
            <w:tr>
              <w:tc>
                <w:tcPr>
                  <w:vMerge w:val="restart"/>
                </w:tcPr>
                <w:p>
                  <w:pPr>
                    <w:pStyle w:val="Compact"/>
                    <w:jc w:val="center"/>
                  </w:pPr>
                  <w:r>
                    <w:t xml:space="preserve">Protein A</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vMerge w:val="restart"/>
                </w:tcPr>
                <w:p>
                  <w:pPr>
                    <w:pStyle w:val="Compact"/>
                    <w:jc w:val="center"/>
                  </w:pPr>
                  <w:r>
                    <w:t xml:space="preserve">Low-pH viral inactivation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r>
                    <w:rPr>
                      <w:vertAlign w:val="superscript"/>
                    </w:rPr>
                    <w:t xml:space="preserve">a)</w:t>
                  </w:r>
                </w:p>
              </w:tc>
              <w:tc>
                <w:tcPr/>
                <w:p>
                  <w:pPr>
                    <w:pStyle w:val="Compact"/>
                    <w:jc w:val="center"/>
                  </w:pPr>
                  <w:r>
                    <w:t xml:space="preserve">SEC</w:t>
                  </w:r>
                  <w:r>
                    <w:rPr>
                      <w:vertAlign w:val="superscript"/>
                    </w:rPr>
                    <w:t xml:space="preserve">a)</w:t>
                  </w:r>
                  <w:r>
                    <w:t xml:space="preserve">, nrCE-SDS</w:t>
                  </w:r>
                  <w:r>
                    <w:rPr>
                      <w:vertAlign w:val="superscript"/>
                    </w:rPr>
                    <w:t xml:space="preserve">b)</w:t>
                  </w:r>
                </w:p>
              </w:tc>
            </w:tr>
            <w:tr>
              <w:tc>
                <w:tcPr>
                  <w:vMerge w:val="restart"/>
                </w:tcPr>
                <w:p>
                  <w:pPr>
                    <w:pStyle w:val="Compact"/>
                    <w:jc w:val="center"/>
                  </w:pPr>
                  <w:r>
                    <w:t xml:space="preserve">Cation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SEC</w:t>
                  </w:r>
                </w:p>
              </w:tc>
              <w:tc>
                <w:tcPr/>
                <w:p>
                  <w:pPr>
                    <w:pStyle w:val="Compact"/>
                    <w:jc w:val="center"/>
                  </w:pPr>
                  <w:r>
                    <w:t xml:space="preserve">SEC, nrCE-SDS</w:t>
                  </w:r>
                  <w:r>
                    <w:rPr>
                      <w:vertAlign w:val="superscript"/>
                    </w:rPr>
                    <w:t xml:space="preserve">c)</w:t>
                  </w:r>
                </w:p>
              </w:tc>
            </w:tr>
            <w:tr>
              <w:tc>
                <w:tcPr>
                  <w:vMerge w:val="restart"/>
                </w:tcPr>
                <w:p>
                  <w:pPr>
                    <w:pStyle w:val="Compact"/>
                    <w:jc w:val="center"/>
                  </w:pPr>
                  <w:r>
                    <w:t xml:space="preserve">Anion exchange</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r>
                    <w:rPr>
                      <w:vertAlign w:val="superscript"/>
                    </w:rPr>
                    <w:t xml:space="preserve">d)</w:t>
                  </w:r>
                </w:p>
              </w:tc>
              <w:tc>
                <w:tcPr/>
                <w:p>
                  <w:pPr>
                    <w:pStyle w:val="Compact"/>
                    <w:jc w:val="center"/>
                  </w:pPr>
                  <w:r>
                    <w:t xml:space="preserve">nrCE-SDS</w:t>
                  </w:r>
                  <w:r>
                    <w:rPr>
                      <w:vertAlign w:val="superscript"/>
                    </w:rPr>
                    <w:t xml:space="preserve">d)</w:t>
                  </w:r>
                </w:p>
              </w:tc>
            </w:tr>
            <w:tr>
              <w:tc>
                <w:tcPr>
                  <w:vMerge w:val="restart"/>
                </w:tcPr>
                <w:p>
                  <w:pPr>
                    <w:pStyle w:val="Compact"/>
                    <w:jc w:val="center"/>
                  </w:pPr>
                  <w:r>
                    <w:t xml:space="preserve">Virus filtration</w:t>
                  </w:r>
                </w:p>
              </w:tc>
              <w:tc>
                <w:tcPr/>
                <w:p>
                  <w:pPr>
                    <w:pStyle w:val="Compact"/>
                    <w:jc w:val="center"/>
                  </w:pPr>
                  <w:r>
                    <w:t xml:space="preserve">Aggregates, HMW</w:t>
                  </w:r>
                </w:p>
              </w:tc>
              <w:tc>
                <w:tcPr>
                  <w:gridSpan w:val="2"/>
                </w:tcPr>
                <w:p>
                  <w:pPr>
                    <w:pStyle w:val="Compact"/>
                    <w:jc w:val="center"/>
                  </w:pPr>
                  <w:r>
                    <w:t xml:space="preserve">SEC</w:t>
                  </w:r>
                </w:p>
              </w:tc>
            </w:tr>
            <w:tr>
              <w:tc>
                <w:tcPr>
                  <w:gridSpan w:val="1"/>
                  <w:vMerge w:val="continue"/>
                </w:tcPr>
                <w:p>
                  <w:pPr/>
                </w:p>
              </w:tc>
              <w:tc>
                <w:tcPr/>
                <w:p>
                  <w:pPr>
                    <w:pStyle w:val="Compact"/>
                    <w:jc w:val="center"/>
                  </w:pPr>
                  <w:r>
                    <w:t xml:space="preserve">Fragments, LMW</w:t>
                  </w:r>
                </w:p>
              </w:tc>
              <w:tc>
                <w:tcPr/>
                <w:p>
                  <w:pPr>
                    <w:pStyle w:val="Compact"/>
                    <w:jc w:val="center"/>
                  </w:pPr>
                  <w:r>
                    <w:t xml:space="preserve">nrCE-SDS</w:t>
                  </w:r>
                </w:p>
              </w:tc>
              <w:tc>
                <w:tcPr/>
                <w:p>
                  <w:pPr>
                    <w:pStyle w:val="Compact"/>
                    <w:jc w:val="center"/>
                  </w:pPr>
                  <w:r>
                    <w:t xml:space="preserve">nrCE-SDS</w:t>
                  </w:r>
                </w:p>
              </w:tc>
            </w:tr>
            <w:tr>
              <w:tc>
                <w:tcPr>
                  <w:vMerge w:val="restart"/>
                </w:tcPr>
                <w:p>
                  <w:pPr>
                    <w:pStyle w:val="Compact"/>
                    <w:jc w:val="center"/>
                  </w:pPr>
                  <w:r>
                    <w:t xml:space="preserve">UF/DF</w:t>
                  </w:r>
                </w:p>
              </w:tc>
              <w:tc>
                <w:tcPr/>
                <w:p>
                  <w:pPr>
                    <w:pStyle w:val="Compact"/>
                    <w:jc w:val="center"/>
                  </w:pPr>
                  <w:r>
                    <w:t xml:space="preserve">Aggregates, HMW</w:t>
                  </w:r>
                </w:p>
              </w:tc>
              <w:tc>
                <w:tcPr>
                  <w:gridSpan w:val="2"/>
                </w:tcPr>
                <w:p>
                  <w:pPr>
                    <w:pStyle w:val="Compact"/>
                    <w:jc w:val="center"/>
                  </w:pPr>
                  <w:r>
                    <w:t xml:space="preserve">no DoE</w:t>
                  </w:r>
                  <w:r>
                    <w:rPr>
                      <w:vertAlign w:val="superscript"/>
                    </w:rPr>
                    <w:t xml:space="preserve">e)</w:t>
                  </w:r>
                </w:p>
              </w:tc>
            </w:tr>
            <w:tr>
              <w:tc>
                <w:tcPr>
                  <w:gridSpan w:val="1"/>
                  <w:vMerge w:val="continue"/>
                </w:tcPr>
                <w:p>
                  <w:pPr/>
                </w:p>
              </w:tc>
              <w:tc>
                <w:tcPr/>
                <w:p>
                  <w:pPr>
                    <w:pStyle w:val="Compact"/>
                    <w:jc w:val="center"/>
                  </w:pPr>
                  <w:r>
                    <w:t xml:space="preserve">Fragments, LMW</w:t>
                  </w:r>
                </w:p>
              </w:tc>
              <w:tc>
                <w:tcPr>
                  <w:gridSpan w:val="2"/>
                </w:tcPr>
                <w:p>
                  <w:pPr>
                    <w:pStyle w:val="Compact"/>
                    <w:jc w:val="center"/>
                  </w:pPr>
                  <w:r>
                    <w:t xml:space="preserve">no DoE</w:t>
                  </w:r>
                  <w:r>
                    <w:rPr>
                      <w:vertAlign w:val="superscript"/>
                    </w:rPr>
                    <w:t xml:space="preserve">e)</w:t>
                  </w:r>
                </w:p>
              </w:tc>
            </w:tr>
            <w:tr>
              <w:tc>
                <w:tcPr>
                  <w:gridSpan w:val="4"/>
                </w:tcPr>
                <w:p>
                  <w:pPr>
                    <w:pStyle w:val="Compact"/>
                    <w:jc w:val="center"/>
                  </w:pPr>
                  <w:r>
                    <w:rPr>
                      <w:vertAlign w:val="superscript"/>
                    </w:rPr>
                    <w:t xml:space="preserve">a)</w:t>
                  </w:r>
                  <w:r>
                    <w:t xml:space="preserve"> </w:t>
                  </w:r>
                  <w:r>
                    <w:t xml:space="preserve">In this matrix part of the host cell protein elutes in the SEC low molecular weight window. Reported for information only (AMD-001).</w:t>
                  </w:r>
                </w:p>
              </w:tc>
            </w:tr>
            <w:tr>
              <w:tc>
                <w:tcPr>
                  <w:gridSpan w:val="4"/>
                </w:tcPr>
                <w:p>
                  <w:pPr>
                    <w:pStyle w:val="Compact"/>
                    <w:jc w:val="center"/>
                  </w:pPr>
                  <w:r>
                    <w:rPr>
                      <w:vertAlign w:val="superscript"/>
                    </w:rPr>
                    <w:t xml:space="preserve">b)</w:t>
                  </w:r>
                  <w:r>
                    <w:t xml:space="preserve"> </w:t>
                  </w:r>
                  <w:r>
                    <w:t xml:space="preserve">Retained response-surface samples, tested 2026-04-06 to 2026-04-17.</w:t>
                  </w:r>
                </w:p>
              </w:tc>
            </w:tr>
            <w:tr>
              <w:tc>
                <w:tcPr>
                  <w:gridSpan w:val="4"/>
                </w:tcPr>
                <w:p>
                  <w:pPr>
                    <w:pStyle w:val="Compact"/>
                    <w:jc w:val="center"/>
                  </w:pPr>
                  <w:r>
                    <w:rPr>
                      <w:vertAlign w:val="superscript"/>
                    </w:rPr>
                    <w:t xml:space="preserve">c)</w:t>
                  </w:r>
                  <w:r>
                    <w:t xml:space="preserve"> </w:t>
                  </w:r>
                  <w:r>
                    <w:t xml:space="preserve">Both methods on the same samples, the comparability study S-CEX-FRC.</w:t>
                  </w:r>
                </w:p>
              </w:tc>
            </w:tr>
            <w:tr>
              <w:tc>
                <w:tcPr>
                  <w:gridSpan w:val="4"/>
                </w:tcPr>
                <w:p>
                  <w:pPr>
                    <w:pStyle w:val="Compact"/>
                    <w:jc w:val="center"/>
                  </w:pPr>
                  <w:r>
                    <w:rPr>
                      <w:vertAlign w:val="superscript"/>
                    </w:rPr>
                    <w:t xml:space="preserve">d)</w:t>
                  </w:r>
                  <w:r>
                    <w:t xml:space="preserve"> </w:t>
                  </w:r>
                  <w:r>
                    <w:t xml:space="preserve">Re-executed design (DEV-008-01). The invalidated first execution measured fragments by SEC.</w:t>
                  </w:r>
                </w:p>
              </w:tc>
            </w:tr>
            <w:tr>
              <w:tc>
                <w:tcPr>
                  <w:gridSpan w:val="4"/>
                </w:tcPr>
                <w:p>
                  <w:pPr>
                    <w:pStyle w:val="Compact"/>
                    <w:jc w:val="center"/>
                  </w:pPr>
                  <w:r>
                    <w:rPr>
                      <w:vertAlign w:val="superscript"/>
                    </w:rPr>
                    <w:t xml:space="preserve">e)</w:t>
                  </w:r>
                  <w:r>
                    <w:t xml:space="preserve"> </w:t>
                  </w:r>
                  <w:r>
                    <w:t xml:space="preserve">Univariate characterization only.</w:t>
                  </w:r>
                </w:p>
              </w:tc>
            </w:tr>
            <w:tr>
              <w:tc>
                <w:tcPr>
                  <w:gridSpan w:val="4"/>
                </w:tcPr>
                <w:p>
                  <w:pPr>
                    <w:pStyle w:val="Compact"/>
                    <w:jc w:val="center"/>
                  </w:pPr>
                  <w:r>
                    <w:rPr>
                      <w:vertAlign w:val="superscript"/>
                    </w:rPr>
                    <w:t xml:space="preserve">f)</w:t>
                  </w:r>
                  <w:r>
                    <w:t xml:space="preserve"> </w:t>
                  </w:r>
                  <w:r>
                    <w:t xml:space="preserve">Fragments were not an attribute of this study.</w:t>
                  </w:r>
                </w:p>
              </w:tc>
            </w:tr>
          </w:tbl>
          <w:bookmarkEnd w:id="44"/>
          <w:p/>
        </w:tc>
      </w:tr>
    </w:tbl>
    <w:p>
      <w:pPr>
        <w:pStyle w:val="BodyText"/>
      </w:pPr>
      <w:r>
        <w:t xml:space="preserve">The decision and the retests predate Version 1.0. However, the Version 1.0 documents did not report fragments, their register carried no fragment attribute, and none of them cited AMD-001. No procedure required that a method decision taken during a campaign be assessed against the approved plans and, where it changed them, be put into effect by a plan amendment. AMD-001 therefore never reached the documents.</w:t>
      </w:r>
    </w:p>
    <w:bookmarkEnd w:id="45"/>
    <w:bookmarkEnd w:id="46"/>
    <w:bookmarkStart w:id="47" w:name="root-cause"/>
    <w:p>
      <w:pPr>
        <w:pStyle w:val="Heading1"/>
      </w:pPr>
      <w:r>
        <w:t xml:space="preserve">5. Root cause</w:t>
      </w:r>
    </w:p>
    <w:p>
      <w:pPr>
        <w:pStyle w:val="FirstParagraph"/>
      </w:pPr>
      <w:r>
        <w:t xml:space="preserve">The root cause is that PCMP-001 Version 1.0 required a criterion for each step but gave no rule for deriving one (F1). When the Protein A analysis showed that an intermediate cannot be judged against a drug-substance criterion, the criteria were derived during the analysis, by the people analysing the data, with the results in view. Every rule they chose drew on data from the studies being judged (§3.3).</w:t>
      </w:r>
    </w:p>
    <w:p>
      <w:pPr>
        <w:pStyle w:val="BodyText"/>
      </w:pPr>
      <w:r>
        <w:t xml:space="preserve">Four causes contributed.</w:t>
      </w:r>
    </w:p>
    <w:p>
      <w:pPr>
        <w:pStyle w:val="Compact"/>
        <w:numPr>
          <w:ilvl w:val="0"/>
          <w:numId w:val="1003"/>
        </w:numPr>
      </w:pPr>
      <w:r>
        <w:t xml:space="preserve">SOP-1002 did not require that the acceptance criteria and their basis be approved in the protocol before execution. Criteria set after execution could therefore be added to the plan text when the package was compiled, without a revision of the approved plan (F1).</w:t>
      </w:r>
    </w:p>
    <w:p>
      <w:pPr>
        <w:pStyle w:val="Compact"/>
        <w:numPr>
          <w:ilvl w:val="0"/>
          <w:numId w:val="1003"/>
        </w:numPr>
      </w:pPr>
      <w:r>
        <w:t xml:space="preserve">Neither the plans nor the master plan defined the downstream performance that a step criterion protects against. A safety factor was used in place of a worst case, and its size was set step by step (F2). Capability data were used where no downstream step changes the attribute (F3).</w:t>
      </w:r>
    </w:p>
    <w:p>
      <w:pPr>
        <w:pStyle w:val="Compact"/>
        <w:numPr>
          <w:ilvl w:val="0"/>
          <w:numId w:val="1003"/>
        </w:numPr>
      </w:pPr>
      <w:r>
        <w:t xml:space="preserve">No second review checked the specification type used in the capability calculation against the register (F4), or the dates in the title blocks and study records against the approval and equipment records (F5).</w:t>
      </w:r>
    </w:p>
    <w:p>
      <w:pPr>
        <w:pStyle w:val="Compact"/>
        <w:numPr>
          <w:ilvl w:val="0"/>
          <w:numId w:val="1003"/>
        </w:numPr>
      </w:pPr>
      <w:r>
        <w:t xml:space="preserve">No procedure required that a method decision be assessed against the approved plans and put into effect by plan amendment (F6).</w:t>
      </w:r>
    </w:p>
    <w:bookmarkEnd w:id="47"/>
    <w:bookmarkStart w:id="59" w:name="impact-assessment"/>
    <w:p>
      <w:pPr>
        <w:pStyle w:val="Heading1"/>
      </w:pPr>
      <w:r>
        <w:t xml:space="preserve">6. Impact assessment</w:t>
      </w:r>
    </w:p>
    <w:bookmarkStart w:id="49" w:name="the-version-2.0-criteria"/>
    <w:p>
      <w:pPr>
        <w:pStyle w:val="Heading2"/>
      </w:pPr>
      <w:r>
        <w:t xml:space="preserve">6.1 The Version 2.0 criteria</w:t>
      </w:r>
    </w:p>
    <w:p>
      <w:pPr>
        <w:pStyle w:val="FirstParagraph"/>
      </w:pPr>
      <w:r>
        <w:t xml:space="preserve">The intermediate acceptance criteria were derived a priori by the investigation, by one rule, and CA1 issues them in PCMP-001 Version 2.0. Each drug-substance criterion is carried backward through the train, using the worst case each downstream step showed on the platform (X-Mab, Y-Mab and Z-Mab). That is the lowest fold clearance and the largest increase. No margin is applied. The glycans keep their drug-substance criterion, because no downstream step changes them. Each viral clearance step is held to its platform claim, and the claims sum to the cumulative requirement, 16.72 against 16.7 log10 for XMuLV and 8.62 against 8.6 log10 for MVM.</w:t>
      </w:r>
    </w:p>
    <w:p>
      <w:pPr>
        <w:pStyle w:val="BodyText"/>
      </w:pPr>
      <w:hyperlink w:anchor="tbl-iac">
        <w:r>
          <w:rPr>
            <w:rStyle w:val="Hyperlink"/>
          </w:rPr>
          <w:t xml:space="preserve">Table 10</w:t>
        </w:r>
      </w:hyperlink>
      <w:r>
        <w:t xml:space="preserve"> </w:t>
      </w:r>
      <w:r>
        <w:t xml:space="preserve">gives the 21 criteria with their derivation. Of these, 8 are the drug-substance criterion applied directly, 8 are carried back through the platform worst case, and 5 are platform viral clearance claims.</w:t>
      </w:r>
    </w:p>
    <w:tbl>
      <w:tblPr>
        <w:tblStyle w:val="Table"/>
        <w:tblW w:type="pct" w:w="5000"/>
        <w:tblLayout w:type="fixed"/>
        <w:tblLook w:firstRow="0" w:lastRow="0" w:firstColumn="0" w:lastColumn="0" w:noHBand="0" w:noVBand="0" w:val="0000"/>
      </w:tblPr>
      <w:tblGrid>
        <w:gridCol w:w="7920"/>
      </w:tblGrid>
      <w:tr>
        <w:tc>
          <w:tcPr/>
          <w:bookmarkStart w:id="48" w:name="tbl-iac"/>
          <w:p>
            <w:pPr>
              <w:jc w:val="center"/>
            </w:pPr>
            <w:pPr>
              <w:jc w:val="start"/>
              <w:spacing w:before="200"/>
              <w:pStyle w:val="ImageCaption"/>
            </w:pPr>
            <w:r>
              <w:t xml:space="preserve">Table 10: Intermediate acceptance criteria and their derivation from the drug-substance criteria.</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Attribute</w:t>
                  </w:r>
                </w:p>
              </w:tc>
              <w:tc>
                <w:tcPr>
                  <w:vMerge w:val="restart"/>
                </w:tcPr>
                <w:p>
                  <w:pPr>
                    <w:pStyle w:val="Compact"/>
                    <w:jc w:val="center"/>
                  </w:pPr>
                  <w:r>
                    <w:t xml:space="preserve">Drug-substance criterion</w:t>
                  </w:r>
                </w:p>
              </w:tc>
              <w:tc>
                <w:tcPr>
                  <w:vMerge w:val="restart"/>
                </w:tcPr>
                <w:p>
                  <w:pPr>
                    <w:pStyle w:val="Compact"/>
                    <w:jc w:val="center"/>
                  </w:pPr>
                  <w:r>
                    <w:t xml:space="preserve">Step output</w:t>
                  </w:r>
                </w:p>
              </w:tc>
              <w:tc>
                <w:tcPr>
                  <w:gridSpan w:val="2"/>
                </w:tcPr>
                <w:p>
                  <w:pPr>
                    <w:pStyle w:val="Compact"/>
                    <w:jc w:val="center"/>
                  </w:pPr>
                  <w:r>
                    <w:t xml:space="preserve">Downstream worst case</w:t>
                  </w:r>
                </w:p>
              </w:tc>
              <w:tc>
                <w:tcPr>
                  <w:vMerge w:val="restart"/>
                </w:tcPr>
                <w:p>
                  <w:pPr>
                    <w:pStyle w:val="Compact"/>
                    <w:jc w:val="center"/>
                  </w:pPr>
                  <w:r>
                    <w:t xml:space="preserve">Intermediate acceptance criterion</w:t>
                  </w:r>
                </w:p>
              </w:tc>
              <w:tc>
                <w:tcPr>
                  <w:vMerge w:val="restart"/>
                </w:tcPr>
                <w:p>
                  <w:pPr>
                    <w:pStyle w:val="Compact"/>
                    <w:jc w:val="center"/>
                  </w:pPr>
                  <w:r>
                    <w:t xml:space="preserve">Basis</w:t>
                  </w:r>
                </w:p>
              </w:tc>
            </w:tr>
            <w:tr>
              <w:trPr>
                <w:tblHeader w:val="on"/>
              </w:trPr>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Clearance fold</w:t>
                  </w:r>
                </w:p>
              </w:tc>
              <w:tc>
                <w:tcPr/>
                <w:p>
                  <w:pPr>
                    <w:pStyle w:val="Compact"/>
                    <w:jc w:val="center"/>
                  </w:pPr>
                  <w:r>
                    <w:t xml:space="preserve">Increase</w:t>
                  </w:r>
                </w:p>
              </w:tc>
              <w:tc>
                <w:tcPr>
                  <w:gridSpan w:val="1"/>
                  <w:vMerge w:val="continue"/>
                </w:tcPr>
                <w:p>
                  <w:pPr/>
                </w:p>
              </w:tc>
              <w:tc>
                <w:tcPr>
                  <w:gridSpan w:val="1"/>
                  <w:vMerge w:val="continue"/>
                </w:tcPr>
                <w:p>
                  <w:pPr/>
                </w:p>
              </w:tc>
            </w:tr>
            <w:tr>
              <w:tc>
                <w:tcPr>
                  <w:vMerge w:val="restart"/>
                </w:tcPr>
                <w:p>
                  <w:pPr>
                    <w:pStyle w:val="Compact"/>
                    <w:jc w:val="center"/>
                  </w:pPr>
                  <w:r>
                    <w:t xml:space="preserve">Host cell protein (ng/mg)</w:t>
                  </w:r>
                </w:p>
              </w:tc>
              <w:tc>
                <w:tcPr>
                  <w:vMerge w:val="restart"/>
                </w:tcPr>
                <w:p>
                  <w:pPr>
                    <w:pStyle w:val="Compact"/>
                    <w:jc w:val="center"/>
                  </w:pPr>
                  <w:r>
                    <w:t xml:space="preserve">≤ 100</w:t>
                  </w:r>
                </w:p>
              </w:tc>
              <w:tc>
                <w:tcPr/>
                <w:p>
                  <w:pPr>
                    <w:pStyle w:val="Compact"/>
                    <w:jc w:val="center"/>
                  </w:pPr>
                  <w:r>
                    <w:t xml:space="preserve">Protein A</w:t>
                  </w:r>
                </w:p>
              </w:tc>
              <w:tc>
                <w:tcPr/>
                <w:p>
                  <w:pPr>
                    <w:pStyle w:val="Compact"/>
                    <w:jc w:val="center"/>
                  </w:pPr>
                  <w:r>
                    <w:t xml:space="preserve">160</w:t>
                  </w:r>
                </w:p>
              </w:tc>
              <w:tc>
                <w:tcPr/>
                <w:p>
                  <w:pPr>
                    <w:pStyle w:val="Compact"/>
                    <w:jc w:val="center"/>
                  </w:pPr>
                  <w:r>
                    <w:t xml:space="preserve">0.00</w:t>
                  </w:r>
                </w:p>
              </w:tc>
              <w:tc>
                <w:tcPr/>
                <w:p>
                  <w:pPr>
                    <w:pStyle w:val="Compact"/>
                    <w:jc w:val="center"/>
                  </w:pPr>
                  <w:r>
                    <w:t xml:space="preserve">≤ 16,000</w:t>
                  </w:r>
                </w:p>
              </w:tc>
              <w:tc>
                <w:tcPr/>
                <w:p>
                  <w:pPr>
                    <w:pStyle w:val="Compact"/>
                    <w:jc w:val="center"/>
                  </w:pPr>
                  <w:r>
                    <w:t xml:space="preserve">Back-calculated</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4.00</w:t>
                  </w:r>
                </w:p>
              </w:tc>
              <w:tc>
                <w:tcPr/>
                <w:p>
                  <w:pPr>
                    <w:pStyle w:val="Compact"/>
                    <w:jc w:val="center"/>
                  </w:pPr>
                  <w:r>
                    <w:t xml:space="preserve">0.00</w:t>
                  </w:r>
                </w:p>
              </w:tc>
              <w:tc>
                <w:tcPr/>
                <w:p>
                  <w:pPr>
                    <w:pStyle w:val="Compact"/>
                    <w:jc w:val="center"/>
                  </w:pPr>
                  <w:r>
                    <w:t xml:space="preserve">≤ 400</w:t>
                  </w:r>
                </w:p>
              </w:tc>
              <w:tc>
                <w:tcPr/>
                <w:p>
                  <w:pPr>
                    <w:pStyle w:val="Compact"/>
                    <w:jc w:val="center"/>
                  </w:pPr>
                  <w:r>
                    <w:t xml:space="preserve">Back-calculated</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100</w:t>
                  </w:r>
                </w:p>
              </w:tc>
              <w:tc>
                <w:tcPr/>
                <w:p>
                  <w:pPr>
                    <w:pStyle w:val="Compact"/>
                    <w:jc w:val="center"/>
                  </w:pPr>
                  <w:r>
                    <w:t xml:space="preserve">Drug substance</w:t>
                  </w:r>
                  <w:r>
                    <w:rPr>
                      <w:vertAlign w:val="superscript"/>
                    </w:rPr>
                    <w:t xml:space="preserve">a)</w:t>
                  </w:r>
                </w:p>
              </w:tc>
            </w:tr>
            <w:tr>
              <w:tc>
                <w:tcPr>
                  <w:vMerge w:val="restart"/>
                </w:tcPr>
                <w:p>
                  <w:pPr>
                    <w:pStyle w:val="Compact"/>
                    <w:jc w:val="center"/>
                  </w:pPr>
                  <w:r>
                    <w:t xml:space="preserve">Aggregates, HMW (%)</w:t>
                  </w:r>
                </w:p>
              </w:tc>
              <w:tc>
                <w:tcPr>
                  <w:vMerge w:val="restart"/>
                </w:tcPr>
                <w:p>
                  <w:pPr>
                    <w:pStyle w:val="Compact"/>
                    <w:jc w:val="center"/>
                  </w:pPr>
                  <w:r>
                    <w:t xml:space="preserve">≤ 5.00</w:t>
                  </w:r>
                </w:p>
              </w:tc>
              <w:tc>
                <w:tcPr/>
                <w:p>
                  <w:pPr>
                    <w:pStyle w:val="Compact"/>
                    <w:jc w:val="center"/>
                  </w:pPr>
                  <w:r>
                    <w:t xml:space="preserve">Production bioreactor</w:t>
                  </w:r>
                </w:p>
              </w:tc>
              <w:tc>
                <w:tcPr/>
                <w:p>
                  <w:pPr>
                    <w:pStyle w:val="Compact"/>
                    <w:jc w:val="center"/>
                  </w:pPr>
                  <w:r>
                    <w:t xml:space="preserve">1.51</w:t>
                  </w:r>
                </w:p>
              </w:tc>
              <w:tc>
                <w:tcPr/>
                <w:p>
                  <w:pPr>
                    <w:pStyle w:val="Compact"/>
                    <w:jc w:val="center"/>
                  </w:pPr>
                  <w:r>
                    <w:t xml:space="preserve">0.70</w:t>
                  </w:r>
                </w:p>
              </w:tc>
              <w:tc>
                <w:tcPr/>
                <w:p>
                  <w:pPr>
                    <w:pStyle w:val="Compact"/>
                    <w:jc w:val="center"/>
                  </w:pPr>
                  <w:r>
                    <w:t xml:space="preserve">≤ 6.83</w:t>
                  </w:r>
                </w:p>
              </w:tc>
              <w:tc>
                <w:tcPr/>
                <w:p>
                  <w:pPr>
                    <w:pStyle w:val="Compact"/>
                    <w:jc w:val="center"/>
                  </w:pPr>
                  <w:r>
                    <w:t xml:space="preserve">Back-calculated, tightened</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1.51</w:t>
                  </w:r>
                </w:p>
              </w:tc>
              <w:tc>
                <w:tcPr/>
                <w:p>
                  <w:pPr>
                    <w:pStyle w:val="Compact"/>
                    <w:jc w:val="center"/>
                  </w:pPr>
                  <w:r>
                    <w:t xml:space="preserve">0.00</w:t>
                  </w:r>
                </w:p>
              </w:tc>
              <w:tc>
                <w:tcPr/>
                <w:p>
                  <w:pPr>
                    <w:pStyle w:val="Compact"/>
                    <w:jc w:val="center"/>
                  </w:pPr>
                  <w:r>
                    <w:t xml:space="preserve">≤ 7.53</w:t>
                  </w:r>
                </w:p>
              </w:tc>
              <w:tc>
                <w:tcPr/>
                <w:p>
                  <w:pPr>
                    <w:pStyle w:val="Compact"/>
                    <w:jc w:val="center"/>
                  </w:pPr>
                  <w:r>
                    <w:t xml:space="preserve">Back-calculated, tightened</w:t>
                  </w:r>
                  <w:r>
                    <w:rPr>
                      <w:vertAlign w:val="superscript"/>
                    </w:rPr>
                    <w:t xml:space="preserve">b)</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5.00</w:t>
                  </w:r>
                </w:p>
              </w:tc>
              <w:tc>
                <w:tcPr/>
                <w:p>
                  <w:pPr>
                    <w:pStyle w:val="Compact"/>
                    <w:jc w:val="center"/>
                  </w:pPr>
                  <w:r>
                    <w:t xml:space="preserve">Drug substance</w:t>
                  </w:r>
                  <w:r>
                    <w:rPr>
                      <w:vertAlign w:val="superscript"/>
                    </w:rPr>
                    <w:t xml:space="preserve">a)</w:t>
                  </w:r>
                </w:p>
              </w:tc>
            </w:tr>
            <w:tr>
              <w:tc>
                <w:tcPr>
                  <w:vMerge w:val="restart"/>
                </w:tcPr>
                <w:p>
                  <w:pPr>
                    <w:pStyle w:val="Compact"/>
                    <w:jc w:val="center"/>
                  </w:pPr>
                  <w:r>
                    <w:t xml:space="preserve">Fragments, LMW (%)</w:t>
                  </w:r>
                </w:p>
              </w:tc>
              <w:tc>
                <w:tcPr>
                  <w:vMerge w:val="restart"/>
                </w:tcPr>
                <w:p>
                  <w:pPr>
                    <w:pStyle w:val="Compact"/>
                    <w:jc w:val="center"/>
                  </w:pPr>
                  <w:r>
                    <w:t xml:space="preserve">≤ 2.00</w:t>
                  </w:r>
                </w:p>
              </w:tc>
              <w:tc>
                <w:tcPr/>
                <w:p>
                  <w:pPr>
                    <w:pStyle w:val="Compact"/>
                    <w:jc w:val="center"/>
                  </w:pPr>
                  <w:r>
                    <w:t xml:space="preserve">Protein A</w:t>
                  </w:r>
                </w:p>
              </w:tc>
              <w:tc>
                <w:tcPr/>
                <w:p>
                  <w:pPr>
                    <w:pStyle w:val="Compact"/>
                    <w:jc w:val="center"/>
                  </w:pPr>
                  <w:r>
                    <w:t xml:space="preserve">1.30</w:t>
                  </w:r>
                </w:p>
              </w:tc>
              <w:tc>
                <w:tcPr/>
                <w:p>
                  <w:pPr>
                    <w:pStyle w:val="Compact"/>
                    <w:jc w:val="center"/>
                  </w:pPr>
                  <w:r>
                    <w:t xml:space="preserve">0.15</w:t>
                  </w:r>
                </w:p>
              </w:tc>
              <w:tc>
                <w:tcPr/>
                <w:p>
                  <w:pPr>
                    <w:pStyle w:val="Compact"/>
                    <w:jc w:val="center"/>
                  </w:pPr>
                  <w:r>
                    <w:t xml:space="preserve">≤ 2.45</w:t>
                  </w:r>
                </w:p>
              </w:tc>
              <w:tc>
                <w:tcPr/>
                <w:p>
                  <w:pPr>
                    <w:pStyle w:val="Compact"/>
                    <w:jc w:val="center"/>
                  </w:pPr>
                  <w:r>
                    <w:t xml:space="preserve">Back-calculated</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1.30</w:t>
                  </w:r>
                </w:p>
              </w:tc>
              <w:tc>
                <w:tcPr/>
                <w:p>
                  <w:pPr>
                    <w:pStyle w:val="Compact"/>
                    <w:jc w:val="center"/>
                  </w:pPr>
                  <w:r>
                    <w:t xml:space="preserve">0.00</w:t>
                  </w:r>
                </w:p>
              </w:tc>
              <w:tc>
                <w:tcPr/>
                <w:p>
                  <w:pPr>
                    <w:pStyle w:val="Compact"/>
                    <w:jc w:val="center"/>
                  </w:pPr>
                  <w:r>
                    <w:t xml:space="preserve">≤ 2.60</w:t>
                  </w:r>
                </w:p>
              </w:tc>
              <w:tc>
                <w:tcPr/>
                <w:p>
                  <w:pPr>
                    <w:pStyle w:val="Compact"/>
                    <w:jc w:val="center"/>
                  </w:pPr>
                  <w:r>
                    <w:t xml:space="preserve">Back-calculated</w:t>
                  </w:r>
                </w:p>
              </w:tc>
            </w:tr>
            <w:tr>
              <w:tc>
                <w:tcPr>
                  <w:gridSpan w:val="1"/>
                  <w:vMerge w:val="continue"/>
                </w:tcPr>
                <w:p>
                  <w:pPr/>
                </w:p>
              </w:tc>
              <w:tc>
                <w:tcPr>
                  <w:gridSpan w:val="1"/>
                  <w:vMerge w:val="continue"/>
                </w:tcPr>
                <w:p>
                  <w:pPr/>
                </w:p>
              </w:tc>
              <w:tc>
                <w:tcPr/>
                <w:p>
                  <w:pPr>
                    <w:pStyle w:val="Compact"/>
                    <w:jc w:val="center"/>
                  </w:pPr>
                  <w:r>
                    <w:t xml:space="preserve">Cation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Drug substance</w:t>
                  </w:r>
                  <w:r>
                    <w:rPr>
                      <w:vertAlign w:val="superscript"/>
                    </w:rPr>
                    <w:t xml:space="preserve">a)</w:t>
                  </w:r>
                </w:p>
              </w:tc>
            </w:tr>
            <w:tr>
              <w:tc>
                <w:tcPr>
                  <w:gridSpan w:val="1"/>
                  <w:vMerge w:val="continue"/>
                </w:tcPr>
                <w:p>
                  <w:pPr/>
                </w:p>
              </w:tc>
              <w:tc>
                <w:tcPr>
                  <w:gridSpan w:val="1"/>
                  <w:vMerge w:val="continue"/>
                </w:tcPr>
                <w:p>
                  <w:pPr/>
                </w:p>
              </w:tc>
              <w:tc>
                <w:tcPr/>
                <w:p>
                  <w:pPr>
                    <w:pStyle w:val="Compact"/>
                    <w:jc w:val="center"/>
                  </w:pPr>
                  <w:r>
                    <w:t xml:space="preserve">Anion exchange</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 2.00</w:t>
                  </w:r>
                </w:p>
              </w:tc>
              <w:tc>
                <w:tcPr/>
                <w:p>
                  <w:pPr>
                    <w:pStyle w:val="Compact"/>
                    <w:jc w:val="center"/>
                  </w:pPr>
                  <w:r>
                    <w:t xml:space="preserve">Drug substance</w:t>
                  </w:r>
                  <w:r>
                    <w:rPr>
                      <w:vertAlign w:val="superscript"/>
                    </w:rPr>
                    <w:t xml:space="preserve">a)</w:t>
                  </w:r>
                </w:p>
              </w:tc>
            </w:tr>
            <w:tr>
              <w:tc>
                <w:tcPr/>
                <w:p>
                  <w:pPr>
                    <w:pStyle w:val="Compact"/>
                    <w:jc w:val="center"/>
                  </w:pPr>
                  <w:r>
                    <w:t xml:space="preserve">Leached Protein A (ppm)</w:t>
                  </w:r>
                </w:p>
              </w:tc>
              <w:tc>
                <w:tcPr/>
                <w:p>
                  <w:pPr>
                    <w:pStyle w:val="Compact"/>
                    <w:jc w:val="center"/>
                  </w:pPr>
                  <w:r>
                    <w:t xml:space="preserve">≤ 5.00</w:t>
                  </w:r>
                </w:p>
              </w:tc>
              <w:tc>
                <w:tcPr/>
                <w:p>
                  <w:pPr>
                    <w:pStyle w:val="Compact"/>
                    <w:jc w:val="center"/>
                  </w:pPr>
                  <w:r>
                    <w:t xml:space="preserve">Protein A</w:t>
                  </w:r>
                </w:p>
              </w:tc>
              <w:tc>
                <w:tcPr/>
                <w:p>
                  <w:pPr>
                    <w:pStyle w:val="Compact"/>
                    <w:jc w:val="center"/>
                  </w:pPr>
                  <w:r>
                    <w:t xml:space="preserve">31.6</w:t>
                  </w:r>
                </w:p>
              </w:tc>
              <w:tc>
                <w:tcPr/>
                <w:p>
                  <w:pPr>
                    <w:pStyle w:val="Compact"/>
                    <w:jc w:val="center"/>
                  </w:pPr>
                  <w:r>
                    <w:t xml:space="preserve">0.00</w:t>
                  </w:r>
                </w:p>
              </w:tc>
              <w:tc>
                <w:tcPr/>
                <w:p>
                  <w:pPr>
                    <w:pStyle w:val="Compact"/>
                    <w:jc w:val="center"/>
                  </w:pPr>
                  <w:r>
                    <w:t xml:space="preserve">≤ 158</w:t>
                  </w:r>
                </w:p>
              </w:tc>
              <w:tc>
                <w:tcPr/>
                <w:p>
                  <w:pPr>
                    <w:pStyle w:val="Compact"/>
                    <w:jc w:val="center"/>
                  </w:pPr>
                  <w:r>
                    <w:t xml:space="preserve">Back-calculated</w:t>
                  </w:r>
                </w:p>
              </w:tc>
            </w:tr>
            <w:tr>
              <w:tc>
                <w:tcPr>
                  <w:vMerge w:val="restart"/>
                </w:tcPr>
                <w:p>
                  <w:pPr>
                    <w:pStyle w:val="Compact"/>
                    <w:jc w:val="center"/>
                  </w:pPr>
                  <w:r>
                    <w:t xml:space="preserve">Acidic variants (%)</w:t>
                  </w:r>
                </w:p>
              </w:tc>
              <w:tc>
                <w:tcPr>
                  <w:vMerge w:val="restart"/>
                </w:tcPr>
                <w:p>
                  <w:pPr>
                    <w:pStyle w:val="Compact"/>
                    <w:jc w:val="center"/>
                  </w:pPr>
                  <w:r>
                    <w:t xml:space="preserve">18.0–40.0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18.0–39.0</w:t>
                  </w:r>
                </w:p>
              </w:tc>
              <w:tc>
                <w:tcPr/>
                <w:p>
                  <w:pPr>
                    <w:pStyle w:val="Compact"/>
                    <w:jc w:val="center"/>
                  </w:pPr>
                  <w:r>
                    <w:t xml:space="preserve">Back-calculated</w:t>
                  </w:r>
                </w:p>
              </w:tc>
            </w:tr>
            <w:tr>
              <w:tc>
                <w:tcPr>
                  <w:gridSpan w:val="1"/>
                  <w:vMerge w:val="continue"/>
                </w:tcPr>
                <w:p>
                  <w:pPr/>
                </w:p>
              </w:tc>
              <w:tc>
                <w:tcPr>
                  <w:gridSpan w:val="1"/>
                  <w:vMerge w:val="continue"/>
                </w:tcPr>
                <w:p>
                  <w:pPr/>
                </w:p>
              </w:tc>
              <w:tc>
                <w:tcPr/>
                <w:p>
                  <w:pPr>
                    <w:pStyle w:val="Compact"/>
                    <w:jc w:val="center"/>
                  </w:pPr>
                  <w:r>
                    <w:t xml:space="preserve">Low-pH viral inactivation</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18.0–40.0</w:t>
                  </w:r>
                </w:p>
              </w:tc>
              <w:tc>
                <w:tcPr/>
                <w:p>
                  <w:pPr>
                    <w:pStyle w:val="Compact"/>
                    <w:jc w:val="center"/>
                  </w:pPr>
                  <w:r>
                    <w:t xml:space="preserve">Drug substance</w:t>
                  </w:r>
                  <w:r>
                    <w:rPr>
                      <w:vertAlign w:val="superscript"/>
                    </w:rPr>
                    <w:t xml:space="preserve">a)</w:t>
                  </w:r>
                </w:p>
              </w:tc>
            </w:tr>
            <w:tr>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2.00–13.0</w:t>
                  </w:r>
                </w:p>
              </w:tc>
              <w:tc>
                <w:tcPr/>
                <w:p>
                  <w:pPr>
                    <w:pStyle w:val="Compact"/>
                    <w:jc w:val="center"/>
                  </w:pPr>
                  <w:r>
                    <w:t xml:space="preserve">Drug substance</w:t>
                  </w:r>
                  <w:r>
                    <w:rPr>
                      <w:vertAlign w:val="superscript"/>
                    </w:rPr>
                    <w:t xml:space="preserve">a)</w:t>
                  </w:r>
                </w:p>
              </w:tc>
            </w:tr>
            <w:tr>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10.0–40.0</w:t>
                  </w:r>
                </w:p>
              </w:tc>
              <w:tc>
                <w:tcPr/>
                <w:p>
                  <w:pPr>
                    <w:pStyle w:val="Compact"/>
                    <w:jc w:val="center"/>
                  </w:pPr>
                  <w:r>
                    <w:t xml:space="preserve">Drug substance</w:t>
                  </w:r>
                  <w:r>
                    <w:rPr>
                      <w:vertAlign w:val="superscript"/>
                    </w:rPr>
                    <w:t xml:space="preserve">a)</w:t>
                  </w:r>
                </w:p>
              </w:tc>
            </w:tr>
            <w:tr>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Production bioreactor</w:t>
                  </w:r>
                </w:p>
              </w:tc>
              <w:tc>
                <w:tcPr/>
                <w:p>
                  <w:pPr>
                    <w:pStyle w:val="Compact"/>
                    <w:jc w:val="center"/>
                  </w:pPr>
                  <w:r>
                    <w:t xml:space="preserve">1.00</w:t>
                  </w:r>
                </w:p>
              </w:tc>
              <w:tc>
                <w:tcPr/>
                <w:p>
                  <w:pPr>
                    <w:pStyle w:val="Compact"/>
                    <w:jc w:val="center"/>
                  </w:pPr>
                  <w:r>
                    <w:t xml:space="preserve">0.00</w:t>
                  </w:r>
                </w:p>
              </w:tc>
              <w:tc>
                <w:tcPr/>
                <w:p>
                  <w:pPr>
                    <w:pStyle w:val="Compact"/>
                    <w:jc w:val="center"/>
                  </w:pPr>
                  <w:r>
                    <w:t xml:space="preserve">3.00–10.0</w:t>
                  </w:r>
                </w:p>
              </w:tc>
              <w:tc>
                <w:tcPr/>
                <w:p>
                  <w:pPr>
                    <w:pStyle w:val="Compact"/>
                    <w:jc w:val="center"/>
                  </w:pPr>
                  <w:r>
                    <w:t xml:space="preserve">Drug substance</w:t>
                  </w:r>
                  <w:r>
                    <w:rPr>
                      <w:vertAlign w:val="superscript"/>
                    </w:rPr>
                    <w:t xml:space="preserve">a)</w:t>
                  </w:r>
                </w:p>
              </w:tc>
            </w:tr>
            <w:tr>
              <w:tc>
                <w:tcPr>
                  <w:vMerge w:val="restart"/>
                </w:tcPr>
                <w:p>
                  <w:pPr>
                    <w:pStyle w:val="Compact"/>
                    <w:jc w:val="center"/>
                  </w:pPr>
                  <w:r>
                    <w:t xml:space="preserve">XMuLV clearance (log10)</w:t>
                  </w:r>
                </w:p>
              </w:tc>
              <w:tc>
                <w:tcPr>
                  <w:vMerge w:val="restart"/>
                </w:tcPr>
                <w:p>
                  <w:pPr>
                    <w:pStyle w:val="Compact"/>
                    <w:jc w:val="center"/>
                  </w:pPr>
                  <w:r>
                    <w:t xml:space="preserve">≥ 16.7</w:t>
                  </w:r>
                  <w:r>
                    <w:rPr>
                      <w:vertAlign w:val="superscript"/>
                    </w:rPr>
                    <w:t xml:space="preserve">d)</w:t>
                  </w:r>
                </w:p>
              </w:tc>
              <w:tc>
                <w:tcPr/>
                <w:p>
                  <w:pPr>
                    <w:pStyle w:val="Compact"/>
                    <w:jc w:val="center"/>
                  </w:pPr>
                  <w:r>
                    <w:t xml:space="preserve">Low-pH viral inactivation</w:t>
                  </w:r>
                </w:p>
              </w:tc>
              <w:tc>
                <w:tcPr>
                  <w:gridSpan w:val="2"/>
                </w:tcPr>
                <w:p>
                  <w:pPr>
                    <w:pStyle w:val="Compact"/>
                    <w:jc w:val="center"/>
                  </w:pPr>
                  <w:r>
                    <w:t xml:space="preserve">not applicable</w:t>
                  </w:r>
                </w:p>
              </w:tc>
              <w:tc>
                <w:tcPr/>
                <w:p>
                  <w:pPr>
                    <w:pStyle w:val="Compact"/>
                    <w:jc w:val="center"/>
                  </w:pPr>
                  <w:r>
                    <w:t xml:space="preserve">≥ 6.60</w:t>
                  </w:r>
                </w:p>
              </w:tc>
              <w:tc>
                <w:tcPr/>
                <w:p>
                  <w:pPr>
                    <w:pStyle w:val="Compact"/>
                    <w:jc w:val="center"/>
                  </w:pPr>
                  <w:r>
                    <w:t xml:space="preserve">Platform claim</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5.50</w:t>
                  </w:r>
                </w:p>
              </w:tc>
              <w:tc>
                <w:tcPr/>
                <w:p>
                  <w:pPr>
                    <w:pStyle w:val="Compact"/>
                    <w:jc w:val="center"/>
                  </w:pPr>
                  <w:r>
                    <w:t xml:space="preserve">Platform claim</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c)</w:t>
                  </w:r>
                </w:p>
              </w:tc>
            </w:tr>
            <w:tr>
              <w:tc>
                <w:tcPr>
                  <w:vMerge w:val="restart"/>
                </w:tcPr>
                <w:p>
                  <w:pPr>
                    <w:pStyle w:val="Compact"/>
                    <w:jc w:val="center"/>
                  </w:pPr>
                  <w:r>
                    <w:t xml:space="preserve">MVM clearance (log10)</w:t>
                  </w:r>
                </w:p>
              </w:tc>
              <w:tc>
                <w:tcPr>
                  <w:vMerge w:val="restart"/>
                </w:tcPr>
                <w:p>
                  <w:pPr>
                    <w:pStyle w:val="Compact"/>
                    <w:jc w:val="center"/>
                  </w:pPr>
                  <w:r>
                    <w:t xml:space="preserve">≥ 8.60</w:t>
                  </w:r>
                  <w:r>
                    <w:rPr>
                      <w:vertAlign w:val="superscript"/>
                    </w:rPr>
                    <w:t xml:space="preserve">d)</w:t>
                  </w:r>
                </w:p>
              </w:tc>
              <w:tc>
                <w:tcPr/>
                <w:p>
                  <w:pPr>
                    <w:pStyle w:val="Compact"/>
                    <w:jc w:val="center"/>
                  </w:pPr>
                  <w:r>
                    <w:t xml:space="preserve">Anion exchange</w:t>
                  </w:r>
                </w:p>
              </w:tc>
              <w:tc>
                <w:tcPr>
                  <w:gridSpan w:val="2"/>
                </w:tcPr>
                <w:p>
                  <w:pPr>
                    <w:pStyle w:val="Compact"/>
                    <w:jc w:val="center"/>
                  </w:pPr>
                  <w:r>
                    <w:t xml:space="preserve">not applicable</w:t>
                  </w:r>
                </w:p>
              </w:tc>
              <w:tc>
                <w:tcPr/>
                <w:p>
                  <w:pPr>
                    <w:pStyle w:val="Compact"/>
                    <w:jc w:val="center"/>
                  </w:pPr>
                  <w:r>
                    <w:t xml:space="preserve">≥ 4.00</w:t>
                  </w:r>
                </w:p>
              </w:tc>
              <w:tc>
                <w:tcPr/>
                <w:p>
                  <w:pPr>
                    <w:pStyle w:val="Compact"/>
                    <w:jc w:val="center"/>
                  </w:pPr>
                  <w:r>
                    <w:t xml:space="preserve">Platform claim</w:t>
                  </w:r>
                  <w:r>
                    <w:rPr>
                      <w:vertAlign w:val="superscript"/>
                    </w:rPr>
                    <w:t xml:space="preserve">c)</w:t>
                  </w:r>
                </w:p>
              </w:tc>
            </w:tr>
            <w:tr>
              <w:tc>
                <w:tcPr>
                  <w:gridSpan w:val="1"/>
                  <w:vMerge w:val="continue"/>
                </w:tcPr>
                <w:p>
                  <w:pPr/>
                </w:p>
              </w:tc>
              <w:tc>
                <w:tcPr>
                  <w:gridSpan w:val="1"/>
                  <w:vMerge w:val="continue"/>
                </w:tcPr>
                <w:p>
                  <w:pPr/>
                </w:p>
              </w:tc>
              <w:tc>
                <w:tcPr/>
                <w:p>
                  <w:pPr>
                    <w:pStyle w:val="Compact"/>
                    <w:jc w:val="center"/>
                  </w:pPr>
                  <w:r>
                    <w:t xml:space="preserve">Virus filtration</w:t>
                  </w:r>
                </w:p>
              </w:tc>
              <w:tc>
                <w:tcPr>
                  <w:gridSpan w:val="2"/>
                </w:tcPr>
                <w:p>
                  <w:pPr>
                    <w:pStyle w:val="Compact"/>
                    <w:jc w:val="center"/>
                  </w:pPr>
                  <w:r>
                    <w:t xml:space="preserve">not applicable</w:t>
                  </w:r>
                </w:p>
              </w:tc>
              <w:tc>
                <w:tcPr/>
                <w:p>
                  <w:pPr>
                    <w:pStyle w:val="Compact"/>
                    <w:jc w:val="center"/>
                  </w:pPr>
                  <w:r>
                    <w:t xml:space="preserve">≥ 4.62</w:t>
                  </w:r>
                </w:p>
              </w:tc>
              <w:tc>
                <w:tcPr/>
                <w:p>
                  <w:pPr>
                    <w:pStyle w:val="Compact"/>
                    <w:jc w:val="center"/>
                  </w:pPr>
                  <w:r>
                    <w:t xml:space="preserve">Platform claim</w:t>
                  </w:r>
                  <w:r>
                    <w:rPr>
                      <w:vertAlign w:val="superscript"/>
                    </w:rPr>
                    <w:t xml:space="preserve">c)</w:t>
                  </w:r>
                </w:p>
              </w:tc>
            </w:tr>
            <w:tr>
              <w:tc>
                <w:tcPr>
                  <w:gridSpan w:val="7"/>
                </w:tcPr>
                <w:p>
                  <w:pPr>
                    <w:pStyle w:val="Compact"/>
                    <w:jc w:val="center"/>
                  </w:pPr>
                  <w:r>
                    <w:rPr>
                      <w:vertAlign w:val="superscript"/>
                    </w:rPr>
                    <w:t xml:space="preserve">a)</w:t>
                  </w:r>
                  <w:r>
                    <w:t xml:space="preserve"> </w:t>
                  </w:r>
                  <w:r>
                    <w:t xml:space="preserve">No downstream step changes the attribute, so the drug-substance criterion applies.</w:t>
                  </w:r>
                </w:p>
              </w:tc>
            </w:tr>
            <w:tr>
              <w:tc>
                <w:tcPr>
                  <w:gridSpan w:val="7"/>
                </w:tcPr>
                <w:p>
                  <w:pPr>
                    <w:pStyle w:val="Compact"/>
                    <w:jc w:val="center"/>
                  </w:pPr>
                  <w:r>
                    <w:rPr>
                      <w:vertAlign w:val="superscript"/>
                    </w:rPr>
                    <w:t xml:space="preserve">b)</w:t>
                  </w:r>
                  <w:r>
                    <w:t xml:space="preserve"> </w:t>
                  </w:r>
                  <w:r>
                    <w:t xml:space="preserve">The response-surface model of a downstream step predicted, within its NOR, a worse value than the platform worst case. The A-Mab value replaced it.</w:t>
                  </w:r>
                </w:p>
              </w:tc>
            </w:tr>
            <w:tr>
              <w:tc>
                <w:tcPr>
                  <w:gridSpan w:val="7"/>
                </w:tcPr>
                <w:p>
                  <w:pPr>
                    <w:pStyle w:val="Compact"/>
                    <w:jc w:val="center"/>
                  </w:pPr>
                  <w:r>
                    <w:rPr>
                      <w:vertAlign w:val="superscript"/>
                    </w:rPr>
                    <w:t xml:space="preserve">c)</w:t>
                  </w:r>
                  <w:r>
                    <w:t xml:space="preserve"> </w:t>
                  </w:r>
                  <w:r>
                    <w:t xml:space="preserve">Log reduction claimed for this step in the modular viral clearance claim.</w:t>
                  </w:r>
                </w:p>
              </w:tc>
            </w:tr>
            <w:tr>
              <w:tc>
                <w:tcPr>
                  <w:gridSpan w:val="7"/>
                </w:tcPr>
                <w:p>
                  <w:pPr>
                    <w:pStyle w:val="Compact"/>
                    <w:jc w:val="center"/>
                  </w:pPr>
                  <w:r>
                    <w:rPr>
                      <w:vertAlign w:val="superscript"/>
                    </w:rPr>
                    <w:t xml:space="preserve">d)</w:t>
                  </w:r>
                  <w:r>
                    <w:t xml:space="preserve"> </w:t>
                  </w:r>
                  <w:r>
                    <w:t xml:space="preserve">Cumulative requirement across the steps that clear the virus.</w:t>
                  </w:r>
                </w:p>
              </w:tc>
            </w:tr>
          </w:tbl>
          <w:bookmarkEnd w:id="48"/>
          <w:p/>
        </w:tc>
      </w:tr>
    </w:tbl>
    <w:p>
      <w:pPr>
        <w:pStyle w:val="BodyText"/>
      </w:pPr>
      <w:r>
        <w:t xml:space="preserve">Applying these criteria to studies already executed is acceptable because their derivation uses no data from those studies. The drug-substance criteria come from the register and the worst cases from the platform products.</w:t>
      </w:r>
    </w:p>
    <w:bookmarkEnd w:id="49"/>
    <w:bookmarkStart w:id="51" w:name="verification-of-the-platform-worst-cases"/>
    <w:p>
      <w:pPr>
        <w:pStyle w:val="Heading2"/>
      </w:pPr>
      <w:r>
        <w:t xml:space="preserve">6.2 Verification of the platform worst cases</w:t>
      </w:r>
    </w:p>
    <w:p>
      <w:pPr>
        <w:pStyle w:val="FirstParagraph"/>
      </w:pPr>
      <w:r>
        <w:t xml:space="preserve">The platform worst cases are assumptions about A-Mab, and each was checked against the data of the step it describes. The test is the value the response surface model predicts within the NOR. The value observed at the edges of the characterization range is shown for information. For host cell protein at cation exchange, the edge value of 30.3 falls short of the platform fold clearance of 40.0, but the value predicted within the NOR, 43.6, meets it.</w:t>
      </w:r>
      <w:r>
        <w:t xml:space="preserve"> </w:t>
      </w:r>
      <w:hyperlink w:anchor="tbl-iac-verification">
        <w:r>
          <w:rPr>
            <w:rStyle w:val="Hyperlink"/>
          </w:rPr>
          <w:t xml:space="preserve">Table 11</w:t>
        </w:r>
      </w:hyperlink>
      <w:r>
        <w:t xml:space="preserve"> </w:t>
      </w:r>
      <w:r>
        <w:t xml:space="preserve">gives the result. Of the 7 assumptions that could be tested, 6 were confirmed.</w:t>
      </w:r>
    </w:p>
    <w:tbl>
      <w:tblPr>
        <w:tblStyle w:val="Table"/>
        <w:tblW w:type="pct" w:w="5000"/>
        <w:tblLayout w:type="fixed"/>
        <w:tblLook w:firstRow="0" w:lastRow="0" w:firstColumn="0" w:lastColumn="0" w:noHBand="0" w:noVBand="0" w:val="0000"/>
      </w:tblPr>
      <w:tblGrid>
        <w:gridCol w:w="7920"/>
      </w:tblGrid>
      <w:tr>
        <w:tc>
          <w:tcPr/>
          <w:bookmarkStart w:id="50" w:name="tbl-iac-verification"/>
          <w:p>
            <w:pPr>
              <w:jc w:val="center"/>
            </w:pPr>
            <w:pPr>
              <w:jc w:val="start"/>
              <w:spacing w:before="200"/>
              <w:pStyle w:val="ImageCaption"/>
            </w:pPr>
            <w:r>
              <w:t xml:space="preserve">Table 11: Platform worst cases assumed by the intermediate acceptance criteria, against this campaign’s results.</w:t>
            </w:r>
          </w:p>
          <w:tbl>
            <w:tblPr>
              <w:tblStyle w:val="Table"/>
              <w:tblW w:type="auto" w:w="0"/>
              <w:tblLook w:firstRow="1" w:lastRow="1" w:firstColumn="0" w:lastColumn="0" w:noHBand="0" w:noVBand="0" w:val="0020"/>
            </w:tblPr>
            <w:tblGrid>
              <w:gridCol w:w="1131"/>
              <w:gridCol w:w="1131"/>
              <w:gridCol w:w="1131"/>
              <w:gridCol w:w="1131"/>
              <w:gridCol w:w="1131"/>
              <w:gridCol w:w="1131"/>
              <w:gridCol w:w="1131"/>
            </w:tblGrid>
            <w:tr>
              <w:trPr>
                <w:tblHeader w:val="on"/>
              </w:trPr>
              <w:tc>
                <w:tcPr>
                  <w:vMerge w:val="restart"/>
                </w:tcPr>
                <w:p>
                  <w:pPr>
                    <w:pStyle w:val="Compact"/>
                    <w:jc w:val="center"/>
                  </w:pPr>
                  <w:r>
                    <w:t xml:space="preserve">Step</w:t>
                  </w:r>
                </w:p>
              </w:tc>
              <w:tc>
                <w:tcPr>
                  <w:vMerge w:val="restart"/>
                </w:tcPr>
                <w:p>
                  <w:pPr>
                    <w:pStyle w:val="Compact"/>
                    <w:jc w:val="center"/>
                  </w:pPr>
                  <w:r>
                    <w:t xml:space="preserve">Attribute</w:t>
                  </w:r>
                </w:p>
              </w:tc>
              <w:tc>
                <w:tcPr>
                  <w:vMerge w:val="restart"/>
                </w:tcPr>
                <w:p>
                  <w:pPr>
                    <w:pStyle w:val="Compact"/>
                    <w:jc w:val="center"/>
                  </w:pPr>
                  <w:r>
                    <w:t xml:space="preserve">Worst case</w:t>
                  </w:r>
                </w:p>
              </w:tc>
              <w:tc>
                <w:tcPr>
                  <w:vMerge w:val="restart"/>
                </w:tcPr>
                <w:p>
                  <w:pPr>
                    <w:pStyle w:val="Compact"/>
                    <w:jc w:val="center"/>
                  </w:pPr>
                  <w:r>
                    <w:t xml:space="preserve">Platform</w:t>
                  </w:r>
                </w:p>
              </w:tc>
              <w:tc>
                <w:tcPr>
                  <w:gridSpan w:val="2"/>
                </w:tcPr>
                <w:p>
                  <w:pPr>
                    <w:pStyle w:val="Compact"/>
                    <w:jc w:val="center"/>
                  </w:pPr>
                  <w:r>
                    <w:t xml:space="preserve">This campaign</w:t>
                  </w:r>
                </w:p>
              </w:tc>
              <w:tc>
                <w:tcPr>
                  <w:vMerge w:val="restart"/>
                </w:tcPr>
                <w:p>
                  <w:pPr>
                    <w:pStyle w:val="Compact"/>
                    <w:jc w:val="center"/>
                  </w:pPr>
                  <w:r>
                    <w:t xml:space="preserve">Confirmed</w:t>
                  </w:r>
                </w:p>
              </w:tc>
            </w:tr>
            <w:tr>
              <w:trPr>
                <w:tblHeader w:val="on"/>
              </w:trP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p>
                  <w:pPr>
                    <w:pStyle w:val="Compact"/>
                    <w:jc w:val="center"/>
                  </w:pPr>
                  <w:r>
                    <w:t xml:space="preserve">At the edges</w:t>
                  </w:r>
                </w:p>
              </w:tc>
              <w:tc>
                <w:tcPr/>
                <w:p>
                  <w:pPr>
                    <w:pStyle w:val="Compact"/>
                    <w:jc w:val="center"/>
                  </w:pPr>
                  <w:r>
                    <w:t xml:space="preserve">Within the NOR</w:t>
                  </w:r>
                </w:p>
              </w:tc>
              <w:tc>
                <w:tcPr>
                  <w:gridSpan w:val="1"/>
                  <w:vMerge w:val="continue"/>
                </w:tcPr>
                <w:p>
                  <w:pPr/>
                </w:p>
              </w:tc>
            </w:tr>
            <w:tr>
              <w:tc>
                <w:tcPr>
                  <w:vMerge w:val="restart"/>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Increase, largest</w:t>
                  </w:r>
                </w:p>
              </w:tc>
              <w:tc>
                <w:tcPr/>
                <w:p>
                  <w:pPr>
                    <w:pStyle w:val="Compact"/>
                    <w:jc w:val="center"/>
                  </w:pPr>
                  <w:r>
                    <w:t xml:space="preserve">0.70</w:t>
                  </w:r>
                </w:p>
              </w:tc>
              <w:tc>
                <w:tcPr/>
                <w:p>
                  <w:pPr>
                    <w:pStyle w:val="Compact"/>
                    <w:jc w:val="center"/>
                  </w:pPr>
                  <w:r>
                    <w:t xml:space="preserve">0.84</w:t>
                  </w:r>
                </w:p>
              </w:tc>
              <w:tc>
                <w:tcPr/>
                <w:p>
                  <w:pPr>
                    <w:pStyle w:val="Compact"/>
                    <w:jc w:val="center"/>
                  </w:pPr>
                  <w:r>
                    <w:t xml:space="preserve">0.52</w:t>
                  </w:r>
                </w:p>
              </w:tc>
              <w:tc>
                <w:tcPr/>
                <w:p>
                  <w:pPr>
                    <w:pStyle w:val="Compact"/>
                    <w:jc w:val="center"/>
                  </w:pPr>
                  <w:r>
                    <w:t xml:space="preserve">Yes</w:t>
                  </w:r>
                </w:p>
              </w:tc>
            </w:tr>
            <w:tr>
              <w:tc>
                <w:tcPr>
                  <w:gridSpan w:val="1"/>
                  <w:vMerge w:val="continue"/>
                </w:tcPr>
                <w:p>
                  <w:pPr/>
                </w:p>
              </w:tc>
              <w:tc>
                <w:tcPr/>
                <w:p>
                  <w:pPr>
                    <w:pStyle w:val="Compact"/>
                    <w:jc w:val="center"/>
                  </w:pPr>
                  <w:r>
                    <w:t xml:space="preserve">Fragments, LMW (%)</w:t>
                  </w:r>
                </w:p>
              </w:tc>
              <w:tc>
                <w:tcPr/>
                <w:p>
                  <w:pPr>
                    <w:pStyle w:val="Compact"/>
                    <w:jc w:val="center"/>
                  </w:pPr>
                  <w:r>
                    <w:t xml:space="preserve">Increase, largest</w:t>
                  </w:r>
                </w:p>
              </w:tc>
              <w:tc>
                <w:tcPr/>
                <w:p>
                  <w:pPr>
                    <w:pStyle w:val="Compact"/>
                    <w:jc w:val="center"/>
                  </w:pPr>
                  <w:r>
                    <w:t xml:space="preserve">0.15</w:t>
                  </w:r>
                </w:p>
              </w:tc>
              <w:tc>
                <w:tcPr/>
                <w:p>
                  <w:pPr>
                    <w:pStyle w:val="Compact"/>
                    <w:jc w:val="center"/>
                  </w:pPr>
                  <w:r>
                    <w:t xml:space="preserve">0.22</w:t>
                  </w:r>
                </w:p>
              </w:tc>
              <w:tc>
                <w:tcPr/>
                <w:p>
                  <w:pPr>
                    <w:pStyle w:val="Compact"/>
                    <w:jc w:val="center"/>
                  </w:pPr>
                  <w:r>
                    <w:t xml:space="preserve">0.10</w:t>
                  </w:r>
                </w:p>
              </w:tc>
              <w:tc>
                <w:tcPr/>
                <w:p>
                  <w:pPr>
                    <w:pStyle w:val="Compact"/>
                    <w:jc w:val="center"/>
                  </w:pPr>
                  <w:r>
                    <w:t xml:space="preserve">Yes</w:t>
                  </w:r>
                </w:p>
              </w:tc>
            </w:tr>
            <w:tr>
              <w:tc>
                <w:tcPr>
                  <w:gridSpan w:val="1"/>
                  <w:vMerge w:val="continue"/>
                </w:tcPr>
                <w:p>
                  <w:pPr/>
                </w:p>
              </w:tc>
              <w:tc>
                <w:tcPr/>
                <w:p>
                  <w:pPr>
                    <w:pStyle w:val="Compact"/>
                    <w:jc w:val="center"/>
                  </w:pPr>
                  <w:r>
                    <w:t xml:space="preserve">Acidic variants (%)</w:t>
                  </w:r>
                </w:p>
              </w:tc>
              <w:tc>
                <w:tcPr/>
                <w:p>
                  <w:pPr>
                    <w:pStyle w:val="Compact"/>
                    <w:jc w:val="center"/>
                  </w:pPr>
                  <w:r>
                    <w:t xml:space="preserve">Increase, largest</w:t>
                  </w:r>
                </w:p>
              </w:tc>
              <w:tc>
                <w:tcPr/>
                <w:p>
                  <w:pPr>
                    <w:pStyle w:val="Compact"/>
                    <w:jc w:val="center"/>
                  </w:pPr>
                  <w:r>
                    <w:t xml:space="preserve">1.00</w:t>
                  </w:r>
                </w:p>
              </w:tc>
              <w:tc>
                <w:tcPr/>
                <w:p>
                  <w:pPr>
                    <w:pStyle w:val="Compact"/>
                    <w:jc w:val="center"/>
                  </w:pPr>
                  <w:r>
                    <w:t xml:space="preserve">0.60</w:t>
                  </w:r>
                </w:p>
              </w:tc>
              <w:tc>
                <w:tcPr/>
                <w:p>
                  <w:pPr>
                    <w:pStyle w:val="Compact"/>
                    <w:jc w:val="center"/>
                  </w:pPr>
                  <w:r>
                    <w:t xml:space="preserve">0.40</w:t>
                  </w:r>
                </w:p>
              </w:tc>
              <w:tc>
                <w:tcPr/>
                <w:p>
                  <w:pPr>
                    <w:pStyle w:val="Compact"/>
                    <w:jc w:val="center"/>
                  </w:pPr>
                  <w:r>
                    <w:t xml:space="preserve">Yes</w:t>
                  </w:r>
                </w:p>
              </w:tc>
            </w:tr>
            <w:tr>
              <w:tc>
                <w:tcPr>
                  <w:vMerge w:val="restart"/>
                </w:tcPr>
                <w:p>
                  <w:pPr>
                    <w:pStyle w:val="Compact"/>
                    <w:jc w:val="center"/>
                  </w:pPr>
                  <w:r>
                    <w:t xml:space="preserve">Cation exchange</w:t>
                  </w:r>
                </w:p>
              </w:tc>
              <w:tc>
                <w:tcPr/>
                <w:p>
                  <w:pPr>
                    <w:pStyle w:val="Compact"/>
                    <w:jc w:val="center"/>
                  </w:pPr>
                  <w:r>
                    <w:t xml:space="preserve">Host cell protein (ng/mg)</w:t>
                  </w:r>
                </w:p>
              </w:tc>
              <w:tc>
                <w:tcPr/>
                <w:p>
                  <w:pPr>
                    <w:pStyle w:val="Compact"/>
                    <w:jc w:val="center"/>
                  </w:pPr>
                  <w:r>
                    <w:t xml:space="preserve">Clearance fold, lowest</w:t>
                  </w:r>
                </w:p>
              </w:tc>
              <w:tc>
                <w:tcPr/>
                <w:p>
                  <w:pPr>
                    <w:pStyle w:val="Compact"/>
                    <w:jc w:val="center"/>
                  </w:pPr>
                  <w:r>
                    <w:t xml:space="preserve">40.0</w:t>
                  </w:r>
                </w:p>
              </w:tc>
              <w:tc>
                <w:tcPr/>
                <w:p>
                  <w:pPr>
                    <w:pStyle w:val="Compact"/>
                    <w:jc w:val="center"/>
                  </w:pPr>
                  <w:r>
                    <w:t xml:space="preserve">30.3</w:t>
                  </w:r>
                </w:p>
              </w:tc>
              <w:tc>
                <w:tcPr/>
                <w:p>
                  <w:pPr>
                    <w:pStyle w:val="Compact"/>
                    <w:jc w:val="center"/>
                  </w:pPr>
                  <w:r>
                    <w:t xml:space="preserve">43.6</w:t>
                  </w:r>
                </w:p>
              </w:tc>
              <w:tc>
                <w:tcPr/>
                <w:p>
                  <w:pPr>
                    <w:pStyle w:val="Compact"/>
                    <w:jc w:val="center"/>
                  </w:pPr>
                  <w:r>
                    <w:t xml:space="preserve">Yes</w:t>
                  </w:r>
                </w:p>
              </w:tc>
            </w:tr>
            <w:tr>
              <w:tc>
                <w:tcPr>
                  <w:gridSpan w:val="1"/>
                  <w:vMerge w:val="continue"/>
                </w:tcPr>
                <w:p>
                  <w:pPr/>
                </w:p>
              </w:tc>
              <w:tc>
                <w:tcPr/>
                <w:p>
                  <w:pPr>
                    <w:pStyle w:val="Compact"/>
                    <w:jc w:val="center"/>
                  </w:pPr>
                  <w:r>
                    <w:t xml:space="preserve">Aggregates, HMW (%)</w:t>
                  </w:r>
                </w:p>
              </w:tc>
              <w:tc>
                <w:tcPr/>
                <w:p>
                  <w:pPr>
                    <w:pStyle w:val="Compact"/>
                    <w:jc w:val="center"/>
                  </w:pPr>
                  <w:r>
                    <w:t xml:space="preserve">Clearance fold, lowest</w:t>
                  </w:r>
                </w:p>
              </w:tc>
              <w:tc>
                <w:tcPr/>
                <w:p>
                  <w:pPr>
                    <w:pStyle w:val="Compact"/>
                    <w:jc w:val="center"/>
                  </w:pPr>
                  <w:r>
                    <w:t xml:space="preserve">2.00</w:t>
                  </w:r>
                </w:p>
              </w:tc>
              <w:tc>
                <w:tcPr/>
                <w:p>
                  <w:pPr>
                    <w:pStyle w:val="Compact"/>
                    <w:jc w:val="center"/>
                  </w:pPr>
                  <w:r>
                    <w:t xml:space="preserve">1.01</w:t>
                  </w:r>
                </w:p>
              </w:tc>
              <w:tc>
                <w:tcPr/>
                <w:p>
                  <w:pPr>
                    <w:pStyle w:val="Compact"/>
                    <w:jc w:val="center"/>
                  </w:pPr>
                  <w:r>
                    <w:t xml:space="preserve">1.51</w:t>
                  </w:r>
                </w:p>
              </w:tc>
              <w:tc>
                <w:tcPr/>
                <w:p>
                  <w:pPr>
                    <w:pStyle w:val="Compact"/>
                    <w:jc w:val="center"/>
                  </w:pPr>
                  <w:r>
                    <w:t xml:space="preserve">No</w:t>
                  </w:r>
                  <w:r>
                    <w:rPr>
                      <w:vertAlign w:val="superscript"/>
                    </w:rPr>
                    <w:t xml:space="preserve">b)</w:t>
                  </w:r>
                </w:p>
              </w:tc>
            </w:tr>
            <w:tr>
              <w:tc>
                <w:tcPr>
                  <w:gridSpan w:val="1"/>
                  <w:vMerge w:val="continue"/>
                </w:tcPr>
                <w:p>
                  <w:pPr/>
                </w:p>
              </w:tc>
              <w:tc>
                <w:tcPr/>
                <w:p>
                  <w:pPr>
                    <w:pStyle w:val="Compact"/>
                    <w:jc w:val="center"/>
                  </w:pPr>
                  <w:r>
                    <w:t xml:space="preserve">Fragments, LMW (%)</w:t>
                  </w:r>
                </w:p>
              </w:tc>
              <w:tc>
                <w:tcPr/>
                <w:p>
                  <w:pPr>
                    <w:pStyle w:val="Compact"/>
                    <w:jc w:val="center"/>
                  </w:pPr>
                  <w:r>
                    <w:t xml:space="preserve">Clearance fold, lowest</w:t>
                  </w:r>
                </w:p>
              </w:tc>
              <w:tc>
                <w:tcPr/>
                <w:p>
                  <w:pPr>
                    <w:pStyle w:val="Compact"/>
                    <w:jc w:val="center"/>
                  </w:pPr>
                  <w:r>
                    <w:t xml:space="preserve">1.30</w:t>
                  </w:r>
                </w:p>
              </w:tc>
              <w:tc>
                <w:tcPr/>
                <w:p>
                  <w:pPr>
                    <w:pStyle w:val="Compact"/>
                    <w:jc w:val="center"/>
                  </w:pPr>
                  <w:r>
                    <w:t xml:space="preserve">1.28</w:t>
                  </w:r>
                </w:p>
              </w:tc>
              <w:tc>
                <w:tcPr/>
                <w:p>
                  <w:pPr>
                    <w:pStyle w:val="Compact"/>
                    <w:jc w:val="center"/>
                  </w:pPr>
                  <w:r>
                    <w:t xml:space="preserve">1.42</w:t>
                  </w:r>
                </w:p>
              </w:tc>
              <w:tc>
                <w:tcPr/>
                <w:p>
                  <w:pPr>
                    <w:pStyle w:val="Compact"/>
                    <w:jc w:val="center"/>
                  </w:pPr>
                  <w:r>
                    <w:t xml:space="preserve">Yes</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Clearance fold, lowest</w:t>
                  </w:r>
                </w:p>
              </w:tc>
              <w:tc>
                <w:tcPr/>
                <w:p>
                  <w:pPr>
                    <w:pStyle w:val="Compact"/>
                    <w:jc w:val="center"/>
                  </w:pPr>
                  <w:r>
                    <w:t xml:space="preserve">3.16</w:t>
                  </w:r>
                </w:p>
              </w:tc>
              <w:tc>
                <w:tcPr/>
                <w:p>
                  <w:pPr>
                    <w:pStyle w:val="Compact"/>
                    <w:jc w:val="center"/>
                  </w:pPr>
                  <w:r>
                    <w:t xml:space="preserve">n.t.</w:t>
                  </w:r>
                  <w:r>
                    <w:rPr>
                      <w:vertAlign w:val="superscript"/>
                    </w:rPr>
                    <w:t xml:space="preserve">a)</w:t>
                  </w:r>
                </w:p>
              </w:tc>
              <w:tc>
                <w:tcPr/>
                <w:p>
                  <w:pPr>
                    <w:pStyle w:val="Compact"/>
                    <w:jc w:val="center"/>
                  </w:pPr>
                  <w:r>
                    <w:t xml:space="preserve">n.t.</w:t>
                  </w:r>
                  <w:r>
                    <w:rPr>
                      <w:vertAlign w:val="superscript"/>
                    </w:rPr>
                    <w:t xml:space="preserve">a)</w:t>
                  </w:r>
                </w:p>
              </w:tc>
              <w:tc>
                <w:tcPr/>
                <w:p>
                  <w:pPr>
                    <w:pStyle w:val="Compact"/>
                    <w:jc w:val="center"/>
                  </w:pPr>
                  <w:r>
                    <w:t xml:space="preserve">n.t.</w:t>
                  </w:r>
                  <w:r>
                    <w:rPr>
                      <w:vertAlign w:val="superscript"/>
                    </w:rPr>
                    <w:t xml:space="preserve">a)</w:t>
                  </w:r>
                </w:p>
              </w:tc>
            </w:tr>
            <w:tr>
              <w:tc>
                <w:tcPr>
                  <w:vMerge w:val="restart"/>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Clearance fold, lowest</w:t>
                  </w:r>
                </w:p>
              </w:tc>
              <w:tc>
                <w:tcPr/>
                <w:p>
                  <w:pPr>
                    <w:pStyle w:val="Compact"/>
                    <w:jc w:val="center"/>
                  </w:pPr>
                  <w:r>
                    <w:t xml:space="preserve">4.00</w:t>
                  </w:r>
                </w:p>
              </w:tc>
              <w:tc>
                <w:tcPr/>
                <w:p>
                  <w:pPr>
                    <w:pStyle w:val="Compact"/>
                    <w:jc w:val="center"/>
                  </w:pPr>
                  <w:r>
                    <w:t xml:space="preserve">3.63</w:t>
                  </w:r>
                </w:p>
              </w:tc>
              <w:tc>
                <w:tcPr/>
                <w:p>
                  <w:pPr>
                    <w:pStyle w:val="Compact"/>
                    <w:jc w:val="center"/>
                  </w:pPr>
                  <w:r>
                    <w:t xml:space="preserve">5.26</w:t>
                  </w:r>
                </w:p>
              </w:tc>
              <w:tc>
                <w:tcPr/>
                <w:p>
                  <w:pPr>
                    <w:pStyle w:val="Compact"/>
                    <w:jc w:val="center"/>
                  </w:pPr>
                  <w:r>
                    <w:t xml:space="preserve">Yes</w:t>
                  </w:r>
                </w:p>
              </w:tc>
            </w:tr>
            <w:tr>
              <w:tc>
                <w:tcPr>
                  <w:gridSpan w:val="1"/>
                  <w:vMerge w:val="continue"/>
                </w:tcPr>
                <w:p>
                  <w:pPr/>
                </w:p>
              </w:tc>
              <w:tc>
                <w:tcPr/>
                <w:p>
                  <w:pPr>
                    <w:pStyle w:val="Compact"/>
                    <w:jc w:val="center"/>
                  </w:pPr>
                  <w:r>
                    <w:t xml:space="preserve">Leached Protein A (ppm)</w:t>
                  </w:r>
                </w:p>
              </w:tc>
              <w:tc>
                <w:tcPr/>
                <w:p>
                  <w:pPr>
                    <w:pStyle w:val="Compact"/>
                    <w:jc w:val="center"/>
                  </w:pPr>
                  <w:r>
                    <w:t xml:space="preserve">Clearance fold, lowest</w:t>
                  </w:r>
                </w:p>
              </w:tc>
              <w:tc>
                <w:tcPr/>
                <w:p>
                  <w:pPr>
                    <w:pStyle w:val="Compact"/>
                    <w:jc w:val="center"/>
                  </w:pPr>
                  <w:r>
                    <w:t xml:space="preserve">10.0</w:t>
                  </w:r>
                </w:p>
              </w:tc>
              <w:tc>
                <w:tcPr/>
                <w:p>
                  <w:pPr>
                    <w:pStyle w:val="Compact"/>
                    <w:jc w:val="center"/>
                  </w:pPr>
                  <w:r>
                    <w:t xml:space="preserve">n.t.</w:t>
                  </w:r>
                  <w:r>
                    <w:rPr>
                      <w:vertAlign w:val="superscript"/>
                    </w:rPr>
                    <w:t xml:space="preserve">a)</w:t>
                  </w:r>
                </w:p>
              </w:tc>
              <w:tc>
                <w:tcPr/>
                <w:p>
                  <w:pPr>
                    <w:pStyle w:val="Compact"/>
                    <w:jc w:val="center"/>
                  </w:pPr>
                  <w:r>
                    <w:t xml:space="preserve">n.t.</w:t>
                  </w:r>
                  <w:r>
                    <w:rPr>
                      <w:vertAlign w:val="superscript"/>
                    </w:rPr>
                    <w:t xml:space="preserve">a)</w:t>
                  </w:r>
                </w:p>
              </w:tc>
              <w:tc>
                <w:tcPr/>
                <w:p>
                  <w:pPr>
                    <w:pStyle w:val="Compact"/>
                    <w:jc w:val="center"/>
                  </w:pPr>
                  <w:r>
                    <w:t xml:space="preserve">n.t.</w:t>
                  </w:r>
                  <w:r>
                    <w:rPr>
                      <w:vertAlign w:val="superscript"/>
                    </w:rPr>
                    <w:t xml:space="preserve">a)</w:t>
                  </w:r>
                </w:p>
              </w:tc>
            </w:tr>
            <w:tr>
              <w:tc>
                <w:tcPr>
                  <w:gridSpan w:val="7"/>
                </w:tcPr>
                <w:p>
                  <w:pPr>
                    <w:pStyle w:val="Compact"/>
                    <w:jc w:val="center"/>
                  </w:pPr>
                  <w:r>
                    <w:rPr>
                      <w:vertAlign w:val="superscript"/>
                    </w:rPr>
                    <w:t xml:space="preserve">a)</w:t>
                  </w:r>
                  <w:r>
                    <w:t xml:space="preserve"> </w:t>
                  </w:r>
                  <w:r>
                    <w:t xml:space="preserve">Not a response of the response-surface study at this step.</w:t>
                  </w:r>
                </w:p>
              </w:tc>
            </w:tr>
            <w:tr>
              <w:tc>
                <w:tcPr>
                  <w:gridSpan w:val="7"/>
                </w:tcPr>
                <w:p>
                  <w:pPr>
                    <w:pStyle w:val="Compact"/>
                    <w:jc w:val="center"/>
                  </w:pPr>
                  <w:r>
                    <w:rPr>
                      <w:vertAlign w:val="superscript"/>
                    </w:rPr>
                    <w:t xml:space="preserve">b)</w:t>
                  </w:r>
                  <w:r>
                    <w:t xml:space="preserve"> </w:t>
                  </w:r>
                  <w:r>
                    <w:t xml:space="preserve">The criteria upstream of this step were recalculated with the value predicted within the NOR.</w:t>
                  </w:r>
                </w:p>
              </w:tc>
            </w:tr>
          </w:tbl>
          <w:bookmarkEnd w:id="50"/>
          <w:p/>
        </w:tc>
      </w:tr>
    </w:tbl>
    <w:p>
      <w:pPr>
        <w:pStyle w:val="BodyText"/>
      </w:pPr>
      <w:r>
        <w:t xml:space="preserve">One assumption was not confirmed. The platform worst case for aggregate at cation exchange is a fold clearance of 2.0. Within its NOR, the response surface model of this campaign predicts a fold clearance of 1.51. The criteria upstream of cation exchange were recalculated with the A-Mab value, and 2 aggregate criteria were tightened, at the production bioreactor and low-pH viral inactivation steps. Whether any proven acceptable range moved because of this is stated in the affected reports, from their own analysis.</w:t>
      </w:r>
    </w:p>
    <w:p>
      <w:pPr>
        <w:pStyle w:val="BodyText"/>
      </w:pPr>
      <w:r>
        <w:t xml:space="preserve">The criterion for leached Protein A at the Protein A step rests on two platform worst cases, for cation exchange and anion exchange, that no response of this campaign could test (n.t. in</w:t>
      </w:r>
      <w:r>
        <w:t xml:space="preserve"> </w:t>
      </w:r>
      <w:hyperlink w:anchor="tbl-iac-verification">
        <w:r>
          <w:rPr>
            <w:rStyle w:val="Hyperlink"/>
          </w:rPr>
          <w:t xml:space="preserve">Table 11</w:t>
        </w:r>
      </w:hyperlink>
      <w:r>
        <w:t xml:space="preserve">). This is acceptable. The model predicts 2.87 ppm at the set-point and at most 3.22 ppm over the NOR (</w:t>
      </w:r>
      <w:hyperlink w:anchor="tbl-results">
        <w:r>
          <w:rPr>
            <w:rStyle w:val="Hyperlink"/>
          </w:rPr>
          <w:t xml:space="preserve">Table 13</w:t>
        </w:r>
      </w:hyperlink>
      <w:r>
        <w:t xml:space="preserve">). That is below the drug-substance criterion of 5 ppm itself, so the pool would meet the drug-substance criterion even if no downstream step cleared any leached Protein A.</w:t>
      </w:r>
    </w:p>
    <w:bookmarkEnd w:id="51"/>
    <w:bookmarkStart w:id="55" w:name="impact-by-document"/>
    <w:p>
      <w:pPr>
        <w:pStyle w:val="Heading2"/>
      </w:pPr>
      <w:r>
        <w:t xml:space="preserve">6.3 Impact by document</w:t>
      </w:r>
    </w:p>
    <w:p>
      <w:pPr>
        <w:pStyle w:val="FirstParagraph"/>
      </w:pPr>
      <w:r>
        <w:t xml:space="preserve">All twenty documents in</w:t>
      </w:r>
      <w:r>
        <w:t xml:space="preserve"> </w:t>
      </w:r>
      <w:hyperlink w:anchor="tbl-docs">
        <w:r>
          <w:rPr>
            <w:rStyle w:val="Hyperlink"/>
          </w:rPr>
          <w:t xml:space="preserve">Table 2</w:t>
        </w:r>
      </w:hyperlink>
      <w:r>
        <w:t xml:space="preserve"> </w:t>
      </w:r>
      <w:r>
        <w:t xml:space="preserve">are to be reissued at Version 2.0, effective 2026-09-30 (CA1 to CA3). PCMP-001 will define the criteria of §6.1. The step plans PCP-003 to PCP-010 will state them with their basis. The step reports will judge the same models against them, and PCMR-001 will consolidate the result. PTP-001 and RA-001 are reissued with the package. Each Version 2.0 document will say what changed in it under</w:t>
      </w:r>
      <w:r>
        <w:t xml:space="preserve"> </w:t>
      </w:r>
      <w:r>
        <w:t xml:space="preserve">“Changes in this revision”</w:t>
      </w:r>
      <w:r>
        <w:t xml:space="preserve"> </w:t>
      </w:r>
      <w:r>
        <w:t xml:space="preserve">and refer to the findings by number.</w:t>
      </w:r>
    </w:p>
    <w:p>
      <w:pPr>
        <w:pStyle w:val="BodyText"/>
      </w:pPr>
      <w:hyperlink w:anchor="tbl-par-change">
        <w:r>
          <w:rPr>
            <w:rStyle w:val="Hyperlink"/>
          </w:rPr>
          <w:t xml:space="preserve">Table 12</w:t>
        </w:r>
      </w:hyperlink>
      <w:r>
        <w:t xml:space="preserve"> </w:t>
      </w:r>
      <w:r>
        <w:t xml:space="preserve">compares the proven acceptable ranges, with the other parameters varying within their NORs, in each report with a DoE, as Version 1.0 reported them and as the re-analysis gives them. The reports without a DoE, PCR-004 and PCR-010, contain no such ranges. Their revision will record the execution windows (F5).</w:t>
      </w:r>
    </w:p>
    <w:tbl>
      <w:tblPr>
        <w:tblStyle w:val="Table"/>
        <w:tblW w:type="pct" w:w="5000"/>
        <w:tblLayout w:type="fixed"/>
        <w:tblLook w:firstRow="0" w:lastRow="0" w:firstColumn="0" w:lastColumn="0" w:noHBand="0" w:noVBand="0" w:val="0000"/>
      </w:tblPr>
      <w:tblGrid>
        <w:gridCol w:w="7920"/>
      </w:tblGrid>
      <w:tr>
        <w:tc>
          <w:tcPr/>
          <w:bookmarkStart w:id="52" w:name="tbl-par-change"/>
          <w:p>
            <w:pPr>
              <w:jc w:val="center"/>
            </w:pPr>
            <w:pPr>
              <w:jc w:val="start"/>
              <w:spacing w:before="200"/>
              <w:pStyle w:val="ImageCaption"/>
            </w:pPr>
            <w:r>
              <w:t xml:space="preserve">Table 12: Proven acceptable ranges with the other parameters varying within their NORs, in Version 1.0 and in the re-analysis, by report. New entries are the fragment ranges measured by nrCE-SDS.</w:t>
            </w:r>
          </w:p>
          <w:tbl>
            <w:tblPr>
              <w:tblStyle w:val="Table"/>
              <w:tblW w:type="pct" w:w="5000"/>
              <w:tblLayout w:type="fixed"/>
              <w:tblLook w:firstRow="1" w:lastRow="0" w:firstColumn="0" w:lastColumn="0" w:noHBand="0" w:noVBand="0" w:val="0020"/>
            </w:tblPr>
            <w:tblGrid>
              <w:gridCol w:w="792"/>
              <w:gridCol w:w="1584"/>
              <w:gridCol w:w="880"/>
              <w:gridCol w:w="1144"/>
              <w:gridCol w:w="704"/>
              <w:gridCol w:w="1056"/>
              <w:gridCol w:w="792"/>
              <w:gridCol w:w="968"/>
            </w:tblGrid>
            <w:tr>
              <w:trPr>
                <w:tblHeader w:val="on"/>
              </w:trPr>
              <w:tc>
                <w:tcPr/>
                <w:p>
                  <w:pPr>
                    <w:pStyle w:val="Compact"/>
                    <w:jc w:val="center"/>
                  </w:pPr>
                  <w:r>
                    <w:t xml:space="preserve">Report</w:t>
                  </w:r>
                </w:p>
              </w:tc>
              <w:tc>
                <w:tcPr/>
                <w:p>
                  <w:pPr>
                    <w:pStyle w:val="Compact"/>
                    <w:jc w:val="center"/>
                  </w:pPr>
                  <w:r>
                    <w:t xml:space="preserve">Step</w:t>
                  </w:r>
                </w:p>
              </w:tc>
              <w:tc>
                <w:tcPr/>
                <w:p>
                  <w:pPr>
                    <w:pStyle w:val="Compact"/>
                    <w:jc w:val="center"/>
                  </w:pPr>
                  <w:r>
                    <w:t xml:space="preserve">Entries in Version 1.0</w:t>
                  </w:r>
                </w:p>
              </w:tc>
              <w:tc>
                <w:tcPr/>
                <w:p>
                  <w:pPr>
                    <w:pStyle w:val="Compact"/>
                    <w:jc w:val="center"/>
                  </w:pPr>
                  <w:r>
                    <w:t xml:space="preserve">Unchanged</w:t>
                  </w:r>
                </w:p>
              </w:tc>
              <w:tc>
                <w:tcPr/>
                <w:p>
                  <w:pPr>
                    <w:pStyle w:val="Compact"/>
                    <w:jc w:val="center"/>
                  </w:pPr>
                  <w:r>
                    <w:t xml:space="preserve">Wider</w:t>
                  </w:r>
                </w:p>
              </w:tc>
              <w:tc>
                <w:tcPr/>
                <w:p>
                  <w:pPr>
                    <w:pStyle w:val="Compact"/>
                    <w:jc w:val="center"/>
                  </w:pPr>
                  <w:r>
                    <w:t xml:space="preserve">Narrower</w:t>
                  </w:r>
                </w:p>
              </w:tc>
              <w:tc>
                <w:tcPr/>
                <w:p>
                  <w:pPr>
                    <w:pStyle w:val="Compact"/>
                    <w:jc w:val="center"/>
                  </w:pPr>
                  <w:r>
                    <w:t xml:space="preserve">Moved</w:t>
                  </w:r>
                </w:p>
              </w:tc>
              <w:tc>
                <w:tcPr/>
                <w:p>
                  <w:pPr>
                    <w:pStyle w:val="Compact"/>
                    <w:jc w:val="center"/>
                  </w:pPr>
                  <w:r>
                    <w:t xml:space="preserve">New in Version 2.0</w:t>
                  </w:r>
                </w:p>
              </w:tc>
            </w:tr>
            <w:tr>
              <w:tc>
                <w:tcPr/>
                <w:p>
                  <w:pPr>
                    <w:pStyle w:val="Compact"/>
                    <w:jc w:val="center"/>
                  </w:pPr>
                  <w:r>
                    <w:t xml:space="preserve">PCR-003</w:t>
                  </w:r>
                </w:p>
              </w:tc>
              <w:tc>
                <w:tcPr/>
                <w:p>
                  <w:pPr>
                    <w:pStyle w:val="Compact"/>
                    <w:jc w:val="center"/>
                  </w:pPr>
                  <w:r>
                    <w:t xml:space="preserve">Production bioreactor</w:t>
                  </w:r>
                </w:p>
              </w:tc>
              <w:tc>
                <w:tcPr/>
                <w:p>
                  <w:pPr>
                    <w:pStyle w:val="Compact"/>
                    <w:jc w:val="center"/>
                  </w:pPr>
                  <w:r>
                    <w:t xml:space="preserve">20</w:t>
                  </w:r>
                </w:p>
              </w:tc>
              <w:tc>
                <w:tcPr/>
                <w:p>
                  <w:pPr>
                    <w:pStyle w:val="Compact"/>
                    <w:jc w:val="center"/>
                  </w:pPr>
                  <w:r>
                    <w:t xml:space="preserve">3</w:t>
                  </w:r>
                </w:p>
              </w:tc>
              <w:tc>
                <w:tcPr/>
                <w:p>
                  <w:pPr>
                    <w:pStyle w:val="Compact"/>
                    <w:jc w:val="center"/>
                  </w:pPr>
                  <w:r>
                    <w:t xml:space="preserve">13</w:t>
                  </w:r>
                </w:p>
              </w:tc>
              <w:tc>
                <w:tcPr/>
                <w:p>
                  <w:pPr>
                    <w:pStyle w:val="Compact"/>
                    <w:jc w:val="center"/>
                  </w:pPr>
                  <w:r>
                    <w:t xml:space="preserve">1</w:t>
                  </w:r>
                </w:p>
              </w:tc>
              <w:tc>
                <w:tcPr/>
                <w:p>
                  <w:pPr>
                    <w:pStyle w:val="Compact"/>
                    <w:jc w:val="center"/>
                  </w:pPr>
                  <w:r>
                    <w:t xml:space="preserve">3</w:t>
                  </w:r>
                </w:p>
              </w:tc>
              <w:tc>
                <w:tcPr/>
                <w:p>
                  <w:pPr>
                    <w:pStyle w:val="Compact"/>
                    <w:jc w:val="center"/>
                  </w:pPr>
                  <w:r>
                    <w:t xml:space="preserve">0</w:t>
                  </w:r>
                </w:p>
              </w:tc>
            </w:tr>
            <w:tr>
              <w:tc>
                <w:tcPr/>
                <w:p>
                  <w:pPr>
                    <w:pStyle w:val="Compact"/>
                    <w:jc w:val="center"/>
                  </w:pPr>
                  <w:r>
                    <w:t xml:space="preserve">PCR-005</w:t>
                  </w:r>
                </w:p>
              </w:tc>
              <w:tc>
                <w:tcPr/>
                <w:p>
                  <w:pPr>
                    <w:pStyle w:val="Compact"/>
                    <w:jc w:val="center"/>
                  </w:pPr>
                  <w:r>
                    <w:t xml:space="preserve">Protein A</w:t>
                  </w:r>
                </w:p>
              </w:tc>
              <w:tc>
                <w:tcPr/>
                <w:p>
                  <w:pPr>
                    <w:pStyle w:val="Compact"/>
                    <w:jc w:val="center"/>
                  </w:pPr>
                  <w:r>
                    <w:t xml:space="preserve">8</w:t>
                  </w:r>
                </w:p>
              </w:tc>
              <w:tc>
                <w:tcPr/>
                <w:p>
                  <w:pPr>
                    <w:pStyle w:val="Compact"/>
                    <w:jc w:val="center"/>
                  </w:pPr>
                  <w:r>
                    <w:t xml:space="preserve">3</w:t>
                  </w:r>
                </w:p>
              </w:tc>
              <w:tc>
                <w:tcPr/>
                <w:p>
                  <w:pPr>
                    <w:pStyle w:val="Compact"/>
                    <w:jc w:val="center"/>
                  </w:pPr>
                  <w:r>
                    <w:t xml:space="preserve">5</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PCR-006</w:t>
                  </w:r>
                </w:p>
              </w:tc>
              <w:tc>
                <w:tcPr/>
                <w:p>
                  <w:pPr>
                    <w:pStyle w:val="Compact"/>
                    <w:jc w:val="center"/>
                  </w:pPr>
                  <w:r>
                    <w:t xml:space="preserve">Low-pH viral inactivation</w:t>
                  </w:r>
                </w:p>
              </w:tc>
              <w:tc>
                <w:tcPr/>
                <w:p>
                  <w:pPr>
                    <w:pStyle w:val="Compact"/>
                    <w:jc w:val="center"/>
                  </w:pPr>
                  <w:r>
                    <w:t xml:space="preserve">9</w:t>
                  </w:r>
                </w:p>
              </w:tc>
              <w:tc>
                <w:tcPr/>
                <w:p>
                  <w:pPr>
                    <w:pStyle w:val="Compact"/>
                    <w:jc w:val="center"/>
                  </w:pPr>
                  <w:r>
                    <w:t xml:space="preserve">6</w:t>
                  </w:r>
                </w:p>
              </w:tc>
              <w:tc>
                <w:tcPr/>
                <w:p>
                  <w:pPr>
                    <w:pStyle w:val="Compact"/>
                    <w:jc w:val="center"/>
                  </w:pPr>
                  <w:r>
                    <w:t xml:space="preserve">1</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3</w:t>
                  </w:r>
                </w:p>
              </w:tc>
            </w:tr>
            <w:tr>
              <w:tc>
                <w:tcPr/>
                <w:p>
                  <w:pPr>
                    <w:pStyle w:val="Compact"/>
                    <w:jc w:val="center"/>
                  </w:pPr>
                  <w:r>
                    <w:t xml:space="preserve">PCR-007</w:t>
                  </w:r>
                </w:p>
              </w:tc>
              <w:tc>
                <w:tcPr/>
                <w:p>
                  <w:pPr>
                    <w:pStyle w:val="Compact"/>
                    <w:jc w:val="center"/>
                  </w:pPr>
                  <w:r>
                    <w:t xml:space="preserve">Cation exchange</w:t>
                  </w:r>
                </w:p>
              </w:tc>
              <w:tc>
                <w:tcPr/>
                <w:p>
                  <w:pPr>
                    <w:pStyle w:val="Compact"/>
                    <w:jc w:val="center"/>
                  </w:pPr>
                  <w:r>
                    <w:t xml:space="preserve">8</w:t>
                  </w:r>
                </w:p>
              </w:tc>
              <w:tc>
                <w:tcPr/>
                <w:p>
                  <w:pPr>
                    <w:pStyle w:val="Compact"/>
                    <w:jc w:val="center"/>
                  </w:pPr>
                  <w:r>
                    <w:t xml:space="preserve">2</w:t>
                  </w:r>
                </w:p>
              </w:tc>
              <w:tc>
                <w:tcPr/>
                <w:p>
                  <w:pPr>
                    <w:pStyle w:val="Compact"/>
                    <w:jc w:val="center"/>
                  </w:pPr>
                  <w:r>
                    <w:t xml:space="preserve">6</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PCR-008</w:t>
                  </w:r>
                </w:p>
              </w:tc>
              <w:tc>
                <w:tcPr/>
                <w:p>
                  <w:pPr>
                    <w:pStyle w:val="Compact"/>
                    <w:jc w:val="center"/>
                  </w:pPr>
                  <w:r>
                    <w:t xml:space="preserve">Anion exchange</w:t>
                  </w:r>
                </w:p>
              </w:tc>
              <w:tc>
                <w:tcPr/>
                <w:p>
                  <w:pPr>
                    <w:pStyle w:val="Compact"/>
                    <w:jc w:val="center"/>
                  </w:pPr>
                  <w:r>
                    <w:t xml:space="preserve">12</w:t>
                  </w:r>
                </w:p>
              </w:tc>
              <w:tc>
                <w:tcPr/>
                <w:p>
                  <w:pPr>
                    <w:pStyle w:val="Compact"/>
                    <w:jc w:val="center"/>
                  </w:pPr>
                  <w:r>
                    <w:t xml:space="preserve">9</w:t>
                  </w:r>
                </w:p>
              </w:tc>
              <w:tc>
                <w:tcPr/>
                <w:p>
                  <w:pPr>
                    <w:pStyle w:val="Compact"/>
                    <w:jc w:val="center"/>
                  </w:pPr>
                  <w:r>
                    <w:t xml:space="preserve">2</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4</w:t>
                  </w:r>
                </w:p>
              </w:tc>
            </w:tr>
            <w:tr>
              <w:tc>
                <w:tcPr/>
                <w:p>
                  <w:pPr>
                    <w:pStyle w:val="Compact"/>
                    <w:jc w:val="center"/>
                  </w:pPr>
                  <w:r>
                    <w:t xml:space="preserve">PCR-009</w:t>
                  </w:r>
                </w:p>
              </w:tc>
              <w:tc>
                <w:tcPr/>
                <w:p>
                  <w:pPr>
                    <w:pStyle w:val="Compact"/>
                    <w:jc w:val="center"/>
                  </w:pPr>
                  <w:r>
                    <w:t xml:space="preserve">Virus filtration</w:t>
                  </w:r>
                </w:p>
              </w:tc>
              <w:tc>
                <w:tcPr/>
                <w:p>
                  <w:pPr>
                    <w:pStyle w:val="Compact"/>
                    <w:jc w:val="center"/>
                  </w:pPr>
                  <w:r>
                    <w:t xml:space="preserve">4</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r>
          </w:tbl>
          <w:bookmarkEnd w:id="52"/>
          <w:p/>
        </w:tc>
      </w:tr>
    </w:tbl>
    <w:p>
      <w:pPr>
        <w:pStyle w:val="BodyText"/>
      </w:pPr>
      <w:r>
        <w:t xml:space="preserve">Where a range changed, it widened far more often than it narrowed. Of the 29 wider ranges, 13 are at the bioreactor. There, 11 glycan ranges widened because the R2 capability limits (F3) gave way to the drug-substance criteria, and 2 aggregate ranges widened because an R1 limit with a safety factor (F2) gave way to a back-calculated criterion. Most of the wider ranges at the other steps follow from the R1 safety factors. At cation exchange, the Version 1.0 criterion of 1.00 % HMW was the drug-substance criterion divided by a safety factor of 5.0. Against it, the proven acceptable range for protein load, with the other parameters varying within their NORs, was 10–27.6 g/L resin, which did not reach the upper end of the protein load NOR at 32 g/L resin. Against the Version 2.0 criterion of 5 %, the range is 10–40 g/L resin. The upper load NOR is supported. At the bioreactor, the range for dissolved CO2 judged on galactosylation, computed the same way, was 74.5–160 mmHg at Version 1.0, which did not reach the lower end of the NOR at 70 mmHg. Judged against the drug-substance criterion, it is 40–160 mmHg.</w:t>
      </w:r>
    </w:p>
    <w:p>
      <w:pPr>
        <w:pStyle w:val="BodyText"/>
      </w:pPr>
      <w:r>
        <w:t xml:space="preserve">Of the 4 ranges that narrowed, 2 at low-pH viral inactivation and 1 at anion exchange narrowed because a viral clearance criterion rose to its platform claim, and 1 at the bioreactor narrowed although no criterion there became tighter, because acidic variants are now judged against both ends of their range (F4). At low-pH viral inactivation the XMuLV criterion rose from 4.93 to the platform claim of 6.6 log10, and the inactivation pH range narrowed from 3.2–3.96 to 3.2–3.59 as a result. At the bioreactor no criterion became tighter, yet 4 of the acidic variant ranges changed and none widened. Acidic variants are now judged against both ends of their range (F4), and the lower limit of 18 % constrains them.</w:t>
      </w:r>
    </w:p>
    <w:p>
      <w:pPr>
        <w:pStyle w:val="BodyText"/>
      </w:pPr>
      <w:hyperlink w:anchor="tbl-results">
        <w:r>
          <w:rPr>
            <w:rStyle w:val="Hyperlink"/>
          </w:rPr>
          <w:t xml:space="preserve">Table 13</w:t>
        </w:r>
      </w:hyperlink>
      <w:r>
        <w:t xml:space="preserve"> </w:t>
      </w:r>
      <w:r>
        <w:t xml:space="preserve">gives each re-analysed step output against its Version 2.0 criterion, from the response surface model over the NOR. Of the 21 outputs, 19 meet their criterion across the NOR. The exceptions are acidic variants at the production bioreactor step (predicted down to 17.7 at a corner of the NOR) and XMuLV clearance at the low-pH viral inactivation step (predicted down to 6.43 at a corner of the NOR). Each is met at the set-point, and the affected report states the consequence for its ranges.</w:t>
      </w:r>
      <w:r>
        <w:t xml:space="preserve"> </w:t>
      </w:r>
      <w:hyperlink w:anchor="tbl-viral">
        <w:r>
          <w:rPr>
            <w:rStyle w:val="Hyperlink"/>
          </w:rPr>
          <w:t xml:space="preserve">Table 14</w:t>
        </w:r>
      </w:hyperlink>
      <w:r>
        <w:t xml:space="preserve"> </w:t>
      </w:r>
      <w:r>
        <w:t xml:space="preserve">sets the viral clearance claims against the step results of this campaign, and every claim is met.</w:t>
      </w:r>
    </w:p>
    <w:tbl>
      <w:tblPr>
        <w:tblStyle w:val="Table"/>
        <w:tblW w:type="pct" w:w="5000"/>
        <w:tblLayout w:type="fixed"/>
        <w:tblLook w:firstRow="0" w:lastRow="0" w:firstColumn="0" w:lastColumn="0" w:noHBand="0" w:noVBand="0" w:val="0000"/>
      </w:tblPr>
      <w:tblGrid>
        <w:gridCol w:w="7920"/>
      </w:tblGrid>
      <w:tr>
        <w:tc>
          <w:tcPr/>
          <w:bookmarkStart w:id="53" w:name="tbl-results"/>
          <w:p>
            <w:pPr>
              <w:jc w:val="center"/>
            </w:pPr>
            <w:pPr>
              <w:jc w:val="start"/>
              <w:spacing w:before="200"/>
              <w:pStyle w:val="ImageCaption"/>
            </w:pPr>
            <w:r>
              <w:t xml:space="preserve">Table 13: Re-analysed step outputs against their Version 2.0 criteria. The range is that predicted by the response surface model over the corners and centre of the NOR.</w:t>
            </w:r>
          </w:p>
          <w:tbl>
            <w:tblPr>
              <w:tblStyle w:val="Table"/>
              <w:tblW w:type="pct" w:w="5000"/>
              <w:tblLayout w:type="fixed"/>
              <w:tblLook w:firstRow="1" w:lastRow="0" w:firstColumn="0" w:lastColumn="0" w:noHBand="0" w:noVBand="0" w:val="0020"/>
            </w:tblPr>
            <w:tblGrid>
              <w:gridCol w:w="1518"/>
              <w:gridCol w:w="1627"/>
              <w:gridCol w:w="1301"/>
              <w:gridCol w:w="976"/>
              <w:gridCol w:w="1410"/>
              <w:gridCol w:w="1084"/>
            </w:tblGrid>
            <w:tr>
              <w:trPr>
                <w:tblHeader w:val="on"/>
              </w:trPr>
              <w:tc>
                <w:tcPr/>
                <w:p>
                  <w:pPr>
                    <w:pStyle w:val="Compact"/>
                    <w:jc w:val="center"/>
                  </w:pPr>
                  <w:r>
                    <w:t xml:space="preserve">Step</w:t>
                  </w:r>
                </w:p>
              </w:tc>
              <w:tc>
                <w:tcPr/>
                <w:p>
                  <w:pPr>
                    <w:pStyle w:val="Compact"/>
                    <w:jc w:val="center"/>
                  </w:pPr>
                  <w:r>
                    <w:t xml:space="preserve">Attribute</w:t>
                  </w:r>
                </w:p>
              </w:tc>
              <w:tc>
                <w:tcPr/>
                <w:p>
                  <w:pPr>
                    <w:pStyle w:val="Compact"/>
                    <w:jc w:val="center"/>
                  </w:pPr>
                  <w:r>
                    <w:t xml:space="preserve">Version 2.0 criterion</w:t>
                  </w:r>
                </w:p>
              </w:tc>
              <w:tc>
                <w:tcPr/>
                <w:p>
                  <w:pPr>
                    <w:pStyle w:val="Compact"/>
                    <w:jc w:val="center"/>
                  </w:pPr>
                  <w:r>
                    <w:t xml:space="preserve">At set-point</w:t>
                  </w:r>
                </w:p>
              </w:tc>
              <w:tc>
                <w:tcPr/>
                <w:p>
                  <w:pPr>
                    <w:pStyle w:val="Compact"/>
                    <w:jc w:val="center"/>
                  </w:pPr>
                  <w:r>
                    <w:t xml:space="preserve">Range over the NOR</w:t>
                  </w:r>
                </w:p>
              </w:tc>
              <w:tc>
                <w:tcPr/>
                <w:p>
                  <w:pPr>
                    <w:pStyle w:val="Compact"/>
                    <w:jc w:val="center"/>
                  </w:pPr>
                  <w:r>
                    <w:t xml:space="preserve">Met across the NOR</w:t>
                  </w:r>
                </w:p>
              </w:tc>
            </w:tr>
            <w:tr>
              <w:tc>
                <w:tcPr/>
                <w:p>
                  <w:pPr>
                    <w:pStyle w:val="Compact"/>
                    <w:jc w:val="center"/>
                  </w:pPr>
                  <w:r>
                    <w:t xml:space="preserve">Production bioreactor</w:t>
                  </w:r>
                </w:p>
              </w:tc>
              <w:tc>
                <w:tcPr/>
                <w:p>
                  <w:pPr>
                    <w:pStyle w:val="Compact"/>
                    <w:jc w:val="center"/>
                  </w:pPr>
                  <w:r>
                    <w:t xml:space="preserve">Afucosylation (%)</w:t>
                  </w:r>
                </w:p>
              </w:tc>
              <w:tc>
                <w:tcPr/>
                <w:p>
                  <w:pPr>
                    <w:pStyle w:val="Compact"/>
                    <w:jc w:val="center"/>
                  </w:pPr>
                  <w:r>
                    <w:t xml:space="preserve">2.00–13.0</w:t>
                  </w:r>
                </w:p>
              </w:tc>
              <w:tc>
                <w:tcPr/>
                <w:p>
                  <w:pPr>
                    <w:pStyle w:val="Compact"/>
                    <w:jc w:val="center"/>
                  </w:pPr>
                  <w:r>
                    <w:t xml:space="preserve">8.04</w:t>
                  </w:r>
                </w:p>
              </w:tc>
              <w:tc>
                <w:tcPr/>
                <w:p>
                  <w:pPr>
                    <w:pStyle w:val="Compact"/>
                    <w:jc w:val="center"/>
                  </w:pPr>
                  <w:r>
                    <w:t xml:space="preserve">6.40 to 9.43</w:t>
                  </w:r>
                </w:p>
              </w:tc>
              <w:tc>
                <w:tcPr/>
                <w:p>
                  <w:pPr>
                    <w:pStyle w:val="Compact"/>
                    <w:jc w:val="center"/>
                  </w:pPr>
                  <w:r>
                    <w:t xml:space="preserve">Met</w:t>
                  </w:r>
                </w:p>
              </w:tc>
            </w:tr>
            <w:tr>
              <w:tc>
                <w:tcPr/>
                <w:p>
                  <w:pPr>
                    <w:pStyle w:val="Compact"/>
                    <w:jc w:val="center"/>
                  </w:pPr>
                  <w:r>
                    <w:t xml:space="preserve">Production bioreactor</w:t>
                  </w:r>
                </w:p>
              </w:tc>
              <w:tc>
                <w:tcPr/>
                <w:p>
                  <w:pPr>
                    <w:pStyle w:val="Compact"/>
                    <w:jc w:val="center"/>
                  </w:pPr>
                  <w:r>
                    <w:t xml:space="preserve">Galactosylation (%)</w:t>
                  </w:r>
                </w:p>
              </w:tc>
              <w:tc>
                <w:tcPr/>
                <w:p>
                  <w:pPr>
                    <w:pStyle w:val="Compact"/>
                    <w:jc w:val="center"/>
                  </w:pPr>
                  <w:r>
                    <w:t xml:space="preserve">10.0–40.0</w:t>
                  </w:r>
                </w:p>
              </w:tc>
              <w:tc>
                <w:tcPr/>
                <w:p>
                  <w:pPr>
                    <w:pStyle w:val="Compact"/>
                    <w:jc w:val="center"/>
                  </w:pPr>
                  <w:r>
                    <w:t xml:space="preserve">25.8</w:t>
                  </w:r>
                </w:p>
              </w:tc>
              <w:tc>
                <w:tcPr/>
                <w:p>
                  <w:pPr>
                    <w:pStyle w:val="Compact"/>
                    <w:jc w:val="center"/>
                  </w:pPr>
                  <w:r>
                    <w:t xml:space="preserve">21.5 to 31.8</w:t>
                  </w:r>
                </w:p>
              </w:tc>
              <w:tc>
                <w:tcPr/>
                <w:p>
                  <w:pPr>
                    <w:pStyle w:val="Compact"/>
                    <w:jc w:val="center"/>
                  </w:pPr>
                  <w:r>
                    <w:t xml:space="preserve">Met</w:t>
                  </w:r>
                </w:p>
              </w:tc>
            </w:tr>
            <w:tr>
              <w:tc>
                <w:tcPr/>
                <w:p>
                  <w:pPr>
                    <w:pStyle w:val="Compact"/>
                    <w:jc w:val="center"/>
                  </w:pPr>
                  <w:r>
                    <w:t xml:space="preserve">Production bioreactor</w:t>
                  </w:r>
                </w:p>
              </w:tc>
              <w:tc>
                <w:tcPr/>
                <w:p>
                  <w:pPr>
                    <w:pStyle w:val="Compact"/>
                    <w:jc w:val="center"/>
                  </w:pPr>
                  <w:r>
                    <w:t xml:space="preserve">High mannose (%)</w:t>
                  </w:r>
                </w:p>
              </w:tc>
              <w:tc>
                <w:tcPr/>
                <w:p>
                  <w:pPr>
                    <w:pStyle w:val="Compact"/>
                    <w:jc w:val="center"/>
                  </w:pPr>
                  <w:r>
                    <w:t xml:space="preserve">3.00–10.0</w:t>
                  </w:r>
                </w:p>
              </w:tc>
              <w:tc>
                <w:tcPr/>
                <w:p>
                  <w:pPr>
                    <w:pStyle w:val="Compact"/>
                    <w:jc w:val="center"/>
                  </w:pPr>
                  <w:r>
                    <w:t xml:space="preserve">5.89</w:t>
                  </w:r>
                </w:p>
              </w:tc>
              <w:tc>
                <w:tcPr/>
                <w:p>
                  <w:pPr>
                    <w:pStyle w:val="Compact"/>
                    <w:jc w:val="center"/>
                  </w:pPr>
                  <w:r>
                    <w:t xml:space="preserve">5.19 to 6.90</w:t>
                  </w:r>
                </w:p>
              </w:tc>
              <w:tc>
                <w:tcPr/>
                <w:p>
                  <w:pPr>
                    <w:pStyle w:val="Compact"/>
                    <w:jc w:val="center"/>
                  </w:pPr>
                  <w:r>
                    <w:t xml:space="preserve">Met</w:t>
                  </w:r>
                </w:p>
              </w:tc>
            </w:tr>
            <w:tr>
              <w:tc>
                <w:tcPr/>
                <w:p>
                  <w:pPr>
                    <w:pStyle w:val="Compact"/>
                    <w:jc w:val="center"/>
                  </w:pPr>
                  <w:r>
                    <w:t xml:space="preserve">Production bioreactor</w:t>
                  </w:r>
                </w:p>
              </w:tc>
              <w:tc>
                <w:tcPr/>
                <w:p>
                  <w:pPr>
                    <w:pStyle w:val="Compact"/>
                    <w:jc w:val="center"/>
                  </w:pPr>
                  <w:r>
                    <w:t xml:space="preserve">Acidic variants (%)</w:t>
                  </w:r>
                </w:p>
              </w:tc>
              <w:tc>
                <w:tcPr/>
                <w:p>
                  <w:pPr>
                    <w:pStyle w:val="Compact"/>
                    <w:jc w:val="center"/>
                  </w:pPr>
                  <w:r>
                    <w:t xml:space="preserve">18.0–39.0</w:t>
                  </w:r>
                </w:p>
              </w:tc>
              <w:tc>
                <w:tcPr/>
                <w:p>
                  <w:pPr>
                    <w:pStyle w:val="Compact"/>
                    <w:jc w:val="center"/>
                  </w:pPr>
                  <w:r>
                    <w:t xml:space="preserve">22.0</w:t>
                  </w:r>
                </w:p>
              </w:tc>
              <w:tc>
                <w:tcPr/>
                <w:p>
                  <w:pPr>
                    <w:pStyle w:val="Compact"/>
                    <w:jc w:val="center"/>
                  </w:pPr>
                  <w:r>
                    <w:t xml:space="preserve">17.7 to 25.7</w:t>
                  </w:r>
                </w:p>
              </w:tc>
              <w:tc>
                <w:tcPr/>
                <w:p>
                  <w:pPr>
                    <w:pStyle w:val="Compact"/>
                    <w:jc w:val="center"/>
                  </w:pPr>
                  <w:r>
                    <w:t xml:space="preserve">Not met</w:t>
                  </w:r>
                </w:p>
              </w:tc>
            </w:tr>
            <w:tr>
              <w:tc>
                <w:tcPr/>
                <w:p>
                  <w:pPr>
                    <w:pStyle w:val="Compact"/>
                    <w:jc w:val="center"/>
                  </w:pPr>
                  <w:r>
                    <w:t xml:space="preserve">Production bioreactor</w:t>
                  </w:r>
                </w:p>
              </w:tc>
              <w:tc>
                <w:tcPr/>
                <w:p>
                  <w:pPr>
                    <w:pStyle w:val="Compact"/>
                    <w:jc w:val="center"/>
                  </w:pPr>
                  <w:r>
                    <w:t xml:space="preserve">Aggregates, HMW (%)</w:t>
                  </w:r>
                </w:p>
              </w:tc>
              <w:tc>
                <w:tcPr/>
                <w:p>
                  <w:pPr>
                    <w:pStyle w:val="Compact"/>
                    <w:jc w:val="center"/>
                  </w:pPr>
                  <w:r>
                    <w:t xml:space="preserve">≤ 6.83</w:t>
                  </w:r>
                </w:p>
              </w:tc>
              <w:tc>
                <w:tcPr/>
                <w:p>
                  <w:pPr>
                    <w:pStyle w:val="Compact"/>
                    <w:jc w:val="center"/>
                  </w:pPr>
                  <w:r>
                    <w:t xml:space="preserve">1.52</w:t>
                  </w:r>
                </w:p>
              </w:tc>
              <w:tc>
                <w:tcPr/>
                <w:p>
                  <w:pPr>
                    <w:pStyle w:val="Compact"/>
                    <w:jc w:val="center"/>
                  </w:pPr>
                  <w:r>
                    <w:t xml:space="preserve">1.20 to 1.84</w:t>
                  </w:r>
                </w:p>
              </w:tc>
              <w:tc>
                <w:tcPr/>
                <w:p>
                  <w:pPr>
                    <w:pStyle w:val="Compact"/>
                    <w:jc w:val="center"/>
                  </w:pPr>
                  <w:r>
                    <w:t xml:space="preserve">Met</w:t>
                  </w:r>
                </w:p>
              </w:tc>
            </w:tr>
            <w:tr>
              <w:tc>
                <w:tcPr/>
                <w:p>
                  <w:pPr>
                    <w:pStyle w:val="Compact"/>
                    <w:jc w:val="center"/>
                  </w:pPr>
                  <w:r>
                    <w:t xml:space="preserve">Protein A</w:t>
                  </w:r>
                </w:p>
              </w:tc>
              <w:tc>
                <w:tcPr/>
                <w:p>
                  <w:pPr>
                    <w:pStyle w:val="Compact"/>
                    <w:jc w:val="center"/>
                  </w:pPr>
                  <w:r>
                    <w:t xml:space="preserve">Host cell protein (ng/mg)</w:t>
                  </w:r>
                </w:p>
              </w:tc>
              <w:tc>
                <w:tcPr/>
                <w:p>
                  <w:pPr>
                    <w:pStyle w:val="Compact"/>
                    <w:jc w:val="center"/>
                  </w:pPr>
                  <w:r>
                    <w:t xml:space="preserve">≤ 16,000</w:t>
                  </w:r>
                </w:p>
              </w:tc>
              <w:tc>
                <w:tcPr/>
                <w:p>
                  <w:pPr>
                    <w:pStyle w:val="Compact"/>
                    <w:jc w:val="center"/>
                  </w:pPr>
                  <w:r>
                    <w:t xml:space="preserve">7,216</w:t>
                  </w:r>
                </w:p>
              </w:tc>
              <w:tc>
                <w:tcPr/>
                <w:p>
                  <w:pPr>
                    <w:pStyle w:val="Compact"/>
                    <w:jc w:val="center"/>
                  </w:pPr>
                  <w:r>
                    <w:t xml:space="preserve">3,550 to 13,553</w:t>
                  </w:r>
                </w:p>
              </w:tc>
              <w:tc>
                <w:tcPr/>
                <w:p>
                  <w:pPr>
                    <w:pStyle w:val="Compact"/>
                    <w:jc w:val="center"/>
                  </w:pPr>
                  <w:r>
                    <w:t xml:space="preserve">Met</w:t>
                  </w:r>
                </w:p>
              </w:tc>
            </w:tr>
            <w:tr>
              <w:tc>
                <w:tcPr/>
                <w:p>
                  <w:pPr>
                    <w:pStyle w:val="Compact"/>
                    <w:jc w:val="center"/>
                  </w:pPr>
                  <w:r>
                    <w:t xml:space="preserve">Protein A</w:t>
                  </w:r>
                </w:p>
              </w:tc>
              <w:tc>
                <w:tcPr/>
                <w:p>
                  <w:pPr>
                    <w:pStyle w:val="Compact"/>
                    <w:jc w:val="center"/>
                  </w:pPr>
                  <w:r>
                    <w:t xml:space="preserve">Leached Protein A (ppm)</w:t>
                  </w:r>
                </w:p>
              </w:tc>
              <w:tc>
                <w:tcPr/>
                <w:p>
                  <w:pPr>
                    <w:pStyle w:val="Compact"/>
                    <w:jc w:val="center"/>
                  </w:pPr>
                  <w:r>
                    <w:t xml:space="preserve">≤ 158</w:t>
                  </w:r>
                </w:p>
              </w:tc>
              <w:tc>
                <w:tcPr/>
                <w:p>
                  <w:pPr>
                    <w:pStyle w:val="Compact"/>
                    <w:jc w:val="center"/>
                  </w:pPr>
                  <w:r>
                    <w:t xml:space="preserve">2.87</w:t>
                  </w:r>
                </w:p>
              </w:tc>
              <w:tc>
                <w:tcPr/>
                <w:p>
                  <w:pPr>
                    <w:pStyle w:val="Compact"/>
                    <w:jc w:val="center"/>
                  </w:pPr>
                  <w:r>
                    <w:t xml:space="preserve">2.46 to 3.22</w:t>
                  </w:r>
                </w:p>
              </w:tc>
              <w:tc>
                <w:tcPr/>
                <w:p>
                  <w:pPr>
                    <w:pStyle w:val="Compact"/>
                    <w:jc w:val="center"/>
                  </w:pPr>
                  <w:r>
                    <w:t xml:space="preserve">Met</w:t>
                  </w:r>
                </w:p>
              </w:tc>
            </w:tr>
            <w:tr>
              <w:tc>
                <w:tcPr/>
                <w:p>
                  <w:pPr>
                    <w:pStyle w:val="Compact"/>
                    <w:jc w:val="center"/>
                  </w:pPr>
                  <w:r>
                    <w:t xml:space="preserve">Protein A</w:t>
                  </w:r>
                </w:p>
              </w:tc>
              <w:tc>
                <w:tcPr/>
                <w:p>
                  <w:pPr>
                    <w:pStyle w:val="Compact"/>
                    <w:jc w:val="center"/>
                  </w:pPr>
                  <w:r>
                    <w:t xml:space="preserve">Fragments, LMW (%)</w:t>
                  </w:r>
                </w:p>
              </w:tc>
              <w:tc>
                <w:tcPr/>
                <w:p>
                  <w:pPr>
                    <w:pStyle w:val="Compact"/>
                    <w:jc w:val="center"/>
                  </w:pPr>
                  <w:r>
                    <w:t xml:space="preserve">≤ 2.45</w:t>
                  </w:r>
                </w:p>
              </w:tc>
              <w:tc>
                <w:tcPr/>
                <w:p>
                  <w:pPr>
                    <w:pStyle w:val="Compact"/>
                    <w:jc w:val="center"/>
                  </w:pPr>
                  <w:r>
                    <w:t xml:space="preserve">0.91</w:t>
                  </w:r>
                </w:p>
              </w:tc>
              <w:tc>
                <w:tcPr/>
                <w:p>
                  <w:pPr>
                    <w:pStyle w:val="Compact"/>
                    <w:jc w:val="center"/>
                  </w:pPr>
                  <w:r>
                    <w:t xml:space="preserve">0.86 to 0.97</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Aggregates, HMW (%)</w:t>
                  </w:r>
                </w:p>
              </w:tc>
              <w:tc>
                <w:tcPr/>
                <w:p>
                  <w:pPr>
                    <w:pStyle w:val="Compact"/>
                    <w:jc w:val="center"/>
                  </w:pPr>
                  <w:r>
                    <w:t xml:space="preserve">≤ 7.53</w:t>
                  </w:r>
                </w:p>
              </w:tc>
              <w:tc>
                <w:tcPr/>
                <w:p>
                  <w:pPr>
                    <w:pStyle w:val="Compact"/>
                    <w:jc w:val="center"/>
                  </w:pPr>
                  <w:r>
                    <w:t xml:space="preserve">1.91</w:t>
                  </w:r>
                </w:p>
              </w:tc>
              <w:tc>
                <w:tcPr/>
                <w:p>
                  <w:pPr>
                    <w:pStyle w:val="Compact"/>
                    <w:jc w:val="center"/>
                  </w:pPr>
                  <w:r>
                    <w:t xml:space="preserve">1.76 to 2.08</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XMuLV clearance (log10)</w:t>
                  </w:r>
                </w:p>
              </w:tc>
              <w:tc>
                <w:tcPr/>
                <w:p>
                  <w:pPr>
                    <w:pStyle w:val="Compact"/>
                    <w:jc w:val="center"/>
                  </w:pPr>
                  <w:r>
                    <w:t xml:space="preserve">≥ 6.60</w:t>
                  </w:r>
                </w:p>
              </w:tc>
              <w:tc>
                <w:tcPr/>
                <w:p>
                  <w:pPr>
                    <w:pStyle w:val="Compact"/>
                    <w:jc w:val="center"/>
                  </w:pPr>
                  <w:r>
                    <w:t xml:space="preserve">6.87</w:t>
                  </w:r>
                </w:p>
              </w:tc>
              <w:tc>
                <w:tcPr/>
                <w:p>
                  <w:pPr>
                    <w:pStyle w:val="Compact"/>
                    <w:jc w:val="center"/>
                  </w:pPr>
                  <w:r>
                    <w:t xml:space="preserve">6.43 to 7.29</w:t>
                  </w:r>
                </w:p>
              </w:tc>
              <w:tc>
                <w:tcPr/>
                <w:p>
                  <w:pPr>
                    <w:pStyle w:val="Compact"/>
                    <w:jc w:val="center"/>
                  </w:pPr>
                  <w:r>
                    <w:t xml:space="preserve">Not met</w:t>
                  </w:r>
                </w:p>
              </w:tc>
            </w:tr>
            <w:tr>
              <w:tc>
                <w:tcPr/>
                <w:p>
                  <w:pPr>
                    <w:pStyle w:val="Compact"/>
                    <w:jc w:val="center"/>
                  </w:pPr>
                  <w:r>
                    <w:t xml:space="preserve">Low-pH viral inactivation</w:t>
                  </w:r>
                </w:p>
              </w:tc>
              <w:tc>
                <w:tcPr/>
                <w:p>
                  <w:pPr>
                    <w:pStyle w:val="Compact"/>
                    <w:jc w:val="center"/>
                  </w:pPr>
                  <w:r>
                    <w:t xml:space="preserve">Acidic variants (%)</w:t>
                  </w:r>
                </w:p>
              </w:tc>
              <w:tc>
                <w:tcPr/>
                <w:p>
                  <w:pPr>
                    <w:pStyle w:val="Compact"/>
                    <w:jc w:val="center"/>
                  </w:pPr>
                  <w:r>
                    <w:t xml:space="preserve">18.0–40.0</w:t>
                  </w:r>
                </w:p>
              </w:tc>
              <w:tc>
                <w:tcPr/>
                <w:p>
                  <w:pPr>
                    <w:pStyle w:val="Compact"/>
                    <w:jc w:val="center"/>
                  </w:pPr>
                  <w:r>
                    <w:t xml:space="preserve">20.6</w:t>
                  </w:r>
                </w:p>
              </w:tc>
              <w:tc>
                <w:tcPr/>
                <w:p>
                  <w:pPr>
                    <w:pStyle w:val="Compact"/>
                    <w:jc w:val="center"/>
                  </w:pPr>
                  <w:r>
                    <w:t xml:space="preserve">20.5 to 20.7</w:t>
                  </w:r>
                </w:p>
              </w:tc>
              <w:tc>
                <w:tcPr/>
                <w:p>
                  <w:pPr>
                    <w:pStyle w:val="Compact"/>
                    <w:jc w:val="center"/>
                  </w:pPr>
                  <w:r>
                    <w:t xml:space="preserve">Met</w:t>
                  </w:r>
                </w:p>
              </w:tc>
            </w:tr>
            <w:tr>
              <w:tc>
                <w:tcPr/>
                <w:p>
                  <w:pPr>
                    <w:pStyle w:val="Compact"/>
                    <w:jc w:val="center"/>
                  </w:pPr>
                  <w:r>
                    <w:t xml:space="preserve">Low-pH viral inactivation</w:t>
                  </w:r>
                </w:p>
              </w:tc>
              <w:tc>
                <w:tcPr/>
                <w:p>
                  <w:pPr>
                    <w:pStyle w:val="Compact"/>
                    <w:jc w:val="center"/>
                  </w:pPr>
                  <w:r>
                    <w:t xml:space="preserve">Fragments, LMW (%)</w:t>
                  </w:r>
                </w:p>
              </w:tc>
              <w:tc>
                <w:tcPr/>
                <w:p>
                  <w:pPr>
                    <w:pStyle w:val="Compact"/>
                    <w:jc w:val="center"/>
                  </w:pPr>
                  <w:r>
                    <w:t xml:space="preserve">≤ 2.60</w:t>
                  </w:r>
                </w:p>
              </w:tc>
              <w:tc>
                <w:tcPr/>
                <w:p>
                  <w:pPr>
                    <w:pStyle w:val="Compact"/>
                    <w:jc w:val="center"/>
                  </w:pPr>
                  <w:r>
                    <w:t xml:space="preserve">0.98</w:t>
                  </w:r>
                </w:p>
              </w:tc>
              <w:tc>
                <w:tcPr/>
                <w:p>
                  <w:pPr>
                    <w:pStyle w:val="Compact"/>
                    <w:jc w:val="center"/>
                  </w:pPr>
                  <w:r>
                    <w:t xml:space="preserve">0.97 to 1.01</w:t>
                  </w:r>
                </w:p>
              </w:tc>
              <w:tc>
                <w:tcPr/>
                <w:p>
                  <w:pPr>
                    <w:pStyle w:val="Compact"/>
                    <w:jc w:val="center"/>
                  </w:pPr>
                  <w:r>
                    <w:t xml:space="preserve">Met</w:t>
                  </w:r>
                </w:p>
              </w:tc>
            </w:tr>
            <w:tr>
              <w:tc>
                <w:tcPr/>
                <w:p>
                  <w:pPr>
                    <w:pStyle w:val="Compact"/>
                    <w:jc w:val="center"/>
                  </w:pPr>
                  <w:r>
                    <w:t xml:space="preserve">Cation exchange</w:t>
                  </w:r>
                </w:p>
              </w:tc>
              <w:tc>
                <w:tcPr/>
                <w:p>
                  <w:pPr>
                    <w:pStyle w:val="Compact"/>
                    <w:jc w:val="center"/>
                  </w:pPr>
                  <w:r>
                    <w:t xml:space="preserve">Aggregates, HMW (%)</w:t>
                  </w:r>
                </w:p>
              </w:tc>
              <w:tc>
                <w:tcPr/>
                <w:p>
                  <w:pPr>
                    <w:pStyle w:val="Compact"/>
                    <w:jc w:val="center"/>
                  </w:pPr>
                  <w:r>
                    <w:t xml:space="preserve">≤ 5.00</w:t>
                  </w:r>
                </w:p>
              </w:tc>
              <w:tc>
                <w:tcPr/>
                <w:p>
                  <w:pPr>
                    <w:pStyle w:val="Compact"/>
                    <w:jc w:val="center"/>
                  </w:pPr>
                  <w:r>
                    <w:t xml:space="preserve">0.75</w:t>
                  </w:r>
                </w:p>
              </w:tc>
              <w:tc>
                <w:tcPr/>
                <w:p>
                  <w:pPr>
                    <w:pStyle w:val="Compact"/>
                    <w:jc w:val="center"/>
                  </w:pPr>
                  <w:r>
                    <w:t xml:space="preserve">0.53 to 1.27</w:t>
                  </w:r>
                </w:p>
              </w:tc>
              <w:tc>
                <w:tcPr/>
                <w:p>
                  <w:pPr>
                    <w:pStyle w:val="Compact"/>
                    <w:jc w:val="center"/>
                  </w:pPr>
                  <w:r>
                    <w:t xml:space="preserve">Met</w:t>
                  </w:r>
                </w:p>
              </w:tc>
            </w:tr>
            <w:tr>
              <w:tc>
                <w:tcPr/>
                <w:p>
                  <w:pPr>
                    <w:pStyle w:val="Compact"/>
                    <w:jc w:val="center"/>
                  </w:pPr>
                  <w:r>
                    <w:t xml:space="preserve">Cation exchange</w:t>
                  </w:r>
                </w:p>
              </w:tc>
              <w:tc>
                <w:tcPr/>
                <w:p>
                  <w:pPr>
                    <w:pStyle w:val="Compact"/>
                    <w:jc w:val="center"/>
                  </w:pPr>
                  <w:r>
                    <w:t xml:space="preserve">Host cell protein (ng/mg)</w:t>
                  </w:r>
                </w:p>
              </w:tc>
              <w:tc>
                <w:tcPr/>
                <w:p>
                  <w:pPr>
                    <w:pStyle w:val="Compact"/>
                    <w:jc w:val="center"/>
                  </w:pPr>
                  <w:r>
                    <w:t xml:space="preserve">≤ 400</w:t>
                  </w:r>
                </w:p>
              </w:tc>
              <w:tc>
                <w:tcPr/>
                <w:p>
                  <w:pPr>
                    <w:pStyle w:val="Compact"/>
                    <w:jc w:val="center"/>
                  </w:pPr>
                  <w:r>
                    <w:t xml:space="preserve">141</w:t>
                  </w:r>
                </w:p>
              </w:tc>
              <w:tc>
                <w:tcPr/>
                <w:p>
                  <w:pPr>
                    <w:pStyle w:val="Compact"/>
                    <w:jc w:val="center"/>
                  </w:pPr>
                  <w:r>
                    <w:t xml:space="preserve">95.3 to 209</w:t>
                  </w:r>
                </w:p>
              </w:tc>
              <w:tc>
                <w:tcPr/>
                <w:p>
                  <w:pPr>
                    <w:pStyle w:val="Compact"/>
                    <w:jc w:val="center"/>
                  </w:pPr>
                  <w:r>
                    <w:t xml:space="preserve">Met</w:t>
                  </w:r>
                </w:p>
              </w:tc>
            </w:tr>
            <w:tr>
              <w:tc>
                <w:tcPr/>
                <w:p>
                  <w:pPr>
                    <w:pStyle w:val="Compact"/>
                    <w:jc w:val="center"/>
                  </w:pPr>
                  <w:r>
                    <w:t xml:space="preserve">Cation exchange</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0.62</w:t>
                  </w:r>
                </w:p>
              </w:tc>
              <w:tc>
                <w:tcPr/>
                <w:p>
                  <w:pPr>
                    <w:pStyle w:val="Compact"/>
                    <w:jc w:val="center"/>
                  </w:pPr>
                  <w:r>
                    <w:t xml:space="preserve">0.56 to 0.69</w:t>
                  </w:r>
                </w:p>
              </w:tc>
              <w:tc>
                <w:tcPr/>
                <w:p>
                  <w:pPr>
                    <w:pStyle w:val="Compact"/>
                    <w:jc w:val="center"/>
                  </w:pPr>
                  <w:r>
                    <w:t xml:space="preserve">Met</w:t>
                  </w:r>
                </w:p>
              </w:tc>
            </w:tr>
            <w:tr>
              <w:tc>
                <w:tcPr/>
                <w:p>
                  <w:pPr>
                    <w:pStyle w:val="Compact"/>
                    <w:jc w:val="center"/>
                  </w:pPr>
                  <w:r>
                    <w:t xml:space="preserve">Anion exchange</w:t>
                  </w:r>
                </w:p>
              </w:tc>
              <w:tc>
                <w:tcPr/>
                <w:p>
                  <w:pPr>
                    <w:pStyle w:val="Compact"/>
                    <w:jc w:val="center"/>
                  </w:pPr>
                  <w:r>
                    <w:t xml:space="preserve">Host cell protein (ng/mg)</w:t>
                  </w:r>
                </w:p>
              </w:tc>
              <w:tc>
                <w:tcPr/>
                <w:p>
                  <w:pPr>
                    <w:pStyle w:val="Compact"/>
                    <w:jc w:val="center"/>
                  </w:pPr>
                  <w:r>
                    <w:t xml:space="preserve">≤ 100</w:t>
                  </w:r>
                </w:p>
              </w:tc>
              <w:tc>
                <w:tcPr/>
                <w:p>
                  <w:pPr>
                    <w:pStyle w:val="Compact"/>
                    <w:jc w:val="center"/>
                  </w:pPr>
                  <w:r>
                    <w:t xml:space="preserve">14.8</w:t>
                  </w:r>
                </w:p>
              </w:tc>
              <w:tc>
                <w:tcPr/>
                <w:p>
                  <w:pPr>
                    <w:pStyle w:val="Compact"/>
                    <w:jc w:val="center"/>
                  </w:pPr>
                  <w:r>
                    <w:t xml:space="preserve">9.26 to 22.2</w:t>
                  </w:r>
                </w:p>
              </w:tc>
              <w:tc>
                <w:tcPr/>
                <w:p>
                  <w:pPr>
                    <w:pStyle w:val="Compact"/>
                    <w:jc w:val="center"/>
                  </w:pPr>
                  <w:r>
                    <w:t xml:space="preserve">Met</w:t>
                  </w:r>
                </w:p>
              </w:tc>
            </w:tr>
            <w:tr>
              <w:tc>
                <w:tcPr/>
                <w:p>
                  <w:pPr>
                    <w:pStyle w:val="Compact"/>
                    <w:jc w:val="center"/>
                  </w:pPr>
                  <w:r>
                    <w:t xml:space="preserve">Anion exchange</w:t>
                  </w:r>
                </w:p>
              </w:tc>
              <w:tc>
                <w:tcPr/>
                <w:p>
                  <w:pPr>
                    <w:pStyle w:val="Compact"/>
                    <w:jc w:val="center"/>
                  </w:pPr>
                  <w:r>
                    <w:t xml:space="preserve">XMuLV clearance (log10)</w:t>
                  </w:r>
                </w:p>
              </w:tc>
              <w:tc>
                <w:tcPr/>
                <w:p>
                  <w:pPr>
                    <w:pStyle w:val="Compact"/>
                    <w:jc w:val="center"/>
                  </w:pPr>
                  <w:r>
                    <w:t xml:space="preserve">≥ 5.50</w:t>
                  </w:r>
                </w:p>
              </w:tc>
              <w:tc>
                <w:tcPr/>
                <w:p>
                  <w:pPr>
                    <w:pStyle w:val="Compact"/>
                    <w:jc w:val="center"/>
                  </w:pPr>
                  <w:r>
                    <w:t xml:space="preserve">6.58</w:t>
                  </w:r>
                </w:p>
              </w:tc>
              <w:tc>
                <w:tcPr/>
                <w:p>
                  <w:pPr>
                    <w:pStyle w:val="Compact"/>
                    <w:jc w:val="center"/>
                  </w:pPr>
                  <w:r>
                    <w:t xml:space="preserve">5.83 to 7.48</w:t>
                  </w:r>
                </w:p>
              </w:tc>
              <w:tc>
                <w:tcPr/>
                <w:p>
                  <w:pPr>
                    <w:pStyle w:val="Compact"/>
                    <w:jc w:val="center"/>
                  </w:pPr>
                  <w:r>
                    <w:t xml:space="preserve">Met</w:t>
                  </w:r>
                </w:p>
              </w:tc>
            </w:tr>
            <w:tr>
              <w:tc>
                <w:tcPr/>
                <w:p>
                  <w:pPr>
                    <w:pStyle w:val="Compact"/>
                    <w:jc w:val="center"/>
                  </w:pPr>
                  <w:r>
                    <w:t xml:space="preserve">Anion exchange</w:t>
                  </w:r>
                </w:p>
              </w:tc>
              <w:tc>
                <w:tcPr/>
                <w:p>
                  <w:pPr>
                    <w:pStyle w:val="Compact"/>
                    <w:jc w:val="center"/>
                  </w:pPr>
                  <w:r>
                    <w:t xml:space="preserve">MVM clearance (log10)</w:t>
                  </w:r>
                </w:p>
              </w:tc>
              <w:tc>
                <w:tcPr/>
                <w:p>
                  <w:pPr>
                    <w:pStyle w:val="Compact"/>
                    <w:jc w:val="center"/>
                  </w:pPr>
                  <w:r>
                    <w:t xml:space="preserve">≥ 4.00</w:t>
                  </w:r>
                </w:p>
              </w:tc>
              <w:tc>
                <w:tcPr/>
                <w:p>
                  <w:pPr>
                    <w:pStyle w:val="Compact"/>
                    <w:jc w:val="center"/>
                  </w:pPr>
                  <w:r>
                    <w:t xml:space="preserve">4.87</w:t>
                  </w:r>
                </w:p>
              </w:tc>
              <w:tc>
                <w:tcPr/>
                <w:p>
                  <w:pPr>
                    <w:pStyle w:val="Compact"/>
                    <w:jc w:val="center"/>
                  </w:pPr>
                  <w:r>
                    <w:t xml:space="preserve">4.20 to 5.65</w:t>
                  </w:r>
                </w:p>
              </w:tc>
              <w:tc>
                <w:tcPr/>
                <w:p>
                  <w:pPr>
                    <w:pStyle w:val="Compact"/>
                    <w:jc w:val="center"/>
                  </w:pPr>
                  <w:r>
                    <w:t xml:space="preserve">Met</w:t>
                  </w:r>
                </w:p>
              </w:tc>
            </w:tr>
            <w:tr>
              <w:tc>
                <w:tcPr/>
                <w:p>
                  <w:pPr>
                    <w:pStyle w:val="Compact"/>
                    <w:jc w:val="center"/>
                  </w:pPr>
                  <w:r>
                    <w:t xml:space="preserve">Anion exchange</w:t>
                  </w:r>
                </w:p>
              </w:tc>
              <w:tc>
                <w:tcPr/>
                <w:p>
                  <w:pPr>
                    <w:pStyle w:val="Compact"/>
                    <w:jc w:val="center"/>
                  </w:pPr>
                  <w:r>
                    <w:t xml:space="preserve">Fragments, LMW (%)</w:t>
                  </w:r>
                </w:p>
              </w:tc>
              <w:tc>
                <w:tcPr/>
                <w:p>
                  <w:pPr>
                    <w:pStyle w:val="Compact"/>
                    <w:jc w:val="center"/>
                  </w:pPr>
                  <w:r>
                    <w:t xml:space="preserve">≤ 2.00</w:t>
                  </w:r>
                </w:p>
              </w:tc>
              <w:tc>
                <w:tcPr/>
                <w:p>
                  <w:pPr>
                    <w:pStyle w:val="Compact"/>
                    <w:jc w:val="center"/>
                  </w:pPr>
                  <w:r>
                    <w:t xml:space="preserve">0.61</w:t>
                  </w:r>
                </w:p>
              </w:tc>
              <w:tc>
                <w:tcPr/>
                <w:p>
                  <w:pPr>
                    <w:pStyle w:val="Compact"/>
                    <w:jc w:val="center"/>
                  </w:pPr>
                  <w:r>
                    <w:t xml:space="preserve">0.58 to 0.65</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MVM clearance (log10)</w:t>
                  </w:r>
                </w:p>
              </w:tc>
              <w:tc>
                <w:tcPr/>
                <w:p>
                  <w:pPr>
                    <w:pStyle w:val="Compact"/>
                    <w:jc w:val="center"/>
                  </w:pPr>
                  <w:r>
                    <w:t xml:space="preserve">≥ 4.62</w:t>
                  </w:r>
                </w:p>
              </w:tc>
              <w:tc>
                <w:tcPr/>
                <w:p>
                  <w:pPr>
                    <w:pStyle w:val="Compact"/>
                    <w:jc w:val="center"/>
                  </w:pPr>
                  <w:r>
                    <w:t xml:space="preserve">5.55</w:t>
                  </w:r>
                </w:p>
              </w:tc>
              <w:tc>
                <w:tcPr/>
                <w:p>
                  <w:pPr>
                    <w:pStyle w:val="Compact"/>
                    <w:jc w:val="center"/>
                  </w:pPr>
                  <w:r>
                    <w:t xml:space="preserve">5.16 to 6.52</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XMuLV clearance (log10)</w:t>
                  </w:r>
                </w:p>
              </w:tc>
              <w:tc>
                <w:tcPr/>
                <w:p>
                  <w:pPr>
                    <w:pStyle w:val="Compact"/>
                    <w:jc w:val="center"/>
                  </w:pPr>
                  <w:r>
                    <w:t xml:space="preserve">≥ 4.62</w:t>
                  </w:r>
                </w:p>
              </w:tc>
              <w:tc>
                <w:tcPr/>
                <w:p>
                  <w:pPr>
                    <w:pStyle w:val="Compact"/>
                    <w:jc w:val="center"/>
                  </w:pPr>
                  <w:r>
                    <w:t xml:space="preserve">6.10</w:t>
                  </w:r>
                </w:p>
              </w:tc>
              <w:tc>
                <w:tcPr/>
                <w:p>
                  <w:pPr>
                    <w:pStyle w:val="Compact"/>
                    <w:jc w:val="center"/>
                  </w:pPr>
                  <w:r>
                    <w:t xml:space="preserve">6.04 to 6.27</w:t>
                  </w:r>
                </w:p>
              </w:tc>
              <w:tc>
                <w:tcPr/>
                <w:p>
                  <w:pPr>
                    <w:pStyle w:val="Compact"/>
                    <w:jc w:val="center"/>
                  </w:pPr>
                  <w:r>
                    <w:t xml:space="preserve">Met</w:t>
                  </w:r>
                </w:p>
              </w:tc>
            </w:tr>
          </w:tbl>
          <w:bookmarkEnd w:id="5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4" w:name="tbl-viral"/>
          <w:p>
            <w:pPr>
              <w:jc w:val="center"/>
            </w:pPr>
            <w:pPr>
              <w:jc w:val="start"/>
              <w:spacing w:before="200"/>
              <w:pStyle w:val="ImageCaption"/>
            </w:pPr>
            <w:r>
              <w:t xml:space="preserve">Table 14: Viral clearance claims against the step results of this campaign.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Step</w:t>
                  </w:r>
                </w:p>
              </w:tc>
              <w:tc>
                <w:tcPr/>
                <w:p>
                  <w:pPr>
                    <w:pStyle w:val="Compact"/>
                    <w:jc w:val="center"/>
                  </w:pPr>
                  <w:r>
                    <w:t xml:space="preserve">Virus</w:t>
                  </w:r>
                </w:p>
              </w:tc>
              <w:tc>
                <w:tcPr/>
                <w:p>
                  <w:pPr>
                    <w:pStyle w:val="Compact"/>
                    <w:jc w:val="center"/>
                  </w:pPr>
                  <w:r>
                    <w:t xml:space="preserve">Platform claim (log10)</w:t>
                  </w:r>
                </w:p>
              </w:tc>
              <w:tc>
                <w:tcPr/>
                <w:p>
                  <w:pPr>
                    <w:pStyle w:val="Compact"/>
                    <w:jc w:val="center"/>
                  </w:pPr>
                  <w:r>
                    <w:t xml:space="preserve">Step result (log10)</w:t>
                  </w:r>
                </w:p>
              </w:tc>
              <w:tc>
                <w:tcPr/>
                <w:p>
                  <w:pPr>
                    <w:pStyle w:val="Compact"/>
                    <w:jc w:val="center"/>
                  </w:pPr>
                  <w:r>
                    <w:t xml:space="preserve">Claim</w:t>
                  </w:r>
                </w:p>
              </w:tc>
            </w:tr>
            <w:tr>
              <w:tc>
                <w:tcPr/>
                <w:p>
                  <w:pPr>
                    <w:pStyle w:val="Compact"/>
                    <w:jc w:val="center"/>
                  </w:pPr>
                  <w:r>
                    <w:t xml:space="preserve">Low-pH viral inactivation</w:t>
                  </w:r>
                </w:p>
              </w:tc>
              <w:tc>
                <w:tcPr/>
                <w:p>
                  <w:pPr>
                    <w:pStyle w:val="Compact"/>
                    <w:jc w:val="center"/>
                  </w:pPr>
                  <w:r>
                    <w:t xml:space="preserve">XMuLV</w:t>
                  </w:r>
                </w:p>
              </w:tc>
              <w:tc>
                <w:tcPr/>
                <w:p>
                  <w:pPr>
                    <w:pStyle w:val="Compact"/>
                    <w:jc w:val="center"/>
                  </w:pPr>
                  <w:r>
                    <w:t xml:space="preserve">≥ 6.6</w:t>
                  </w:r>
                </w:p>
              </w:tc>
              <w:tc>
                <w:tcPr/>
                <w:p>
                  <w:pPr>
                    <w:pStyle w:val="Compact"/>
                    <w:jc w:val="center"/>
                  </w:pPr>
                  <w:r>
                    <w:t xml:space="preserve">7.10</w:t>
                  </w:r>
                </w:p>
              </w:tc>
              <w:tc>
                <w:tcPr/>
                <w:p>
                  <w:pPr>
                    <w:pStyle w:val="Compact"/>
                    <w:jc w:val="center"/>
                  </w:pPr>
                  <w:r>
                    <w:t xml:space="preserve">Met</w:t>
                  </w:r>
                </w:p>
              </w:tc>
            </w:tr>
            <w:tr>
              <w:tc>
                <w:tcPr/>
                <w:p>
                  <w:pPr>
                    <w:pStyle w:val="Compact"/>
                    <w:jc w:val="center"/>
                  </w:pPr>
                  <w:r>
                    <w:t xml:space="preserve">Anion exchange</w:t>
                  </w:r>
                </w:p>
              </w:tc>
              <w:tc>
                <w:tcPr/>
                <w:p>
                  <w:pPr>
                    <w:pStyle w:val="Compact"/>
                    <w:jc w:val="center"/>
                  </w:pPr>
                  <w:r>
                    <w:t xml:space="preserve">XMuLV</w:t>
                  </w:r>
                </w:p>
              </w:tc>
              <w:tc>
                <w:tcPr/>
                <w:p>
                  <w:pPr>
                    <w:pStyle w:val="Compact"/>
                    <w:jc w:val="center"/>
                  </w:pPr>
                  <w:r>
                    <w:t xml:space="preserve">≥ 5.5</w:t>
                  </w:r>
                </w:p>
              </w:tc>
              <w:tc>
                <w:tcPr/>
                <w:p>
                  <w:pPr>
                    <w:pStyle w:val="Compact"/>
                    <w:jc w:val="center"/>
                  </w:pPr>
                  <w:r>
                    <w:t xml:space="preserve">5.95</w:t>
                  </w:r>
                </w:p>
              </w:tc>
              <w:tc>
                <w:tcPr/>
                <w:p>
                  <w:pPr>
                    <w:pStyle w:val="Compact"/>
                    <w:jc w:val="center"/>
                  </w:pPr>
                  <w:r>
                    <w:t xml:space="preserve">Met</w:t>
                  </w:r>
                </w:p>
              </w:tc>
            </w:tr>
            <w:tr>
              <w:tc>
                <w:tcPr/>
                <w:p>
                  <w:pPr>
                    <w:pStyle w:val="Compact"/>
                    <w:jc w:val="center"/>
                  </w:pPr>
                  <w:r>
                    <w:t xml:space="preserve">Anion exchange</w:t>
                  </w:r>
                </w:p>
              </w:tc>
              <w:tc>
                <w:tcPr/>
                <w:p>
                  <w:pPr>
                    <w:pStyle w:val="Compact"/>
                    <w:jc w:val="center"/>
                  </w:pPr>
                  <w:r>
                    <w:t xml:space="preserve">MVM</w:t>
                  </w:r>
                </w:p>
              </w:tc>
              <w:tc>
                <w:tcPr/>
                <w:p>
                  <w:pPr>
                    <w:pStyle w:val="Compact"/>
                    <w:jc w:val="center"/>
                  </w:pPr>
                  <w:r>
                    <w:t xml:space="preserve">≥ 4</w:t>
                  </w:r>
                </w:p>
              </w:tc>
              <w:tc>
                <w:tcPr/>
                <w:p>
                  <w:pPr>
                    <w:pStyle w:val="Compact"/>
                    <w:jc w:val="center"/>
                  </w:pPr>
                  <w:r>
                    <w:t xml:space="preserve">4.71</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MVM</w:t>
                  </w:r>
                </w:p>
              </w:tc>
              <w:tc>
                <w:tcPr/>
                <w:p>
                  <w:pPr>
                    <w:pStyle w:val="Compact"/>
                    <w:jc w:val="center"/>
                  </w:pPr>
                  <w:r>
                    <w:t xml:space="preserve">≥ 4.62</w:t>
                  </w:r>
                </w:p>
              </w:tc>
              <w:tc>
                <w:tcPr/>
                <w:p>
                  <w:pPr>
                    <w:pStyle w:val="Compact"/>
                    <w:jc w:val="center"/>
                  </w:pPr>
                  <w:r>
                    <w:t xml:space="preserve">5.32</w:t>
                  </w:r>
                </w:p>
              </w:tc>
              <w:tc>
                <w:tcPr/>
                <w:p>
                  <w:pPr>
                    <w:pStyle w:val="Compact"/>
                    <w:jc w:val="center"/>
                  </w:pPr>
                  <w:r>
                    <w:t xml:space="preserve">Met</w:t>
                  </w:r>
                </w:p>
              </w:tc>
            </w:tr>
            <w:tr>
              <w:tc>
                <w:tcPr/>
                <w:p>
                  <w:pPr>
                    <w:pStyle w:val="Compact"/>
                    <w:jc w:val="center"/>
                  </w:pPr>
                  <w:r>
                    <w:t xml:space="preserve">Virus filtration</w:t>
                  </w:r>
                </w:p>
              </w:tc>
              <w:tc>
                <w:tcPr/>
                <w:p>
                  <w:pPr>
                    <w:pStyle w:val="Compact"/>
                    <w:jc w:val="center"/>
                  </w:pPr>
                  <w:r>
                    <w:t xml:space="preserve">XMuLV</w:t>
                  </w:r>
                </w:p>
              </w:tc>
              <w:tc>
                <w:tcPr/>
                <w:p>
                  <w:pPr>
                    <w:pStyle w:val="Compact"/>
                    <w:jc w:val="center"/>
                  </w:pPr>
                  <w:r>
                    <w:t xml:space="preserve">≥ 4.62</w:t>
                  </w:r>
                </w:p>
              </w:tc>
              <w:tc>
                <w:tcPr/>
                <w:p>
                  <w:pPr>
                    <w:pStyle w:val="Compact"/>
                    <w:jc w:val="center"/>
                  </w:pPr>
                  <w:r>
                    <w:t xml:space="preserve">5.82</w:t>
                  </w:r>
                </w:p>
              </w:tc>
              <w:tc>
                <w:tcPr/>
                <w:p>
                  <w:pPr>
                    <w:pStyle w:val="Compact"/>
                    <w:jc w:val="center"/>
                  </w:pPr>
                  <w:r>
                    <w:t xml:space="preserve">Met</w:t>
                  </w:r>
                </w:p>
              </w:tc>
            </w:tr>
          </w:tbl>
          <w:bookmarkEnd w:id="54"/>
          <w:p/>
        </w:tc>
      </w:tr>
    </w:tbl>
    <w:bookmarkEnd w:id="55"/>
    <w:bookmarkStart w:id="56" w:name="capability"/>
    <w:p>
      <w:pPr>
        <w:pStyle w:val="Heading2"/>
      </w:pPr>
      <w:r>
        <w:t xml:space="preserve">6.4 Capability</w:t>
      </w:r>
    </w:p>
    <w:p>
      <w:pPr>
        <w:pStyle w:val="FirstParagraph"/>
      </w:pPr>
      <w:r>
        <w:t xml:space="preserve">In the re-analysis, the capability of acidic variants was assessed against both ends of its range (F4). The lowest capability index of the drug substance moves from 1.51 for MVM clearance to 1.03 for acidic variants, against the lower limit of 18 %. PCMP-001 Version 2.0 sets a capability target of 1.33, which is common industry practice for a capable process, and a minimum of 1.00, the point at which a spread of three standard deviations reaches the criterion. Only acidic variants falls below the target, and every attribute meets the minimum. The re-analysis also gives the probability of a drug substance batch outside specification for each attribute, from the same simulation. For acidic variants the simulation puts one batch in 2,000 outside the range, and a normal fit gives 971 per million. No simulated batch falls outside the range of any other attribute.</w:t>
      </w:r>
    </w:p>
    <w:bookmarkEnd w:id="56"/>
    <w:bookmarkStart w:id="57" w:name="fragments"/>
    <w:p>
      <w:pPr>
        <w:pStyle w:val="Heading2"/>
      </w:pPr>
      <w:r>
        <w:t xml:space="preserve">6.5 Fragments</w:t>
      </w:r>
    </w:p>
    <w:p>
      <w:pPr>
        <w:pStyle w:val="FirstParagraph"/>
      </w:pPr>
      <w:r>
        <w:t xml:space="preserve">In the re-analysis, every study in scope for fragments is judged on nrCE-SDS, against the fragment criteria in</w:t>
      </w:r>
      <w:r>
        <w:t xml:space="preserve"> </w:t>
      </w:r>
      <w:hyperlink w:anchor="tbl-iac">
        <w:r>
          <w:rPr>
            <w:rStyle w:val="Hyperlink"/>
          </w:rPr>
          <w:t xml:space="preserve">Table 10</w:t>
        </w:r>
      </w:hyperlink>
      <w:r>
        <w:t xml:space="preserve">. SEC fragment results from the Protein A and viral inactivation matrices will be reported for information only and not used to judge a step. They could not have supported a fragment criterion at those steps, because they include host cell protein (F6).</w:t>
      </w:r>
    </w:p>
    <w:bookmarkEnd w:id="57"/>
    <w:bookmarkStart w:id="58" w:name="product-impact"/>
    <w:p>
      <w:pPr>
        <w:pStyle w:val="Heading2"/>
      </w:pPr>
      <w:r>
        <w:t xml:space="preserve">6.6 Product impact</w:t>
      </w:r>
    </w:p>
    <w:p>
      <w:pPr>
        <w:pStyle w:val="FirstParagraph"/>
      </w:pPr>
      <w:r>
        <w:t xml:space="preserve">No GMP batch of A-Mab was manufactured or dispositioned on the basis of these documents, and Version 1.0 was not used in a regulatory submission. The findings concern how the characterization data were judged. The experiments, the process and the drug-substance criteria that existed in Version 1.0 are unchanged. Version 2.0 adds one drug-substance criterion, for fragments, at ≤ 2.00 %. There is no product impact.</w:t>
      </w:r>
    </w:p>
    <w:bookmarkEnd w:id="58"/>
    <w:bookmarkEnd w:id="59"/>
    <w:bookmarkStart w:id="61" w:name="corrective-and-preventive-actions"/>
    <w:p>
      <w:pPr>
        <w:pStyle w:val="Heading1"/>
      </w:pPr>
      <w:r>
        <w:t xml:space="preserve">7. Corrective and preventive actions</w:t>
      </w:r>
    </w:p>
    <w:p>
      <w:pPr>
        <w:pStyle w:val="FirstParagraph"/>
      </w:pPr>
      <w:r>
        <w:t xml:space="preserve">The actions in</w:t>
      </w:r>
      <w:r>
        <w:t xml:space="preserve"> </w:t>
      </w:r>
      <w:hyperlink w:anchor="tbl-capa">
        <w:r>
          <w:rPr>
            <w:rStyle w:val="Hyperlink"/>
          </w:rPr>
          <w:t xml:space="preserve">Table 15</w:t>
        </w:r>
      </w:hyperlink>
      <w:r>
        <w:t xml:space="preserve"> </w:t>
      </w:r>
      <w:r>
        <w:t xml:space="preserve">follow from the root cause and the contributing causes in §5. All six actions were open at closure and are tracked to their due dates in the CAPA system</w:t>
      </w:r>
      <w:r>
        <w:t xml:space="preserve"> </w:t>
      </w:r>
      <w:r>
        <w:t xml:space="preserve">(International Council for Harmonisation 2008)</w:t>
      </w:r>
      <w:r>
        <w:t xml:space="preserve">. The retest of retained samples by nrCE-SDS, which finished on 2026-04-17 under AMD-001, is not an action of this investigation. It is a prior action that F6 relies on.</w:t>
      </w:r>
    </w:p>
    <w:tbl>
      <w:tblPr>
        <w:tblStyle w:val="Table"/>
        <w:tblW w:type="pct" w:w="5000"/>
        <w:tblLayout w:type="fixed"/>
        <w:tblLook w:firstRow="0" w:lastRow="0" w:firstColumn="0" w:lastColumn="0" w:noHBand="0" w:noVBand="0" w:val="0000"/>
      </w:tblPr>
      <w:tblGrid>
        <w:gridCol w:w="7920"/>
      </w:tblGrid>
      <w:tr>
        <w:tc>
          <w:tcPr/>
          <w:bookmarkStart w:id="60" w:name="tbl-capa"/>
          <w:p>
            <w:pPr>
              <w:jc w:val="center"/>
            </w:pPr>
            <w:pPr>
              <w:jc w:val="start"/>
              <w:spacing w:before="200"/>
              <w:pStyle w:val="ImageCaption"/>
            </w:pPr>
            <w:r>
              <w:t xml:space="preserve">Table 15: Corrective (CA) and preventive (PA) actions.</w:t>
            </w:r>
          </w:p>
          <w:tbl>
            <w:tblPr>
              <w:tblStyle w:val="Table"/>
              <w:tblW w:type="pct" w:w="5000"/>
              <w:tblLayout w:type="fixed"/>
              <w:tblLook w:firstRow="1" w:lastRow="0" w:firstColumn="0" w:lastColumn="0" w:noHBand="0" w:noVBand="0" w:val="0020"/>
            </w:tblPr>
            <w:tblGrid>
              <w:gridCol w:w="489"/>
              <w:gridCol w:w="3755"/>
              <w:gridCol w:w="1306"/>
              <w:gridCol w:w="1224"/>
              <w:gridCol w:w="1143"/>
            </w:tblGrid>
            <w:tr>
              <w:trPr>
                <w:tblHeader w:val="on"/>
              </w:trPr>
              <w:tc>
                <w:tcPr/>
                <w:p>
                  <w:pPr>
                    <w:pStyle w:val="Compact"/>
                    <w:jc w:val="center"/>
                  </w:pPr>
                  <w:r>
                    <w:t xml:space="preserve">No.</w:t>
                  </w:r>
                </w:p>
              </w:tc>
              <w:tc>
                <w:tcPr/>
                <w:p>
                  <w:pPr>
                    <w:pStyle w:val="Compact"/>
                    <w:jc w:val="center"/>
                  </w:pPr>
                  <w:r>
                    <w:t xml:space="preserve">Action</w:t>
                  </w:r>
                </w:p>
              </w:tc>
              <w:tc>
                <w:tcPr/>
                <w:p>
                  <w:pPr>
                    <w:pStyle w:val="Compact"/>
                    <w:jc w:val="center"/>
                  </w:pPr>
                  <w:r>
                    <w:t xml:space="preserve">Owner function</w:t>
                  </w:r>
                </w:p>
              </w:tc>
              <w:tc>
                <w:tcPr/>
                <w:p>
                  <w:pPr>
                    <w:pStyle w:val="Compact"/>
                    <w:jc w:val="center"/>
                  </w:pPr>
                  <w:r>
                    <w:t xml:space="preserve">Due</w:t>
                  </w:r>
                </w:p>
              </w:tc>
              <w:tc>
                <w:tcPr/>
                <w:p>
                  <w:pPr>
                    <w:pStyle w:val="Compact"/>
                    <w:jc w:val="center"/>
                  </w:pPr>
                  <w:r>
                    <w:t xml:space="preserve">Status</w:t>
                  </w:r>
                </w:p>
              </w:tc>
            </w:tr>
            <w:tr>
              <w:tc>
                <w:tcPr/>
                <w:p>
                  <w:pPr>
                    <w:pStyle w:val="Compact"/>
                    <w:jc w:val="center"/>
                  </w:pPr>
                  <w:r>
                    <w:t xml:space="preserve">CA1</w:t>
                  </w:r>
                </w:p>
              </w:tc>
              <w:tc>
                <w:tcPr/>
                <w:p>
                  <w:pPr>
                    <w:pStyle w:val="Compact"/>
                    <w:jc w:val="center"/>
                  </w:pPr>
                  <w:r>
                    <w:t xml:space="preserve">Reissue PCMP-001 with a priori intermediate acceptance criteria</w:t>
                  </w:r>
                </w:p>
              </w:tc>
              <w:tc>
                <w:tcPr/>
                <w:p>
                  <w:pPr>
                    <w:pStyle w:val="Compact"/>
                    <w:jc w:val="center"/>
                  </w:pPr>
                  <w:r>
                    <w:t xml:space="preserve">MSAT</w:t>
                  </w:r>
                </w:p>
              </w:tc>
              <w:tc>
                <w:tcPr/>
                <w:p>
                  <w:pPr>
                    <w:pStyle w:val="Compact"/>
                    <w:jc w:val="center"/>
                  </w:pPr>
                  <w:r>
                    <w:t xml:space="preserve">2026-09-30</w:t>
                  </w:r>
                </w:p>
              </w:tc>
              <w:tc>
                <w:tcPr/>
                <w:p>
                  <w:pPr>
                    <w:pStyle w:val="Compact"/>
                    <w:jc w:val="center"/>
                  </w:pPr>
                  <w:r>
                    <w:t xml:space="preserve">open at closure</w:t>
                  </w:r>
                </w:p>
              </w:tc>
            </w:tr>
            <w:tr>
              <w:tc>
                <w:tcPr/>
                <w:p>
                  <w:pPr>
                    <w:pStyle w:val="Compact"/>
                    <w:jc w:val="center"/>
                  </w:pPr>
                  <w:r>
                    <w:t xml:space="preserve">CA2</w:t>
                  </w:r>
                </w:p>
              </w:tc>
              <w:tc>
                <w:tcPr/>
                <w:p>
                  <w:pPr>
                    <w:pStyle w:val="Compact"/>
                    <w:jc w:val="center"/>
                  </w:pPr>
                  <w:r>
                    <w:t xml:space="preserve">Amend PCP-003 to PCP-010 with the criteria and the fragment method</w:t>
                  </w:r>
                </w:p>
              </w:tc>
              <w:tc>
                <w:tcPr/>
                <w:p>
                  <w:pPr>
                    <w:pStyle w:val="Compact"/>
                    <w:jc w:val="center"/>
                  </w:pPr>
                  <w:r>
                    <w:t xml:space="preserve">MSAT</w:t>
                  </w:r>
                </w:p>
              </w:tc>
              <w:tc>
                <w:tcPr/>
                <w:p>
                  <w:pPr>
                    <w:pStyle w:val="Compact"/>
                    <w:jc w:val="center"/>
                  </w:pPr>
                  <w:r>
                    <w:t xml:space="preserve">2026-09-30</w:t>
                  </w:r>
                </w:p>
              </w:tc>
              <w:tc>
                <w:tcPr/>
                <w:p>
                  <w:pPr>
                    <w:pStyle w:val="Compact"/>
                    <w:jc w:val="center"/>
                  </w:pPr>
                  <w:r>
                    <w:t xml:space="preserve">open at closure</w:t>
                  </w:r>
                </w:p>
              </w:tc>
            </w:tr>
            <w:tr>
              <w:tc>
                <w:tcPr/>
                <w:p>
                  <w:pPr>
                    <w:pStyle w:val="Compact"/>
                    <w:jc w:val="center"/>
                  </w:pPr>
                  <w:r>
                    <w:t xml:space="preserve">CA3</w:t>
                  </w:r>
                </w:p>
              </w:tc>
              <w:tc>
                <w:tcPr/>
                <w:p>
                  <w:pPr>
                    <w:pStyle w:val="Compact"/>
                    <w:jc w:val="center"/>
                  </w:pPr>
                  <w:r>
                    <w:t xml:space="preserve">Reissue PCR-003 to PCR-010, PTP-001, RA-001 and PCMR-001 at Version 2.0</w:t>
                  </w:r>
                </w:p>
              </w:tc>
              <w:tc>
                <w:tcPr/>
                <w:p>
                  <w:pPr>
                    <w:pStyle w:val="Compact"/>
                    <w:jc w:val="center"/>
                  </w:pPr>
                  <w:r>
                    <w:t xml:space="preserve">MSAT</w:t>
                  </w:r>
                </w:p>
              </w:tc>
              <w:tc>
                <w:tcPr/>
                <w:p>
                  <w:pPr>
                    <w:pStyle w:val="Compact"/>
                    <w:jc w:val="center"/>
                  </w:pPr>
                  <w:r>
                    <w:t xml:space="preserve">2026-09-30</w:t>
                  </w:r>
                </w:p>
              </w:tc>
              <w:tc>
                <w:tcPr/>
                <w:p>
                  <w:pPr>
                    <w:pStyle w:val="Compact"/>
                    <w:jc w:val="center"/>
                  </w:pPr>
                  <w:r>
                    <w:t xml:space="preserve">open at closure</w:t>
                  </w:r>
                </w:p>
              </w:tc>
            </w:tr>
            <w:tr>
              <w:tc>
                <w:tcPr/>
                <w:p>
                  <w:pPr>
                    <w:pStyle w:val="Compact"/>
                    <w:jc w:val="center"/>
                  </w:pPr>
                  <w:r>
                    <w:t xml:space="preserve">PA1</w:t>
                  </w:r>
                </w:p>
              </w:tc>
              <w:tc>
                <w:tcPr/>
                <w:p>
                  <w:pPr>
                    <w:pStyle w:val="Compact"/>
                    <w:jc w:val="center"/>
                  </w:pPr>
                  <w:r>
                    <w:t xml:space="preserve">Revise SOP-1002 so acceptance criteria are approved in the protocol before execution</w:t>
                  </w:r>
                </w:p>
              </w:tc>
              <w:tc>
                <w:tcPr/>
                <w:p>
                  <w:pPr>
                    <w:pStyle w:val="Compact"/>
                    <w:jc w:val="center"/>
                  </w:pPr>
                  <w:r>
                    <w:t xml:space="preserve">Quality Assurance</w:t>
                  </w:r>
                </w:p>
              </w:tc>
              <w:tc>
                <w:tcPr/>
                <w:p>
                  <w:pPr>
                    <w:pStyle w:val="Compact"/>
                    <w:jc w:val="center"/>
                  </w:pPr>
                  <w:r>
                    <w:t xml:space="preserve">2026-11-30</w:t>
                  </w:r>
                </w:p>
              </w:tc>
              <w:tc>
                <w:tcPr/>
                <w:p>
                  <w:pPr>
                    <w:pStyle w:val="Compact"/>
                    <w:jc w:val="center"/>
                  </w:pPr>
                  <w:r>
                    <w:t xml:space="preserve">open at closure</w:t>
                  </w:r>
                </w:p>
              </w:tc>
            </w:tr>
            <w:tr>
              <w:tc>
                <w:tcPr/>
                <w:p>
                  <w:pPr>
                    <w:pStyle w:val="Compact"/>
                    <w:jc w:val="center"/>
                  </w:pPr>
                  <w:r>
                    <w:t xml:space="preserve">PA2</w:t>
                  </w:r>
                </w:p>
              </w:tc>
              <w:tc>
                <w:tcPr/>
                <w:p>
                  <w:pPr>
                    <w:pStyle w:val="Compact"/>
                    <w:jc w:val="center"/>
                  </w:pPr>
                  <w:r>
                    <w:t xml:space="preserve">Add to the report review checklist of SOP-4001 a check that every acceptance criterion is traceable to the approved protocol</w:t>
                  </w:r>
                </w:p>
              </w:tc>
              <w:tc>
                <w:tcPr/>
                <w:p>
                  <w:pPr>
                    <w:pStyle w:val="Compact"/>
                    <w:jc w:val="center"/>
                  </w:pPr>
                  <w:r>
                    <w:t xml:space="preserve">Quality Assurance</w:t>
                  </w:r>
                </w:p>
              </w:tc>
              <w:tc>
                <w:tcPr/>
                <w:p>
                  <w:pPr>
                    <w:pStyle w:val="Compact"/>
                    <w:jc w:val="center"/>
                  </w:pPr>
                  <w:r>
                    <w:t xml:space="preserve">2026-11-30</w:t>
                  </w:r>
                </w:p>
              </w:tc>
              <w:tc>
                <w:tcPr/>
                <w:p>
                  <w:pPr>
                    <w:pStyle w:val="Compact"/>
                    <w:jc w:val="center"/>
                  </w:pPr>
                  <w:r>
                    <w:t xml:space="preserve">open at closure</w:t>
                  </w:r>
                </w:p>
              </w:tc>
            </w:tr>
            <w:tr>
              <w:tc>
                <w:tcPr/>
                <w:p>
                  <w:pPr>
                    <w:pStyle w:val="Compact"/>
                    <w:jc w:val="center"/>
                  </w:pPr>
                  <w:r>
                    <w:t xml:space="preserve">PA3</w:t>
                  </w:r>
                </w:p>
              </w:tc>
              <w:tc>
                <w:tcPr/>
                <w:p>
                  <w:pPr>
                    <w:pStyle w:val="Compact"/>
                    <w:jc w:val="center"/>
                  </w:pPr>
                  <w:r>
                    <w:t xml:space="preserve">Record execution dates and equipment calibration status in every study record</w:t>
                  </w:r>
                </w:p>
              </w:tc>
              <w:tc>
                <w:tcPr/>
                <w:p>
                  <w:pPr>
                    <w:pStyle w:val="Compact"/>
                    <w:jc w:val="center"/>
                  </w:pPr>
                  <w:r>
                    <w:t xml:space="preserve">MSAT</w:t>
                  </w:r>
                </w:p>
              </w:tc>
              <w:tc>
                <w:tcPr/>
                <w:p>
                  <w:pPr>
                    <w:pStyle w:val="Compact"/>
                    <w:jc w:val="center"/>
                  </w:pPr>
                  <w:r>
                    <w:t xml:space="preserve">2026-10-31</w:t>
                  </w:r>
                </w:p>
              </w:tc>
              <w:tc>
                <w:tcPr/>
                <w:p>
                  <w:pPr>
                    <w:pStyle w:val="Compact"/>
                    <w:jc w:val="center"/>
                  </w:pPr>
                  <w:r>
                    <w:t xml:space="preserve">open at closure</w:t>
                  </w:r>
                </w:p>
              </w:tc>
            </w:tr>
          </w:tbl>
          <w:bookmarkEnd w:id="60"/>
          <w:p/>
        </w:tc>
      </w:tr>
    </w:tbl>
    <w:p>
      <w:pPr>
        <w:pStyle w:val="BodyText"/>
      </w:pPr>
      <w:r>
        <w:t xml:space="preserve">CA1 removes the root cause for this campaign, and it also answers contributing cause 2. The rule in PCMP-001 Version 2.0 fixes every step criterion before any study is judged against it, defines the downstream worst case each criterion protects against, and uses no data from the studies it judges. CA2 amends the step plans with the criteria and the fragment method, which brings AMD-001 into the plans (F6). CA3 reissues the reports, which judge the same models against the new criteria and assess acidic variants against both ends of their range (F4).</w:t>
      </w:r>
    </w:p>
    <w:p>
      <w:pPr>
        <w:pStyle w:val="BodyText"/>
      </w:pPr>
      <w:r>
        <w:t xml:space="preserve">PA1 removes the root cause, and contributing cause 1, for future campaigns. PA2 checks at report review that every acceptance criterion can be traced to the approved protocol, which would have detected the criteria added after approval in F1. PA3 records execution dates and calibration status in every study record, which answers the dates part of contributing cause 3 (F5).</w:t>
      </w:r>
    </w:p>
    <w:p>
      <w:pPr>
        <w:pStyle w:val="BodyText"/>
      </w:pPr>
      <w:r>
        <w:t xml:space="preserve">Two causes have no preventive action. No action adds a second review of the specification type used in a capability calculation, so F4 is corrected by CA3 for this campaign only. For this product, the two-sided assessment is fixed in PCMP-001 Version 2.0, so the error cannot recur in this campaign. No action creates the procedural step named in contributing cause 4 either. CA2 brings AMD-001 into the plans, but a future method decision would again depend on the people involved to reach the documents.</w:t>
      </w:r>
    </w:p>
    <w:bookmarkEnd w:id="61"/>
    <w:bookmarkStart w:id="62" w:name="effectiveness-check"/>
    <w:p>
      <w:pPr>
        <w:pStyle w:val="Heading1"/>
      </w:pPr>
      <w:r>
        <w:t xml:space="preserve">8. Effectiveness check</w:t>
      </w:r>
    </w:p>
    <w:p>
      <w:pPr>
        <w:pStyle w:val="FirstParagraph"/>
      </w:pPr>
      <w:r>
        <w:t xml:space="preserve">The corrective actions are verified effective when the Version 2.0 package is effective and QA has repeated the review that triggered this investigation, on PCMR-001 Version 2.0. That review checks three things. Every step criterion used in a proven acceptable range analysis must appear in PCMP-001 Version 2.0 with its basis, and no criterion may draw on data from the studies it judges. Every fragment result used to judge a step must be by nrCE-SDS. Every study must carry its execution window.</w:t>
      </w:r>
    </w:p>
    <w:p>
      <w:pPr>
        <w:pStyle w:val="BodyText"/>
      </w:pPr>
      <w:r>
        <w:t xml:space="preserve">QA verifies the preventive actions by 2027-03-31. The check requires the next two characterization protocols approved with acceptance criteria and provenance, before execution. QA owns both checks.</w:t>
      </w:r>
    </w:p>
    <w:bookmarkEnd w:id="62"/>
    <w:bookmarkStart w:id="63" w:name="conclusion-and-closure"/>
    <w:p>
      <w:pPr>
        <w:pStyle w:val="Heading1"/>
      </w:pPr>
      <w:r>
        <w:t xml:space="preserve">9. Conclusion and closure</w:t>
      </w:r>
    </w:p>
    <w:p>
      <w:pPr>
        <w:pStyle w:val="FirstParagraph"/>
      </w:pPr>
      <w:r>
        <w:t xml:space="preserve">The investigation confirmed the classification as major. The criteria used to support the operating ranges in a BLA were not defined before the data were seen, and the analyses that rested on them could not be relied on as approved. The investigation found no product impact (§6.6).</w:t>
      </w:r>
    </w:p>
    <w:p>
      <w:pPr>
        <w:pStyle w:val="BodyText"/>
      </w:pPr>
      <w:r>
        <w:t xml:space="preserve">The corrective actions are due with Version 2.0 on 2026-09-30, and the preventive actions by 2026-11-30. INV-001 was closed on 2026-09-18, with its remaining actions open and tracked to completion under the effectiveness check in §8.</w:t>
      </w:r>
    </w:p>
    <w:bookmarkEnd w:id="63"/>
    <w:bookmarkStart w:id="67" w:name="references"/>
    <w:p>
      <w:pPr>
        <w:pStyle w:val="Heading1"/>
      </w:pPr>
      <w:r>
        <w:t xml:space="preserve">References</w:t>
      </w:r>
    </w:p>
    <w:bookmarkStart w:id="66" w:name="refs"/>
    <w:bookmarkStart w:id="64" w:name="ref-ichq10"/>
    <w:p>
      <w:pPr>
        <w:pStyle w:val="Bibliography"/>
      </w:pPr>
      <w:r>
        <w:t xml:space="preserve">International Council for Harmonisation. 2008.</w:t>
      </w:r>
      <w:r>
        <w:t xml:space="preserve"> </w:t>
      </w:r>
      <w:r>
        <w:t xml:space="preserve">“ICH Q10: Pharmaceutical Quality System.”</w:t>
      </w:r>
      <w:r>
        <w:t xml:space="preserve"> </w:t>
      </w:r>
      <w:r>
        <w:t xml:space="preserve">ICH.</w:t>
      </w:r>
    </w:p>
    <w:bookmarkEnd w:id="64"/>
    <w:bookmarkStart w:id="65" w:name="ref-fda2011"/>
    <w:p>
      <w:pPr>
        <w:pStyle w:val="Bibliography"/>
      </w:pPr>
      <w:r>
        <w:t xml:space="preserve">U.S. Food and Drug Administration. 2011.</w:t>
      </w:r>
      <w:r>
        <w:t xml:space="preserve"> </w:t>
      </w:r>
      <w:r>
        <w:t xml:space="preserve">“Guidance for Industry: Process Validation — General Principles and Practices.”</w:t>
      </w:r>
      <w:r>
        <w:t xml:space="preserve"> </w:t>
      </w:r>
      <w:r>
        <w:t xml:space="preserve">FDA.</w:t>
      </w:r>
    </w:p>
    <w:bookmarkEnd w:id="65"/>
    <w:bookmarkEnd w:id="66"/>
    <w:bookmarkEnd w:id="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Investigation Report</dc:title>
  <dc:creator>Quality Assurance (QA)</dc:creator>
  <cp:keywords/>
  <dcterms:created xsi:type="dcterms:W3CDTF">2026-10-08T11:16:24Z</dcterms:created>
  <dcterms:modified xsi:type="dcterms:W3CDTF">2026-10-08T11:16:24Z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2026-09-18</vt:lpwstr>
  </property>
  <property fmtid="{D5CDD505-2E9C-101B-9397-08002B2CF9AE}" pid="7" name="execute">
    <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jupyter">
    <vt:lpwstr>python3</vt:lpwstr>
  </property>
  <property fmtid="{D5CDD505-2E9C-101B-9397-08002B2CF9AE}" pid="13" name="labels">
    <vt:lpwstr/>
  </property>
  <property fmtid="{D5CDD505-2E9C-101B-9397-08002B2CF9AE}" pid="14" name="subtitle">
    <vt:lpwstr>A-Mab Drug Substance — INV-001</vt:lpwstr>
  </property>
  <property fmtid="{D5CDD505-2E9C-101B-9397-08002B2CF9AE}" pid="15" name="tbl-cap-location">
    <vt:lpwstr>top</vt:lpwstr>
  </property>
  <property fmtid="{D5CDD505-2E9C-101B-9397-08002B2CF9AE}" pid="16" name="toc-title">
    <vt:lpwstr>Table of contents</vt:lpwstr>
  </property>
</Properties>
</file>