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1"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20" w:name="tbl-appr"/>
          <w:p>
            <w:pPr>
              <w:jc w:val="center"/>
            </w:pPr>
            <w:pPr>
              <w:jc w:val="star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0"/>
          <w:p/>
        </w:tc>
      </w:tr>
    </w:tbl>
    <w:bookmarkEnd w:id="21"/>
    <w:bookmarkStart w:id="22"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427"/>
        <w:gridCol w:w="698"/>
        <w:gridCol w:w="6794"/>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execution dates recorded (see INV-001)</w:t>
            </w:r>
          </w:p>
        </w:tc>
      </w:tr>
    </w:tbl>
    <w:bookmarkEnd w:id="22"/>
    <w:bookmarkStart w:id="23" w:name="abbreviations"/>
    <w:p>
      <w:pPr>
        <w:pStyle w:val="Heading2"/>
      </w:pPr>
      <w:r>
        <w:t xml:space="preserve">Abbreviations</w:t>
      </w:r>
    </w:p>
    <w:p>
      <w:pPr>
        <w:pStyle w:val="FirstParagraph"/>
      </w:pPr>
      <w:r>
        <w:t xml:space="preserve">AEX, anion exchange chromatography; AMD, analytical method decision; AMV, analytical method validation; BLA, Biologics License Application; CEX, cation exchange chromatography; CPP, critical process parameter; Cpk, process capability index; CQA, critical quality attribute; GPP, general process parameter; HCP, host cell protein; HMW, high molecular weight species; IAC, intermediate acceptance criterion; KPP, key process parameter; LMW, low molecular weight species; MSAT, Manufacturing Science and Technology; MVM, minute virus of mice; NOR, normal operating range; nrCE-SDS, non-reduced capillary electrophoresis with sodium dodecyl sulfate; PAR, proven acceptable range; PPQ, process performance qualification; QA, Quality Assurance; RSM, response surface methodology; SEC, size exclusion chromatography; SOP, standard operating procedure; UF/DF, ultrafiltration and diafiltration; WC-CPP, well-controlled critical process parameter; XMuLV, xenotropic murine leukemia virus.</w:t>
      </w:r>
    </w:p>
    <w:p>
      <w:r>
        <w:br w:type="page"/>
      </w:r>
    </w:p>
    <w:bookmarkEnd w:id="23"/>
    <w:bookmarkStart w:id="27"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facility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2</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4" w:name="tbl-train"/>
          <w:p>
            <w:pPr>
              <w:jc w:val="center"/>
            </w:pPr>
            <w:pPr>
              <w:jc w:val="start"/>
              <w:spacing w:before="200"/>
              <w:pStyle w:val="ImageCaption"/>
            </w:pPr>
            <w:r>
              <w:t xml:space="preserve">Table 2: The drug substance process train and the principal role of each step.</w:t>
            </w:r>
          </w:p>
          <w:tbl>
            <w:tblPr>
              <w:tblStyle w:val="Table"/>
              <w:tblW w:type="pct" w:w="5000"/>
              <w:tblLayout w:type="fixed"/>
              <w:tblLook w:firstRow="1" w:lastRow="0" w:firstColumn="0" w:lastColumn="0" w:noHBand="0" w:noVBand="0" w:val="0020"/>
            </w:tblPr>
            <w:tblGrid>
              <w:gridCol w:w="532"/>
              <w:gridCol w:w="2262"/>
              <w:gridCol w:w="5124"/>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4"/>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depend on each other in one direction. RA-001 sets the scope of each study. The PCP-00N plans the study, and the paired Process Characterization Report (PCR-00N) reports it. The Process Characterization Master Report PCMR-001 then consolidates the reports into the control strategy for the whole process. INV-001 is the investigation that led to this revision.</w:t>
      </w:r>
      <w:r>
        <w:t xml:space="preserve"> </w:t>
      </w:r>
      <w:hyperlink w:anchor="tbl-docs">
        <w:r>
          <w:rPr>
            <w:rStyle w:val="Hyperlink"/>
          </w:rPr>
          <w:t xml:space="preserve">Table 3</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3: Documents of the A-Mab characterization package.</w:t>
            </w:r>
          </w:p>
          <w:tbl>
            <w:tblPr>
              <w:tblStyle w:val="Table"/>
              <w:tblW w:type="pct" w:w="5000"/>
              <w:tblLayout w:type="fixed"/>
              <w:tblLook w:firstRow="1" w:lastRow="0" w:firstColumn="0" w:lastColumn="0" w:noHBand="0" w:noVBand="0" w:val="0020"/>
            </w:tblPr>
            <w:tblGrid>
              <w:gridCol w:w="842"/>
              <w:gridCol w:w="2583"/>
              <w:gridCol w:w="4493"/>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r>
              <w:tc>
                <w:tcPr/>
                <w:p>
                  <w:pPr>
                    <w:pStyle w:val="Compact"/>
                    <w:jc w:val="left"/>
                    <w:jc w:val="center"/>
                  </w:pPr>
                  <w:r>
                    <w:t xml:space="preserve">INV-001</w:t>
                  </w:r>
                </w:p>
              </w:tc>
              <w:tc>
                <w:tcPr/>
                <w:p>
                  <w:pPr>
                    <w:pStyle w:val="Compact"/>
                    <w:jc w:val="left"/>
                    <w:jc w:val="center"/>
                  </w:pPr>
                  <w:r>
                    <w:t xml:space="preserve">Investigation Report</w:t>
                  </w:r>
                </w:p>
              </w:tc>
              <w:tc>
                <w:tcPr/>
                <w:p>
                  <w:pPr>
                    <w:pStyle w:val="Compact"/>
                    <w:jc w:val="left"/>
                    <w:jc w:val="center"/>
                  </w:pPr>
                  <w:r>
                    <w:t xml:space="preserve">Acceptance criteria for proven-acceptable-range analysis set after data review</w:t>
                  </w:r>
                </w:p>
              </w:tc>
            </w:tr>
          </w:tbl>
          <w:bookmarkEnd w:id="25"/>
          <w:p/>
        </w:tc>
      </w:tr>
    </w:tbl>
    <w:bookmarkStart w:id="26" w:name="sec-changes"/>
    <w:p>
      <w:pPr>
        <w:pStyle w:val="Heading2"/>
      </w:pPr>
      <w:r>
        <w:t xml:space="preserve">1.1 Changes in this revision</w:t>
      </w:r>
    </w:p>
    <w:p>
      <w:pPr>
        <w:pStyle w:val="FirstParagraph"/>
      </w:pPr>
      <w:r>
        <w:t xml:space="preserve">Version 1.0 of this plan was approved on 2025-08-04, before the first characterization study started on 2025-08-27.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Each criterion had been carried back from the drug substance limit through the nominal clearance of this campaign and then divided by a margin that differed by step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by one rule that uses no data from the studies it judges (</w:t>
      </w:r>
      <w:hyperlink w:anchor="sec-iac">
        <w:r>
          <w:rPr>
            <w:rStyle w:val="Hyperlink"/>
          </w:rPr>
          <w:t xml:space="preserve">Section 7.3</w:t>
        </w:r>
      </w:hyperlink>
      <w:r>
        <w:t xml:space="preserve">). This is the corrective action for INV-001 findings 1 to 3.</w:t>
      </w:r>
    </w:p>
    <w:p>
      <w:pPr>
        <w:pStyle w:val="Compact"/>
        <w:numPr>
          <w:ilvl w:val="0"/>
          <w:numId w:val="1001"/>
        </w:numPr>
      </w:pPr>
      <w:r>
        <w:t xml:space="preserve">It defines how each report verifies the platform worst cases that the criteria rely on (</w:t>
      </w:r>
      <w:hyperlink w:anchor="sec-verification">
        <w:r>
          <w:rPr>
            <w:rStyle w:val="Hyperlink"/>
          </w:rPr>
          <w:t xml:space="preserve">Section 7.5</w:t>
        </w:r>
      </w:hyperlink>
      <w:r>
        <w:t xml:space="preserve">).</w:t>
      </w:r>
    </w:p>
    <w:p>
      <w:pPr>
        <w:pStyle w:val="Compact"/>
        <w:numPr>
          <w:ilvl w:val="0"/>
          <w:numId w:val="1001"/>
        </w:numPr>
      </w:pPr>
      <w:r>
        <w:t xml:space="preserve">It sets non-reduced CE-SDS (nrCE-SDS) as the method for fragments at every step, as decided in AMD-001 on 2026-03-20 (</w:t>
      </w:r>
      <w:hyperlink w:anchor="sec-fragments">
        <w:r>
          <w:rPr>
            <w:rStyle w:val="Hyperlink"/>
          </w:rPr>
          <w:t xml:space="preserve">Section 7.8</w:t>
        </w:r>
      </w:hyperlink>
      <w:r>
        <w:t xml:space="preserve">, INV-001 finding 6).</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INV-001 finding 4).</w:t>
      </w:r>
    </w:p>
    <w:p>
      <w:pPr>
        <w:pStyle w:val="Compact"/>
        <w:numPr>
          <w:ilvl w:val="0"/>
          <w:numId w:val="1001"/>
        </w:numPr>
      </w:pPr>
      <w:r>
        <w:t xml:space="preserve">It judges viral clearance on the mean log reduction and quality attributes on a single batch (</w:t>
      </w:r>
      <w:hyperlink w:anchor="sec-par">
        <w:r>
          <w:rPr>
            <w:rStyle w:val="Hyperlink"/>
          </w:rPr>
          <w:t xml:space="preserve">Section 6.4</w:t>
        </w:r>
      </w:hyperlink>
      <w:r>
        <w:t xml:space="preserve">).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INV-001 finding 5). The Version 1.0 title blocks of the package carried its compilation date, 2026-07-24, in place of the date each plan was approved. The revision history of this plan now gives the approval date.</w:t>
      </w:r>
    </w:p>
    <w:p>
      <w:pPr>
        <w:pStyle w:val="Compact"/>
        <w:numPr>
          <w:ilvl w:val="0"/>
          <w:numId w:val="1001"/>
        </w:numPr>
      </w:pPr>
      <w:r>
        <w:t xml:space="preserve">It states campaign thresholds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both to the individual study.</w:t>
      </w:r>
    </w:p>
    <w:p>
      <w:pPr>
        <w:pStyle w:val="FirstParagraph"/>
      </w:pPr>
      <w:r>
        <w:t xml:space="preserve">In Version 1.0 the cation exchange pool was judged against an aggregate limit of 1 % HMW. That limit was the drug substance criterion of 5 % divided by a margin of 5. No step after cation exchange removes aggregate. Under this plan the cation exchange pool therefore carries the drug substance criterion itself, 5 % (</w:t>
      </w:r>
      <w:hyperlink w:anchor="tbl-iac">
        <w:r>
          <w:rPr>
            <w:rStyle w:val="Hyperlink"/>
          </w:rPr>
          <w:t xml:space="preserve">Table 10</w:t>
        </w:r>
      </w:hyperlink>
      <w:r>
        <w:t xml:space="preserve">). What moved at each step as a result is stated in the</w:t>
      </w:r>
      <w:r>
        <w:t xml:space="preserve"> </w:t>
      </w:r>
      <w:r>
        <w:t xml:space="preserve">“Changes in this revision”</w:t>
      </w:r>
      <w:r>
        <w:t xml:space="preserve"> </w:t>
      </w:r>
      <w:r>
        <w:t xml:space="preserve">section of its PCR-00N, from its own data.</w:t>
      </w:r>
    </w:p>
    <w:bookmarkEnd w:id="26"/>
    <w:bookmarkEnd w:id="27"/>
    <w:bookmarkStart w:id="28"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qualified scale-down model. Such designs are planned for 6 steps, from the production bioreactor to virus filtration. The harvest (Step 4) and UF/DF (Step 10) steps are characterized by univariate and qualitative studies only, because RA-001 assigned none of their parameters to multivariate study. Their plans and reports are correspondingly shorter, and no designed experiment is planned for them.</w:t>
      </w:r>
    </w:p>
    <w:p>
      <w:pPr>
        <w:pStyle w:val="BodyText"/>
      </w:pPr>
      <w:r>
        <w:t xml:space="preserve">For 31 of the 37 parameters the characterized range is wider than the NOR at both ends (</w:t>
      </w:r>
      <w:hyperlink w:anchor="tbl-parameters-by-step">
        <w:r>
          <w:rPr>
            <w:rStyle w:val="Hyperlink"/>
          </w:rPr>
          <w:t xml:space="preserve">Table 6</w:t>
        </w:r>
      </w:hyperlink>
      <w:r>
        <w:t xml:space="preserve">). For 5 parameters (post-clarification turbidity, hold time,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8"/>
    <w:bookmarkStart w:id="30"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4</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w:t>
      </w:r>
    </w:p>
    <w:tbl>
      <w:tblPr>
        <w:tblStyle w:val="Table"/>
        <w:tblW w:type="pct" w:w="5000"/>
        <w:tblLayout w:type="fixed"/>
        <w:tblLook w:firstRow="0" w:lastRow="0" w:firstColumn="0" w:lastColumn="0" w:noHBand="0" w:noVBand="0" w:val="0000"/>
      </w:tblPr>
      <w:tblGrid>
        <w:gridCol w:w="7920"/>
      </w:tblGrid>
      <w:tr>
        <w:tc>
          <w:tcPr/>
          <w:bookmarkStart w:id="29" w:name="tbl-cqa"/>
          <w:p>
            <w:pPr>
              <w:jc w:val="center"/>
            </w:pPr>
            <w:pPr>
              <w:jc w:val="start"/>
              <w:spacing w:before="200"/>
              <w:pStyle w:val="ImageCaption"/>
            </w:pPr>
            <w:r>
              <w:t xml:space="preserve">Table 4: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2149"/>
              <w:gridCol w:w="1018"/>
              <w:gridCol w:w="1527"/>
              <w:gridCol w:w="848"/>
              <w:gridCol w:w="622"/>
              <w:gridCol w:w="175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c>
                <w:tcPr/>
                <w:p>
                  <w:pPr>
                    <w:pStyle w:val="Compact"/>
                    <w:jc w:val="left"/>
                    <w:jc w:val="center"/>
                  </w:pPr>
                  <w:r>
                    <w:t xml:space="preserve">Formed or set at</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c>
                <w:tcPr/>
                <w:p>
                  <w:pPr>
                    <w:pStyle w:val="Compact"/>
                    <w:jc w:val="left"/>
                    <w:jc w:val="center"/>
                  </w:pPr>
                  <w:r>
                    <w:t xml:space="preserve">Production Bioreactor</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c>
                <w:tcPr/>
                <w:p>
                  <w:pPr>
                    <w:pStyle w:val="Compact"/>
                    <w:jc w:val="left"/>
                    <w:jc w:val="center"/>
                  </w:pPr>
                  <w:r>
                    <w:t xml:space="preserve">Production Bioreactor</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c>
                <w:tcPr/>
                <w:p>
                  <w:pPr>
                    <w:pStyle w:val="Compact"/>
                    <w:jc w:val="left"/>
                    <w:jc w:val="center"/>
                  </w:pPr>
                  <w:r>
                    <w:t xml:space="preserve">Production Bioreactor</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c>
                <w:tcPr/>
                <w:p>
                  <w:pPr>
                    <w:pStyle w:val="Compact"/>
                    <w:jc w:val="left"/>
                    <w:jc w:val="center"/>
                  </w:pPr>
                  <w:r>
                    <w:t xml:space="preserve">Production Bioreactor</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c>
                <w:tcPr/>
                <w:p>
                  <w:pPr>
                    <w:pStyle w:val="Compact"/>
                    <w:jc w:val="left"/>
                    <w:jc w:val="center"/>
                  </w:pPr>
                  <w:r>
                    <w:t xml:space="preserve">Production Bioreactor</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c>
                <w:tcPr/>
                <w:p>
                  <w:pPr>
                    <w:pStyle w:val="Compact"/>
                    <w:jc w:val="left"/>
                    <w:jc w:val="center"/>
                  </w:pPr>
                  <w:r>
                    <w:t xml:space="preserve">Production Bioreactor</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c>
                <w:tcPr/>
                <w:p>
                  <w:pPr>
                    <w:pStyle w:val="Compact"/>
                    <w:jc w:val="left"/>
                    <w:jc w:val="center"/>
                  </w:pPr>
                  <w:r>
                    <w:t xml:space="preserve">Production Bioreactor</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c>
                <w:tcPr/>
                <w:p>
                  <w:pPr>
                    <w:pStyle w:val="Compact"/>
                    <w:jc w:val="left"/>
                    <w:jc w:val="center"/>
                  </w:pPr>
                  <w:r>
                    <w:t xml:space="preserve">Protein A Chromatography</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 16.7 log10 (cumulative)</w:t>
                  </w:r>
                </w:p>
              </w:tc>
              <w:tc>
                <w:tcPr/>
                <w:p>
                  <w:pPr>
                    <w:pStyle w:val="Compact"/>
                    <w:jc w:val="left"/>
                    <w:jc w:val="center"/>
                  </w:pPr>
                  <w:r>
                    <w:t xml:space="preserve">VH</w:t>
                  </w:r>
                </w:p>
              </w:tc>
              <w:tc>
                <w:tcPr/>
                <w:p>
                  <w:pPr>
                    <w:pStyle w:val="Compact"/>
                    <w:jc w:val="right"/>
                    <w:jc w:val="center"/>
                  </w:pPr>
                  <w:r>
                    <w:t xml:space="preserve">20</w:t>
                  </w:r>
                </w:p>
              </w:tc>
              <w:tc>
                <w:tcPr/>
                <w:p>
                  <w:pPr>
                    <w:pStyle w:val="Compact"/>
                    <w:jc w:val="left"/>
                    <w:jc w:val="center"/>
                  </w:pPr>
                  <w:r>
                    <w:t xml:space="preserve">Low-pH Viral Inactivation</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 8.6 log10 (cumulative)</w:t>
                  </w:r>
                </w:p>
              </w:tc>
              <w:tc>
                <w:tcPr/>
                <w:p>
                  <w:pPr>
                    <w:pStyle w:val="Compact"/>
                    <w:jc w:val="left"/>
                    <w:jc w:val="center"/>
                  </w:pPr>
                  <w:r>
                    <w:t xml:space="preserve">VH</w:t>
                  </w:r>
                </w:p>
              </w:tc>
              <w:tc>
                <w:tcPr/>
                <w:p>
                  <w:pPr>
                    <w:pStyle w:val="Compact"/>
                    <w:jc w:val="right"/>
                    <w:jc w:val="center"/>
                  </w:pPr>
                  <w:r>
                    <w:t xml:space="preserve">20</w:t>
                  </w:r>
                </w:p>
              </w:tc>
              <w:tc>
                <w:tcPr/>
                <w:p>
                  <w:pPr>
                    <w:pStyle w:val="Compact"/>
                    <w:jc w:val="left"/>
                    <w:jc w:val="center"/>
                  </w:pPr>
                  <w:r>
                    <w:t xml:space="preserve">Anion Exchange Chromatography</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c>
                <w:tcPr/>
                <w:p>
                  <w:pPr>
                    <w:pStyle w:val="Compact"/>
                    <w:jc w:val="left"/>
                    <w:jc w:val="center"/>
                  </w:pPr>
                  <w:r>
                    <w:t xml:space="preserve">Harvest and Clarification</w:t>
                  </w:r>
                </w:p>
              </w:tc>
            </w:tr>
          </w:tbl>
          <w:bookmarkEnd w:id="29"/>
          <w:p/>
        </w:tc>
      </w:tr>
    </w:tbl>
    <w:p>
      <w:pPr>
        <w:pStyle w:val="BodyText"/>
      </w:pPr>
      <w:r>
        <w:t xml:space="preserve">The last column of</w:t>
      </w:r>
      <w:r>
        <w:t xml:space="preserve"> </w:t>
      </w:r>
      <w:hyperlink w:anchor="tbl-cqa">
        <w:r>
          <w:rPr>
            <w:rStyle w:val="Hyperlink"/>
          </w:rPr>
          <w:t xml:space="preserve">Table 4</w:t>
        </w:r>
      </w:hyperlink>
      <w:r>
        <w:t xml:space="preserve"> </w:t>
      </w:r>
      <w:r>
        <w:t xml:space="preserve">names the step at which each attribute is formed or set. Most attributes are formed in the production bioreactor. The three glycan attributes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They are assessed at harvest and at the downstream steps, and they are not an attribute of the production bioreactor designs (</w:t>
      </w:r>
      <w:hyperlink w:anchor="tbl-methods-by-study">
        <w:r>
          <w:rPr>
            <w:rStyle w:val="Hyperlink"/>
          </w:rPr>
          <w:t xml:space="preserve">Table 12</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 A low criticality reduces the weight an attribute carries in RA-001. It does not remove the attribute from the acceptance framework.</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30"/>
    <w:bookmarkStart w:id="33"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5</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1" w:name="tbl-scope"/>
          <w:p>
            <w:pPr>
              <w:jc w:val="center"/>
            </w:pPr>
            <w:pPr>
              <w:jc w:val="start"/>
              <w:spacing w:before="200"/>
              <w:pStyle w:val="ImageCaption"/>
            </w:pPr>
            <w:r>
              <w:t xml:space="preserve">Table 5: Characterization scope per step, from RA-001.</w:t>
            </w:r>
          </w:p>
          <w:tbl>
            <w:tblPr>
              <w:tblStyle w:val="Table"/>
              <w:tblW w:type="pct" w:w="5000"/>
              <w:tblLayout w:type="fixed"/>
              <w:tblLook w:firstRow="1" w:lastRow="0" w:firstColumn="0" w:lastColumn="0" w:noHBand="0" w:noVBand="0" w:val="0020"/>
            </w:tblPr>
            <w:tblGrid>
              <w:gridCol w:w="536"/>
              <w:gridCol w:w="3154"/>
              <w:gridCol w:w="939"/>
              <w:gridCol w:w="1073"/>
              <w:gridCol w:w="939"/>
              <w:gridCol w:w="1275"/>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right"/>
                    <w:jc w:val="center"/>
                  </w:pPr>
                  <w:r>
                    <w:t xml:space="preserve">Parameters</w:t>
                  </w:r>
                </w:p>
              </w:tc>
              <w:tc>
                <w:tcPr/>
                <w:p>
                  <w:pPr>
                    <w:pStyle w:val="Compact"/>
                    <w:jc w:val="right"/>
                    <w:jc w:val="center"/>
                  </w:pPr>
                  <w:r>
                    <w:t xml:space="preserve">Multivariate</w:t>
                  </w:r>
                </w:p>
              </w:tc>
              <w:tc>
                <w:tcPr/>
                <w:p>
                  <w:pPr>
                    <w:pStyle w:val="Compact"/>
                    <w:jc w:val="right"/>
                    <w:jc w:val="center"/>
                  </w:pPr>
                  <w:r>
                    <w:t xml:space="preserve">Univariate</w:t>
                  </w:r>
                </w:p>
              </w:tc>
              <w:tc>
                <w:tcPr/>
                <w:p>
                  <w:pPr>
                    <w:pStyle w:val="Compact"/>
                    <w:jc w:val="left"/>
                    <w:jc w:val="center"/>
                  </w:pPr>
                  <w:r>
                    <w:t xml:space="preserve">Documents</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right"/>
                    <w:jc w:val="center"/>
                  </w:pPr>
                  <w:r>
                    <w:t xml:space="preserve">9</w:t>
                  </w:r>
                </w:p>
              </w:tc>
              <w:tc>
                <w:tcPr/>
                <w:p>
                  <w:pPr>
                    <w:pStyle w:val="Compact"/>
                    <w:jc w:val="right"/>
                    <w:jc w:val="center"/>
                  </w:pPr>
                  <w:r>
                    <w:t xml:space="preserve">5</w:t>
                  </w:r>
                </w:p>
              </w:tc>
              <w:tc>
                <w:tcPr/>
                <w:p>
                  <w:pPr>
                    <w:pStyle w:val="Compact"/>
                    <w:jc w:val="right"/>
                    <w:jc w:val="center"/>
                  </w:pPr>
                  <w:r>
                    <w:t xml:space="preserve">4</w:t>
                  </w:r>
                </w:p>
              </w:tc>
              <w:tc>
                <w:tcPr/>
                <w:p>
                  <w:pPr>
                    <w:pStyle w:val="Compact"/>
                    <w:jc w:val="left"/>
                    <w:jc w:val="center"/>
                  </w:pPr>
                  <w:r>
                    <w:t xml:space="preserve">PCP-003 / PCR-003</w:t>
                  </w:r>
                </w:p>
              </w:tc>
            </w:tr>
            <w:tr>
              <w:tc>
                <w:tcPr/>
                <w:p>
                  <w:pPr>
                    <w:pStyle w:val="Compact"/>
                    <w:jc w:val="right"/>
                    <w:jc w:val="center"/>
                  </w:pPr>
                  <w:r>
                    <w:t xml:space="preserve">4</w:t>
                  </w:r>
                </w:p>
              </w:tc>
              <w:tc>
                <w:tcPr/>
                <w:p>
                  <w:pPr>
                    <w:pStyle w:val="Compact"/>
                    <w:jc w:val="left"/>
                    <w:jc w:val="center"/>
                  </w:pPr>
                  <w:r>
                    <w:t xml:space="preserve">Harvest / Clarification</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3</w:t>
                  </w:r>
                </w:p>
              </w:tc>
              <w:tc>
                <w:tcPr/>
                <w:p>
                  <w:pPr>
                    <w:pStyle w:val="Compact"/>
                    <w:jc w:val="left"/>
                    <w:jc w:val="center"/>
                  </w:pPr>
                  <w:r>
                    <w:t xml:space="preserve">PCP-004 / PCR-004</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right"/>
                    <w:jc w:val="center"/>
                  </w:pPr>
                  <w:r>
                    <w:t xml:space="preserve">6</w:t>
                  </w:r>
                </w:p>
              </w:tc>
              <w:tc>
                <w:tcPr/>
                <w:p>
                  <w:pPr>
                    <w:pStyle w:val="Compact"/>
                    <w:jc w:val="right"/>
                    <w:jc w:val="center"/>
                  </w:pPr>
                  <w:r>
                    <w:t xml:space="preserve">4</w:t>
                  </w:r>
                </w:p>
              </w:tc>
              <w:tc>
                <w:tcPr/>
                <w:p>
                  <w:pPr>
                    <w:pStyle w:val="Compact"/>
                    <w:jc w:val="right"/>
                    <w:jc w:val="center"/>
                  </w:pPr>
                  <w:r>
                    <w:t xml:space="preserve">2</w:t>
                  </w:r>
                </w:p>
              </w:tc>
              <w:tc>
                <w:tcPr/>
                <w:p>
                  <w:pPr>
                    <w:pStyle w:val="Compact"/>
                    <w:jc w:val="left"/>
                    <w:jc w:val="center"/>
                  </w:pPr>
                  <w:r>
                    <w:t xml:space="preserve">PCP-005 / PCR-005</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right"/>
                    <w:jc w:val="center"/>
                  </w:pPr>
                  <w:r>
                    <w:t xml:space="preserve">4</w:t>
                  </w:r>
                </w:p>
              </w:tc>
              <w:tc>
                <w:tcPr/>
                <w:p>
                  <w:pPr>
                    <w:pStyle w:val="Compact"/>
                    <w:jc w:val="right"/>
                    <w:jc w:val="center"/>
                  </w:pPr>
                  <w:r>
                    <w:t xml:space="preserve">3</w:t>
                  </w:r>
                </w:p>
              </w:tc>
              <w:tc>
                <w:tcPr/>
                <w:p>
                  <w:pPr>
                    <w:pStyle w:val="Compact"/>
                    <w:jc w:val="right"/>
                    <w:jc w:val="center"/>
                  </w:pPr>
                  <w:r>
                    <w:t xml:space="preserve">1</w:t>
                  </w:r>
                </w:p>
              </w:tc>
              <w:tc>
                <w:tcPr/>
                <w:p>
                  <w:pPr>
                    <w:pStyle w:val="Compact"/>
                    <w:jc w:val="left"/>
                    <w:jc w:val="center"/>
                  </w:pPr>
                  <w:r>
                    <w:t xml:space="preserve">PCP-006 / PCR-006</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right"/>
                    <w:jc w:val="center"/>
                  </w:pPr>
                  <w:r>
                    <w:t xml:space="preserve">5</w:t>
                  </w:r>
                </w:p>
              </w:tc>
              <w:tc>
                <w:tcPr/>
                <w:p>
                  <w:pPr>
                    <w:pStyle w:val="Compact"/>
                    <w:jc w:val="right"/>
                    <w:jc w:val="center"/>
                  </w:pPr>
                  <w:r>
                    <w:t xml:space="preserve">4</w:t>
                  </w:r>
                </w:p>
              </w:tc>
              <w:tc>
                <w:tcPr/>
                <w:p>
                  <w:pPr>
                    <w:pStyle w:val="Compact"/>
                    <w:jc w:val="right"/>
                    <w:jc w:val="center"/>
                  </w:pPr>
                  <w:r>
                    <w:t xml:space="preserve">1</w:t>
                  </w:r>
                </w:p>
              </w:tc>
              <w:tc>
                <w:tcPr/>
                <w:p>
                  <w:pPr>
                    <w:pStyle w:val="Compact"/>
                    <w:jc w:val="left"/>
                    <w:jc w:val="center"/>
                  </w:pPr>
                  <w:r>
                    <w:t xml:space="preserve">PCP-007 / PCR-007</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right"/>
                    <w:jc w:val="center"/>
                  </w:pPr>
                  <w:r>
                    <w:t xml:space="preserve">5</w:t>
                  </w:r>
                </w:p>
              </w:tc>
              <w:tc>
                <w:tcPr/>
                <w:p>
                  <w:pPr>
                    <w:pStyle w:val="Compact"/>
                    <w:jc w:val="right"/>
                    <w:jc w:val="center"/>
                  </w:pPr>
                  <w:r>
                    <w:t xml:space="preserve">4</w:t>
                  </w:r>
                </w:p>
              </w:tc>
              <w:tc>
                <w:tcPr/>
                <w:p>
                  <w:pPr>
                    <w:pStyle w:val="Compact"/>
                    <w:jc w:val="right"/>
                    <w:jc w:val="center"/>
                  </w:pPr>
                  <w:r>
                    <w:t xml:space="preserve">1</w:t>
                  </w:r>
                </w:p>
              </w:tc>
              <w:tc>
                <w:tcPr/>
                <w:p>
                  <w:pPr>
                    <w:pStyle w:val="Compact"/>
                    <w:jc w:val="left"/>
                    <w:jc w:val="center"/>
                  </w:pPr>
                  <w:r>
                    <w:t xml:space="preserve">PCP-008 / PCR-008</w:t>
                  </w:r>
                </w:p>
              </w:tc>
            </w:tr>
            <w:tr>
              <w:tc>
                <w:tcPr/>
                <w:p>
                  <w:pPr>
                    <w:pStyle w:val="Compact"/>
                    <w:jc w:val="right"/>
                    <w:jc w:val="center"/>
                  </w:pPr>
                  <w:r>
                    <w:t xml:space="preserve">9</w:t>
                  </w:r>
                </w:p>
              </w:tc>
              <w:tc>
                <w:tcPr/>
                <w:p>
                  <w:pPr>
                    <w:pStyle w:val="Compact"/>
                    <w:jc w:val="left"/>
                    <w:jc w:val="center"/>
                  </w:pPr>
                  <w:r>
                    <w:t xml:space="preserve">Small Virus Retentive Filtration</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w:t>
                  </w:r>
                </w:p>
              </w:tc>
              <w:tc>
                <w:tcPr/>
                <w:p>
                  <w:pPr>
                    <w:pStyle w:val="Compact"/>
                    <w:jc w:val="left"/>
                    <w:jc w:val="center"/>
                  </w:pPr>
                  <w:r>
                    <w:t xml:space="preserve">PCP-009 / PCR-009</w:t>
                  </w:r>
                </w:p>
              </w:tc>
            </w:tr>
            <w:tr>
              <w:tc>
                <w:tcPr/>
                <w:p>
                  <w:pPr>
                    <w:pStyle w:val="Compact"/>
                    <w:jc w:val="right"/>
                    <w:jc w:val="center"/>
                  </w:pPr>
                  <w:r>
                    <w:t xml:space="preserve">10</w:t>
                  </w:r>
                </w:p>
              </w:tc>
              <w:tc>
                <w:tcPr/>
                <w:p>
                  <w:pPr>
                    <w:pStyle w:val="Compact"/>
                    <w:jc w:val="left"/>
                    <w:jc w:val="center"/>
                  </w:pPr>
                  <w:r>
                    <w:t xml:space="preserve">Ultrafiltration / Diafiltration (formulation)</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3</w:t>
                  </w:r>
                </w:p>
              </w:tc>
              <w:tc>
                <w:tcPr/>
                <w:p>
                  <w:pPr>
                    <w:pStyle w:val="Compact"/>
                    <w:jc w:val="left"/>
                    <w:jc w:val="center"/>
                  </w:pPr>
                  <w:r>
                    <w:t xml:space="preserve">PCP-010 / PCR-010</w:t>
                  </w:r>
                </w:p>
              </w:tc>
            </w:tr>
          </w:tbl>
          <w:bookmarkEnd w:id="31"/>
          <w:p/>
        </w:tc>
      </w:tr>
    </w:tbl>
    <w:p>
      <w:pPr>
        <w:pStyle w:val="BodyText"/>
      </w:pPr>
      <w:hyperlink w:anchor="tbl-parameters-by-step">
        <w:r>
          <w:rPr>
            <w:rStyle w:val="Hyperlink"/>
          </w:rPr>
          <w:t xml:space="preserve">Table 6</w:t>
        </w:r>
      </w:hyperlink>
      <w:r>
        <w:t xml:space="preserve"> </w:t>
      </w:r>
      <w:r>
        <w:t xml:space="preserve">lists every parameter with its set-point, NOR and characterized range. The class column gives the classification assigned in each PCR-00N under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arameters-by-step"/>
          <w:p>
            <w:pPr>
              <w:jc w:val="center"/>
            </w:pPr>
            <w:pPr>
              <w:jc w:val="start"/>
              <w:spacing w:before="200"/>
              <w:pStyle w:val="ImageCaption"/>
            </w:pPr>
            <w:r>
              <w:t xml:space="preserve">Table 6: Process parameters by step: set-point, ranges and classification.</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Step</w:t>
                  </w:r>
                </w:p>
              </w:tc>
              <w:tc>
                <w:tcPr>
                  <w:vMerge w:val="restart"/>
                </w:tcPr>
                <w:p>
                  <w:pPr>
                    <w:pStyle w:val="Compact"/>
                    <w:jc w:val="center"/>
                  </w:pPr>
                  <w:r>
                    <w:t xml:space="preserve">Parameter</w:t>
                  </w:r>
                </w:p>
              </w:tc>
              <w:tc>
                <w:tcPr>
                  <w:vMerge w:val="restart"/>
                </w:tcPr>
                <w:p>
                  <w:pPr>
                    <w:pStyle w:val="Compact"/>
                    <w:jc w:val="center"/>
                  </w:pPr>
                  <w:r>
                    <w:t xml:space="preserve">Unit</w:t>
                  </w:r>
                </w:p>
              </w:tc>
              <w:tc>
                <w:tcPr>
                  <w:vMerge w:val="restart"/>
                </w:tcPr>
                <w:p>
                  <w:pPr>
                    <w:pStyle w:val="Compact"/>
                    <w:jc w:val="center"/>
                  </w:pPr>
                  <w:r>
                    <w:t xml:space="preserve">Set-point</w:t>
                  </w:r>
                </w:p>
              </w:tc>
              <w:tc>
                <w:tcPr>
                  <w:gridSpan w:val="2"/>
                </w:tcPr>
                <w:p>
                  <w:pPr>
                    <w:pStyle w:val="Compact"/>
                    <w:jc w:val="center"/>
                  </w:pPr>
                  <w:r>
                    <w:t xml:space="preserve">NOR</w:t>
                  </w:r>
                </w:p>
              </w:tc>
              <w:tc>
                <w:tcPr>
                  <w:gridSpan w:val="2"/>
                </w:tcPr>
                <w:p>
                  <w:pPr>
                    <w:pStyle w:val="Compact"/>
                    <w:jc w:val="center"/>
                  </w:pPr>
                  <w:r>
                    <w:t xml:space="preserve">Characterized range</w:t>
                  </w:r>
                </w:p>
              </w:tc>
              <w:tc>
                <w:tcPr>
                  <w:vMerge w:val="restart"/>
                </w:tcPr>
                <w:p>
                  <w:pPr>
                    <w:pStyle w:val="Compact"/>
                    <w:jc w:val="center"/>
                  </w:pPr>
                  <w:r>
                    <w:t xml:space="preserve">Study</w:t>
                  </w:r>
                </w:p>
              </w:tc>
              <w:tc>
                <w:tcPr>
                  <w:vMerge w:val="restart"/>
                </w:tcPr>
                <w:p>
                  <w:pPr>
                    <w:pStyle w:val="Compact"/>
                    <w:jc w:val="center"/>
                  </w:pPr>
                  <w:r>
                    <w:t xml:space="preserve">Class</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Low</w:t>
                  </w:r>
                </w:p>
              </w:tc>
              <w:tc>
                <w:tcPr/>
                <w:p>
                  <w:pPr>
                    <w:pStyle w:val="Compact"/>
                    <w:jc w:val="center"/>
                  </w:pPr>
                  <w:r>
                    <w:t xml:space="preserve">High</w:t>
                  </w:r>
                </w:p>
              </w:tc>
              <w:tc>
                <w:tcPr/>
                <w:p>
                  <w:pPr>
                    <w:pStyle w:val="Compact"/>
                    <w:jc w:val="center"/>
                  </w:pPr>
                  <w:r>
                    <w:t xml:space="preserve">Low</w:t>
                  </w:r>
                </w:p>
              </w:tc>
              <w:tc>
                <w:tcPr/>
                <w:p>
                  <w:pPr>
                    <w:pStyle w:val="Compact"/>
                    <w:jc w:val="center"/>
                  </w:pPr>
                  <w:r>
                    <w:t xml:space="preserve">High</w:t>
                  </w:r>
                </w:p>
              </w:tc>
              <w:tc>
                <w:tcPr>
                  <w:gridSpan w:val="1"/>
                  <w:vMerge w:val="continue"/>
                </w:tcPr>
                <w:p>
                  <w:pPr/>
                </w:p>
              </w:tc>
              <w:tc>
                <w:tcPr>
                  <w:gridSpan w:val="1"/>
                  <w:vMerge w:val="continue"/>
                </w:tcPr>
                <w:p>
                  <w:pP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w:t>
                  </w:r>
                </w:p>
              </w:tc>
              <w:tc>
                <w:tcPr/>
                <w:p>
                  <w:pPr>
                    <w:pStyle w:val="Compact"/>
                    <w:jc w:val="center"/>
                  </w:pPr>
                  <w:r>
                    <w:t xml:space="preserve">6.95</w:t>
                  </w:r>
                </w:p>
              </w:tc>
              <w:tc>
                <w:tcPr/>
                <w:p>
                  <w:pPr>
                    <w:pStyle w:val="Compact"/>
                    <w:jc w:val="center"/>
                  </w:pPr>
                  <w:r>
                    <w:t xml:space="preserve">6.6</w:t>
                  </w:r>
                </w:p>
              </w:tc>
              <w:tc>
                <w:tcPr/>
                <w:p>
                  <w:pPr>
                    <w:pStyle w:val="Compact"/>
                    <w:jc w:val="center"/>
                  </w:pPr>
                  <w:r>
                    <w:t xml:space="preserve">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w:t>
                  </w:r>
                </w:p>
              </w:tc>
              <w:tc>
                <w:tcPr/>
                <w:p>
                  <w:pPr>
                    <w:pStyle w:val="Compact"/>
                    <w:jc w:val="center"/>
                  </w:pPr>
                  <w:r>
                    <w:t xml:space="preserve">35.5</w:t>
                  </w:r>
                </w:p>
              </w:tc>
              <w:tc>
                <w:tcPr/>
                <w:p>
                  <w:pPr>
                    <w:pStyle w:val="Compact"/>
                    <w:jc w:val="center"/>
                  </w:pPr>
                  <w:r>
                    <w:t xml:space="preserve">34</w:t>
                  </w:r>
                </w:p>
              </w:tc>
              <w:tc>
                <w:tcPr/>
                <w:p>
                  <w:pPr>
                    <w:pStyle w:val="Compact"/>
                    <w:jc w:val="center"/>
                  </w:pPr>
                  <w:r>
                    <w:t xml:space="preserve">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CO2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w:t>
                  </w:r>
                </w:p>
              </w:tc>
              <w:tc>
                <w:tcPr/>
                <w:p>
                  <w:pPr>
                    <w:pStyle w:val="Compact"/>
                    <w:jc w:val="center"/>
                  </w:pPr>
                  <w:r>
                    <w:t xml:space="preserve">130</w:t>
                  </w:r>
                </w:p>
              </w:tc>
              <w:tc>
                <w:tcPr/>
                <w:p>
                  <w:pPr>
                    <w:pStyle w:val="Compact"/>
                    <w:jc w:val="center"/>
                  </w:pPr>
                  <w:r>
                    <w:t xml:space="preserve">40</w:t>
                  </w:r>
                </w:p>
              </w:tc>
              <w:tc>
                <w:tcPr/>
                <w:p>
                  <w:pPr>
                    <w:pStyle w:val="Compact"/>
                    <w:jc w:val="center"/>
                  </w:pPr>
                  <w:r>
                    <w:t xml:space="preserve">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w:t>
                  </w:r>
                </w:p>
              </w:tc>
              <w:tc>
                <w:tcPr/>
                <w:p>
                  <w:pPr>
                    <w:pStyle w:val="Compact"/>
                    <w:jc w:val="center"/>
                  </w:pPr>
                  <w:r>
                    <w:t xml:space="preserve">400</w:t>
                  </w:r>
                </w:p>
              </w:tc>
              <w:tc>
                <w:tcPr/>
                <w:p>
                  <w:pPr>
                    <w:pStyle w:val="Compact"/>
                    <w:jc w:val="center"/>
                  </w:pPr>
                  <w:r>
                    <w:t xml:space="preserve">375</w:t>
                  </w:r>
                </w:p>
              </w:tc>
              <w:tc>
                <w:tcPr/>
                <w:p>
                  <w:pPr>
                    <w:pStyle w:val="Compact"/>
                    <w:jc w:val="center"/>
                  </w:pPr>
                  <w:r>
                    <w:t xml:space="preserve">425</w:t>
                  </w:r>
                </w:p>
              </w:tc>
              <w:tc>
                <w:tcPr/>
                <w:p>
                  <w:pPr>
                    <w:pStyle w:val="Compact"/>
                    <w:jc w:val="center"/>
                  </w:pPr>
                  <w:r>
                    <w:t xml:space="preserve">360</w:t>
                  </w:r>
                </w:p>
              </w:tc>
              <w:tc>
                <w:tcPr/>
                <w:p>
                  <w:pPr>
                    <w:pStyle w:val="Compact"/>
                    <w:jc w:val="center"/>
                  </w:pPr>
                  <w:r>
                    <w:t xml:space="preserve">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18</w:t>
                  </w:r>
                </w:p>
              </w:tc>
              <w:tc>
                <w:tcPr/>
                <w:p>
                  <w:pPr>
                    <w:pStyle w:val="Compact"/>
                    <w:jc w:val="center"/>
                  </w:pPr>
                  <w:r>
                    <w:t xml:space="preserve">15</w:t>
                  </w:r>
                </w:p>
              </w:tc>
              <w:tc>
                <w:tcPr/>
                <w:p>
                  <w:pPr>
                    <w:pStyle w:val="Compact"/>
                    <w:jc w:val="center"/>
                  </w:pPr>
                  <w:r>
                    <w:t xml:space="preserve">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sat</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60</w:t>
                  </w:r>
                </w:p>
              </w:tc>
              <w:tc>
                <w:tcPr/>
                <w:p>
                  <w:pPr>
                    <w:pStyle w:val="Compact"/>
                    <w:jc w:val="center"/>
                  </w:pPr>
                  <w:r>
                    <w:t xml:space="preserve">30</w:t>
                  </w:r>
                </w:p>
              </w:tc>
              <w:tc>
                <w:tcPr/>
                <w:p>
                  <w:pPr>
                    <w:pStyle w:val="Compact"/>
                    <w:jc w:val="center"/>
                  </w:pPr>
                  <w:r>
                    <w:t xml:space="preserve">70</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e6 cells/mL</w:t>
                  </w:r>
                </w:p>
              </w:tc>
              <w:tc>
                <w:tcPr/>
                <w:p>
                  <w:pPr>
                    <w:pStyle w:val="Compact"/>
                    <w:jc w:val="center"/>
                  </w:pPr>
                  <w:r>
                    <w:t xml:space="preserve">1</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0.5</w:t>
                  </w:r>
                </w:p>
              </w:tc>
              <w:tc>
                <w:tcPr/>
                <w:p>
                  <w:pPr>
                    <w:pStyle w:val="Compact"/>
                    <w:jc w:val="center"/>
                  </w:pPr>
                  <w:r>
                    <w:t xml:space="preserve">1.5</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X</w:t>
                  </w:r>
                </w:p>
              </w:tc>
              <w:tc>
                <w:tcPr/>
                <w:p>
                  <w:pPr>
                    <w:pStyle w:val="Compact"/>
                    <w:jc w:val="center"/>
                  </w:pPr>
                  <w:r>
                    <w:t xml:space="preserve">1.2</w:t>
                  </w:r>
                </w:p>
              </w:tc>
              <w:tc>
                <w:tcPr/>
                <w:p>
                  <w:pPr>
                    <w:pStyle w:val="Compact"/>
                    <w:jc w:val="center"/>
                  </w:pPr>
                  <w:r>
                    <w:t xml:space="preserve">1</w:t>
                  </w:r>
                </w:p>
              </w:tc>
              <w:tc>
                <w:tcPr/>
                <w:p>
                  <w:pPr>
                    <w:pStyle w:val="Compact"/>
                    <w:jc w:val="center"/>
                  </w:pPr>
                  <w:r>
                    <w:t xml:space="preserve">1.4</w:t>
                  </w:r>
                </w:p>
              </w:tc>
              <w:tc>
                <w:tcPr/>
                <w:p>
                  <w:pPr>
                    <w:pStyle w:val="Compact"/>
                    <w:jc w:val="center"/>
                  </w:pPr>
                  <w:r>
                    <w:t xml:space="preserve">0.8</w:t>
                  </w:r>
                </w:p>
              </w:tc>
              <w:tc>
                <w:tcPr/>
                <w:p>
                  <w:pPr>
                    <w:pStyle w:val="Compact"/>
                    <w:jc w:val="center"/>
                  </w:pPr>
                  <w:r>
                    <w:t xml:space="preserve">1.6</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14</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w:t>
                  </w:r>
                </w:p>
              </w:tc>
              <w:tc>
                <w:tcPr/>
                <w:p>
                  <w:pPr>
                    <w:pStyle w:val="Compact"/>
                    <w:jc w:val="center"/>
                  </w:pPr>
                  <w:r>
                    <w:t xml:space="preserve">10000</w:t>
                  </w:r>
                </w:p>
              </w:tc>
              <w:tc>
                <w:tcPr/>
                <w:p>
                  <w:pPr>
                    <w:pStyle w:val="Compact"/>
                    <w:jc w:val="center"/>
                  </w:pPr>
                  <w:r>
                    <w:t xml:space="preserve">6000</w:t>
                  </w:r>
                </w:p>
              </w:tc>
              <w:tc>
                <w:tcPr/>
                <w:p>
                  <w:pPr>
                    <w:pStyle w:val="Compact"/>
                    <w:jc w:val="center"/>
                  </w:pPr>
                  <w:r>
                    <w:t xml:space="preserve">12000</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w:t>
                  </w:r>
                </w:p>
              </w:tc>
              <w:tc>
                <w:tcPr/>
                <w:p>
                  <w:pPr>
                    <w:pStyle w:val="Compact"/>
                    <w:jc w:val="center"/>
                  </w:pPr>
                  <w:r>
                    <w:t xml:space="preserve">140</w:t>
                  </w:r>
                </w:p>
              </w:tc>
              <w:tc>
                <w:tcPr/>
                <w:p>
                  <w:pPr>
                    <w:pStyle w:val="Compact"/>
                    <w:jc w:val="center"/>
                  </w:pPr>
                  <w:r>
                    <w:t xml:space="preserve">80</w:t>
                  </w:r>
                </w:p>
              </w:tc>
              <w:tc>
                <w:tcPr/>
                <w:p>
                  <w:pPr>
                    <w:pStyle w:val="Compact"/>
                    <w:jc w:val="center"/>
                  </w:pPr>
                  <w:r>
                    <w:t xml:space="preserve">160</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10</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10</w:t>
                  </w:r>
                </w:p>
              </w:tc>
              <w:tc>
                <w:tcPr/>
                <w:p>
                  <w:pPr>
                    <w:pStyle w:val="Compact"/>
                    <w:jc w:val="center"/>
                  </w:pPr>
                  <w:r>
                    <w:t xml:space="preserve">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w:t>
                  </w:r>
                </w:p>
              </w:tc>
              <w:tc>
                <w:tcPr/>
                <w:p>
                  <w:pPr>
                    <w:pStyle w:val="Compact"/>
                    <w:jc w:val="center"/>
                  </w:pPr>
                  <w:r>
                    <w:t xml:space="preserve">3.7</w:t>
                  </w:r>
                </w:p>
              </w:tc>
              <w:tc>
                <w:tcPr/>
                <w:p>
                  <w:pPr>
                    <w:pStyle w:val="Compact"/>
                    <w:jc w:val="center"/>
                  </w:pPr>
                  <w:r>
                    <w:t xml:space="preserve">3.2</w:t>
                  </w:r>
                </w:p>
              </w:tc>
              <w:tc>
                <w:tcPr/>
                <w:p>
                  <w:pPr>
                    <w:pStyle w:val="Compact"/>
                    <w:jc w:val="center"/>
                  </w:pPr>
                  <w:r>
                    <w:t xml:space="preserve">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w:t>
                  </w:r>
                </w:p>
              </w:tc>
              <w:tc>
                <w:tcPr/>
                <w:p>
                  <w:pPr>
                    <w:pStyle w:val="Compact"/>
                    <w:jc w:val="center"/>
                  </w:pPr>
                  <w:r>
                    <w:t xml:space="preserve">250</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2.9</w:t>
                  </w:r>
                </w:p>
              </w:tc>
              <w:tc>
                <w:tcPr/>
                <w:p>
                  <w:pPr>
                    <w:pStyle w:val="Compact"/>
                    <w:jc w:val="center"/>
                  </w:pPr>
                  <w:r>
                    <w:t xml:space="preserve">2</w:t>
                  </w:r>
                </w:p>
              </w:tc>
              <w:tc>
                <w:tcPr/>
                <w:p>
                  <w:pPr>
                    <w:pStyle w:val="Compact"/>
                    <w:jc w:val="center"/>
                  </w:pPr>
                  <w:r>
                    <w:t xml:space="preserve">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w:t>
                  </w:r>
                </w:p>
              </w:tc>
              <w:tc>
                <w:tcPr/>
                <w:p>
                  <w:pPr>
                    <w:pStyle w:val="Compact"/>
                    <w:jc w:val="center"/>
                  </w:pPr>
                  <w:r>
                    <w:t xml:space="preserve">26</w:t>
                  </w:r>
                </w:p>
              </w:tc>
              <w:tc>
                <w:tcPr/>
                <w:p>
                  <w:pPr>
                    <w:pStyle w:val="Compact"/>
                    <w:jc w:val="center"/>
                  </w:pPr>
                  <w:r>
                    <w:t xml:space="preserve">15</w:t>
                  </w:r>
                </w:p>
              </w:tc>
              <w:tc>
                <w:tcPr/>
                <w:p>
                  <w:pPr>
                    <w:pStyle w:val="Compact"/>
                    <w:jc w:val="center"/>
                  </w:pPr>
                  <w:r>
                    <w:t xml:space="preserve">30</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25</w:t>
                  </w:r>
                </w:p>
              </w:tc>
              <w:tc>
                <w:tcPr/>
                <w:p>
                  <w:pPr>
                    <w:pStyle w:val="Compact"/>
                    <w:jc w:val="center"/>
                  </w:pPr>
                  <w:r>
                    <w:t xml:space="preserve">10</w:t>
                  </w:r>
                </w:p>
              </w:tc>
              <w:tc>
                <w:tcPr/>
                <w:p>
                  <w:pPr>
                    <w:pStyle w:val="Compact"/>
                    <w:jc w:val="center"/>
                  </w:pPr>
                  <w:r>
                    <w:t xml:space="preserve">30</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3.5</w:t>
                  </w:r>
                </w:p>
              </w:tc>
              <w:tc>
                <w:tcPr/>
                <w:p>
                  <w:pPr>
                    <w:pStyle w:val="Compact"/>
                    <w:jc w:val="center"/>
                  </w:pPr>
                  <w:r>
                    <w:t xml:space="preserve">3.4</w:t>
                  </w:r>
                </w:p>
              </w:tc>
              <w:tc>
                <w:tcPr/>
                <w:p>
                  <w:pPr>
                    <w:pStyle w:val="Compact"/>
                    <w:jc w:val="center"/>
                  </w:pPr>
                  <w:r>
                    <w:t xml:space="preserve">3.6</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90</w:t>
                  </w:r>
                </w:p>
              </w:tc>
              <w:tc>
                <w:tcPr/>
                <w:p>
                  <w:pPr>
                    <w:pStyle w:val="Compact"/>
                    <w:jc w:val="center"/>
                  </w:pPr>
                  <w:r>
                    <w:t xml:space="preserve">60</w:t>
                  </w:r>
                </w:p>
              </w:tc>
              <w:tc>
                <w:tcPr/>
                <w:p>
                  <w:pPr>
                    <w:pStyle w:val="Compact"/>
                    <w:jc w:val="center"/>
                  </w:pPr>
                  <w:r>
                    <w:t xml:space="preserve">120</w:t>
                  </w:r>
                </w:p>
              </w:tc>
              <w:tc>
                <w:tcPr/>
                <w:p>
                  <w:pPr>
                    <w:pStyle w:val="Compact"/>
                    <w:jc w:val="center"/>
                  </w:pPr>
                  <w:r>
                    <w:t xml:space="preserve">60</w:t>
                  </w:r>
                </w:p>
              </w:tc>
              <w:tc>
                <w:tcPr/>
                <w:p>
                  <w:pPr>
                    <w:pStyle w:val="Compact"/>
                    <w:jc w:val="center"/>
                  </w:pPr>
                  <w:r>
                    <w:t xml:space="preserve">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19</w:t>
                  </w:r>
                </w:p>
              </w:tc>
              <w:tc>
                <w:tcPr/>
                <w:p>
                  <w:pPr>
                    <w:pStyle w:val="Compact"/>
                    <w:jc w:val="center"/>
                  </w:pPr>
                  <w:r>
                    <w:t xml:space="preserve">23</w:t>
                  </w:r>
                </w:p>
              </w:tc>
              <w:tc>
                <w:tcPr/>
                <w:p>
                  <w:pPr>
                    <w:pStyle w:val="Compact"/>
                    <w:jc w:val="center"/>
                  </w:pPr>
                  <w:r>
                    <w:t xml:space="preserve">15</w:t>
                  </w:r>
                </w:p>
              </w:tc>
              <w:tc>
                <w:tcPr/>
                <w:p>
                  <w:pPr>
                    <w:pStyle w:val="Compact"/>
                    <w:jc w:val="center"/>
                  </w:pPr>
                  <w:r>
                    <w:t xml:space="preserve">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gridSpan w:val="2"/>
                </w:tcPr>
                <w:p>
                  <w:pPr>
                    <w:pStyle w:val="Compact"/>
                    <w:jc w:val="center"/>
                  </w:pPr>
                  <w:r>
                    <w:t xml:space="preserve">as characterized</w:t>
                  </w:r>
                  <w:r>
                    <w:rPr>
                      <w:vertAlign w:val="superscript"/>
                    </w:rPr>
                    <w:t xml:space="preserve">a)</w:t>
                  </w:r>
                </w:p>
              </w:tc>
              <w:tc>
                <w:tcPr/>
                <w:p>
                  <w:pPr>
                    <w:pStyle w:val="Compact"/>
                    <w:jc w:val="center"/>
                  </w:pPr>
                  <w:r>
                    <w:t xml:space="preserve">5</w:t>
                  </w:r>
                </w:p>
              </w:tc>
              <w:tc>
                <w:tcPr/>
                <w:p>
                  <w:pPr>
                    <w:pStyle w:val="Compact"/>
                    <w:jc w:val="center"/>
                  </w:pPr>
                  <w:r>
                    <w:t xml:space="preserve">35</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32</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w:t>
                  </w:r>
                </w:p>
              </w:tc>
              <w:tc>
                <w:tcPr/>
                <w:p>
                  <w:pPr>
                    <w:pStyle w:val="Compact"/>
                    <w:jc w:val="center"/>
                  </w:pPr>
                  <w:r>
                    <w:t xml:space="preserve">6.15</w:t>
                  </w:r>
                </w:p>
              </w:tc>
              <w:tc>
                <w:tcPr/>
                <w:p>
                  <w:pPr>
                    <w:pStyle w:val="Compact"/>
                    <w:jc w:val="center"/>
                  </w:pPr>
                  <w:r>
                    <w:t xml:space="preserve">5.8</w:t>
                  </w:r>
                </w:p>
              </w:tc>
              <w:tc>
                <w:tcPr/>
                <w:p>
                  <w:pPr>
                    <w:pStyle w:val="Compact"/>
                    <w:jc w:val="center"/>
                  </w:pPr>
                  <w:r>
                    <w:t xml:space="preserve">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0.5</w:t>
                  </w:r>
                </w:p>
              </w:tc>
              <w:tc>
                <w:tcPr/>
                <w:p>
                  <w:pPr>
                    <w:pStyle w:val="Compact"/>
                    <w:jc w:val="center"/>
                  </w:pPr>
                  <w:r>
                    <w:t xml:space="preserve">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w:t>
                  </w:r>
                </w:p>
              </w:tc>
              <w:tc>
                <w:tcPr/>
                <w:p>
                  <w:pPr>
                    <w:pStyle w:val="Compact"/>
                    <w:jc w:val="center"/>
                  </w:pPr>
                  <w:r>
                    <w:t xml:space="preserve">250</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univariate</w:t>
                  </w:r>
                  <w:r>
                    <w:rPr>
                      <w:vertAlign w:val="superscript"/>
                    </w:rPr>
                    <w:t xml:space="preserve">b)</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w:t>
                  </w:r>
                </w:p>
              </w:tc>
              <w:tc>
                <w:tcPr/>
                <w:p>
                  <w:pPr>
                    <w:pStyle w:val="Compact"/>
                    <w:jc w:val="center"/>
                  </w:pPr>
                  <w:r>
                    <w:t xml:space="preserve">7.65</w:t>
                  </w:r>
                </w:p>
              </w:tc>
              <w:tc>
                <w:tcPr/>
                <w:p>
                  <w:pPr>
                    <w:pStyle w:val="Compact"/>
                    <w:jc w:val="center"/>
                  </w:pPr>
                  <w:r>
                    <w:t xml:space="preserve">7.2</w:t>
                  </w:r>
                </w:p>
              </w:tc>
              <w:tc>
                <w:tcPr/>
                <w:p>
                  <w:pPr>
                    <w:pStyle w:val="Compact"/>
                    <w:jc w:val="center"/>
                  </w:pPr>
                  <w:r>
                    <w:t xml:space="preserve">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w:t>
                  </w:r>
                </w:p>
              </w:tc>
              <w:tc>
                <w:tcPr/>
                <w:p>
                  <w:pPr>
                    <w:pStyle w:val="Compact"/>
                    <w:jc w:val="center"/>
                  </w:pPr>
                  <w:r>
                    <w:t xml:space="preserve">3.1</w:t>
                  </w:r>
                </w:p>
              </w:tc>
              <w:tc>
                <w:tcPr/>
                <w:p>
                  <w:pPr>
                    <w:pStyle w:val="Compact"/>
                    <w:jc w:val="center"/>
                  </w:pPr>
                  <w:r>
                    <w:t xml:space="preserve">1.6</w:t>
                  </w:r>
                </w:p>
              </w:tc>
              <w:tc>
                <w:tcPr/>
                <w:p>
                  <w:pPr>
                    <w:pStyle w:val="Compact"/>
                    <w:jc w:val="center"/>
                  </w:pPr>
                  <w:r>
                    <w:t xml:space="preserve">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w:t>
                  </w:r>
                </w:p>
              </w:tc>
              <w:tc>
                <w:tcPr/>
                <w:p>
                  <w:pPr>
                    <w:pStyle w:val="Compact"/>
                    <w:jc w:val="center"/>
                  </w:pPr>
                  <w:r>
                    <w:t xml:space="preserve">280</w:t>
                  </w:r>
                </w:p>
              </w:tc>
              <w:tc>
                <w:tcPr/>
                <w:p>
                  <w:pPr>
                    <w:pStyle w:val="Compact"/>
                    <w:jc w:val="center"/>
                  </w:pPr>
                  <w:r>
                    <w:t xml:space="preserve">50</w:t>
                  </w:r>
                </w:p>
              </w:tc>
              <w:tc>
                <w:tcPr/>
                <w:p>
                  <w:pPr>
                    <w:pStyle w:val="Compact"/>
                    <w:jc w:val="center"/>
                  </w:pPr>
                  <w:r>
                    <w:t xml:space="preserve">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150</w:t>
                  </w:r>
                </w:p>
              </w:tc>
              <w:tc>
                <w:tcPr/>
                <w:p>
                  <w:pPr>
                    <w:pStyle w:val="Compact"/>
                    <w:jc w:val="center"/>
                  </w:pPr>
                  <w:r>
                    <w:t xml:space="preserve">450</w:t>
                  </w:r>
                </w:p>
              </w:tc>
              <w:tc>
                <w:tcPr/>
                <w:p>
                  <w:pPr>
                    <w:pStyle w:val="Compact"/>
                    <w:jc w:val="center"/>
                  </w:pPr>
                  <w:r>
                    <w:t xml:space="preserve">univariate</w:t>
                  </w:r>
                  <w:r>
                    <w:rPr>
                      <w:vertAlign w:val="superscript"/>
                    </w:rPr>
                    <w:t xml:space="preserve">b)</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w:t>
                  </w:r>
                </w:p>
              </w:tc>
              <w:tc>
                <w:tcPr/>
                <w:p>
                  <w:pPr>
                    <w:pStyle w:val="Compact"/>
                    <w:jc w:val="center"/>
                  </w:pPr>
                  <w:r>
                    <w:t xml:space="preserve">105</w:t>
                  </w:r>
                </w:p>
              </w:tc>
              <w:tc>
                <w:tcPr/>
                <w:p>
                  <w:pPr>
                    <w:pStyle w:val="Compact"/>
                    <w:jc w:val="center"/>
                  </w:pPr>
                  <w:r>
                    <w:t xml:space="preserve">50</w:t>
                  </w:r>
                </w:p>
              </w:tc>
              <w:tc>
                <w:tcPr/>
                <w:p>
                  <w:pPr>
                    <w:pStyle w:val="Compact"/>
                    <w:jc w:val="center"/>
                  </w:pPr>
                  <w:r>
                    <w:t xml:space="preserve">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15</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univariate</w:t>
                  </w:r>
                  <w:r>
                    <w:rPr>
                      <w:vertAlign w:val="superscript"/>
                    </w:rPr>
                    <w:t xml:space="preserve">b)</w:t>
                  </w:r>
                </w:p>
              </w:tc>
              <w:tc>
                <w:tcPr/>
                <w:p>
                  <w:pPr>
                    <w:pStyle w:val="Compact"/>
                    <w:jc w:val="center"/>
                  </w:pPr>
                  <w:r>
                    <w:t xml:space="preserve">KPP</w:t>
                  </w:r>
                </w:p>
              </w:tc>
            </w:tr>
            <w:tr>
              <w:tc>
                <w:tcPr>
                  <w:gridSpan w:val="10"/>
                </w:tcPr>
                <w:p>
                  <w:pPr>
                    <w:pStyle w:val="Compact"/>
                    <w:jc w:val="center"/>
                  </w:pPr>
                  <w:r>
                    <w:rPr>
                      <w:vertAlign w:val="superscript"/>
                    </w:rPr>
                    <w:t xml:space="preserve">a)</w:t>
                  </w:r>
                  <w:r>
                    <w:t xml:space="preserve"> </w:t>
                  </w:r>
                  <w:r>
                    <w:t xml:space="preserve">The normal operating range equals the characterized range.</w:t>
                  </w:r>
                </w:p>
              </w:tc>
            </w:tr>
            <w:tr>
              <w:tc>
                <w:tcPr>
                  <w:gridSpan w:val="10"/>
                </w:tcPr>
                <w:p>
                  <w:pPr>
                    <w:pStyle w:val="Compact"/>
                    <w:jc w:val="center"/>
                  </w:pPr>
                  <w:r>
                    <w:rPr>
                      <w:vertAlign w:val="superscript"/>
                    </w:rPr>
                    <w:t xml:space="preserve">b)</w:t>
                  </w:r>
                  <w:r>
                    <w:t xml:space="preserve"> </w:t>
                  </w:r>
                  <w:r>
                    <w:t xml:space="preserve">Studied one factor at a time.</w:t>
                  </w:r>
                </w:p>
              </w:tc>
            </w:tr>
          </w:tbl>
          <w:bookmarkEnd w:id="32"/>
          <w:p/>
        </w:tc>
      </w:tr>
    </w:tbl>
    <w:p>
      <w:pPr>
        <w:pStyle w:val="BodyText"/>
      </w:pPr>
      <w:r>
        <w:t xml:space="preserve">The range of a parameter studied univariately is supported by its own data, and its class is decided by the same rules as for a parameter studied in a design.</w:t>
      </w:r>
    </w:p>
    <w:bookmarkEnd w:id="33"/>
    <w:bookmarkStart w:id="36" w:name="sec-sdm"/>
    <w:p>
      <w:pPr>
        <w:pStyle w:val="Heading1"/>
      </w:pPr>
      <w:r>
        <w:t xml:space="preserve">5. Scale-down model strategy</w:t>
      </w:r>
    </w:p>
    <w:p>
      <w:pPr>
        <w:pStyle w:val="FirstParagraph"/>
      </w:pPr>
      <w:r>
        <w:t xml:space="preserve">Every characterization study is run in a scale-down model. The model is qualified under SOP-1001 before its first characterization run. It is designed on the scaling principles of its unit operation. Parameters that do not depend on scale are held at their commercial values. Parameters that depend on scale are set so that the model matches the performance of the manufacturing scale.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dissolved CO2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data for the CQAs that have a criterion at the step (</w:t>
      </w:r>
      <w:hyperlink w:anchor="tbl-iac">
        <w:r>
          <w:rPr>
            <w:rStyle w:val="Hyperlink"/>
          </w:rPr>
          <w:t xml:space="preserve">Table 10</w:t>
        </w:r>
      </w:hyperlink>
      <w:r>
        <w:t xml:space="preserve">) and for step yield. Each PCP-00N defines that comparison and its criterion (</w:t>
      </w:r>
      <w:hyperlink w:anchor="sec-acc-sdm">
        <w:r>
          <w:rPr>
            <w:rStyle w:val="Hyperlink"/>
          </w:rPr>
          <w:t xml:space="preserve">Section 7.1</w:t>
        </w:r>
      </w:hyperlink>
      <w:r>
        <w:t xml:space="preserve">). A model qualified for one output is not by that fact qualified for another. Where a model is not representative for an output, the PCP-00N should say so and should state how that output is characterized instead.</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calibration of 3 scale-down systems bears directly on the results.</w:t>
      </w:r>
      <w:r>
        <w:t xml:space="preserve"> </w:t>
      </w:r>
      <w:hyperlink w:anchor="tbl-equipment">
        <w:r>
          <w:rPr>
            <w:rStyle w:val="Hyperlink"/>
          </w:rPr>
          <w:t xml:space="preserve">Table 7</w:t>
        </w:r>
      </w:hyperlink>
      <w:r>
        <w:t xml:space="preserve"> </w:t>
      </w:r>
      <w:r>
        <w:t xml:space="preserve">lists them with the studies that used them. Every study window closed before the next calibration due date of the equipment it used. Every study that the Version 1.0 reports analysed closed before those reports were approved on 2026-07-24. The last of them ended on 2026-05-15. One supplementary qualification study, S-PA-SDM2 (2026-09-07 to 2026-09-11), ran afterwards, during INV-001, under DEV-005-03.</w:t>
      </w:r>
    </w:p>
    <w:tbl>
      <w:tblPr>
        <w:tblStyle w:val="Table"/>
        <w:tblW w:type="pct" w:w="5000"/>
        <w:tblLayout w:type="fixed"/>
        <w:tblLook w:firstRow="0" w:lastRow="0" w:firstColumn="0" w:lastColumn="0" w:noHBand="0" w:noVBand="0" w:val="0000"/>
      </w:tblPr>
      <w:tblGrid>
        <w:gridCol w:w="7920"/>
      </w:tblGrid>
      <w:tr>
        <w:tc>
          <w:tcPr/>
          <w:bookmarkStart w:id="34" w:name="tbl-equipment"/>
          <w:p>
            <w:pPr>
              <w:jc w:val="center"/>
            </w:pPr>
            <w:pPr>
              <w:jc w:val="start"/>
              <w:spacing w:before="200"/>
              <w:pStyle w:val="ImageCaption"/>
            </w:pPr>
            <w:r>
              <w:t xml:space="preserve">Table 7: Instrumented scale-down systems, the studies that used them, and their calibration.</w:t>
            </w:r>
          </w:p>
          <w:tbl>
            <w:tblPr>
              <w:tblStyle w:val="Table"/>
              <w:tblW w:type="pct" w:w="5000"/>
              <w:tblLayout w:type="fixed"/>
              <w:tblLook w:firstRow="1" w:lastRow="0" w:firstColumn="0" w:lastColumn="0" w:noHBand="0" w:noVBand="0" w:val="0020"/>
            </w:tblPr>
            <w:tblGrid>
              <w:gridCol w:w="843"/>
              <w:gridCol w:w="3051"/>
              <w:gridCol w:w="779"/>
              <w:gridCol w:w="1687"/>
              <w:gridCol w:w="1558"/>
            </w:tblGrid>
            <w:tr>
              <w:trPr>
                <w:tblHeader w:val="on"/>
              </w:trPr>
              <w:tc>
                <w:tcPr/>
                <w:p>
                  <w:pPr>
                    <w:pStyle w:val="Compact"/>
                    <w:jc w:val="left"/>
                    <w:jc w:val="center"/>
                  </w:pPr>
                  <w:r>
                    <w:t xml:space="preserve">Equipment</w:t>
                  </w:r>
                </w:p>
              </w:tc>
              <w:tc>
                <w:tcPr/>
                <w:p>
                  <w:pPr>
                    <w:pStyle w:val="Compact"/>
                    <w:jc w:val="left"/>
                    <w:jc w:val="center"/>
                  </w:pPr>
                  <w:r>
                    <w:t xml:space="preserve">Description</w:t>
                  </w:r>
                </w:p>
              </w:tc>
              <w:tc>
                <w:tcPr/>
                <w:p>
                  <w:pPr>
                    <w:pStyle w:val="Compact"/>
                    <w:jc w:val="left"/>
                    <w:jc w:val="center"/>
                  </w:pPr>
                  <w:r>
                    <w:t xml:space="preserve">Study</w:t>
                  </w:r>
                </w:p>
              </w:tc>
              <w:tc>
                <w:tcPr/>
                <w:p>
                  <w:pPr>
                    <w:pStyle w:val="Compact"/>
                    <w:jc w:val="left"/>
                    <w:jc w:val="center"/>
                  </w:pPr>
                  <w:r>
                    <w:t xml:space="preserve">Study window</w:t>
                  </w:r>
                </w:p>
              </w:tc>
              <w:tc>
                <w:tcPr/>
                <w:p>
                  <w:pPr>
                    <w:pStyle w:val="Compact"/>
                    <w:jc w:val="left"/>
                    <w:jc w:val="center"/>
                  </w:pPr>
                  <w:r>
                    <w:t xml:space="preserve">Next calibration due</w:t>
                  </w:r>
                </w:p>
              </w:tc>
            </w:tr>
            <w:tr>
              <w:tc>
                <w:tcPr/>
                <w:p>
                  <w:pPr>
                    <w:pStyle w:val="Compact"/>
                    <w:jc w:val="left"/>
                    <w:jc w:val="center"/>
                  </w:pPr>
                  <w:r>
                    <w:t xml:space="preserve">EQ-BRX-205</w:t>
                  </w:r>
                </w:p>
              </w:tc>
              <w:tc>
                <w:tcPr/>
                <w:p>
                  <w:pPr>
                    <w:pStyle w:val="Compact"/>
                    <w:jc w:val="left"/>
                    <w:jc w:val="center"/>
                  </w:pPr>
                  <w:r>
                    <w:t xml:space="preserve">production scale-down bioreactor pCO2 probe</w:t>
                  </w:r>
                </w:p>
              </w:tc>
              <w:tc>
                <w:tcPr/>
                <w:p>
                  <w:pPr>
                    <w:pStyle w:val="Compact"/>
                    <w:jc w:val="left"/>
                    <w:jc w:val="center"/>
                  </w:pPr>
                  <w:r>
                    <w:t xml:space="preserve">S-BRX-SDM</w:t>
                  </w:r>
                </w:p>
              </w:tc>
              <w:tc>
                <w:tcPr/>
                <w:p>
                  <w:pPr>
                    <w:pStyle w:val="Compact"/>
                    <w:jc w:val="left"/>
                    <w:jc w:val="center"/>
                  </w:pPr>
                  <w:r>
                    <w:t xml:space="preserve">2025-08-27 to 2025-09-05</w:t>
                  </w:r>
                </w:p>
              </w:tc>
              <w:tc>
                <w:tcPr/>
                <w:p>
                  <w:pPr>
                    <w:pStyle w:val="Compact"/>
                    <w:jc w:val="left"/>
                    <w:jc w:val="center"/>
                  </w:pPr>
                  <w:r>
                    <w:t xml:space="preserve">2026-06-14</w:t>
                  </w:r>
                </w:p>
              </w:tc>
            </w:tr>
            <w:tr>
              <w:tc>
                <w:tcPr/>
                <w:p>
                  <w:pPr>
                    <w:pStyle w:val="Compact"/>
                    <w:jc w:val="left"/>
                    <w:jc w:val="center"/>
                  </w:pPr>
                  <w:r>
                    <w:t xml:space="preserve">EQ-BRX-205</w:t>
                  </w:r>
                </w:p>
              </w:tc>
              <w:tc>
                <w:tcPr/>
                <w:p>
                  <w:pPr>
                    <w:pStyle w:val="Compact"/>
                    <w:jc w:val="left"/>
                    <w:jc w:val="center"/>
                  </w:pPr>
                  <w:r>
                    <w:t xml:space="preserve">production scale-down bioreactor pCO2 probe</w:t>
                  </w:r>
                </w:p>
              </w:tc>
              <w:tc>
                <w:tcPr/>
                <w:p>
                  <w:pPr>
                    <w:pStyle w:val="Compact"/>
                    <w:jc w:val="left"/>
                    <w:jc w:val="center"/>
                  </w:pPr>
                  <w:r>
                    <w:t xml:space="preserve">S-BRX-UNI</w:t>
                  </w:r>
                </w:p>
              </w:tc>
              <w:tc>
                <w:tcPr/>
                <w:p>
                  <w:pPr>
                    <w:pStyle w:val="Compact"/>
                    <w:jc w:val="left"/>
                    <w:jc w:val="center"/>
                  </w:pPr>
                  <w:r>
                    <w:t xml:space="preserve">2025-10-06 to 2025-10-17</w:t>
                  </w:r>
                </w:p>
              </w:tc>
              <w:tc>
                <w:tcPr/>
                <w:p>
                  <w:pPr>
                    <w:pStyle w:val="Compact"/>
                    <w:jc w:val="left"/>
                    <w:jc w:val="center"/>
                  </w:pPr>
                  <w:r>
                    <w:t xml:space="preserve">2026-06-14</w:t>
                  </w:r>
                </w:p>
              </w:tc>
            </w:tr>
            <w:tr>
              <w:tc>
                <w:tcPr/>
                <w:p>
                  <w:pPr>
                    <w:pStyle w:val="Compact"/>
                    <w:jc w:val="left"/>
                    <w:jc w:val="center"/>
                  </w:pPr>
                  <w:r>
                    <w:t xml:space="preserve">EQ-TFF-142</w:t>
                  </w:r>
                </w:p>
              </w:tc>
              <w:tc>
                <w:tcPr/>
                <w:p>
                  <w:pPr>
                    <w:pStyle w:val="Compact"/>
                    <w:jc w:val="left"/>
                    <w:jc w:val="center"/>
                  </w:pPr>
                  <w:r>
                    <w:t xml:space="preserve">ultrafiltration / diafiltration TFF skid</w:t>
                  </w:r>
                </w:p>
              </w:tc>
              <w:tc>
                <w:tcPr/>
                <w:p>
                  <w:pPr>
                    <w:pStyle w:val="Compact"/>
                    <w:jc w:val="left"/>
                    <w:jc w:val="center"/>
                  </w:pPr>
                  <w:r>
                    <w:t xml:space="preserve">S-UFDF-SDM</w:t>
                  </w:r>
                </w:p>
              </w:tc>
              <w:tc>
                <w:tcPr/>
                <w:p>
                  <w:pPr>
                    <w:pStyle w:val="Compact"/>
                    <w:jc w:val="left"/>
                    <w:jc w:val="center"/>
                  </w:pPr>
                  <w:r>
                    <w:t xml:space="preserve">2026-02-25 to 2026-03-06</w:t>
                  </w:r>
                </w:p>
              </w:tc>
              <w:tc>
                <w:tcPr/>
                <w:p>
                  <w:pPr>
                    <w:pStyle w:val="Compact"/>
                    <w:jc w:val="left"/>
                    <w:jc w:val="center"/>
                  </w:pPr>
                  <w:r>
                    <w:t xml:space="preserve">2026-04-22</w:t>
                  </w:r>
                </w:p>
              </w:tc>
            </w:tr>
            <w:tr>
              <w:tc>
                <w:tcPr/>
                <w:p>
                  <w:pPr>
                    <w:pStyle w:val="Compact"/>
                    <w:jc w:val="left"/>
                    <w:jc w:val="center"/>
                  </w:pPr>
                  <w:r>
                    <w:t xml:space="preserve">EQ-BRX-205</w:t>
                  </w:r>
                </w:p>
              </w:tc>
              <w:tc>
                <w:tcPr/>
                <w:p>
                  <w:pPr>
                    <w:pStyle w:val="Compact"/>
                    <w:jc w:val="left"/>
                    <w:jc w:val="center"/>
                  </w:pPr>
                  <w:r>
                    <w:t xml:space="preserve">production scale-down bioreactor pCO2 probe</w:t>
                  </w:r>
                </w:p>
              </w:tc>
              <w:tc>
                <w:tcPr/>
                <w:p>
                  <w:pPr>
                    <w:pStyle w:val="Compact"/>
                    <w:jc w:val="left"/>
                    <w:jc w:val="center"/>
                  </w:pPr>
                  <w:r>
                    <w:t xml:space="preserve">S-BRX-SCR</w:t>
                  </w:r>
                </w:p>
              </w:tc>
              <w:tc>
                <w:tcPr/>
                <w:p>
                  <w:pPr>
                    <w:pStyle w:val="Compact"/>
                    <w:jc w:val="left"/>
                    <w:jc w:val="center"/>
                  </w:pPr>
                  <w:r>
                    <w:t xml:space="preserve">2025-09-08 to 2025-10-03</w:t>
                  </w:r>
                </w:p>
              </w:tc>
              <w:tc>
                <w:tcPr/>
                <w:p>
                  <w:pPr>
                    <w:pStyle w:val="Compact"/>
                    <w:jc w:val="left"/>
                    <w:jc w:val="center"/>
                  </w:pPr>
                  <w:r>
                    <w:t xml:space="preserve">2026-06-14</w:t>
                  </w:r>
                </w:p>
              </w:tc>
            </w:tr>
            <w:tr>
              <w:tc>
                <w:tcPr/>
                <w:p>
                  <w:pPr>
                    <w:pStyle w:val="Compact"/>
                    <w:jc w:val="left"/>
                    <w:jc w:val="center"/>
                  </w:pPr>
                  <w:r>
                    <w:t xml:space="preserve">EQ-BRX-205</w:t>
                  </w:r>
                </w:p>
              </w:tc>
              <w:tc>
                <w:tcPr/>
                <w:p>
                  <w:pPr>
                    <w:pStyle w:val="Compact"/>
                    <w:jc w:val="left"/>
                    <w:jc w:val="center"/>
                  </w:pPr>
                  <w:r>
                    <w:t xml:space="preserve">production scale-down bioreactor pCO2 probe</w:t>
                  </w:r>
                </w:p>
              </w:tc>
              <w:tc>
                <w:tcPr/>
                <w:p>
                  <w:pPr>
                    <w:pStyle w:val="Compact"/>
                    <w:jc w:val="left"/>
                    <w:jc w:val="center"/>
                  </w:pPr>
                  <w:r>
                    <w:t xml:space="preserve">S-BRX-RSM</w:t>
                  </w:r>
                </w:p>
              </w:tc>
              <w:tc>
                <w:tcPr/>
                <w:p>
                  <w:pPr>
                    <w:pStyle w:val="Compact"/>
                    <w:jc w:val="left"/>
                    <w:jc w:val="center"/>
                  </w:pPr>
                  <w:r>
                    <w:t xml:space="preserve">2025-10-20 to 2025-12-12</w:t>
                  </w:r>
                </w:p>
              </w:tc>
              <w:tc>
                <w:tcPr/>
                <w:p>
                  <w:pPr>
                    <w:pStyle w:val="Compact"/>
                    <w:jc w:val="left"/>
                    <w:jc w:val="center"/>
                  </w:pPr>
                  <w:r>
                    <w:t xml:space="preserve">2026-06-14</w:t>
                  </w:r>
                </w:p>
              </w:tc>
            </w:tr>
            <w:tr>
              <w:tc>
                <w:tcPr/>
                <w:p>
                  <w:pPr>
                    <w:pStyle w:val="Compact"/>
                    <w:jc w:val="left"/>
                    <w:jc w:val="center"/>
                  </w:pPr>
                  <w:r>
                    <w:t xml:space="preserve">EQ-CHR-118</w:t>
                  </w:r>
                </w:p>
              </w:tc>
              <w:tc>
                <w:tcPr/>
                <w:p>
                  <w:pPr>
                    <w:pStyle w:val="Compact"/>
                    <w:jc w:val="left"/>
                    <w:jc w:val="center"/>
                  </w:pPr>
                  <w:r>
                    <w:t xml:space="preserve">temperature-controlled chromatography chamber</w:t>
                  </w:r>
                </w:p>
              </w:tc>
              <w:tc>
                <w:tcPr/>
                <w:p>
                  <w:pPr>
                    <w:pStyle w:val="Compact"/>
                    <w:jc w:val="left"/>
                    <w:jc w:val="center"/>
                  </w:pPr>
                  <w:r>
                    <w:t xml:space="preserve">S-CEX-RSM</w:t>
                  </w:r>
                </w:p>
              </w:tc>
              <w:tc>
                <w:tcPr/>
                <w:p>
                  <w:pPr>
                    <w:pStyle w:val="Compact"/>
                    <w:jc w:val="left"/>
                    <w:jc w:val="center"/>
                  </w:pPr>
                  <w:r>
                    <w:t xml:space="preserve">2026-03-02 to 2026-03-27</w:t>
                  </w:r>
                </w:p>
              </w:tc>
              <w:tc>
                <w:tcPr/>
                <w:p>
                  <w:pPr>
                    <w:pStyle w:val="Compact"/>
                    <w:jc w:val="left"/>
                    <w:jc w:val="center"/>
                  </w:pPr>
                  <w:r>
                    <w:t xml:space="preserve">2026-05-30</w:t>
                  </w:r>
                </w:p>
              </w:tc>
            </w:tr>
            <w:tr>
              <w:tc>
                <w:tcPr/>
                <w:p>
                  <w:pPr>
                    <w:pStyle w:val="Compact"/>
                    <w:jc w:val="left"/>
                    <w:jc w:val="center"/>
                  </w:pPr>
                  <w:r>
                    <w:t xml:space="preserve">EQ-TFF-142</w:t>
                  </w:r>
                </w:p>
              </w:tc>
              <w:tc>
                <w:tcPr/>
                <w:p>
                  <w:pPr>
                    <w:pStyle w:val="Compact"/>
                    <w:jc w:val="left"/>
                    <w:jc w:val="center"/>
                  </w:pPr>
                  <w:r>
                    <w:t xml:space="preserve">ultrafiltration / diafiltration TFF skid</w:t>
                  </w:r>
                </w:p>
              </w:tc>
              <w:tc>
                <w:tcPr/>
                <w:p>
                  <w:pPr>
                    <w:pStyle w:val="Compact"/>
                    <w:jc w:val="left"/>
                    <w:jc w:val="center"/>
                  </w:pPr>
                  <w:r>
                    <w:t xml:space="preserve">S-UFDF-UNI</w:t>
                  </w:r>
                </w:p>
              </w:tc>
              <w:tc>
                <w:tcPr/>
                <w:p>
                  <w:pPr>
                    <w:pStyle w:val="Compact"/>
                    <w:jc w:val="left"/>
                    <w:jc w:val="center"/>
                  </w:pPr>
                  <w:r>
                    <w:t xml:space="preserve">2026-03-09 to 2026-03-27</w:t>
                  </w:r>
                </w:p>
              </w:tc>
              <w:tc>
                <w:tcPr/>
                <w:p>
                  <w:pPr>
                    <w:pStyle w:val="Compact"/>
                    <w:jc w:val="left"/>
                    <w:jc w:val="center"/>
                  </w:pPr>
                  <w:r>
                    <w:t xml:space="preserve">2026-04-22</w:t>
                  </w:r>
                </w:p>
              </w:tc>
            </w:tr>
          </w:tbl>
          <w:bookmarkEnd w:id="34"/>
          <w:p/>
        </w:tc>
      </w:tr>
    </w:tbl>
    <w:p>
      <w:pPr>
        <w:pStyle w:val="BodyText"/>
      </w:pPr>
      <w:r>
        <w:t xml:space="preserve">Intermediate pools are held between steps, and the hold can change the product.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8</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5" w:name="tbl-sops"/>
          <w:p>
            <w:pPr>
              <w:jc w:val="center"/>
            </w:pPr>
            <w:pPr>
              <w:jc w:val="start"/>
              <w:spacing w:before="200"/>
              <w:pStyle w:val="ImageCaption"/>
            </w:pPr>
            <w:r>
              <w:t xml:space="preserve">Table 8: Controlled procedures and method validations cited in the characterization package.</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SOP-2005</w:t>
                  </w:r>
                </w:p>
              </w:tc>
              <w:tc>
                <w:tcPr/>
                <w:p>
                  <w:pPr>
                    <w:pStyle w:val="Compact"/>
                    <w:jc w:val="left"/>
                    <w:jc w:val="center"/>
                  </w:pPr>
                  <w:r>
                    <w:t xml:space="preserve">Harvest by Continuous Disk-Stack Centrifugation</w:t>
                  </w:r>
                </w:p>
              </w:tc>
              <w:tc>
                <w:tcPr/>
                <w:p>
                  <w:pPr>
                    <w:pStyle w:val="Compact"/>
                    <w:jc w:val="left"/>
                    <w:jc w:val="center"/>
                  </w:pPr>
                  <w:r>
                    <w:t xml:space="preserve">SOP</w:t>
                  </w:r>
                </w:p>
              </w:tc>
            </w:tr>
            <w:tr>
              <w:tc>
                <w:tcPr/>
                <w:p>
                  <w:pPr>
                    <w:pStyle w:val="Compact"/>
                    <w:jc w:val="left"/>
                    <w:jc w:val="center"/>
                  </w:pPr>
                  <w:r>
                    <w:t xml:space="preserve">SOP-2006</w:t>
                  </w:r>
                </w:p>
              </w:tc>
              <w:tc>
                <w:tcPr/>
                <w:p>
                  <w:pPr>
                    <w:pStyle w:val="Compact"/>
                    <w:jc w:val="left"/>
                    <w:jc w:val="center"/>
                  </w:pPr>
                  <w:r>
                    <w:t xml:space="preserve">Clarification by Depth and Sterile Filtration</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SOP-2009</w:t>
                  </w:r>
                </w:p>
              </w:tc>
              <w:tc>
                <w:tcPr/>
                <w:p>
                  <w:pPr>
                    <w:pStyle w:val="Compact"/>
                    <w:jc w:val="left"/>
                    <w:jc w:val="center"/>
                  </w:pPr>
                  <w:r>
                    <w:t xml:space="preserve">Operation of the Low-pH Viral Inactivation Step</w:t>
                  </w:r>
                </w:p>
              </w:tc>
              <w:tc>
                <w:tcPr/>
                <w:p>
                  <w:pPr>
                    <w:pStyle w:val="Compact"/>
                    <w:jc w:val="left"/>
                    <w:jc w:val="center"/>
                  </w:pPr>
                  <w:r>
                    <w:t xml:space="preserve">SOP</w:t>
                  </w:r>
                </w:p>
              </w:tc>
            </w:tr>
            <w:tr>
              <w:tc>
                <w:tcPr/>
                <w:p>
                  <w:pPr>
                    <w:pStyle w:val="Compact"/>
                    <w:jc w:val="left"/>
                    <w:jc w:val="center"/>
                  </w:pPr>
                  <w:r>
                    <w:t xml:space="preserve">SOP-2010</w:t>
                  </w:r>
                </w:p>
              </w:tc>
              <w:tc>
                <w:tcPr/>
                <w:p>
                  <w:pPr>
                    <w:pStyle w:val="Compact"/>
                    <w:jc w:val="left"/>
                    <w:jc w:val="center"/>
                  </w:pPr>
                  <w:r>
                    <w:t xml:space="preserve">Operation of the Cation-Exchange Polishing Chromatography Step</w:t>
                  </w:r>
                </w:p>
              </w:tc>
              <w:tc>
                <w:tcPr/>
                <w:p>
                  <w:pPr>
                    <w:pStyle w:val="Compact"/>
                    <w:jc w:val="left"/>
                    <w:jc w:val="center"/>
                  </w:pPr>
                  <w:r>
                    <w:t xml:space="preserve">SOP</w:t>
                  </w:r>
                </w:p>
              </w:tc>
            </w:tr>
            <w:tr>
              <w:tc>
                <w:tcPr/>
                <w:p>
                  <w:pPr>
                    <w:pStyle w:val="Compact"/>
                    <w:jc w:val="left"/>
                    <w:jc w:val="center"/>
                  </w:pPr>
                  <w:r>
                    <w:t xml:space="preserve">SOP-2011</w:t>
                  </w:r>
                </w:p>
              </w:tc>
              <w:tc>
                <w:tcPr/>
                <w:p>
                  <w:pPr>
                    <w:pStyle w:val="Compact"/>
                    <w:jc w:val="left"/>
                    <w:jc w:val="center"/>
                  </w:pPr>
                  <w:r>
                    <w:t xml:space="preserve">Operation of the Anion-Exchange Polishing Chromatography Step</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SOP-2013</w:t>
                  </w:r>
                </w:p>
              </w:tc>
              <w:tc>
                <w:tcPr/>
                <w:p>
                  <w:pPr>
                    <w:pStyle w:val="Compact"/>
                    <w:jc w:val="left"/>
                    <w:jc w:val="center"/>
                  </w:pPr>
                  <w:r>
                    <w:t xml:space="preserve">Operation of the Ultrafiltration / Diafiltration (Formulation) Step</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SOP-3015</w:t>
                  </w:r>
                </w:p>
              </w:tc>
              <w:tc>
                <w:tcPr/>
                <w:p>
                  <w:pPr>
                    <w:pStyle w:val="Compact"/>
                    <w:jc w:val="left"/>
                    <w:jc w:val="center"/>
                  </w:pPr>
                  <w:r>
                    <w:t xml:space="preserve">Purity by Non-Reduced CE-SDS</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AMV-3015</w:t>
                  </w:r>
                </w:p>
              </w:tc>
              <w:tc>
                <w:tcPr/>
                <w:p>
                  <w:pPr>
                    <w:pStyle w:val="Compact"/>
                    <w:jc w:val="left"/>
                    <w:jc w:val="center"/>
                  </w:pPr>
                  <w:r>
                    <w:t xml:space="preserve">Turbidity by Nephelometry (NTU)</w:t>
                  </w:r>
                </w:p>
              </w:tc>
              <w:tc>
                <w:tcPr/>
                <w:p>
                  <w:pPr>
                    <w:pStyle w:val="Compact"/>
                    <w:jc w:val="left"/>
                    <w:jc w:val="center"/>
                  </w:pPr>
                  <w:r>
                    <w:t xml:space="preserve">Method validation</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AMV-3019</w:t>
                  </w:r>
                </w:p>
              </w:tc>
              <w:tc>
                <w:tcPr/>
                <w:p>
                  <w:pPr>
                    <w:pStyle w:val="Compact"/>
                    <w:jc w:val="left"/>
                    <w:jc w:val="center"/>
                  </w:pPr>
                  <w:r>
                    <w:t xml:space="preserve">Protein Concentration by A280 (UV)</w:t>
                  </w:r>
                </w:p>
              </w:tc>
              <w:tc>
                <w:tcPr/>
                <w:p>
                  <w:pPr>
                    <w:pStyle w:val="Compact"/>
                    <w:jc w:val="left"/>
                    <w:jc w:val="center"/>
                  </w:pPr>
                  <w:r>
                    <w:t xml:space="preserve">Method validation</w:t>
                  </w:r>
                </w:p>
              </w:tc>
            </w:tr>
            <w:tr>
              <w:tc>
                <w:tcPr/>
                <w:p>
                  <w:pPr>
                    <w:pStyle w:val="Compact"/>
                    <w:jc w:val="left"/>
                    <w:jc w:val="center"/>
                  </w:pPr>
                  <w:r>
                    <w:t xml:space="preserve">AMV-3020</w:t>
                  </w:r>
                </w:p>
              </w:tc>
              <w:tc>
                <w:tcPr/>
                <w:p>
                  <w:pPr>
                    <w:pStyle w:val="Compact"/>
                    <w:jc w:val="left"/>
                    <w:jc w:val="center"/>
                  </w:pPr>
                  <w:r>
                    <w:t xml:space="preserve">Purity (non-reduced CE-SDS)</w:t>
                  </w:r>
                </w:p>
              </w:tc>
              <w:tc>
                <w:tcPr/>
                <w:p>
                  <w:pPr>
                    <w:pStyle w:val="Compact"/>
                    <w:jc w:val="left"/>
                    <w:jc w:val="center"/>
                  </w:pPr>
                  <w:r>
                    <w:t xml:space="preserve">Method validation</w:t>
                  </w:r>
                </w:p>
              </w:tc>
            </w:tr>
          </w:tbl>
          <w:bookmarkEnd w:id="35"/>
          <w:p/>
        </w:tc>
      </w:tr>
    </w:tbl>
    <w:bookmarkEnd w:id="36"/>
    <w:bookmarkStart w:id="43" w:name="sec-stats"/>
    <w:p>
      <w:pPr>
        <w:pStyle w:val="Heading1"/>
      </w:pPr>
      <w:r>
        <w:t xml:space="preserve">6. Common statistical approach</w:t>
      </w:r>
    </w:p>
    <w:bookmarkStart w:id="38" w:name="designs"/>
    <w:p>
      <w:pPr>
        <w:pStyle w:val="Heading2"/>
      </w:pPr>
      <w:r>
        <w:t xml:space="preserve">6.1 Designs</w:t>
      </w:r>
    </w:p>
    <w:p>
      <w:pPr>
        <w:pStyle w:val="FirstParagraph"/>
      </w:pPr>
      <w:r>
        <w:t xml:space="preserve">Each step with a multivariate scope is studied in two stages, under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9</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7" w:name="tbl-designs"/>
          <w:p>
            <w:pPr>
              <w:jc w:val="center"/>
            </w:pPr>
            <w:pPr>
              <w:jc w:val="start"/>
              <w:spacing w:before="200"/>
              <w:pStyle w:val="ImageCaption"/>
            </w:pPr>
            <w:r>
              <w:t xml:space="preserve">Table 9: Designed experiments per step. Scr., screening design. Runs are given with the number of centre points in brackets.</w:t>
            </w:r>
          </w:p>
          <w:tbl>
            <w:tblPr>
              <w:tblStyle w:val="Table"/>
              <w:tblW w:type="pct" w:w="5000"/>
              <w:tblLayout w:type="fixed"/>
              <w:tblLook w:firstRow="1" w:lastRow="0" w:firstColumn="0" w:lastColumn="0" w:noHBand="0" w:noVBand="0" w:val="0020"/>
            </w:tblPr>
            <w:tblGrid>
              <w:gridCol w:w="296"/>
              <w:gridCol w:w="1258"/>
              <w:gridCol w:w="592"/>
              <w:gridCol w:w="481"/>
              <w:gridCol w:w="740"/>
              <w:gridCol w:w="555"/>
              <w:gridCol w:w="444"/>
              <w:gridCol w:w="3552"/>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right"/>
                    <w:jc w:val="center"/>
                  </w:pPr>
                  <w:r>
                    <w:t xml:space="preserve">Scr. factors</w:t>
                  </w:r>
                </w:p>
              </w:tc>
              <w:tc>
                <w:tcPr/>
                <w:p>
                  <w:pPr>
                    <w:pStyle w:val="Compact"/>
                    <w:jc w:val="left"/>
                    <w:jc w:val="center"/>
                  </w:pPr>
                  <w:r>
                    <w:t xml:space="preserve">Scr. runs</w:t>
                  </w:r>
                </w:p>
              </w:tc>
              <w:tc>
                <w:tcPr/>
                <w:p>
                  <w:pPr>
                    <w:pStyle w:val="Compact"/>
                    <w:jc w:val="right"/>
                    <w:jc w:val="center"/>
                  </w:pPr>
                  <w:r>
                    <w:t xml:space="preserve">Scr. model terms</w:t>
                  </w:r>
                </w:p>
              </w:tc>
              <w:tc>
                <w:tcPr/>
                <w:p>
                  <w:pPr>
                    <w:pStyle w:val="Compact"/>
                    <w:jc w:val="right"/>
                    <w:jc w:val="center"/>
                  </w:pPr>
                  <w:r>
                    <w:t xml:space="preserve">RSM factors</w:t>
                  </w:r>
                </w:p>
              </w:tc>
              <w:tc>
                <w:tcPr/>
                <w:p>
                  <w:pPr>
                    <w:pStyle w:val="Compact"/>
                    <w:jc w:val="left"/>
                    <w:jc w:val="center"/>
                  </w:pPr>
                  <w:r>
                    <w:t xml:space="preserve">RSM runs</w:t>
                  </w:r>
                </w:p>
              </w:tc>
              <w:tc>
                <w:tcPr/>
                <w:p>
                  <w:pPr>
                    <w:pStyle w:val="Compact"/>
                    <w:jc w:val="left"/>
                    <w:jc w:val="center"/>
                  </w:pPr>
                  <w:r>
                    <w:t xml:space="preserve">Responses</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right"/>
                    <w:jc w:val="center"/>
                  </w:pPr>
                  <w:r>
                    <w:t xml:space="preserve">5</w:t>
                  </w:r>
                </w:p>
              </w:tc>
              <w:tc>
                <w:tcPr/>
                <w:p>
                  <w:pPr>
                    <w:pStyle w:val="Compact"/>
                    <w:jc w:val="left"/>
                    <w:jc w:val="center"/>
                  </w:pPr>
                  <w:r>
                    <w:t xml:space="preserve">19 (3)</w:t>
                  </w:r>
                </w:p>
              </w:tc>
              <w:tc>
                <w:tcPr/>
                <w:p>
                  <w:pPr>
                    <w:pStyle w:val="Compact"/>
                    <w:jc w:val="right"/>
                    <w:jc w:val="center"/>
                  </w:pPr>
                  <w:r>
                    <w:t xml:space="preserve">16</w:t>
                  </w:r>
                </w:p>
              </w:tc>
              <w:tc>
                <w:tcPr/>
                <w:p>
                  <w:pPr>
                    <w:pStyle w:val="Compact"/>
                    <w:jc w:val="right"/>
                    <w:jc w:val="center"/>
                  </w:pPr>
                  <w:r>
                    <w:t xml:space="preserve">4</w:t>
                  </w:r>
                </w:p>
              </w:tc>
              <w:tc>
                <w:tcPr/>
                <w:p>
                  <w:pPr>
                    <w:pStyle w:val="Compact"/>
                    <w:jc w:val="left"/>
                    <w:jc w:val="center"/>
                  </w:pPr>
                  <w:r>
                    <w:t xml:space="preserve">28 (4)</w:t>
                  </w:r>
                </w:p>
              </w:tc>
              <w:tc>
                <w:tcPr/>
                <w:p>
                  <w:pPr>
                    <w:pStyle w:val="Compact"/>
                    <w:jc w:val="left"/>
                    <w:jc w:val="center"/>
                  </w:pPr>
                  <w:r>
                    <w:t xml:space="preserve">Afucosylation, Galactosylation, High mannose, Acidic variants, Aggregates (HMW)</w:t>
                  </w:r>
                </w:p>
              </w:tc>
            </w:tr>
            <w:tr>
              <w:tc>
                <w:tcPr/>
                <w:p>
                  <w:pPr>
                    <w:pStyle w:val="Compact"/>
                    <w:jc w:val="right"/>
                    <w:jc w:val="center"/>
                  </w:pPr>
                  <w:r>
                    <w:t xml:space="preserve">5</w:t>
                  </w:r>
                </w:p>
              </w:tc>
              <w:tc>
                <w:tcPr/>
                <w:p>
                  <w:pPr>
                    <w:pStyle w:val="Compact"/>
                    <w:jc w:val="left"/>
                    <w:jc w:val="center"/>
                  </w:pPr>
                  <w:r>
                    <w:t xml:space="preserve">Protein A</w:t>
                  </w:r>
                </w:p>
              </w:tc>
              <w:tc>
                <w:tcPr/>
                <w:p>
                  <w:pPr>
                    <w:pStyle w:val="Compact"/>
                    <w:jc w:val="right"/>
                    <w:jc w:val="center"/>
                  </w:pPr>
                  <w:r>
                    <w:t xml:space="preserve">4</w:t>
                  </w:r>
                </w:p>
              </w:tc>
              <w:tc>
                <w:tcPr/>
                <w:p>
                  <w:pPr>
                    <w:pStyle w:val="Compact"/>
                    <w:jc w:val="left"/>
                    <w:jc w:val="center"/>
                  </w:pPr>
                  <w:r>
                    <w:t xml:space="preserve">19 (3)</w:t>
                  </w:r>
                </w:p>
              </w:tc>
              <w:tc>
                <w:tcPr/>
                <w:p>
                  <w:pPr>
                    <w:pStyle w:val="Compact"/>
                    <w:jc w:val="right"/>
                    <w:jc w:val="center"/>
                  </w:pPr>
                  <w:r>
                    <w:t xml:space="preserve">11</w:t>
                  </w:r>
                </w:p>
              </w:tc>
              <w:tc>
                <w:tcPr/>
                <w:p>
                  <w:pPr>
                    <w:pStyle w:val="Compact"/>
                    <w:jc w:val="right"/>
                    <w:jc w:val="center"/>
                  </w:pPr>
                  <w:r>
                    <w:t xml:space="preserve">4</w:t>
                  </w:r>
                </w:p>
              </w:tc>
              <w:tc>
                <w:tcPr/>
                <w:p>
                  <w:pPr>
                    <w:pStyle w:val="Compact"/>
                    <w:jc w:val="left"/>
                    <w:jc w:val="center"/>
                  </w:pPr>
                  <w:r>
                    <w:t xml:space="preserve">28 (4)</w:t>
                  </w:r>
                </w:p>
              </w:tc>
              <w:tc>
                <w:tcPr/>
                <w:p>
                  <w:pPr>
                    <w:pStyle w:val="Compact"/>
                    <w:jc w:val="left"/>
                    <w:jc w:val="center"/>
                  </w:pPr>
                  <w:r>
                    <w:t xml:space="preserve">Pool HCP (ng/mg), Step yield, Leached Protein A (ppm), Fragments (LMW, %, nrCE-SDS)</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right"/>
                    <w:jc w:val="center"/>
                  </w:pPr>
                  <w:r>
                    <w:t xml:space="preserve">3</w:t>
                  </w:r>
                </w:p>
              </w:tc>
              <w:tc>
                <w:tcPr/>
                <w:p>
                  <w:pPr>
                    <w:pStyle w:val="Compact"/>
                    <w:jc w:val="left"/>
                    <w:jc w:val="center"/>
                  </w:pPr>
                  <w:r>
                    <w:t xml:space="preserve">11 (3)</w:t>
                  </w:r>
                </w:p>
              </w:tc>
              <w:tc>
                <w:tcPr/>
                <w:p>
                  <w:pPr>
                    <w:pStyle w:val="Compact"/>
                    <w:jc w:val="right"/>
                    <w:jc w:val="center"/>
                  </w:pPr>
                  <w:r>
                    <w:t xml:space="preserve">7</w:t>
                  </w:r>
                </w:p>
              </w:tc>
              <w:tc>
                <w:tcPr/>
                <w:p>
                  <w:pPr>
                    <w:pStyle w:val="Compact"/>
                    <w:jc w:val="right"/>
                    <w:jc w:val="center"/>
                  </w:pPr>
                  <w:r>
                    <w:t xml:space="preserve">3</w:t>
                  </w:r>
                </w:p>
              </w:tc>
              <w:tc>
                <w:tcPr/>
                <w:p>
                  <w:pPr>
                    <w:pStyle w:val="Compact"/>
                    <w:jc w:val="left"/>
                    <w:jc w:val="center"/>
                  </w:pPr>
                  <w:r>
                    <w:t xml:space="preserve">18 (4)</w:t>
                  </w:r>
                </w:p>
              </w:tc>
              <w:tc>
                <w:tcPr/>
                <w:p>
                  <w:pPr>
                    <w:pStyle w:val="Compact"/>
                    <w:jc w:val="left"/>
                    <w:jc w:val="center"/>
                  </w:pPr>
                  <w:r>
                    <w:t xml:space="preserve">Aggregates (HMW, %), XMuLV LRF (log₁₀), Acidic variants, Fragments (LMW, %, nrCE-SDS)</w:t>
                  </w:r>
                </w:p>
              </w:tc>
            </w:tr>
            <w:tr>
              <w:tc>
                <w:tcPr/>
                <w:p>
                  <w:pPr>
                    <w:pStyle w:val="Compact"/>
                    <w:jc w:val="right"/>
                    <w:jc w:val="center"/>
                  </w:pPr>
                  <w:r>
                    <w:t xml:space="preserve">7</w:t>
                  </w:r>
                </w:p>
              </w:tc>
              <w:tc>
                <w:tcPr/>
                <w:p>
                  <w:pPr>
                    <w:pStyle w:val="Compact"/>
                    <w:jc w:val="left"/>
                    <w:jc w:val="center"/>
                  </w:pPr>
                  <w:r>
                    <w:t xml:space="preserve">Cation Exchange</w:t>
                  </w:r>
                </w:p>
              </w:tc>
              <w:tc>
                <w:tcPr/>
                <w:p>
                  <w:pPr>
                    <w:pStyle w:val="Compact"/>
                    <w:jc w:val="right"/>
                    <w:jc w:val="center"/>
                  </w:pPr>
                  <w:r>
                    <w:t xml:space="preserve">4</w:t>
                  </w:r>
                </w:p>
              </w:tc>
              <w:tc>
                <w:tcPr/>
                <w:p>
                  <w:pPr>
                    <w:pStyle w:val="Compact"/>
                    <w:jc w:val="left"/>
                    <w:jc w:val="center"/>
                  </w:pPr>
                  <w:r>
                    <w:t xml:space="preserve">19 (3)</w:t>
                  </w:r>
                </w:p>
              </w:tc>
              <w:tc>
                <w:tcPr/>
                <w:p>
                  <w:pPr>
                    <w:pStyle w:val="Compact"/>
                    <w:jc w:val="right"/>
                    <w:jc w:val="center"/>
                  </w:pPr>
                  <w:r>
                    <w:t xml:space="preserve">11</w:t>
                  </w:r>
                </w:p>
              </w:tc>
              <w:tc>
                <w:tcPr/>
                <w:p>
                  <w:pPr>
                    <w:pStyle w:val="Compact"/>
                    <w:jc w:val="right"/>
                    <w:jc w:val="center"/>
                  </w:pPr>
                  <w:r>
                    <w:t xml:space="preserve">4</w:t>
                  </w:r>
                </w:p>
              </w:tc>
              <w:tc>
                <w:tcPr/>
                <w:p>
                  <w:pPr>
                    <w:pStyle w:val="Compact"/>
                    <w:jc w:val="left"/>
                    <w:jc w:val="center"/>
                  </w:pPr>
                  <w:r>
                    <w:t xml:space="preserve">28 (4)</w:t>
                  </w:r>
                </w:p>
              </w:tc>
              <w:tc>
                <w:tcPr/>
                <w:p>
                  <w:pPr>
                    <w:pStyle w:val="Compact"/>
                    <w:jc w:val="left"/>
                    <w:jc w:val="center"/>
                  </w:pPr>
                  <w:r>
                    <w:t xml:space="preserve">Aggregates (HMW, %), Pool HCP (ng/mg), Step yield, Fragments (LMW, %, nrCE-SDS)</w:t>
                  </w:r>
                </w:p>
              </w:tc>
            </w:tr>
            <w:tr>
              <w:tc>
                <w:tcPr/>
                <w:p>
                  <w:pPr>
                    <w:pStyle w:val="Compact"/>
                    <w:jc w:val="right"/>
                    <w:jc w:val="center"/>
                  </w:pPr>
                  <w:r>
                    <w:t xml:space="preserve">8</w:t>
                  </w:r>
                </w:p>
              </w:tc>
              <w:tc>
                <w:tcPr/>
                <w:p>
                  <w:pPr>
                    <w:pStyle w:val="Compact"/>
                    <w:jc w:val="left"/>
                    <w:jc w:val="center"/>
                  </w:pPr>
                  <w:r>
                    <w:t xml:space="preserve">Anion Exchange</w:t>
                  </w:r>
                </w:p>
              </w:tc>
              <w:tc>
                <w:tcPr/>
                <w:p>
                  <w:pPr>
                    <w:pStyle w:val="Compact"/>
                    <w:jc w:val="right"/>
                    <w:jc w:val="center"/>
                  </w:pPr>
                  <w:r>
                    <w:t xml:space="preserve">4</w:t>
                  </w:r>
                </w:p>
              </w:tc>
              <w:tc>
                <w:tcPr/>
                <w:p>
                  <w:pPr>
                    <w:pStyle w:val="Compact"/>
                    <w:jc w:val="left"/>
                    <w:jc w:val="center"/>
                  </w:pPr>
                  <w:r>
                    <w:t xml:space="preserve">19 (3)</w:t>
                  </w:r>
                </w:p>
              </w:tc>
              <w:tc>
                <w:tcPr/>
                <w:p>
                  <w:pPr>
                    <w:pStyle w:val="Compact"/>
                    <w:jc w:val="right"/>
                    <w:jc w:val="center"/>
                  </w:pPr>
                  <w:r>
                    <w:t xml:space="preserve">11</w:t>
                  </w:r>
                </w:p>
              </w:tc>
              <w:tc>
                <w:tcPr/>
                <w:p>
                  <w:pPr>
                    <w:pStyle w:val="Compact"/>
                    <w:jc w:val="right"/>
                    <w:jc w:val="center"/>
                  </w:pPr>
                  <w:r>
                    <w:t xml:space="preserve">4</w:t>
                  </w:r>
                </w:p>
              </w:tc>
              <w:tc>
                <w:tcPr/>
                <w:p>
                  <w:pPr>
                    <w:pStyle w:val="Compact"/>
                    <w:jc w:val="left"/>
                    <w:jc w:val="center"/>
                  </w:pPr>
                  <w:r>
                    <w:t xml:space="preserve">28 (4)</w:t>
                  </w:r>
                </w:p>
              </w:tc>
              <w:tc>
                <w:tcPr/>
                <w:p>
                  <w:pPr>
                    <w:pStyle w:val="Compact"/>
                    <w:jc w:val="left"/>
                    <w:jc w:val="center"/>
                  </w:pPr>
                  <w:r>
                    <w:t xml:space="preserve">Pool HCP (ng/mg), XMuLV LRF (log₁₀), MVM LRF (log₁₀), Step yield, Fragments (LMW, %, nrCE-SDS)</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right"/>
                    <w:jc w:val="center"/>
                  </w:pPr>
                  <w:r>
                    <w:t xml:space="preserve">2</w:t>
                  </w:r>
                </w:p>
              </w:tc>
              <w:tc>
                <w:tcPr/>
                <w:p>
                  <w:pPr>
                    <w:pStyle w:val="Compact"/>
                    <w:jc w:val="left"/>
                    <w:jc w:val="center"/>
                  </w:pPr>
                  <w:r>
                    <w:t xml:space="preserve">7 (3)</w:t>
                  </w:r>
                </w:p>
              </w:tc>
              <w:tc>
                <w:tcPr/>
                <w:p>
                  <w:pPr>
                    <w:pStyle w:val="Compact"/>
                    <w:jc w:val="right"/>
                    <w:jc w:val="center"/>
                  </w:pPr>
                  <w:r>
                    <w:t xml:space="preserve">4</w:t>
                  </w:r>
                </w:p>
              </w:tc>
              <w:tc>
                <w:tcPr/>
                <w:p>
                  <w:pPr>
                    <w:pStyle w:val="Compact"/>
                    <w:jc w:val="right"/>
                    <w:jc w:val="center"/>
                  </w:pPr>
                  <w:r>
                    <w:t xml:space="preserve">2</w:t>
                  </w:r>
                </w:p>
              </w:tc>
              <w:tc>
                <w:tcPr/>
                <w:p>
                  <w:pPr>
                    <w:pStyle w:val="Compact"/>
                    <w:jc w:val="left"/>
                    <w:jc w:val="center"/>
                  </w:pPr>
                  <w:r>
                    <w:t xml:space="preserve">12 (4)</w:t>
                  </w:r>
                </w:p>
              </w:tc>
              <w:tc>
                <w:tcPr/>
                <w:p>
                  <w:pPr>
                    <w:pStyle w:val="Compact"/>
                    <w:jc w:val="left"/>
                    <w:jc w:val="center"/>
                  </w:pPr>
                  <w:r>
                    <w:t xml:space="preserve">MVM LRF (log₁₀), XMuLV LRF (log₁₀), Step yield, Fragments (LMW, %, nrCE-SDS)</w:t>
                  </w:r>
                </w:p>
              </w:tc>
            </w:tr>
          </w:tbl>
          <w:bookmarkEnd w:id="37"/>
          <w:p/>
        </w:tc>
      </w:tr>
    </w:tbl>
    <w:p>
      <w:pPr>
        <w:pStyle w:val="BodyText"/>
      </w:pPr>
      <w:r>
        <w:t xml:space="preserve">Runs are executed in random order within each design. Where a run is lost or invalidated, the PCR-00N should report it and state whether the design was repaired or re-executed.</w:t>
      </w:r>
    </w:p>
    <w:bookmarkEnd w:id="38"/>
    <w:bookmarkStart w:id="39"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significance is judged at α = 0.05.</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9</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That is why the PAR analysis in</w:t>
      </w:r>
      <w:r>
        <w:t xml:space="preserve"> </w:t>
      </w:r>
      <w:hyperlink w:anchor="sec-par">
        <w:r>
          <w:rPr>
            <w:rStyle w:val="Hyperlink"/>
          </w:rPr>
          <w:t xml:space="preserve">Section 6.4</w:t>
        </w:r>
      </w:hyperlink>
      <w:r>
        <w:t xml:space="preserve"> </w:t>
      </w:r>
      <w:r>
        <w:t xml:space="preserve">carries the model residual and the variation of the other parameters into its decision.</w:t>
      </w:r>
    </w:p>
    <w:bookmarkEnd w:id="39"/>
    <w:bookmarkStart w:id="40"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40"/>
    <w:bookmarkStart w:id="41" w:name="sec-par"/>
    <w:p>
      <w:pPr>
        <w:pStyle w:val="Heading2"/>
      </w:pPr>
      <w:r>
        <w:t xml:space="preserve">6.4 Proven acceptable ranges</w:t>
      </w:r>
    </w:p>
    <w:p>
      <w:pPr>
        <w:pStyle w:val="FirstParagraph"/>
      </w:pPr>
      <w:r>
        <w:t xml:space="preserve">A PAR is computed for each CQA that has a criterion at the step and for each factor of the response-surface model. Two analyses are used, and each is referred to by the name given here.</w:t>
      </w:r>
    </w:p>
    <w:p>
      <w:pPr>
        <w:pStyle w:val="Compact"/>
        <w:numPr>
          <w:ilvl w:val="0"/>
          <w:numId w:val="1002"/>
        </w:numPr>
      </w:pPr>
      <w:r>
        <w:t xml:space="preserve">The set-point analysis holds the other factors at their set-points and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also scans the factor. At each of 81 grid points it draws 2,000 operating points for the other factors. Each factor is drawn from a normal distribution centred on its set-point, with a standard deviation of one sixth of the width of its NOR, and clipped to the characterized range. The PAR is the contiguous range around the set-point over which the decision statistic meets the criterion.</w:t>
      </w:r>
    </w:p>
    <w:p>
      <w:pPr>
        <w:pStyle w:val="FirstParagraph"/>
      </w:pPr>
      <w:r>
        <w:t xml:space="preserve">The decision statistic depends on the kind of attribute. For a quality attribute it is the 95 % predictive interval of a single batch, including the model residual, because a single batch is what must meet the criterion. For viral clearance it is the 2.5th percentile of the mean log reduction, without the residual. The platform claim of a step is stated as an average log reduction factor</w:t>
      </w:r>
      <w:r>
        <w:t xml:space="preserve"> </w:t>
      </w:r>
      <w:r>
        <w:t xml:space="preserve">(CMC Biotech Working Group 2009, 131)</w:t>
      </w:r>
      <w:r>
        <w:t xml:space="preserve">. Most of the residual of a viral clearance model is the variability of the infectivity assay, not of the process. The single batch statistic is still computed for viral clearance and reported for information.</w:t>
      </w:r>
    </w:p>
    <w:p>
      <w:pPr>
        <w:pStyle w:val="BodyText"/>
      </w:pPr>
      <w:r>
        <w:t xml:space="preserve">The NOR-propagated PAR is the one that supports a claim. It is in general narrower than the set-point PAR, because the range must hold while the rest of the operating point moves within its NOR.</w:t>
      </w:r>
    </w:p>
    <w:bookmarkEnd w:id="41"/>
    <w:bookmarkStart w:id="42"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as in the NOR-propagated analysis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2"/>
    <w:bookmarkEnd w:id="43"/>
    <w:bookmarkStart w:id="56"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before the study is run.</w:t>
      </w:r>
    </w:p>
    <w:bookmarkStart w:id="44" w:name="sec-acc-sdm"/>
    <w:p>
      <w:pPr>
        <w:pStyle w:val="Heading2"/>
      </w:pPr>
      <w:r>
        <w:t xml:space="preserve">7.1 Scale-down model qualification</w:t>
      </w:r>
    </w:p>
    <w:p>
      <w:pPr>
        <w:pStyle w:val="FirstParagraph"/>
      </w:pPr>
      <w:r>
        <w:t xml:space="preserve">A scale-down model is qualified for an output when its runs at set-point agree with manufacturing-scale data for that output. Each PCP-00N names the outputs, the manufacturing-scale data set, the statistical comparison and the acceptance margin before any characterization run. A difference that is consistent and explained by a known scale effect may be accepted if the PCP-00N justifies it and the PCR-00N carries it into the interpretation. A model that fails qualification for an output is not used for that output.</w:t>
      </w:r>
    </w:p>
    <w:bookmarkEnd w:id="44"/>
    <w:bookmarkStart w:id="45"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3"/>
        </w:numPr>
      </w:pPr>
      <w:r>
        <w:t xml:space="preserve">The model is significant at α = 0.05.</w:t>
      </w:r>
    </w:p>
    <w:p>
      <w:pPr>
        <w:pStyle w:val="Compact"/>
        <w:numPr>
          <w:ilvl w:val="0"/>
          <w:numId w:val="1003"/>
        </w:numPr>
      </w:pPr>
      <w:r>
        <w:t xml:space="preserve">Lack of fit against pure error is not significant at α = 0.05.</w:t>
      </w:r>
    </w:p>
    <w:p>
      <w:pPr>
        <w:pStyle w:val="Compact"/>
        <w:numPr>
          <w:ilvl w:val="0"/>
          <w:numId w:val="1003"/>
        </w:numPr>
      </w:pPr>
      <w:r>
        <w:t xml:space="preserve">Predicted R² falls short of adjusted R² by no more than 0.20. This is a limit on overfitting, because a model that fits its own runs much better than it predicts left-out runs has more terms than the data support.</w:t>
      </w:r>
    </w:p>
    <w:p>
      <w:pPr>
        <w:pStyle w:val="Compact"/>
        <w:numPr>
          <w:ilvl w:val="0"/>
          <w:numId w:val="1003"/>
        </w:numPr>
      </w:pPr>
      <w:r>
        <w:t xml:space="preserve">The residuals show no pattern against predicted values or run order, and no single run dominates the fit.</w:t>
      </w:r>
    </w:p>
    <w:p>
      <w:pPr>
        <w:pStyle w:val="FirstParagraph"/>
      </w:pPr>
      <w:r>
        <w:t xml:space="preserve">A model that fails criterion 2 or 3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5"/>
    <w:bookmarkStart w:id="47"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Judging that pool against the drug substance limit of 100 ng/mg would fail every acceptable run.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the three glycan attributes.</w:t>
      </w:r>
    </w:p>
    <w:p>
      <w:pPr>
        <w:pStyle w:val="BodyText"/>
      </w:pPr>
      <w:r>
        <w:t xml:space="preserve">For host cell protein the rule gives the Protein A pool a criterion of 16,000 ng/mg. The drug substance limit is carried back through the platform worst case of anion exchange and then of cation exchange, which together remove host cell protein 160-fold. The cation exchange pool is judged against the limit carried back through anion exchange alone, a 4.00-fold clearance.</w:t>
      </w:r>
    </w:p>
    <w:p>
      <w:pPr>
        <w:pStyle w:val="BodyText"/>
      </w:pPr>
      <w:hyperlink w:anchor="tbl-iac">
        <w:r>
          <w:rPr>
            <w:rStyle w:val="Hyperlink"/>
          </w:rPr>
          <w:t xml:space="preserve">Table 10</w:t>
        </w:r>
      </w:hyperlink>
      <w:r>
        <w:t xml:space="preserve"> </w:t>
      </w:r>
      <w:r>
        <w:t xml:space="preserve">gives all 21 criteria across 6 steps, with the downstream worst case each one is derived from. In the tightened rows the fold shown is the value that replaced the platform worst case (</w:t>
      </w:r>
      <w:hyperlink w:anchor="sec-verification">
        <w:r>
          <w:rPr>
            <w:rStyle w:val="Hyperlink"/>
          </w:rPr>
          <w:t xml:space="preserve">Section 7.5</w:t>
        </w:r>
      </w:hyperlink>
      <w:r>
        <w:t xml:space="preserve">).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6" w:name="tbl-iac"/>
          <w:p>
            <w:pPr>
              <w:jc w:val="center"/>
            </w:pPr>
            <w:pPr>
              <w:jc w:val="start"/>
              <w:spacing w:before="200"/>
              <w:pStyle w:val="ImageCaption"/>
            </w:pPr>
            <w:r>
              <w:t xml:space="preserve">Table 10: Intermediate acceptance criteria and their derivation from the drug-substance criteria.</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Drug-substance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Intermediate acceptance criterion</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160</w:t>
                  </w:r>
                </w:p>
              </w:tc>
              <w:tc>
                <w:tcPr/>
                <w:p>
                  <w:pPr>
                    <w:pStyle w:val="Compact"/>
                    <w:jc w:val="center"/>
                  </w:pPr>
                  <w:r>
                    <w:t xml:space="preserve">0.00</w:t>
                  </w:r>
                </w:p>
              </w:tc>
              <w:tc>
                <w:tcPr/>
                <w:p>
                  <w:pPr>
                    <w:pStyle w:val="Compact"/>
                    <w:jc w:val="center"/>
                  </w:pPr>
                  <w:r>
                    <w:t xml:space="preserve">≤ 16,000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4.00</w:t>
                  </w:r>
                </w:p>
              </w:tc>
              <w:tc>
                <w:tcPr/>
                <w:p>
                  <w:pPr>
                    <w:pStyle w:val="Compact"/>
                    <w:jc w:val="center"/>
                  </w:pPr>
                  <w:r>
                    <w:t xml:space="preserve">0.00</w:t>
                  </w:r>
                </w:p>
              </w:tc>
              <w:tc>
                <w:tcPr/>
                <w:p>
                  <w:pPr>
                    <w:pStyle w:val="Compact"/>
                    <w:jc w:val="center"/>
                  </w:pPr>
                  <w:r>
                    <w:t xml:space="preserve">≤ 400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1.51</w:t>
                  </w:r>
                </w:p>
              </w:tc>
              <w:tc>
                <w:tcPr/>
                <w:p>
                  <w:pPr>
                    <w:pStyle w:val="Compact"/>
                    <w:jc w:val="center"/>
                  </w:pPr>
                  <w:r>
                    <w:t xml:space="preserve">0.70</w:t>
                  </w:r>
                </w:p>
              </w:tc>
              <w:tc>
                <w:tcPr/>
                <w:p>
                  <w:pPr>
                    <w:pStyle w:val="Compact"/>
                    <w:jc w:val="center"/>
                  </w:pPr>
                  <w:r>
                    <w:t xml:space="preserve">≤ 6.83</w:t>
                  </w:r>
                </w:p>
              </w:tc>
              <w:tc>
                <w:tcPr/>
                <w:p>
                  <w:pPr>
                    <w:pStyle w:val="Compact"/>
                    <w:jc w:val="center"/>
                  </w:pPr>
                  <w:r>
                    <w:t xml:space="preserve">Back-calculated, tightened</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1.51</w:t>
                  </w:r>
                </w:p>
              </w:tc>
              <w:tc>
                <w:tcPr/>
                <w:p>
                  <w:pPr>
                    <w:pStyle w:val="Compact"/>
                    <w:jc w:val="center"/>
                  </w:pPr>
                  <w:r>
                    <w:t xml:space="preserve">0.00</w:t>
                  </w:r>
                </w:p>
              </w:tc>
              <w:tc>
                <w:tcPr/>
                <w:p>
                  <w:pPr>
                    <w:pStyle w:val="Compact"/>
                    <w:jc w:val="center"/>
                  </w:pPr>
                  <w:r>
                    <w:t xml:space="preserve">≤ 7.53</w:t>
                  </w:r>
                </w:p>
              </w:tc>
              <w:tc>
                <w:tcPr/>
                <w:p>
                  <w:pPr>
                    <w:pStyle w:val="Compact"/>
                    <w:jc w:val="center"/>
                  </w:pPr>
                  <w:r>
                    <w:t xml:space="preserve">Back-calculated, tightened</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Drug substance</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Drug substance</w:t>
                  </w:r>
                  <w:r>
                    <w:rPr>
                      <w:vertAlign w:val="superscript"/>
                    </w:rPr>
                    <w:t xml:space="preserve">a)</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Back-calculated</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Drug substance</w:t>
                  </w:r>
                  <w:r>
                    <w:rPr>
                      <w:vertAlign w:val="superscript"/>
                    </w:rPr>
                    <w:t xml:space="preserve">a)</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Drug substance</w:t>
                  </w:r>
                  <w:r>
                    <w:rPr>
                      <w:vertAlign w:val="superscript"/>
                    </w:rPr>
                    <w:t xml:space="preserve">a)</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Drug substance</w:t>
                  </w:r>
                  <w:r>
                    <w:rPr>
                      <w:vertAlign w:val="superscript"/>
                    </w:rPr>
                    <w:t xml:space="preserve">a)</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gridSpan w:val="7"/>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b)</w:t>
                  </w:r>
                  <w:r>
                    <w:t xml:space="preserve"> </w:t>
                  </w:r>
                  <w:r>
                    <w:t xml:space="preserve">The response-surface model of a downstream step predicted, within its NOR, a worse value than the platform worst case. The A-Mab value replaced it.</w:t>
                  </w:r>
                </w:p>
              </w:tc>
            </w:tr>
            <w:tr>
              <w:tc>
                <w:tcPr>
                  <w:gridSpan w:val="7"/>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bl>
          <w:bookmarkEnd w:id="46"/>
          <w:p/>
        </w:tc>
      </w:tr>
    </w:tbl>
    <w:p>
      <w:pPr>
        <w:pStyle w:val="BodyText"/>
      </w:pPr>
      <w:r>
        <w:t xml:space="preserve">In</w:t>
      </w:r>
      <w:r>
        <w:t xml:space="preserve"> </w:t>
      </w:r>
      <w:hyperlink w:anchor="tbl-iac">
        <w:r>
          <w:rPr>
            <w:rStyle w:val="Hyperlink"/>
          </w:rPr>
          <w:t xml:space="preserve">Table 10</w:t>
        </w:r>
      </w:hyperlink>
      <w:r>
        <w:t xml:space="preserve">, 2 criteria are tightened values. They are the aggregate criteria upstream of cation exchange, and</w:t>
      </w:r>
      <w:r>
        <w:t xml:space="preserve"> </w:t>
      </w:r>
      <w:hyperlink w:anchor="sec-verification">
        <w:r>
          <w:rPr>
            <w:rStyle w:val="Hyperlink"/>
          </w:rPr>
          <w:t xml:space="preserve">Section 7.5</w:t>
        </w:r>
      </w:hyperlink>
      <w:r>
        <w:t xml:space="preserve"> </w:t>
      </w:r>
      <w:r>
        <w:t xml:space="preserve">explains how they arose. The criterion derived a priori for the production bioreactor was 9.30 % HMW, and the criterion in force is 6.83 %. For low-pH viral inactivation the values are 10.0 % and 7.53 %.</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through verification (</w:t>
      </w:r>
      <w:hyperlink w:anchor="sec-verification">
        <w:r>
          <w:rPr>
            <w:rStyle w:val="Hyperlink"/>
          </w:rPr>
          <w:t xml:space="preserve">Section 7.5</w:t>
        </w:r>
      </w:hyperlink>
      <w:r>
        <w:t xml:space="preserve">). The tightened criteria in force entered this way. Their values come from the A-Mab cation exchange model, and each is stricter than its a priori value.</w:t>
      </w:r>
    </w:p>
    <w:bookmarkEnd w:id="47"/>
    <w:bookmarkStart w:id="49"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It is a property of the step and its mechanism, and it does not depend on the other steps. The sum of the claims is then checked against the cumulative requirement of the drug substance.</w:t>
      </w:r>
      <w:r>
        <w:t xml:space="preserve"> </w:t>
      </w:r>
      <w:hyperlink w:anchor="tbl-viral">
        <w:r>
          <w:rPr>
            <w:rStyle w:val="Hyperlink"/>
          </w:rPr>
          <w:t xml:space="preserve">Table 11</w:t>
        </w:r>
      </w:hyperlink>
      <w:r>
        <w:t xml:space="preserve"> </w:t>
      </w:r>
      <w:r>
        <w:t xml:space="preserve">shows that check for each model virus.</w:t>
      </w:r>
    </w:p>
    <w:tbl>
      <w:tblPr>
        <w:tblStyle w:val="Table"/>
        <w:tblW w:type="pct" w:w="5000"/>
        <w:tblLayout w:type="fixed"/>
        <w:tblLook w:firstRow="0" w:lastRow="0" w:firstColumn="0" w:lastColumn="0" w:noHBand="0" w:noVBand="0" w:val="0000"/>
      </w:tblPr>
      <w:tblGrid>
        <w:gridCol w:w="7920"/>
      </w:tblGrid>
      <w:tr>
        <w:tc>
          <w:tcPr/>
          <w:bookmarkStart w:id="48" w:name="tbl-viral"/>
          <w:p>
            <w:pPr>
              <w:jc w:val="center"/>
            </w:pPr>
            <w:pPr>
              <w:jc w:val="start"/>
              <w:spacing w:before="200"/>
              <w:pStyle w:val="ImageCaption"/>
            </w:pPr>
            <w:r>
              <w:t xml:space="preserve">Table 11: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06"/>
              <w:gridCol w:w="1688"/>
              <w:gridCol w:w="1048"/>
              <w:gridCol w:w="1164"/>
              <w:gridCol w:w="990"/>
              <w:gridCol w:w="1514"/>
              <w:gridCol w:w="407"/>
            </w:tblGrid>
            <w:tr>
              <w:trPr>
                <w:tblHeader w:val="on"/>
              </w:trPr>
              <w:tc>
                <w:tcPr/>
                <w:p>
                  <w:pPr>
                    <w:pStyle w:val="Compact"/>
                    <w:jc w:val="left"/>
                    <w:jc w:val="center"/>
                  </w:pPr>
                  <w:r>
                    <w:t xml:space="preserve">Virus</w:t>
                  </w:r>
                </w:p>
              </w:tc>
              <w:tc>
                <w:tcPr/>
                <w:p>
                  <w:pPr>
                    <w:pStyle w:val="Compact"/>
                    <w:jc w:val="left"/>
                    <w:jc w:val="center"/>
                  </w:pPr>
                  <w:r>
                    <w:t xml:space="preserve">Low-pH viral inactivation</w:t>
                  </w:r>
                </w:p>
              </w:tc>
              <w:tc>
                <w:tcPr/>
                <w:p>
                  <w:pPr>
                    <w:pStyle w:val="Compact"/>
                    <w:jc w:val="left"/>
                    <w:jc w:val="center"/>
                  </w:pPr>
                  <w:r>
                    <w:t xml:space="preserve">Anion exchange</w:t>
                  </w:r>
                </w:p>
              </w:tc>
              <w:tc>
                <w:tcPr/>
                <w:p>
                  <w:pPr>
                    <w:pStyle w:val="Compact"/>
                    <w:jc w:val="left"/>
                    <w:jc w:val="center"/>
                  </w:pPr>
                  <w:r>
                    <w:t xml:space="preserve">Virus filtration</w:t>
                  </w:r>
                </w:p>
              </w:tc>
              <w:tc>
                <w:tcPr/>
                <w:p>
                  <w:pPr>
                    <w:pStyle w:val="Compact"/>
                    <w:jc w:val="left"/>
                    <w:jc w:val="center"/>
                  </w:pPr>
                  <w:r>
                    <w:t xml:space="preserve">Sum of claims</w:t>
                  </w:r>
                </w:p>
              </w:tc>
              <w:tc>
                <w:tcPr/>
                <w:p>
                  <w:pPr>
                    <w:pStyle w:val="Compact"/>
                    <w:jc w:val="left"/>
                    <w:jc w:val="center"/>
                  </w:pPr>
                  <w:r>
                    <w:t xml:space="preserve">Cumulative requirement</w:t>
                  </w:r>
                </w:p>
              </w:tc>
              <w:tc>
                <w:tcPr/>
                <w:p>
                  <w:pPr>
                    <w:pStyle w:val="Compact"/>
                    <w:jc w:val="left"/>
                    <w:jc w:val="center"/>
                  </w:pPr>
                  <w:r>
                    <w:t xml:space="preserve">Met</w:t>
                  </w:r>
                </w:p>
              </w:tc>
            </w:tr>
            <w:tr>
              <w:tc>
                <w:tcPr/>
                <w:p>
                  <w:pPr>
                    <w:pStyle w:val="Compact"/>
                    <w:jc w:val="left"/>
                    <w:jc w:val="center"/>
                  </w:pPr>
                  <w:r>
                    <w:t xml:space="preserve">XMuLV (enveloped)</w:t>
                  </w:r>
                </w:p>
              </w:tc>
              <w:tc>
                <w:tcPr/>
                <w:p>
                  <w:pPr>
                    <w:pStyle w:val="Compact"/>
                    <w:jc w:val="left"/>
                    <w:jc w:val="center"/>
                  </w:pPr>
                  <w:r>
                    <w:t xml:space="preserve">6.6</w:t>
                  </w:r>
                </w:p>
              </w:tc>
              <w:tc>
                <w:tcPr/>
                <w:p>
                  <w:pPr>
                    <w:pStyle w:val="Compact"/>
                    <w:jc w:val="left"/>
                    <w:jc w:val="center"/>
                  </w:pPr>
                  <w:r>
                    <w:t xml:space="preserve">5.5</w:t>
                  </w:r>
                </w:p>
              </w:tc>
              <w:tc>
                <w:tcPr/>
                <w:p>
                  <w:pPr>
                    <w:pStyle w:val="Compact"/>
                    <w:jc w:val="left"/>
                    <w:jc w:val="center"/>
                  </w:pPr>
                  <w:r>
                    <w:t xml:space="preserve">4.62</w:t>
                  </w:r>
                </w:p>
              </w:tc>
              <w:tc>
                <w:tcPr/>
                <w:p>
                  <w:pPr>
                    <w:pStyle w:val="Compact"/>
                    <w:jc w:val="left"/>
                    <w:jc w:val="center"/>
                  </w:pPr>
                  <w:r>
                    <w:t xml:space="preserve">16.72</w:t>
                  </w:r>
                </w:p>
              </w:tc>
              <w:tc>
                <w:tcPr/>
                <w:p>
                  <w:pPr>
                    <w:pStyle w:val="Compact"/>
                    <w:jc w:val="left"/>
                    <w:jc w:val="center"/>
                  </w:pPr>
                  <w:r>
                    <w:t xml:space="preserve">16.7</w:t>
                  </w:r>
                </w:p>
              </w:tc>
              <w:tc>
                <w:tcPr/>
                <w:p>
                  <w:pPr>
                    <w:pStyle w:val="Compact"/>
                    <w:jc w:val="left"/>
                    <w:jc w:val="center"/>
                  </w:pPr>
                  <w:r>
                    <w:t xml:space="preserve">yes</w:t>
                  </w:r>
                </w:p>
              </w:tc>
            </w:tr>
            <w:tr>
              <w:tc>
                <w:tcPr/>
                <w:p>
                  <w:pPr>
                    <w:pStyle w:val="Compact"/>
                    <w:jc w:val="left"/>
                    <w:jc w:val="center"/>
                  </w:pPr>
                  <w:r>
                    <w:t xml:space="preserve">MVM (parvovirus)</w:t>
                  </w:r>
                </w:p>
              </w:tc>
              <w:tc>
                <w:tcPr/>
                <w:p>
                  <w:pPr>
                    <w:pStyle w:val="Compact"/>
                    <w:jc w:val="left"/>
                    <w:jc w:val="center"/>
                  </w:pPr>
                  <w:r>
                    <w:t xml:space="preserve">no claim</w:t>
                  </w:r>
                </w:p>
              </w:tc>
              <w:tc>
                <w:tcPr/>
                <w:p>
                  <w:pPr>
                    <w:pStyle w:val="Compact"/>
                    <w:jc w:val="left"/>
                    <w:jc w:val="center"/>
                  </w:pPr>
                  <w:r>
                    <w:t xml:space="preserve">4</w:t>
                  </w:r>
                </w:p>
              </w:tc>
              <w:tc>
                <w:tcPr/>
                <w:p>
                  <w:pPr>
                    <w:pStyle w:val="Compact"/>
                    <w:jc w:val="left"/>
                    <w:jc w:val="center"/>
                  </w:pPr>
                  <w:r>
                    <w:t xml:space="preserve">4.62</w:t>
                  </w:r>
                </w:p>
              </w:tc>
              <w:tc>
                <w:tcPr/>
                <w:p>
                  <w:pPr>
                    <w:pStyle w:val="Compact"/>
                    <w:jc w:val="left"/>
                    <w:jc w:val="center"/>
                  </w:pPr>
                  <w:r>
                    <w:t xml:space="preserve">8.62</w:t>
                  </w:r>
                </w:p>
              </w:tc>
              <w:tc>
                <w:tcPr/>
                <w:p>
                  <w:pPr>
                    <w:pStyle w:val="Compact"/>
                    <w:jc w:val="left"/>
                    <w:jc w:val="center"/>
                  </w:pPr>
                  <w:r>
                    <w:t xml:space="preserve">8.6</w:t>
                  </w:r>
                </w:p>
              </w:tc>
              <w:tc>
                <w:tcPr/>
                <w:p>
                  <w:pPr>
                    <w:pStyle w:val="Compact"/>
                    <w:jc w:val="left"/>
                    <w:jc w:val="center"/>
                  </w:pPr>
                  <w:r>
                    <w:t xml:space="preserve">yes</w:t>
                  </w:r>
                </w:p>
              </w:tc>
            </w:tr>
          </w:tbl>
          <w:bookmarkEnd w:id="48"/>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offset by the surplus of another step. Each viral step must meet its own claim. Low-pH viral inactivation makes no claim for MVM, because a parvovirus has no lipid envelope for low pH to disrupt.</w:t>
      </w:r>
    </w:p>
    <w:bookmarkEnd w:id="49"/>
    <w:bookmarkStart w:id="50" w:name="sec-verification"/>
    <w:p>
      <w:pPr>
        <w:pStyle w:val="Heading2"/>
      </w:pPr>
      <w:r>
        <w:t xml:space="preserve">7.5 Verification of the platform worst cases</w:t>
      </w:r>
    </w:p>
    <w:p>
      <w:pPr>
        <w:pStyle w:val="FirstParagraph"/>
      </w:pPr>
      <w:r>
        <w:t xml:space="preserve">The criteria rest on assumptions about the downstream steps. Each report checks the assumptions that the criteria upstream of its step rely on. The check uses the response-surface model of the step. An assumption is confirmed when the model predicts, within the NOR, a clearance no lower than the platform worst case, or an increase no larger. The values observed at the edges of the characterized range are reported beside it for information.</w:t>
      </w:r>
    </w:p>
    <w:p>
      <w:pPr>
        <w:pStyle w:val="BodyText"/>
      </w:pPr>
      <w:r>
        <w:t xml:space="preserve">Data may tighten a criterion and may never loosen it. Where a step does worse within its NOR than the platform worst case, the value the A-Mab model predicts replaces the platform value, and every criterion upstream of that step is recalculated. Where a step does better, the platform value stands.</w:t>
      </w:r>
    </w:p>
    <w:p>
      <w:pPr>
        <w:pStyle w:val="BodyText"/>
      </w:pPr>
      <w:r>
        <w:t xml:space="preserve">Of the 9 assumptions, 7 can be checked against a response of the campaign designs. The other 2 concern leached Protein A, which is not a response of the cation exchange or anion exchange designs, and the platform value stands for them. Of those 7, 6 were confirmed and 1 was not. Within its NOR, cation exchange cleared aggregate 1.51-fold, against a platform worst case of 2.00-fold. That tightened the 2 aggregate criteria upstream of cation exchange (</w:t>
      </w:r>
      <w:hyperlink w:anchor="sec-iac">
        <w:r>
          <w:rPr>
            <w:rStyle w:val="Hyperlink"/>
          </w:rPr>
          <w:t xml:space="preserve">Section 7.3</w:t>
        </w:r>
      </w:hyperlink>
      <w:r>
        <w:t xml:space="preserve">).</w:t>
      </w:r>
    </w:p>
    <w:bookmarkEnd w:id="50"/>
    <w:bookmarkStart w:id="51"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10</w:t>
        </w:r>
      </w:hyperlink>
      <w:r>
        <w:t xml:space="preserve"> </w:t>
      </w:r>
      <w:r>
        <w:t xml:space="preserve">defines one, and the drug substance criterion otherwise. A parameter that affects several attributes has a PAR for each, and the range carried into the control strategy is their intersection. Where the set-point itself fails, the PCR-00N reports that no PAR exists for the attribute and states the consequence for the NOR.</w:t>
      </w:r>
    </w:p>
    <w:p>
      <w:pPr>
        <w:pStyle w:val="BodyText"/>
      </w:pPr>
      <w:r>
        <w:t xml:space="preserve">A PAR is never extended beyond the characterized range. A PAR that reaches the edge of the characterized range is reported as reaching it, and no claim is made beyond it.</w:t>
      </w:r>
    </w:p>
    <w:bookmarkEnd w:id="51"/>
    <w:bookmarkStart w:id="52" w:name="sec-classification"/>
    <w:p>
      <w:pPr>
        <w:pStyle w:val="Heading2"/>
      </w:pPr>
      <w:r>
        <w:t xml:space="preserve">7.7 Parameter classification</w:t>
      </w:r>
    </w:p>
    <w:p>
      <w:pPr>
        <w:pStyle w:val="FirstParagraph"/>
      </w:pPr>
      <w:r>
        <w:t xml:space="preserve">Parameters are classified under SOP-4001 by the decision logic of the A-Mab case study</w:t>
      </w:r>
      <w:r>
        <w:t xml:space="preserve"> </w:t>
      </w:r>
      <w:r>
        <w:t xml:space="preserve">(CMC Biotech Working Group 2009)</w:t>
      </w:r>
      <w:r>
        <w:t xml:space="preserve">.</w:t>
      </w:r>
    </w:p>
    <w:p>
      <w:pPr>
        <w:pStyle w:val="Compact"/>
        <w:numPr>
          <w:ilvl w:val="0"/>
          <w:numId w:val="1004"/>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4"/>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4"/>
        </w:numPr>
      </w:pPr>
      <w:r>
        <w:t xml:space="preserve">A key process parameter (KPP) affects process performance, such as yield or concentration, and has no effect on a CQA within its range.</w:t>
      </w:r>
    </w:p>
    <w:p>
      <w:pPr>
        <w:pStyle w:val="Compact"/>
        <w:numPr>
          <w:ilvl w:val="0"/>
          <w:numId w:val="1004"/>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2"/>
    <w:bookmarkStart w:id="54" w:name="sec-fragments"/>
    <w:p>
      <w:pPr>
        <w:pStyle w:val="Heading2"/>
      </w:pPr>
      <w:r>
        <w:t xml:space="preserve">7.8 Method for fragments</w:t>
      </w:r>
    </w:p>
    <w:p>
      <w:pPr>
        <w:pStyle w:val="FirstParagraph"/>
      </w:pPr>
      <w:r>
        <w:t xml:space="preserve">From 2026-03-20, fragments are measured by nrCE-SDS (AMV-3020, under SOP-3015) in every study at every step, as AMD-001 decided. One method across the train is needed because a fragment balance across steps cannot mix two methods. Screening designs executed before that date measured fragments by SEC (</w:t>
      </w:r>
      <w:hyperlink w:anchor="tbl-methods-by-study">
        <w:r>
          <w:rPr>
            <w:rStyle w:val="Hyperlink"/>
          </w:rPr>
          <w:t xml:space="preserve">Table 12</w:t>
        </w:r>
      </w:hyperlink>
      <w:r>
        <w:t xml:space="preserve">).</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12</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 Fragments were not an attribute of the production bioreactor designs.</w:t>
      </w:r>
    </w:p>
    <w:tbl>
      <w:tblPr>
        <w:tblStyle w:val="Table"/>
        <w:tblW w:type="pct" w:w="5000"/>
        <w:tblLayout w:type="fixed"/>
        <w:tblLook w:firstRow="0" w:lastRow="0" w:firstColumn="0" w:lastColumn="0" w:noHBand="0" w:noVBand="0" w:val="0000"/>
      </w:tblPr>
      <w:tblGrid>
        <w:gridCol w:w="7920"/>
      </w:tblGrid>
      <w:tr>
        <w:tc>
          <w:tcPr/>
          <w:bookmarkStart w:id="53" w:name="tbl-methods-by-study"/>
          <w:p>
            <w:pPr>
              <w:jc w:val="center"/>
            </w:pPr>
            <w:pPr>
              <w:jc w:val="start"/>
              <w:spacing w:before="200"/>
              <w:pStyle w:val="ImageCaption"/>
            </w:pPr>
            <w:r>
              <w:t xml:space="preserve">Table 12: Methods used for size variants, by step and study.</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f)</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e)</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e)</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c)</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d)</w:t>
                  </w:r>
                </w:p>
              </w:tc>
              <w:tc>
                <w:tcPr/>
                <w:p>
                  <w:pPr>
                    <w:pStyle w:val="Compact"/>
                    <w:jc w:val="center"/>
                  </w:pPr>
                  <w:r>
                    <w:t xml:space="preserve">nrCE-SDS</w:t>
                  </w:r>
                  <w:r>
                    <w:rPr>
                      <w:vertAlign w:val="superscript"/>
                    </w:rPr>
                    <w:t xml:space="preserve">d)</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e)</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e)</w:t>
                  </w:r>
                </w:p>
              </w:tc>
            </w:tr>
            <w:tr>
              <w:tc>
                <w:tcPr>
                  <w:gridSpan w:val="4"/>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b)</w:t>
                  </w:r>
                  <w:r>
                    <w:t xml:space="preserve"> </w:t>
                  </w:r>
                  <w:r>
                    <w:t xml:space="preserve">Retained response-surface samples, tested 2026-04-06 to 2026-04-17.</w:t>
                  </w:r>
                </w:p>
              </w:tc>
            </w:tr>
            <w:tr>
              <w:tc>
                <w:tcPr>
                  <w:gridSpan w:val="4"/>
                </w:tcPr>
                <w:p>
                  <w:pPr>
                    <w:pStyle w:val="Compact"/>
                    <w:jc w:val="center"/>
                  </w:pPr>
                  <w:r>
                    <w:rPr>
                      <w:vertAlign w:val="superscript"/>
                    </w:rPr>
                    <w:t xml:space="preserve">c)</w:t>
                  </w:r>
                  <w:r>
                    <w:t xml:space="preserve"> </w:t>
                  </w:r>
                  <w:r>
                    <w:t xml:space="preserve">Both methods on the same samples, the comparability study S-CEX-FRC.</w:t>
                  </w:r>
                </w:p>
              </w:tc>
            </w:tr>
            <w:tr>
              <w:tc>
                <w:tcPr>
                  <w:gridSpan w:val="4"/>
                </w:tcPr>
                <w:p>
                  <w:pPr>
                    <w:pStyle w:val="Compact"/>
                    <w:jc w:val="center"/>
                  </w:pPr>
                  <w:r>
                    <w:rPr>
                      <w:vertAlign w:val="superscript"/>
                    </w:rPr>
                    <w:t xml:space="preserve">d)</w:t>
                  </w:r>
                  <w:r>
                    <w:t xml:space="preserve"> </w:t>
                  </w:r>
                  <w:r>
                    <w:t xml:space="preserve">Re-executed design (DEV-008-01). The invalidated first execution measured fragments by SEC.</w:t>
                  </w:r>
                </w:p>
              </w:tc>
            </w:tr>
            <w:tr>
              <w:tc>
                <w:tcPr>
                  <w:gridSpan w:val="4"/>
                </w:tcPr>
                <w:p>
                  <w:pPr>
                    <w:pStyle w:val="Compact"/>
                    <w:jc w:val="center"/>
                  </w:pPr>
                  <w:r>
                    <w:rPr>
                      <w:vertAlign w:val="superscript"/>
                    </w:rPr>
                    <w:t xml:space="preserve">e)</w:t>
                  </w:r>
                  <w:r>
                    <w:t xml:space="preserve"> </w:t>
                  </w:r>
                  <w:r>
                    <w:t xml:space="preserve">Univariate characterization only.</w:t>
                  </w:r>
                </w:p>
              </w:tc>
            </w:tr>
            <w:tr>
              <w:tc>
                <w:tcPr>
                  <w:gridSpan w:val="4"/>
                </w:tcPr>
                <w:p>
                  <w:pPr>
                    <w:pStyle w:val="Compact"/>
                    <w:jc w:val="center"/>
                  </w:pPr>
                  <w:r>
                    <w:rPr>
                      <w:vertAlign w:val="superscript"/>
                    </w:rPr>
                    <w:t xml:space="preserve">f)</w:t>
                  </w:r>
                  <w:r>
                    <w:t xml:space="preserve"> </w:t>
                  </w:r>
                  <w:r>
                    <w:t xml:space="preserve">Fragments were not an attribute of this study.</w:t>
                  </w:r>
                </w:p>
              </w:tc>
            </w:tr>
          </w:tbl>
          <w:bookmarkEnd w:id="53"/>
          <w:p/>
        </w:tc>
      </w:tr>
    </w:tbl>
    <w:bookmarkEnd w:id="54"/>
    <w:bookmarkStart w:id="55"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5"/>
        </w:numPr>
      </w:pPr>
      <w:r>
        <w:t xml:space="preserve">A Cpk of at least 1.33 is expected of a CQA in routine manufacture. This value follows common industry practice for a capable process.</w:t>
      </w:r>
    </w:p>
    <w:p>
      <w:pPr>
        <w:pStyle w:val="Compact"/>
        <w:numPr>
          <w:ilvl w:val="0"/>
          <w:numId w:val="1005"/>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5"/>
    <w:bookmarkEnd w:id="56"/>
    <w:bookmarkStart w:id="58" w:name="sec-register"/>
    <w:p>
      <w:pPr>
        <w:pStyle w:val="Heading1"/>
      </w:pPr>
      <w:r>
        <w:t xml:space="preserve">8. Register of characterization plans</w:t>
      </w:r>
    </w:p>
    <w:p>
      <w:pPr>
        <w:pStyle w:val="FirstParagraph"/>
      </w:pPr>
      <w:hyperlink w:anchor="tbl-plans">
        <w:r>
          <w:rPr>
            <w:rStyle w:val="Hyperlink"/>
          </w:rPr>
          <w:t xml:space="preserve">Table 13</w:t>
        </w:r>
      </w:hyperlink>
      <w:r>
        <w:t xml:space="preserve"> </w:t>
      </w:r>
      <w:r>
        <w:t xml:space="preserve">lists the step plans that instantiate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7" w:name="tbl-plans"/>
          <w:p>
            <w:pPr>
              <w:jc w:val="center"/>
            </w:pPr>
            <w:pPr>
              <w:jc w:val="start"/>
              <w:spacing w:before="200"/>
              <w:pStyle w:val="ImageCaption"/>
            </w:pPr>
            <w:r>
              <w:t xml:space="preserve">Table 13: Process Characterization Plans under PCMP-001.</w:t>
            </w:r>
          </w:p>
          <w:tbl>
            <w:tblPr>
              <w:tblStyle w:val="Table"/>
              <w:tblW w:type="pct" w:w="5000"/>
              <w:tblLayout w:type="fixed"/>
              <w:tblLook w:firstRow="1" w:lastRow="0" w:firstColumn="0" w:lastColumn="0" w:noHBand="0" w:noVBand="0" w:val="0020"/>
            </w:tblPr>
            <w:tblGrid>
              <w:gridCol w:w="705"/>
              <w:gridCol w:w="3371"/>
              <w:gridCol w:w="2509"/>
              <w:gridCol w:w="1333"/>
            </w:tblGrid>
            <w:tr>
              <w:trPr>
                <w:tblHeader w:val="on"/>
              </w:trPr>
              <w:tc>
                <w:tcPr/>
                <w:p>
                  <w:pPr>
                    <w:pStyle w:val="Compact"/>
                    <w:jc w:val="left"/>
                    <w:jc w:val="center"/>
                  </w:pPr>
                  <w:r>
                    <w:t xml:space="preserve">Plan</w:t>
                  </w:r>
                </w:p>
              </w:tc>
              <w:tc>
                <w:tcPr/>
                <w:p>
                  <w:pPr>
                    <w:pStyle w:val="Compact"/>
                    <w:jc w:val="left"/>
                    <w:jc w:val="center"/>
                  </w:pPr>
                  <w:r>
                    <w:t xml:space="preserve">Subject</w:t>
                  </w:r>
                </w:p>
              </w:tc>
              <w:tc>
                <w:tcPr/>
                <w:p>
                  <w:pPr>
                    <w:pStyle w:val="Compact"/>
                    <w:jc w:val="left"/>
                    <w:jc w:val="center"/>
                  </w:pPr>
                  <w:r>
                    <w:t xml:space="preserve">Study type</w:t>
                  </w:r>
                </w:p>
              </w:tc>
              <w:tc>
                <w:tcPr/>
                <w:p>
                  <w:pPr>
                    <w:pStyle w:val="Compact"/>
                    <w:jc w:val="left"/>
                    <w:jc w:val="center"/>
                  </w:pPr>
                  <w:r>
                    <w:t xml:space="preserve">Paired report</w:t>
                  </w:r>
                </w:p>
              </w:tc>
            </w:tr>
            <w:tr>
              <w:tc>
                <w:tcPr/>
                <w:p>
                  <w:pPr>
                    <w:pStyle w:val="Compact"/>
                    <w:jc w:val="left"/>
                    <w:jc w:val="center"/>
                  </w:pPr>
                  <w:r>
                    <w:t xml:space="preserve">PCP-003</w:t>
                  </w:r>
                </w:p>
              </w:tc>
              <w:tc>
                <w:tcPr/>
                <w:p>
                  <w:pPr>
                    <w:pStyle w:val="Compact"/>
                    <w:jc w:val="left"/>
                    <w:jc w:val="center"/>
                  </w:pPr>
                  <w:r>
                    <w:t xml:space="preserve">Production Bioreactor (Step 3)</w:t>
                  </w:r>
                </w:p>
              </w:tc>
              <w:tc>
                <w:tcPr/>
                <w:p>
                  <w:pPr>
                    <w:pStyle w:val="Compact"/>
                    <w:jc w:val="left"/>
                    <w:jc w:val="center"/>
                  </w:pPr>
                  <w:r>
                    <w:t xml:space="preserve">screening and response surface</w:t>
                  </w:r>
                </w:p>
              </w:tc>
              <w:tc>
                <w:tcPr/>
                <w:p>
                  <w:pPr>
                    <w:pStyle w:val="Compact"/>
                    <w:jc w:val="left"/>
                    <w:jc w:val="center"/>
                  </w:pPr>
                  <w:r>
                    <w:t xml:space="preserve">PCR-003</w:t>
                  </w:r>
                </w:p>
              </w:tc>
            </w:tr>
            <w:tr>
              <w:tc>
                <w:tcPr/>
                <w:p>
                  <w:pPr>
                    <w:pStyle w:val="Compact"/>
                    <w:jc w:val="left"/>
                    <w:jc w:val="center"/>
                  </w:pPr>
                  <w:r>
                    <w:t xml:space="preserve">PCP-004</w:t>
                  </w:r>
                </w:p>
              </w:tc>
              <w:tc>
                <w:tcPr/>
                <w:p>
                  <w:pPr>
                    <w:pStyle w:val="Compact"/>
                    <w:jc w:val="left"/>
                    <w:jc w:val="center"/>
                  </w:pPr>
                  <w:r>
                    <w:t xml:space="preserve">Harvest and Clarification (Step 4)</w:t>
                  </w:r>
                </w:p>
              </w:tc>
              <w:tc>
                <w:tcPr/>
                <w:p>
                  <w:pPr>
                    <w:pStyle w:val="Compact"/>
                    <w:jc w:val="left"/>
                    <w:jc w:val="center"/>
                  </w:pPr>
                  <w:r>
                    <w:t xml:space="preserve">univariate and qualitative</w:t>
                  </w:r>
                </w:p>
              </w:tc>
              <w:tc>
                <w:tcPr/>
                <w:p>
                  <w:pPr>
                    <w:pStyle w:val="Compact"/>
                    <w:jc w:val="left"/>
                    <w:jc w:val="center"/>
                  </w:pPr>
                  <w:r>
                    <w:t xml:space="preserve">PCR-004</w:t>
                  </w:r>
                </w:p>
              </w:tc>
            </w:tr>
            <w:tr>
              <w:tc>
                <w:tcPr/>
                <w:p>
                  <w:pPr>
                    <w:pStyle w:val="Compact"/>
                    <w:jc w:val="left"/>
                    <w:jc w:val="center"/>
                  </w:pPr>
                  <w:r>
                    <w:t xml:space="preserve">PCP-005</w:t>
                  </w:r>
                </w:p>
              </w:tc>
              <w:tc>
                <w:tcPr/>
                <w:p>
                  <w:pPr>
                    <w:pStyle w:val="Compact"/>
                    <w:jc w:val="left"/>
                    <w:jc w:val="center"/>
                  </w:pPr>
                  <w:r>
                    <w:t xml:space="preserve">Protein A Chromatography (Step 5)</w:t>
                  </w:r>
                </w:p>
              </w:tc>
              <w:tc>
                <w:tcPr/>
                <w:p>
                  <w:pPr>
                    <w:pStyle w:val="Compact"/>
                    <w:jc w:val="left"/>
                    <w:jc w:val="center"/>
                  </w:pPr>
                  <w:r>
                    <w:t xml:space="preserve">screening and response surface</w:t>
                  </w:r>
                </w:p>
              </w:tc>
              <w:tc>
                <w:tcPr/>
                <w:p>
                  <w:pPr>
                    <w:pStyle w:val="Compact"/>
                    <w:jc w:val="left"/>
                    <w:jc w:val="center"/>
                  </w:pPr>
                  <w:r>
                    <w:t xml:space="preserve">PCR-005</w:t>
                  </w:r>
                </w:p>
              </w:tc>
            </w:tr>
            <w:tr>
              <w:tc>
                <w:tcPr/>
                <w:p>
                  <w:pPr>
                    <w:pStyle w:val="Compact"/>
                    <w:jc w:val="left"/>
                    <w:jc w:val="center"/>
                  </w:pPr>
                  <w:r>
                    <w:t xml:space="preserve">PCP-006</w:t>
                  </w:r>
                </w:p>
              </w:tc>
              <w:tc>
                <w:tcPr/>
                <w:p>
                  <w:pPr>
                    <w:pStyle w:val="Compact"/>
                    <w:jc w:val="left"/>
                    <w:jc w:val="center"/>
                  </w:pPr>
                  <w:r>
                    <w:t xml:space="preserve">Low-pH Viral Inactivation (Step 6)</w:t>
                  </w:r>
                </w:p>
              </w:tc>
              <w:tc>
                <w:tcPr/>
                <w:p>
                  <w:pPr>
                    <w:pStyle w:val="Compact"/>
                    <w:jc w:val="left"/>
                    <w:jc w:val="center"/>
                  </w:pPr>
                  <w:r>
                    <w:t xml:space="preserve">screening and response surface</w:t>
                  </w:r>
                </w:p>
              </w:tc>
              <w:tc>
                <w:tcPr/>
                <w:p>
                  <w:pPr>
                    <w:pStyle w:val="Compact"/>
                    <w:jc w:val="left"/>
                    <w:jc w:val="center"/>
                  </w:pPr>
                  <w:r>
                    <w:t xml:space="preserve">PCR-006</w:t>
                  </w:r>
                </w:p>
              </w:tc>
            </w:tr>
            <w:tr>
              <w:tc>
                <w:tcPr/>
                <w:p>
                  <w:pPr>
                    <w:pStyle w:val="Compact"/>
                    <w:jc w:val="left"/>
                    <w:jc w:val="center"/>
                  </w:pPr>
                  <w:r>
                    <w:t xml:space="preserve">PCP-007</w:t>
                  </w:r>
                </w:p>
              </w:tc>
              <w:tc>
                <w:tcPr/>
                <w:p>
                  <w:pPr>
                    <w:pStyle w:val="Compact"/>
                    <w:jc w:val="left"/>
                    <w:jc w:val="center"/>
                  </w:pPr>
                  <w:r>
                    <w:t xml:space="preserve">Cation Exchange Chromatography (Step 7)</w:t>
                  </w:r>
                </w:p>
              </w:tc>
              <w:tc>
                <w:tcPr/>
                <w:p>
                  <w:pPr>
                    <w:pStyle w:val="Compact"/>
                    <w:jc w:val="left"/>
                    <w:jc w:val="center"/>
                  </w:pPr>
                  <w:r>
                    <w:t xml:space="preserve">screening and response surface</w:t>
                  </w:r>
                </w:p>
              </w:tc>
              <w:tc>
                <w:tcPr/>
                <w:p>
                  <w:pPr>
                    <w:pStyle w:val="Compact"/>
                    <w:jc w:val="left"/>
                    <w:jc w:val="center"/>
                  </w:pPr>
                  <w:r>
                    <w:t xml:space="preserve">PCR-007</w:t>
                  </w:r>
                </w:p>
              </w:tc>
            </w:tr>
            <w:tr>
              <w:tc>
                <w:tcPr/>
                <w:p>
                  <w:pPr>
                    <w:pStyle w:val="Compact"/>
                    <w:jc w:val="left"/>
                    <w:jc w:val="center"/>
                  </w:pPr>
                  <w:r>
                    <w:t xml:space="preserve">PCP-008</w:t>
                  </w:r>
                </w:p>
              </w:tc>
              <w:tc>
                <w:tcPr/>
                <w:p>
                  <w:pPr>
                    <w:pStyle w:val="Compact"/>
                    <w:jc w:val="left"/>
                    <w:jc w:val="center"/>
                  </w:pPr>
                  <w:r>
                    <w:t xml:space="preserve">Anion Exchange Chromatography (Step 8)</w:t>
                  </w:r>
                </w:p>
              </w:tc>
              <w:tc>
                <w:tcPr/>
                <w:p>
                  <w:pPr>
                    <w:pStyle w:val="Compact"/>
                    <w:jc w:val="left"/>
                    <w:jc w:val="center"/>
                  </w:pPr>
                  <w:r>
                    <w:t xml:space="preserve">screening and response surface</w:t>
                  </w:r>
                </w:p>
              </w:tc>
              <w:tc>
                <w:tcPr/>
                <w:p>
                  <w:pPr>
                    <w:pStyle w:val="Compact"/>
                    <w:jc w:val="left"/>
                    <w:jc w:val="center"/>
                  </w:pPr>
                  <w:r>
                    <w:t xml:space="preserve">PCR-008</w:t>
                  </w:r>
                </w:p>
              </w:tc>
            </w:tr>
            <w:tr>
              <w:tc>
                <w:tcPr/>
                <w:p>
                  <w:pPr>
                    <w:pStyle w:val="Compact"/>
                    <w:jc w:val="left"/>
                    <w:jc w:val="center"/>
                  </w:pPr>
                  <w:r>
                    <w:t xml:space="preserve">PCP-009</w:t>
                  </w:r>
                </w:p>
              </w:tc>
              <w:tc>
                <w:tcPr/>
                <w:p>
                  <w:pPr>
                    <w:pStyle w:val="Compact"/>
                    <w:jc w:val="left"/>
                    <w:jc w:val="center"/>
                  </w:pPr>
                  <w:r>
                    <w:t xml:space="preserve">Small-Virus Retentive Filtration (Step 9)</w:t>
                  </w:r>
                </w:p>
              </w:tc>
              <w:tc>
                <w:tcPr/>
                <w:p>
                  <w:pPr>
                    <w:pStyle w:val="Compact"/>
                    <w:jc w:val="left"/>
                    <w:jc w:val="center"/>
                  </w:pPr>
                  <w:r>
                    <w:t xml:space="preserve">screening and response surface</w:t>
                  </w:r>
                </w:p>
              </w:tc>
              <w:tc>
                <w:tcPr/>
                <w:p>
                  <w:pPr>
                    <w:pStyle w:val="Compact"/>
                    <w:jc w:val="left"/>
                    <w:jc w:val="center"/>
                  </w:pPr>
                  <w:r>
                    <w:t xml:space="preserve">PCR-009</w:t>
                  </w:r>
                </w:p>
              </w:tc>
            </w:tr>
            <w:tr>
              <w:tc>
                <w:tcPr/>
                <w:p>
                  <w:pPr>
                    <w:pStyle w:val="Compact"/>
                    <w:jc w:val="left"/>
                    <w:jc w:val="center"/>
                  </w:pPr>
                  <w:r>
                    <w:t xml:space="preserve">PCP-010</w:t>
                  </w:r>
                </w:p>
              </w:tc>
              <w:tc>
                <w:tcPr/>
                <w:p>
                  <w:pPr>
                    <w:pStyle w:val="Compact"/>
                    <w:jc w:val="left"/>
                    <w:jc w:val="center"/>
                  </w:pPr>
                  <w:r>
                    <w:t xml:space="preserve">Ultrafiltration / Diafiltration (Step 10)</w:t>
                  </w:r>
                </w:p>
              </w:tc>
              <w:tc>
                <w:tcPr/>
                <w:p>
                  <w:pPr>
                    <w:pStyle w:val="Compact"/>
                    <w:jc w:val="left"/>
                    <w:jc w:val="center"/>
                  </w:pPr>
                  <w:r>
                    <w:t xml:space="preserve">univariate and qualitative</w:t>
                  </w:r>
                </w:p>
              </w:tc>
              <w:tc>
                <w:tcPr/>
                <w:p>
                  <w:pPr>
                    <w:pStyle w:val="Compact"/>
                    <w:jc w:val="left"/>
                    <w:jc w:val="center"/>
                  </w:pPr>
                  <w:r>
                    <w:t xml:space="preserve">PCR-010</w:t>
                  </w:r>
                </w:p>
              </w:tc>
            </w:tr>
          </w:tbl>
          <w:bookmarkEnd w:id="57"/>
          <w:p/>
        </w:tc>
      </w:tr>
    </w:tbl>
    <w:p>
      <w:pPr>
        <w:pStyle w:val="BodyText"/>
      </w:pPr>
      <w:r>
        <w:t xml:space="preserve">Each step plan carries the same structure. That is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8"/>
    <w:bookmarkStart w:id="60"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06"/>
        </w:numPr>
      </w:pPr>
      <w:r>
        <w:t xml:space="preserve">One PCP-00N and one PCR-00N for each of the 8 steps, each report paired with its plan.</w:t>
      </w:r>
    </w:p>
    <w:p>
      <w:pPr>
        <w:pStyle w:val="Compact"/>
        <w:numPr>
          <w:ilvl w:val="0"/>
          <w:numId w:val="1006"/>
        </w:numPr>
      </w:pPr>
      <w:r>
        <w:t xml:space="preserve">PCMR-001, which consolidates the reports into the design spaces, the PARs, the parameter classes, the capability of the drug substance and the control strategy.</w:t>
      </w:r>
    </w:p>
    <w:p>
      <w:pPr>
        <w:pStyle w:val="Compact"/>
        <w:numPr>
          <w:ilvl w:val="0"/>
          <w:numId w:val="1006"/>
        </w:numPr>
      </w:pPr>
      <w:r>
        <w:t xml:space="preserve">A ground-truth annex for each controlled document, built from the same data as the document.</w:t>
      </w:r>
    </w:p>
    <w:p>
      <w:pPr>
        <w:pStyle w:val="FirstParagraph"/>
      </w:pPr>
      <w:r>
        <w:t xml:space="preserve">A step plan is approved before the first characterization run of its step. A report is approved after the data of all its studies are complete. PCMR-001 is written last.</w:t>
      </w:r>
    </w:p>
    <w:p>
      <w:pPr>
        <w:pStyle w:val="BodyText"/>
      </w:pPr>
      <w:hyperlink w:anchor="tbl-chronology">
        <w:r>
          <w:rPr>
            <w:rStyle w:val="Hyperlink"/>
          </w:rPr>
          <w:t xml:space="preserve">Table 14</w:t>
        </w:r>
      </w:hyperlink>
      <w:r>
        <w:t xml:space="preserve"> </w:t>
      </w:r>
      <w:r>
        <w:t xml:space="preserve">records the execution window of every study, in order of start. The campaign ran from 2025-08-27 to 2026-09-11 across 34 studies. Some steps were studied in parallel, because their scale-down models are independent of each other. The first execution of the anion exchange design (S-AEX-SUP) was invalidated under DEV-008-01 and re-executed as S-AEX-SCR and S-AEX-RSM.</w:t>
      </w:r>
    </w:p>
    <w:tbl>
      <w:tblPr>
        <w:tblStyle w:val="Table"/>
        <w:tblW w:type="pct" w:w="5000"/>
        <w:tblLayout w:type="fixed"/>
        <w:tblLook w:firstRow="0" w:lastRow="0" w:firstColumn="0" w:lastColumn="0" w:noHBand="0" w:noVBand="0" w:val="0000"/>
      </w:tblPr>
      <w:tblGrid>
        <w:gridCol w:w="7920"/>
      </w:tblGrid>
      <w:tr>
        <w:tc>
          <w:tcPr/>
          <w:bookmarkStart w:id="59" w:name="tbl-chronology"/>
          <w:p>
            <w:pPr>
              <w:jc w:val="center"/>
            </w:pPr>
            <w:pPr>
              <w:jc w:val="start"/>
              <w:spacing w:before="200"/>
              <w:pStyle w:val="ImageCaption"/>
            </w:pPr>
            <w:r>
              <w:t xml:space="preserve">Table 14: Execution window of every characterization study.</w:t>
            </w:r>
          </w:p>
          <w:tbl>
            <w:tblPr>
              <w:tblStyle w:val="Table"/>
              <w:tblW w:type="pct" w:w="5000"/>
              <w:tblLayout w:type="fixed"/>
              <w:tblLook w:firstRow="1" w:lastRow="0" w:firstColumn="0" w:lastColumn="0" w:noHBand="0" w:noVBand="0" w:val="0020"/>
            </w:tblPr>
            <w:tblGrid>
              <w:gridCol w:w="931"/>
              <w:gridCol w:w="2640"/>
              <w:gridCol w:w="2484"/>
              <w:gridCol w:w="931"/>
              <w:gridCol w:w="931"/>
            </w:tblGrid>
            <w:tr>
              <w:trPr>
                <w:tblHeader w:val="on"/>
              </w:trPr>
              <w:tc>
                <w:tcPr/>
                <w:p>
                  <w:pPr>
                    <w:pStyle w:val="Compact"/>
                    <w:jc w:val="left"/>
                    <w:jc w:val="center"/>
                  </w:pPr>
                  <w:r>
                    <w:t xml:space="preserve">Study</w:t>
                  </w:r>
                </w:p>
              </w:tc>
              <w:tc>
                <w:tcPr/>
                <w:p>
                  <w:pPr>
                    <w:pStyle w:val="Compact"/>
                    <w:jc w:val="left"/>
                    <w:jc w:val="center"/>
                  </w:pPr>
                  <w:r>
                    <w:t xml:space="preserve">Step</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S-BRX-SDM</w:t>
                  </w:r>
                </w:p>
              </w:tc>
              <w:tc>
                <w:tcPr/>
                <w:p>
                  <w:pPr>
                    <w:pStyle w:val="Compact"/>
                    <w:jc w:val="left"/>
                    <w:jc w:val="center"/>
                  </w:pPr>
                  <w:r>
                    <w:t xml:space="preserve">Production Bioreactor</w:t>
                  </w:r>
                </w:p>
              </w:tc>
              <w:tc>
                <w:tcPr/>
                <w:p>
                  <w:pPr>
                    <w:pStyle w:val="Compact"/>
                    <w:jc w:val="left"/>
                    <w:jc w:val="center"/>
                  </w:pPr>
                  <w:r>
                    <w:t xml:space="preserve">scale-down model qualification</w:t>
                  </w:r>
                </w:p>
              </w:tc>
              <w:tc>
                <w:tcPr/>
                <w:p>
                  <w:pPr>
                    <w:pStyle w:val="Compact"/>
                    <w:jc w:val="left"/>
                    <w:jc w:val="center"/>
                  </w:pPr>
                  <w:r>
                    <w:t xml:space="preserve">2025-08-27</w:t>
                  </w:r>
                </w:p>
              </w:tc>
              <w:tc>
                <w:tcPr/>
                <w:p>
                  <w:pPr>
                    <w:pStyle w:val="Compact"/>
                    <w:jc w:val="left"/>
                    <w:jc w:val="center"/>
                  </w:pPr>
                  <w:r>
                    <w:t xml:space="preserve">2025-09-05</w:t>
                  </w:r>
                </w:p>
              </w:tc>
            </w:tr>
            <w:tr>
              <w:tc>
                <w:tcPr/>
                <w:p>
                  <w:pPr>
                    <w:pStyle w:val="Compact"/>
                    <w:jc w:val="left"/>
                    <w:jc w:val="center"/>
                  </w:pPr>
                  <w:r>
                    <w:t xml:space="preserve">S-BRX-SCR</w:t>
                  </w:r>
                </w:p>
              </w:tc>
              <w:tc>
                <w:tcPr/>
                <w:p>
                  <w:pPr>
                    <w:pStyle w:val="Compact"/>
                    <w:jc w:val="left"/>
                    <w:jc w:val="center"/>
                  </w:pPr>
                  <w:r>
                    <w:t xml:space="preserve">Production Bioreactor</w:t>
                  </w:r>
                </w:p>
              </w:tc>
              <w:tc>
                <w:tcPr/>
                <w:p>
                  <w:pPr>
                    <w:pStyle w:val="Compact"/>
                    <w:jc w:val="left"/>
                    <w:jc w:val="center"/>
                  </w:pPr>
                  <w:r>
                    <w:t xml:space="preserve">screening design</w:t>
                  </w:r>
                </w:p>
              </w:tc>
              <w:tc>
                <w:tcPr/>
                <w:p>
                  <w:pPr>
                    <w:pStyle w:val="Compact"/>
                    <w:jc w:val="left"/>
                    <w:jc w:val="center"/>
                  </w:pPr>
                  <w:r>
                    <w:t xml:space="preserve">2025-09-08</w:t>
                  </w:r>
                </w:p>
              </w:tc>
              <w:tc>
                <w:tcPr/>
                <w:p>
                  <w:pPr>
                    <w:pStyle w:val="Compact"/>
                    <w:jc w:val="left"/>
                    <w:jc w:val="center"/>
                  </w:pPr>
                  <w:r>
                    <w:t xml:space="preserve">2025-10-03</w:t>
                  </w:r>
                </w:p>
              </w:tc>
            </w:tr>
            <w:tr>
              <w:tc>
                <w:tcPr/>
                <w:p>
                  <w:pPr>
                    <w:pStyle w:val="Compact"/>
                    <w:jc w:val="left"/>
                    <w:jc w:val="center"/>
                  </w:pPr>
                  <w:r>
                    <w:t xml:space="preserve">S-BRX-UNI</w:t>
                  </w:r>
                </w:p>
              </w:tc>
              <w:tc>
                <w:tcPr/>
                <w:p>
                  <w:pPr>
                    <w:pStyle w:val="Compact"/>
                    <w:jc w:val="left"/>
                    <w:jc w:val="center"/>
                  </w:pPr>
                  <w:r>
                    <w:t xml:space="preserve">Production Bioreactor</w:t>
                  </w:r>
                </w:p>
              </w:tc>
              <w:tc>
                <w:tcPr/>
                <w:p>
                  <w:pPr>
                    <w:pStyle w:val="Compact"/>
                    <w:jc w:val="left"/>
                    <w:jc w:val="center"/>
                  </w:pPr>
                  <w:r>
                    <w:t xml:space="preserve">univariate</w:t>
                  </w:r>
                </w:p>
              </w:tc>
              <w:tc>
                <w:tcPr/>
                <w:p>
                  <w:pPr>
                    <w:pStyle w:val="Compact"/>
                    <w:jc w:val="left"/>
                    <w:jc w:val="center"/>
                  </w:pPr>
                  <w:r>
                    <w:t xml:space="preserve">2025-10-06</w:t>
                  </w:r>
                </w:p>
              </w:tc>
              <w:tc>
                <w:tcPr/>
                <w:p>
                  <w:pPr>
                    <w:pStyle w:val="Compact"/>
                    <w:jc w:val="left"/>
                    <w:jc w:val="center"/>
                  </w:pPr>
                  <w:r>
                    <w:t xml:space="preserve">2025-10-17</w:t>
                  </w:r>
                </w:p>
              </w:tc>
            </w:tr>
            <w:tr>
              <w:tc>
                <w:tcPr/>
                <w:p>
                  <w:pPr>
                    <w:pStyle w:val="Compact"/>
                    <w:jc w:val="left"/>
                    <w:jc w:val="center"/>
                  </w:pPr>
                  <w:r>
                    <w:t xml:space="preserve">S-BRX-RSM</w:t>
                  </w:r>
                </w:p>
              </w:tc>
              <w:tc>
                <w:tcPr/>
                <w:p>
                  <w:pPr>
                    <w:pStyle w:val="Compact"/>
                    <w:jc w:val="left"/>
                    <w:jc w:val="center"/>
                  </w:pPr>
                  <w:r>
                    <w:t xml:space="preserve">Production Bioreactor</w:t>
                  </w:r>
                </w:p>
              </w:tc>
              <w:tc>
                <w:tcPr/>
                <w:p>
                  <w:pPr>
                    <w:pStyle w:val="Compact"/>
                    <w:jc w:val="left"/>
                    <w:jc w:val="center"/>
                  </w:pPr>
                  <w:r>
                    <w:t xml:space="preserve">response-surface design</w:t>
                  </w:r>
                </w:p>
              </w:tc>
              <w:tc>
                <w:tcPr/>
                <w:p>
                  <w:pPr>
                    <w:pStyle w:val="Compact"/>
                    <w:jc w:val="left"/>
                    <w:jc w:val="center"/>
                  </w:pPr>
                  <w:r>
                    <w:t xml:space="preserve">2025-10-20</w:t>
                  </w:r>
                </w:p>
              </w:tc>
              <w:tc>
                <w:tcPr/>
                <w:p>
                  <w:pPr>
                    <w:pStyle w:val="Compact"/>
                    <w:jc w:val="left"/>
                    <w:jc w:val="center"/>
                  </w:pPr>
                  <w:r>
                    <w:t xml:space="preserve">2025-12-12</w:t>
                  </w:r>
                </w:p>
              </w:tc>
            </w:tr>
            <w:tr>
              <w:tc>
                <w:tcPr/>
                <w:p>
                  <w:pPr>
                    <w:pStyle w:val="Compact"/>
                    <w:jc w:val="left"/>
                    <w:jc w:val="center"/>
                  </w:pPr>
                  <w:r>
                    <w:t xml:space="preserve">S-HAR-UNI</w:t>
                  </w:r>
                </w:p>
              </w:tc>
              <w:tc>
                <w:tcPr/>
                <w:p>
                  <w:pPr>
                    <w:pStyle w:val="Compact"/>
                    <w:jc w:val="left"/>
                    <w:jc w:val="center"/>
                  </w:pPr>
                  <w:r>
                    <w:t xml:space="preserve">Harvest and Clarification</w:t>
                  </w:r>
                </w:p>
              </w:tc>
              <w:tc>
                <w:tcPr/>
                <w:p>
                  <w:pPr>
                    <w:pStyle w:val="Compact"/>
                    <w:jc w:val="left"/>
                    <w:jc w:val="center"/>
                  </w:pPr>
                  <w:r>
                    <w:t xml:space="preserve">univariate</w:t>
                  </w:r>
                </w:p>
              </w:tc>
              <w:tc>
                <w:tcPr/>
                <w:p>
                  <w:pPr>
                    <w:pStyle w:val="Compact"/>
                    <w:jc w:val="left"/>
                    <w:jc w:val="center"/>
                  </w:pPr>
                  <w:r>
                    <w:t xml:space="preserve">2025-11-03</w:t>
                  </w:r>
                </w:p>
              </w:tc>
              <w:tc>
                <w:tcPr/>
                <w:p>
                  <w:pPr>
                    <w:pStyle w:val="Compact"/>
                    <w:jc w:val="left"/>
                    <w:jc w:val="center"/>
                  </w:pPr>
                  <w:r>
                    <w:t xml:space="preserve">2025-11-21</w:t>
                  </w:r>
                </w:p>
              </w:tc>
            </w:tr>
            <w:tr>
              <w:tc>
                <w:tcPr/>
                <w:p>
                  <w:pPr>
                    <w:pStyle w:val="Compact"/>
                    <w:jc w:val="left"/>
                    <w:jc w:val="center"/>
                  </w:pPr>
                  <w:r>
                    <w:t xml:space="preserve">S-PA-SDM</w:t>
                  </w:r>
                </w:p>
              </w:tc>
              <w:tc>
                <w:tcPr/>
                <w:p>
                  <w:pPr>
                    <w:pStyle w:val="Compact"/>
                    <w:jc w:val="left"/>
                    <w:jc w:val="center"/>
                  </w:pPr>
                  <w:r>
                    <w:t xml:space="preserve">Protein A Chromatography</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Protein A Chromatography</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S-HAR-HLD</w:t>
                  </w:r>
                </w:p>
              </w:tc>
              <w:tc>
                <w:tcPr/>
                <w:p>
                  <w:pPr>
                    <w:pStyle w:val="Compact"/>
                    <w:jc w:val="left"/>
                    <w:jc w:val="center"/>
                  </w:pPr>
                  <w:r>
                    <w:t xml:space="preserve">Harvest and Clarification</w:t>
                  </w:r>
                </w:p>
              </w:tc>
              <w:tc>
                <w:tcPr/>
                <w:p>
                  <w:pPr>
                    <w:pStyle w:val="Compact"/>
                    <w:jc w:val="left"/>
                    <w:jc w:val="center"/>
                  </w:pPr>
                  <w:r>
                    <w:t xml:space="preserve">hold study</w:t>
                  </w:r>
                </w:p>
              </w:tc>
              <w:tc>
                <w:tcPr/>
                <w:p>
                  <w:pPr>
                    <w:pStyle w:val="Compact"/>
                    <w:jc w:val="left"/>
                    <w:jc w:val="center"/>
                  </w:pPr>
                  <w:r>
                    <w:t xml:space="preserve">2025-11-24</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Protein A Chromatography</w:t>
                  </w:r>
                </w:p>
              </w:tc>
              <w:tc>
                <w:tcPr/>
                <w:p>
                  <w:pPr>
                    <w:pStyle w:val="Compact"/>
                    <w:jc w:val="left"/>
                    <w:jc w:val="center"/>
                  </w:pPr>
                  <w:r>
                    <w:t xml:space="preserve">univariate</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S-VI-SDM</w:t>
                  </w:r>
                </w:p>
              </w:tc>
              <w:tc>
                <w:tcPr/>
                <w:p>
                  <w:pPr>
                    <w:pStyle w:val="Compact"/>
                    <w:jc w:val="left"/>
                    <w:jc w:val="center"/>
                  </w:pPr>
                  <w:r>
                    <w:t xml:space="preserve">Low-pH Viral Inactivation</w:t>
                  </w:r>
                </w:p>
              </w:tc>
              <w:tc>
                <w:tcPr/>
                <w:p>
                  <w:pPr>
                    <w:pStyle w:val="Compact"/>
                    <w:jc w:val="left"/>
                    <w:jc w:val="center"/>
                  </w:pPr>
                  <w:r>
                    <w:t xml:space="preserve">scale-down model qualification</w:t>
                  </w:r>
                </w:p>
              </w:tc>
              <w:tc>
                <w:tcPr/>
                <w:p>
                  <w:pPr>
                    <w:pStyle w:val="Compact"/>
                    <w:jc w:val="left"/>
                    <w:jc w:val="center"/>
                  </w:pPr>
                  <w:r>
                    <w:t xml:space="preserve">2026-01-07</w:t>
                  </w:r>
                </w:p>
              </w:tc>
              <w:tc>
                <w:tcPr/>
                <w:p>
                  <w:pPr>
                    <w:pStyle w:val="Compact"/>
                    <w:jc w:val="left"/>
                    <w:jc w:val="center"/>
                  </w:pPr>
                  <w:r>
                    <w:t xml:space="preserve">2026-01-16</w:t>
                  </w:r>
                </w:p>
              </w:tc>
            </w:tr>
            <w:tr>
              <w:tc>
                <w:tcPr/>
                <w:p>
                  <w:pPr>
                    <w:pStyle w:val="Compact"/>
                    <w:jc w:val="left"/>
                    <w:jc w:val="center"/>
                  </w:pPr>
                  <w:r>
                    <w:t xml:space="preserve">S-PA-RSM</w:t>
                  </w:r>
                </w:p>
              </w:tc>
              <w:tc>
                <w:tcPr/>
                <w:p>
                  <w:pPr>
                    <w:pStyle w:val="Compact"/>
                    <w:jc w:val="left"/>
                    <w:jc w:val="center"/>
                  </w:pPr>
                  <w:r>
                    <w:t xml:space="preserve">Protein A Chromatography</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S-VI-SCR</w:t>
                  </w:r>
                </w:p>
              </w:tc>
              <w:tc>
                <w:tcPr/>
                <w:p>
                  <w:pPr>
                    <w:pStyle w:val="Compact"/>
                    <w:jc w:val="left"/>
                    <w:jc w:val="center"/>
                  </w:pPr>
                  <w:r>
                    <w:t xml:space="preserve">Low-pH Viral Inactivation</w:t>
                  </w:r>
                </w:p>
              </w:tc>
              <w:tc>
                <w:tcPr/>
                <w:p>
                  <w:pPr>
                    <w:pStyle w:val="Compact"/>
                    <w:jc w:val="left"/>
                    <w:jc w:val="center"/>
                  </w:pPr>
                  <w:r>
                    <w:t xml:space="preserve">screening design</w:t>
                  </w:r>
                </w:p>
              </w:tc>
              <w:tc>
                <w:tcPr/>
                <w:p>
                  <w:pPr>
                    <w:pStyle w:val="Compact"/>
                    <w:jc w:val="left"/>
                    <w:jc w:val="center"/>
                  </w:pPr>
                  <w:r>
                    <w:t xml:space="preserve">2026-01-19</w:t>
                  </w:r>
                </w:p>
              </w:tc>
              <w:tc>
                <w:tcPr/>
                <w:p>
                  <w:pPr>
                    <w:pStyle w:val="Compact"/>
                    <w:jc w:val="left"/>
                    <w:jc w:val="center"/>
                  </w:pPr>
                  <w:r>
                    <w:t xml:space="preserve">2026-01-30</w:t>
                  </w:r>
                </w:p>
              </w:tc>
            </w:tr>
            <w:tr>
              <w:tc>
                <w:tcPr/>
                <w:p>
                  <w:pPr>
                    <w:pStyle w:val="Compact"/>
                    <w:jc w:val="left"/>
                    <w:jc w:val="center"/>
                  </w:pPr>
                  <w:r>
                    <w:t xml:space="preserve">S-PA-HLD</w:t>
                  </w:r>
                </w:p>
              </w:tc>
              <w:tc>
                <w:tcPr/>
                <w:p>
                  <w:pPr>
                    <w:pStyle w:val="Compact"/>
                    <w:jc w:val="left"/>
                    <w:jc w:val="center"/>
                  </w:pPr>
                  <w:r>
                    <w:t xml:space="preserve">Protein A Chromatography</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S-VI-RSM</w:t>
                  </w:r>
                </w:p>
              </w:tc>
              <w:tc>
                <w:tcPr/>
                <w:p>
                  <w:pPr>
                    <w:pStyle w:val="Compact"/>
                    <w:jc w:val="left"/>
                    <w:jc w:val="center"/>
                  </w:pPr>
                  <w:r>
                    <w:t xml:space="preserve">Low-pH Viral Inactivation</w:t>
                  </w:r>
                </w:p>
              </w:tc>
              <w:tc>
                <w:tcPr/>
                <w:p>
                  <w:pPr>
                    <w:pStyle w:val="Compact"/>
                    <w:jc w:val="left"/>
                    <w:jc w:val="center"/>
                  </w:pPr>
                  <w:r>
                    <w:t xml:space="preserve">response-surface design</w:t>
                  </w:r>
                </w:p>
              </w:tc>
              <w:tc>
                <w:tcPr/>
                <w:p>
                  <w:pPr>
                    <w:pStyle w:val="Compact"/>
                    <w:jc w:val="left"/>
                    <w:jc w:val="center"/>
                  </w:pPr>
                  <w:r>
                    <w:t xml:space="preserve">2026-02-02</w:t>
                  </w:r>
                </w:p>
              </w:tc>
              <w:tc>
                <w:tcPr/>
                <w:p>
                  <w:pPr>
                    <w:pStyle w:val="Compact"/>
                    <w:jc w:val="left"/>
                    <w:jc w:val="center"/>
                  </w:pPr>
                  <w:r>
                    <w:t xml:space="preserve">2026-02-13</w:t>
                  </w:r>
                </w:p>
              </w:tc>
            </w:tr>
            <w:tr>
              <w:tc>
                <w:tcPr/>
                <w:p>
                  <w:pPr>
                    <w:pStyle w:val="Compact"/>
                    <w:jc w:val="left"/>
                    <w:jc w:val="center"/>
                  </w:pPr>
                  <w:r>
                    <w:t xml:space="preserve">S-VI-UNI</w:t>
                  </w:r>
                </w:p>
              </w:tc>
              <w:tc>
                <w:tcPr/>
                <w:p>
                  <w:pPr>
                    <w:pStyle w:val="Compact"/>
                    <w:jc w:val="left"/>
                    <w:jc w:val="center"/>
                  </w:pPr>
                  <w:r>
                    <w:t xml:space="preserve">Low-pH Viral Inactivation</w:t>
                  </w:r>
                </w:p>
              </w:tc>
              <w:tc>
                <w:tcPr/>
                <w:p>
                  <w:pPr>
                    <w:pStyle w:val="Compact"/>
                    <w:jc w:val="left"/>
                    <w:jc w:val="center"/>
                  </w:pPr>
                  <w:r>
                    <w:t xml:space="preserve">univariate</w:t>
                  </w:r>
                </w:p>
              </w:tc>
              <w:tc>
                <w:tcPr/>
                <w:p>
                  <w:pPr>
                    <w:pStyle w:val="Compact"/>
                    <w:jc w:val="left"/>
                    <w:jc w:val="center"/>
                  </w:pPr>
                  <w:r>
                    <w:t xml:space="preserve">2026-02-02</w:t>
                  </w:r>
                </w:p>
              </w:tc>
              <w:tc>
                <w:tcPr/>
                <w:p>
                  <w:pPr>
                    <w:pStyle w:val="Compact"/>
                    <w:jc w:val="left"/>
                    <w:jc w:val="center"/>
                  </w:pPr>
                  <w:r>
                    <w:t xml:space="preserve">2026-02-06</w:t>
                  </w:r>
                </w:p>
              </w:tc>
            </w:tr>
            <w:tr>
              <w:tc>
                <w:tcPr/>
                <w:p>
                  <w:pPr>
                    <w:pStyle w:val="Compact"/>
                    <w:jc w:val="left"/>
                    <w:jc w:val="center"/>
                  </w:pPr>
                  <w:r>
                    <w:t xml:space="preserve">S-AEX-SDM</w:t>
                  </w:r>
                </w:p>
              </w:tc>
              <w:tc>
                <w:tcPr/>
                <w:p>
                  <w:pPr>
                    <w:pStyle w:val="Compact"/>
                    <w:jc w:val="left"/>
                    <w:jc w:val="center"/>
                  </w:pPr>
                  <w:r>
                    <w:t xml:space="preserve">Anion Exchange Chromatography</w:t>
                  </w:r>
                </w:p>
              </w:tc>
              <w:tc>
                <w:tcPr/>
                <w:p>
                  <w:pPr>
                    <w:pStyle w:val="Compact"/>
                    <w:jc w:val="left"/>
                    <w:jc w:val="center"/>
                  </w:pPr>
                  <w:r>
                    <w:t xml:space="preserve">scale-down model qualification</w:t>
                  </w:r>
                </w:p>
              </w:tc>
              <w:tc>
                <w:tcPr/>
                <w:p>
                  <w:pPr>
                    <w:pStyle w:val="Compact"/>
                    <w:jc w:val="left"/>
                    <w:jc w:val="center"/>
                  </w:pPr>
                  <w:r>
                    <w:t xml:space="preserve">2026-02-04</w:t>
                  </w:r>
                </w:p>
              </w:tc>
              <w:tc>
                <w:tcPr/>
                <w:p>
                  <w:pPr>
                    <w:pStyle w:val="Compact"/>
                    <w:jc w:val="left"/>
                    <w:jc w:val="center"/>
                  </w:pPr>
                  <w:r>
                    <w:t xml:space="preserve">2026-02-13</w:t>
                  </w:r>
                </w:p>
              </w:tc>
            </w:tr>
            <w:tr>
              <w:tc>
                <w:tcPr/>
                <w:p>
                  <w:pPr>
                    <w:pStyle w:val="Compact"/>
                    <w:jc w:val="left"/>
                    <w:jc w:val="center"/>
                  </w:pPr>
                  <w:r>
                    <w:t xml:space="preserve">S-CEX-SDM</w:t>
                  </w:r>
                </w:p>
              </w:tc>
              <w:tc>
                <w:tcPr/>
                <w:p>
                  <w:pPr>
                    <w:pStyle w:val="Compact"/>
                    <w:jc w:val="left"/>
                    <w:jc w:val="center"/>
                  </w:pPr>
                  <w:r>
                    <w:t xml:space="preserve">Cation Exchange Chromatography</w:t>
                  </w:r>
                </w:p>
              </w:tc>
              <w:tc>
                <w:tcPr/>
                <w:p>
                  <w:pPr>
                    <w:pStyle w:val="Compact"/>
                    <w:jc w:val="left"/>
                    <w:jc w:val="center"/>
                  </w:pPr>
                  <w:r>
                    <w:t xml:space="preserve">scale-down model qualification</w:t>
                  </w:r>
                </w:p>
              </w:tc>
              <w:tc>
                <w:tcPr/>
                <w:p>
                  <w:pPr>
                    <w:pStyle w:val="Compact"/>
                    <w:jc w:val="left"/>
                    <w:jc w:val="center"/>
                  </w:pPr>
                  <w:r>
                    <w:t xml:space="preserve">2026-02-04</w:t>
                  </w:r>
                </w:p>
              </w:tc>
              <w:tc>
                <w:tcPr/>
                <w:p>
                  <w:pPr>
                    <w:pStyle w:val="Compact"/>
                    <w:jc w:val="left"/>
                    <w:jc w:val="center"/>
                  </w:pPr>
                  <w:r>
                    <w:t xml:space="preserve">2026-02-13</w:t>
                  </w:r>
                </w:p>
              </w:tc>
            </w:tr>
            <w:tr>
              <w:tc>
                <w:tcPr/>
                <w:p>
                  <w:pPr>
                    <w:pStyle w:val="Compact"/>
                    <w:jc w:val="left"/>
                    <w:jc w:val="center"/>
                  </w:pPr>
                  <w:r>
                    <w:t xml:space="preserve">S-AEX-SUP</w:t>
                  </w:r>
                </w:p>
              </w:tc>
              <w:tc>
                <w:tcPr/>
                <w:p>
                  <w:pPr>
                    <w:pStyle w:val="Compact"/>
                    <w:jc w:val="left"/>
                    <w:jc w:val="center"/>
                  </w:pPr>
                  <w:r>
                    <w:t xml:space="preserve">Anion Exchange Chromatography</w:t>
                  </w:r>
                </w:p>
              </w:tc>
              <w:tc>
                <w:tcPr/>
                <w:p>
                  <w:pPr>
                    <w:pStyle w:val="Compact"/>
                    <w:jc w:val="left"/>
                    <w:jc w:val="center"/>
                  </w:pPr>
                  <w:r>
                    <w:t xml:space="preserve">first execution (invalidated)</w:t>
                  </w:r>
                </w:p>
              </w:tc>
              <w:tc>
                <w:tcPr/>
                <w:p>
                  <w:pPr>
                    <w:pStyle w:val="Compact"/>
                    <w:jc w:val="left"/>
                    <w:jc w:val="center"/>
                  </w:pPr>
                  <w:r>
                    <w:t xml:space="preserve">2026-02-16</w:t>
                  </w:r>
                </w:p>
              </w:tc>
              <w:tc>
                <w:tcPr/>
                <w:p>
                  <w:pPr>
                    <w:pStyle w:val="Compact"/>
                    <w:jc w:val="left"/>
                    <w:jc w:val="center"/>
                  </w:pPr>
                  <w:r>
                    <w:t xml:space="preserve">2026-03-04</w:t>
                  </w:r>
                </w:p>
              </w:tc>
            </w:tr>
            <w:tr>
              <w:tc>
                <w:tcPr/>
                <w:p>
                  <w:pPr>
                    <w:pStyle w:val="Compact"/>
                    <w:jc w:val="left"/>
                    <w:jc w:val="center"/>
                  </w:pPr>
                  <w:r>
                    <w:t xml:space="preserve">S-CEX-SCR</w:t>
                  </w:r>
                </w:p>
              </w:tc>
              <w:tc>
                <w:tcPr/>
                <w:p>
                  <w:pPr>
                    <w:pStyle w:val="Compact"/>
                    <w:jc w:val="left"/>
                    <w:jc w:val="center"/>
                  </w:pPr>
                  <w:r>
                    <w:t xml:space="preserve">Cation Exchange Chromatography</w:t>
                  </w:r>
                </w:p>
              </w:tc>
              <w:tc>
                <w:tcPr/>
                <w:p>
                  <w:pPr>
                    <w:pStyle w:val="Compact"/>
                    <w:jc w:val="left"/>
                    <w:jc w:val="center"/>
                  </w:pPr>
                  <w:r>
                    <w:t xml:space="preserve">screening design</w:t>
                  </w:r>
                </w:p>
              </w:tc>
              <w:tc>
                <w:tcPr/>
                <w:p>
                  <w:pPr>
                    <w:pStyle w:val="Compact"/>
                    <w:jc w:val="left"/>
                    <w:jc w:val="center"/>
                  </w:pPr>
                  <w:r>
                    <w:t xml:space="preserve">2026-02-16</w:t>
                  </w:r>
                </w:p>
              </w:tc>
              <w:tc>
                <w:tcPr/>
                <w:p>
                  <w:pPr>
                    <w:pStyle w:val="Compact"/>
                    <w:jc w:val="left"/>
                    <w:jc w:val="center"/>
                  </w:pPr>
                  <w:r>
                    <w:t xml:space="preserve">2026-02-27</w:t>
                  </w:r>
                </w:p>
              </w:tc>
            </w:tr>
            <w:tr>
              <w:tc>
                <w:tcPr/>
                <w:p>
                  <w:pPr>
                    <w:pStyle w:val="Compact"/>
                    <w:jc w:val="left"/>
                    <w:jc w:val="center"/>
                  </w:pPr>
                  <w:r>
                    <w:t xml:space="preserve">S-VI-HLD</w:t>
                  </w:r>
                </w:p>
              </w:tc>
              <w:tc>
                <w:tcPr/>
                <w:p>
                  <w:pPr>
                    <w:pStyle w:val="Compact"/>
                    <w:jc w:val="left"/>
                    <w:jc w:val="center"/>
                  </w:pPr>
                  <w:r>
                    <w:t xml:space="preserve">Low-pH Viral Inactivation</w:t>
                  </w:r>
                </w:p>
              </w:tc>
              <w:tc>
                <w:tcPr/>
                <w:p>
                  <w:pPr>
                    <w:pStyle w:val="Compact"/>
                    <w:jc w:val="left"/>
                    <w:jc w:val="center"/>
                  </w:pPr>
                  <w:r>
                    <w:t xml:space="preserve">hold study</w:t>
                  </w:r>
                </w:p>
              </w:tc>
              <w:tc>
                <w:tcPr/>
                <w:p>
                  <w:pPr>
                    <w:pStyle w:val="Compact"/>
                    <w:jc w:val="left"/>
                    <w:jc w:val="center"/>
                  </w:pPr>
                  <w:r>
                    <w:t xml:space="preserve">2026-02-16</w:t>
                  </w:r>
                </w:p>
              </w:tc>
              <w:tc>
                <w:tcPr/>
                <w:p>
                  <w:pPr>
                    <w:pStyle w:val="Compact"/>
                    <w:jc w:val="left"/>
                    <w:jc w:val="center"/>
                  </w:pPr>
                  <w:r>
                    <w:t xml:space="preserve">2026-02-27</w:t>
                  </w:r>
                </w:p>
              </w:tc>
            </w:tr>
            <w:tr>
              <w:tc>
                <w:tcPr/>
                <w:p>
                  <w:pPr>
                    <w:pStyle w:val="Compact"/>
                    <w:jc w:val="left"/>
                    <w:jc w:val="center"/>
                  </w:pPr>
                  <w:r>
                    <w:t xml:space="preserve">S-UFDF-SDM</w:t>
                  </w:r>
                </w:p>
              </w:tc>
              <w:tc>
                <w:tcPr/>
                <w:p>
                  <w:pPr>
                    <w:pStyle w:val="Compact"/>
                    <w:jc w:val="left"/>
                    <w:jc w:val="center"/>
                  </w:pPr>
                  <w:r>
                    <w:t xml:space="preserve">Ultrafiltration / Diafiltration</w:t>
                  </w:r>
                </w:p>
              </w:tc>
              <w:tc>
                <w:tcPr/>
                <w:p>
                  <w:pPr>
                    <w:pStyle w:val="Compact"/>
                    <w:jc w:val="left"/>
                    <w:jc w:val="center"/>
                  </w:pPr>
                  <w:r>
                    <w:t xml:space="preserve">scale-down model qualification</w:t>
                  </w:r>
                </w:p>
              </w:tc>
              <w:tc>
                <w:tcPr/>
                <w:p>
                  <w:pPr>
                    <w:pStyle w:val="Compact"/>
                    <w:jc w:val="left"/>
                    <w:jc w:val="center"/>
                  </w:pPr>
                  <w:r>
                    <w:t xml:space="preserve">2026-02-25</w:t>
                  </w:r>
                </w:p>
              </w:tc>
              <w:tc>
                <w:tcPr/>
                <w:p>
                  <w:pPr>
                    <w:pStyle w:val="Compact"/>
                    <w:jc w:val="left"/>
                    <w:jc w:val="center"/>
                  </w:pPr>
                  <w:r>
                    <w:t xml:space="preserve">2026-03-06</w:t>
                  </w:r>
                </w:p>
              </w:tc>
            </w:tr>
            <w:tr>
              <w:tc>
                <w:tcPr/>
                <w:p>
                  <w:pPr>
                    <w:pStyle w:val="Compact"/>
                    <w:jc w:val="left"/>
                    <w:jc w:val="center"/>
                  </w:pPr>
                  <w:r>
                    <w:t xml:space="preserve">S-CEX-FRC</w:t>
                  </w:r>
                </w:p>
              </w:tc>
              <w:tc>
                <w:tcPr/>
                <w:p>
                  <w:pPr>
                    <w:pStyle w:val="Compact"/>
                    <w:jc w:val="left"/>
                    <w:jc w:val="center"/>
                  </w:pPr>
                  <w:r>
                    <w:t xml:space="preserve">Cation Exchange Chromatography</w:t>
                  </w:r>
                </w:p>
              </w:tc>
              <w:tc>
                <w:tcPr/>
                <w:p>
                  <w:pPr>
                    <w:pStyle w:val="Compact"/>
                    <w:jc w:val="left"/>
                    <w:jc w:val="center"/>
                  </w:pPr>
                  <w:r>
                    <w:t xml:space="preserve">method comparability</w:t>
                  </w:r>
                </w:p>
              </w:tc>
              <w:tc>
                <w:tcPr/>
                <w:p>
                  <w:pPr>
                    <w:pStyle w:val="Compact"/>
                    <w:jc w:val="left"/>
                    <w:jc w:val="center"/>
                  </w:pPr>
                  <w:r>
                    <w:t xml:space="preserve">2026-03-02</w:t>
                  </w:r>
                </w:p>
              </w:tc>
              <w:tc>
                <w:tcPr/>
                <w:p>
                  <w:pPr>
                    <w:pStyle w:val="Compact"/>
                    <w:jc w:val="left"/>
                    <w:jc w:val="center"/>
                  </w:pPr>
                  <w:r>
                    <w:t xml:space="preserve">2026-03-13</w:t>
                  </w:r>
                </w:p>
              </w:tc>
            </w:tr>
            <w:tr>
              <w:tc>
                <w:tcPr/>
                <w:p>
                  <w:pPr>
                    <w:pStyle w:val="Compact"/>
                    <w:jc w:val="left"/>
                    <w:jc w:val="center"/>
                  </w:pPr>
                  <w:r>
                    <w:t xml:space="preserve">S-CEX-RSM</w:t>
                  </w:r>
                </w:p>
              </w:tc>
              <w:tc>
                <w:tcPr/>
                <w:p>
                  <w:pPr>
                    <w:pStyle w:val="Compact"/>
                    <w:jc w:val="left"/>
                    <w:jc w:val="center"/>
                  </w:pPr>
                  <w:r>
                    <w:t xml:space="preserve">Cation Exchange Chromatography</w:t>
                  </w:r>
                </w:p>
              </w:tc>
              <w:tc>
                <w:tcPr/>
                <w:p>
                  <w:pPr>
                    <w:pStyle w:val="Compact"/>
                    <w:jc w:val="left"/>
                    <w:jc w:val="center"/>
                  </w:pPr>
                  <w:r>
                    <w:t xml:space="preserve">response-surface design</w:t>
                  </w:r>
                </w:p>
              </w:tc>
              <w:tc>
                <w:tcPr/>
                <w:p>
                  <w:pPr>
                    <w:pStyle w:val="Compact"/>
                    <w:jc w:val="left"/>
                    <w:jc w:val="center"/>
                  </w:pPr>
                  <w:r>
                    <w:t xml:space="preserve">2026-03-02</w:t>
                  </w:r>
                </w:p>
              </w:tc>
              <w:tc>
                <w:tcPr/>
                <w:p>
                  <w:pPr>
                    <w:pStyle w:val="Compact"/>
                    <w:jc w:val="left"/>
                    <w:jc w:val="center"/>
                  </w:pPr>
                  <w:r>
                    <w:t xml:space="preserve">2026-03-27</w:t>
                  </w:r>
                </w:p>
              </w:tc>
            </w:tr>
            <w:tr>
              <w:tc>
                <w:tcPr/>
                <w:p>
                  <w:pPr>
                    <w:pStyle w:val="Compact"/>
                    <w:jc w:val="left"/>
                    <w:jc w:val="center"/>
                  </w:pPr>
                  <w:r>
                    <w:t xml:space="preserve">S-UFDF-UNI</w:t>
                  </w:r>
                </w:p>
              </w:tc>
              <w:tc>
                <w:tcPr/>
                <w:p>
                  <w:pPr>
                    <w:pStyle w:val="Compact"/>
                    <w:jc w:val="left"/>
                    <w:jc w:val="center"/>
                  </w:pPr>
                  <w:r>
                    <w:t xml:space="preserve">Ultrafiltration / Diafiltration</w:t>
                  </w:r>
                </w:p>
              </w:tc>
              <w:tc>
                <w:tcPr/>
                <w:p>
                  <w:pPr>
                    <w:pStyle w:val="Compact"/>
                    <w:jc w:val="left"/>
                    <w:jc w:val="center"/>
                  </w:pPr>
                  <w:r>
                    <w:t xml:space="preserve">univariate</w:t>
                  </w:r>
                </w:p>
              </w:tc>
              <w:tc>
                <w:tcPr/>
                <w:p>
                  <w:pPr>
                    <w:pStyle w:val="Compact"/>
                    <w:jc w:val="left"/>
                    <w:jc w:val="center"/>
                  </w:pPr>
                  <w:r>
                    <w:t xml:space="preserve">2026-03-09</w:t>
                  </w:r>
                </w:p>
              </w:tc>
              <w:tc>
                <w:tcPr/>
                <w:p>
                  <w:pPr>
                    <w:pStyle w:val="Compact"/>
                    <w:jc w:val="left"/>
                    <w:jc w:val="center"/>
                  </w:pPr>
                  <w:r>
                    <w:t xml:space="preserve">2026-03-27</w:t>
                  </w:r>
                </w:p>
              </w:tc>
            </w:tr>
            <w:tr>
              <w:tc>
                <w:tcPr/>
                <w:p>
                  <w:pPr>
                    <w:pStyle w:val="Compact"/>
                    <w:jc w:val="left"/>
                    <w:jc w:val="center"/>
                  </w:pPr>
                  <w:r>
                    <w:t xml:space="preserve">S-CEX-UNI</w:t>
                  </w:r>
                </w:p>
              </w:tc>
              <w:tc>
                <w:tcPr/>
                <w:p>
                  <w:pPr>
                    <w:pStyle w:val="Compact"/>
                    <w:jc w:val="left"/>
                    <w:jc w:val="center"/>
                  </w:pPr>
                  <w:r>
                    <w:t xml:space="preserve">Cation Exchange Chromatography</w:t>
                  </w:r>
                </w:p>
              </w:tc>
              <w:tc>
                <w:tcPr/>
                <w:p>
                  <w:pPr>
                    <w:pStyle w:val="Compact"/>
                    <w:jc w:val="left"/>
                    <w:jc w:val="center"/>
                  </w:pPr>
                  <w:r>
                    <w:t xml:space="preserve">univariate</w:t>
                  </w:r>
                </w:p>
              </w:tc>
              <w:tc>
                <w:tcPr/>
                <w:p>
                  <w:pPr>
                    <w:pStyle w:val="Compact"/>
                    <w:jc w:val="left"/>
                    <w:jc w:val="center"/>
                  </w:pPr>
                  <w:r>
                    <w:t xml:space="preserve">2026-03-16</w:t>
                  </w:r>
                </w:p>
              </w:tc>
              <w:tc>
                <w:tcPr/>
                <w:p>
                  <w:pPr>
                    <w:pStyle w:val="Compact"/>
                    <w:jc w:val="left"/>
                    <w:jc w:val="center"/>
                  </w:pPr>
                  <w:r>
                    <w:t xml:space="preserve">2026-03-20</w:t>
                  </w:r>
                </w:p>
              </w:tc>
            </w:tr>
            <w:tr>
              <w:tc>
                <w:tcPr/>
                <w:p>
                  <w:pPr>
                    <w:pStyle w:val="Compact"/>
                    <w:jc w:val="left"/>
                    <w:jc w:val="center"/>
                  </w:pPr>
                  <w:r>
                    <w:t xml:space="preserve">S-AEX-SCR</w:t>
                  </w:r>
                </w:p>
              </w:tc>
              <w:tc>
                <w:tcPr/>
                <w:p>
                  <w:pPr>
                    <w:pStyle w:val="Compact"/>
                    <w:jc w:val="left"/>
                    <w:jc w:val="center"/>
                  </w:pPr>
                  <w:r>
                    <w:t xml:space="preserve">Anion Exchange Chromatography</w:t>
                  </w:r>
                </w:p>
              </w:tc>
              <w:tc>
                <w:tcPr/>
                <w:p>
                  <w:pPr>
                    <w:pStyle w:val="Compact"/>
                    <w:jc w:val="left"/>
                    <w:jc w:val="center"/>
                  </w:pPr>
                  <w:r>
                    <w:t xml:space="preserve">screening design</w:t>
                  </w:r>
                </w:p>
              </w:tc>
              <w:tc>
                <w:tcPr/>
                <w:p>
                  <w:pPr>
                    <w:pStyle w:val="Compact"/>
                    <w:jc w:val="left"/>
                    <w:jc w:val="center"/>
                  </w:pPr>
                  <w:r>
                    <w:t xml:space="preserve">2026-03-23</w:t>
                  </w:r>
                </w:p>
              </w:tc>
              <w:tc>
                <w:tcPr/>
                <w:p>
                  <w:pPr>
                    <w:pStyle w:val="Compact"/>
                    <w:jc w:val="left"/>
                    <w:jc w:val="center"/>
                  </w:pPr>
                  <w:r>
                    <w:t xml:space="preserve">2026-03-31</w:t>
                  </w:r>
                </w:p>
              </w:tc>
            </w:tr>
            <w:tr>
              <w:tc>
                <w:tcPr/>
                <w:p>
                  <w:pPr>
                    <w:pStyle w:val="Compact"/>
                    <w:jc w:val="left"/>
                    <w:jc w:val="center"/>
                  </w:pPr>
                  <w:r>
                    <w:t xml:space="preserve">S-AEX-RSM</w:t>
                  </w:r>
                </w:p>
              </w:tc>
              <w:tc>
                <w:tcPr/>
                <w:p>
                  <w:pPr>
                    <w:pStyle w:val="Compact"/>
                    <w:jc w:val="left"/>
                    <w:jc w:val="center"/>
                  </w:pPr>
                  <w:r>
                    <w:t xml:space="preserve">Anion Exchange Chromatography</w:t>
                  </w:r>
                </w:p>
              </w:tc>
              <w:tc>
                <w:tcPr/>
                <w:p>
                  <w:pPr>
                    <w:pStyle w:val="Compact"/>
                    <w:jc w:val="left"/>
                    <w:jc w:val="center"/>
                  </w:pPr>
                  <w:r>
                    <w:t xml:space="preserve">response-surface design</w:t>
                  </w:r>
                </w:p>
              </w:tc>
              <w:tc>
                <w:tcPr/>
                <w:p>
                  <w:pPr>
                    <w:pStyle w:val="Compact"/>
                    <w:jc w:val="left"/>
                    <w:jc w:val="center"/>
                  </w:pPr>
                  <w:r>
                    <w:t xml:space="preserve">2026-04-01</w:t>
                  </w:r>
                </w:p>
              </w:tc>
              <w:tc>
                <w:tcPr/>
                <w:p>
                  <w:pPr>
                    <w:pStyle w:val="Compact"/>
                    <w:jc w:val="left"/>
                    <w:jc w:val="center"/>
                  </w:pPr>
                  <w:r>
                    <w:t xml:space="preserve">2026-04-10</w:t>
                  </w:r>
                </w:p>
              </w:tc>
            </w:tr>
            <w:tr>
              <w:tc>
                <w:tcPr/>
                <w:p>
                  <w:pPr>
                    <w:pStyle w:val="Compact"/>
                    <w:jc w:val="left"/>
                    <w:jc w:val="center"/>
                  </w:pPr>
                  <w:r>
                    <w:t xml:space="preserve">S-PA-RET</w:t>
                  </w:r>
                </w:p>
              </w:tc>
              <w:tc>
                <w:tcPr/>
                <w:p>
                  <w:pPr>
                    <w:pStyle w:val="Compact"/>
                    <w:jc w:val="left"/>
                    <w:jc w:val="center"/>
                  </w:pPr>
                  <w:r>
                    <w:t xml:space="preserve">Protein A Chromatography</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r>
              <w:tc>
                <w:tcPr/>
                <w:p>
                  <w:pPr>
                    <w:pStyle w:val="Compact"/>
                    <w:jc w:val="left"/>
                    <w:jc w:val="center"/>
                  </w:pPr>
                  <w:r>
                    <w:t xml:space="preserve">S-VI-RET</w:t>
                  </w:r>
                </w:p>
              </w:tc>
              <w:tc>
                <w:tcPr/>
                <w:p>
                  <w:pPr>
                    <w:pStyle w:val="Compact"/>
                    <w:jc w:val="left"/>
                    <w:jc w:val="center"/>
                  </w:pPr>
                  <w:r>
                    <w:t xml:space="preserve">Low-pH Viral Inactivation</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r>
              <w:tc>
                <w:tcPr/>
                <w:p>
                  <w:pPr>
                    <w:pStyle w:val="Compact"/>
                    <w:jc w:val="left"/>
                    <w:jc w:val="center"/>
                  </w:pPr>
                  <w:r>
                    <w:t xml:space="preserve">S-AEX-UNI</w:t>
                  </w:r>
                </w:p>
              </w:tc>
              <w:tc>
                <w:tcPr/>
                <w:p>
                  <w:pPr>
                    <w:pStyle w:val="Compact"/>
                    <w:jc w:val="left"/>
                    <w:jc w:val="center"/>
                  </w:pPr>
                  <w:r>
                    <w:t xml:space="preserve">Anion Exchange Chromatography</w:t>
                  </w:r>
                </w:p>
              </w:tc>
              <w:tc>
                <w:tcPr/>
                <w:p>
                  <w:pPr>
                    <w:pStyle w:val="Compact"/>
                    <w:jc w:val="left"/>
                    <w:jc w:val="center"/>
                  </w:pPr>
                  <w:r>
                    <w:t xml:space="preserve">univariate</w:t>
                  </w:r>
                </w:p>
              </w:tc>
              <w:tc>
                <w:tcPr/>
                <w:p>
                  <w:pPr>
                    <w:pStyle w:val="Compact"/>
                    <w:jc w:val="left"/>
                    <w:jc w:val="center"/>
                  </w:pPr>
                  <w:r>
                    <w:t xml:space="preserve">2026-04-13</w:t>
                  </w:r>
                </w:p>
              </w:tc>
              <w:tc>
                <w:tcPr/>
                <w:p>
                  <w:pPr>
                    <w:pStyle w:val="Compact"/>
                    <w:jc w:val="left"/>
                    <w:jc w:val="center"/>
                  </w:pPr>
                  <w:r>
                    <w:t xml:space="preserve">2026-04-17</w:t>
                  </w:r>
                </w:p>
              </w:tc>
            </w:tr>
            <w:tr>
              <w:tc>
                <w:tcPr/>
                <w:p>
                  <w:pPr>
                    <w:pStyle w:val="Compact"/>
                    <w:jc w:val="left"/>
                    <w:jc w:val="center"/>
                  </w:pPr>
                  <w:r>
                    <w:t xml:space="preserve">S-VF-SDM</w:t>
                  </w:r>
                </w:p>
              </w:tc>
              <w:tc>
                <w:tcPr/>
                <w:p>
                  <w:pPr>
                    <w:pStyle w:val="Compact"/>
                    <w:jc w:val="left"/>
                    <w:jc w:val="center"/>
                  </w:pPr>
                  <w:r>
                    <w:t xml:space="preserve">Small-Virus Retentive Filtration</w:t>
                  </w:r>
                </w:p>
              </w:tc>
              <w:tc>
                <w:tcPr/>
                <w:p>
                  <w:pPr>
                    <w:pStyle w:val="Compact"/>
                    <w:jc w:val="left"/>
                    <w:jc w:val="center"/>
                  </w:pPr>
                  <w:r>
                    <w:t xml:space="preserve">scale-down model qualification</w:t>
                  </w:r>
                </w:p>
              </w:tc>
              <w:tc>
                <w:tcPr/>
                <w:p>
                  <w:pPr>
                    <w:pStyle w:val="Compact"/>
                    <w:jc w:val="left"/>
                    <w:jc w:val="center"/>
                  </w:pPr>
                  <w:r>
                    <w:t xml:space="preserve">2026-04-15</w:t>
                  </w:r>
                </w:p>
              </w:tc>
              <w:tc>
                <w:tcPr/>
                <w:p>
                  <w:pPr>
                    <w:pStyle w:val="Compact"/>
                    <w:jc w:val="left"/>
                    <w:jc w:val="center"/>
                  </w:pPr>
                  <w:r>
                    <w:t xml:space="preserve">2026-04-24</w:t>
                  </w:r>
                </w:p>
              </w:tc>
            </w:tr>
            <w:tr>
              <w:tc>
                <w:tcPr/>
                <w:p>
                  <w:pPr>
                    <w:pStyle w:val="Compact"/>
                    <w:jc w:val="left"/>
                    <w:jc w:val="center"/>
                  </w:pPr>
                  <w:r>
                    <w:t xml:space="preserve">S-VF-DOE</w:t>
                  </w:r>
                </w:p>
              </w:tc>
              <w:tc>
                <w:tcPr/>
                <w:p>
                  <w:pPr>
                    <w:pStyle w:val="Compact"/>
                    <w:jc w:val="left"/>
                    <w:jc w:val="center"/>
                  </w:pPr>
                  <w:r>
                    <w:t xml:space="preserve">Small-Virus Retentive Filtration</w:t>
                  </w:r>
                </w:p>
              </w:tc>
              <w:tc>
                <w:tcPr/>
                <w:p>
                  <w:pPr>
                    <w:pStyle w:val="Compact"/>
                    <w:jc w:val="left"/>
                    <w:jc w:val="center"/>
                  </w:pPr>
                  <w:r>
                    <w:t xml:space="preserve">screening design</w:t>
                  </w:r>
                </w:p>
              </w:tc>
              <w:tc>
                <w:tcPr/>
                <w:p>
                  <w:pPr>
                    <w:pStyle w:val="Compact"/>
                    <w:jc w:val="left"/>
                    <w:jc w:val="center"/>
                  </w:pPr>
                  <w:r>
                    <w:t xml:space="preserve">2026-04-27</w:t>
                  </w:r>
                </w:p>
              </w:tc>
              <w:tc>
                <w:tcPr/>
                <w:p>
                  <w:pPr>
                    <w:pStyle w:val="Compact"/>
                    <w:jc w:val="left"/>
                    <w:jc w:val="center"/>
                  </w:pPr>
                  <w:r>
                    <w:t xml:space="preserve">2026-05-05</w:t>
                  </w:r>
                </w:p>
              </w:tc>
            </w:tr>
            <w:tr>
              <w:tc>
                <w:tcPr/>
                <w:p>
                  <w:pPr>
                    <w:pStyle w:val="Compact"/>
                    <w:jc w:val="left"/>
                    <w:jc w:val="center"/>
                  </w:pPr>
                  <w:r>
                    <w:t xml:space="preserve">S-VF-RSM</w:t>
                  </w:r>
                </w:p>
              </w:tc>
              <w:tc>
                <w:tcPr/>
                <w:p>
                  <w:pPr>
                    <w:pStyle w:val="Compact"/>
                    <w:jc w:val="left"/>
                    <w:jc w:val="center"/>
                  </w:pPr>
                  <w:r>
                    <w:t xml:space="preserve">Small-Virus Retentive Filtration</w:t>
                  </w:r>
                </w:p>
              </w:tc>
              <w:tc>
                <w:tcPr/>
                <w:p>
                  <w:pPr>
                    <w:pStyle w:val="Compact"/>
                    <w:jc w:val="left"/>
                    <w:jc w:val="center"/>
                  </w:pPr>
                  <w:r>
                    <w:t xml:space="preserve">response-surface design</w:t>
                  </w:r>
                </w:p>
              </w:tc>
              <w:tc>
                <w:tcPr/>
                <w:p>
                  <w:pPr>
                    <w:pStyle w:val="Compact"/>
                    <w:jc w:val="left"/>
                    <w:jc w:val="center"/>
                  </w:pPr>
                  <w:r>
                    <w:t xml:space="preserve">2026-05-06</w:t>
                  </w:r>
                </w:p>
              </w:tc>
              <w:tc>
                <w:tcPr/>
                <w:p>
                  <w:pPr>
                    <w:pStyle w:val="Compact"/>
                    <w:jc w:val="left"/>
                    <w:jc w:val="center"/>
                  </w:pPr>
                  <w:r>
                    <w:t xml:space="preserve">2026-05-15</w:t>
                  </w:r>
                </w:p>
              </w:tc>
            </w:tr>
            <w:tr>
              <w:tc>
                <w:tcPr/>
                <w:p>
                  <w:pPr>
                    <w:pStyle w:val="Compact"/>
                    <w:jc w:val="left"/>
                    <w:jc w:val="center"/>
                  </w:pPr>
                  <w:r>
                    <w:t xml:space="preserve">S-PA-SDM2</w:t>
                  </w:r>
                </w:p>
              </w:tc>
              <w:tc>
                <w:tcPr/>
                <w:p>
                  <w:pPr>
                    <w:pStyle w:val="Compact"/>
                    <w:jc w:val="left"/>
                    <w:jc w:val="center"/>
                  </w:pPr>
                  <w:r>
                    <w:t xml:space="preserve">Protein A Chromatography</w:t>
                  </w:r>
                </w:p>
              </w:tc>
              <w:tc>
                <w:tcPr/>
                <w:p>
                  <w:pPr>
                    <w:pStyle w:val="Compact"/>
                    <w:jc w:val="left"/>
                    <w:jc w:val="center"/>
                  </w:pPr>
                  <w:r>
                    <w:t xml:space="preserve">scale-down model qualification</w:t>
                  </w:r>
                </w:p>
              </w:tc>
              <w:tc>
                <w:tcPr/>
                <w:p>
                  <w:pPr>
                    <w:pStyle w:val="Compact"/>
                    <w:jc w:val="left"/>
                    <w:jc w:val="center"/>
                  </w:pPr>
                  <w:r>
                    <w:t xml:space="preserve">2026-09-07</w:t>
                  </w:r>
                </w:p>
              </w:tc>
              <w:tc>
                <w:tcPr/>
                <w:p>
                  <w:pPr>
                    <w:pStyle w:val="Compact"/>
                    <w:jc w:val="left"/>
                    <w:jc w:val="center"/>
                  </w:pPr>
                  <w:r>
                    <w:t xml:space="preserve">2026-09-11</w:t>
                  </w:r>
                </w:p>
              </w:tc>
            </w:tr>
          </w:tbl>
          <w:bookmarkEnd w:id="59"/>
          <w:p/>
        </w:tc>
      </w:tr>
    </w:tbl>
    <w:bookmarkEnd w:id="60"/>
    <w:bookmarkStart w:id="62"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 before its studies start.</w:t>
      </w:r>
    </w:p>
    <w:tbl>
      <w:tblPr>
        <w:tblStyle w:val="Table"/>
        <w:tblW w:type="pct" w:w="5000"/>
        <w:tblLayout w:type="fixed"/>
        <w:tblLook w:firstRow="0" w:lastRow="0" w:firstColumn="0" w:lastColumn="0" w:noHBand="0" w:noVBand="0" w:val="0000"/>
      </w:tblPr>
      <w:tblGrid>
        <w:gridCol w:w="7920"/>
      </w:tblGrid>
      <w:tr>
        <w:tc>
          <w:tcPr/>
          <w:bookmarkStart w:id="61" w:name="tbl-approval-roles"/>
          <w:p>
            <w:pPr>
              <w:jc w:val="center"/>
            </w:pPr>
            <w:pPr>
              <w:jc w:val="start"/>
              <w:spacing w:before="200"/>
              <w:pStyle w:val="ImageCaption"/>
            </w:pPr>
            <w:r>
              <w:t xml:space="preserve">Table 15: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1"/>
          <w:p/>
        </w:tc>
      </w:tr>
    </w:tbl>
    <w:bookmarkEnd w:id="62"/>
    <w:bookmarkStart w:id="69" w:name="references"/>
    <w:p>
      <w:pPr>
        <w:pStyle w:val="Heading1"/>
      </w:pPr>
      <w:r>
        <w:t xml:space="preserve">References</w:t>
      </w:r>
    </w:p>
    <w:bookmarkStart w:id="68"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4"/>
    <w:bookmarkStart w:id="65" w:name="ref-ichq11"/>
    <w:p>
      <w:pPr>
        <w:pStyle w:val="Bibliography"/>
      </w:pPr>
      <w:r>
        <w:t xml:space="preserve">———. 2012.</w:t>
      </w:r>
      <w:r>
        <w:t xml:space="preserve"> </w:t>
      </w:r>
      <w:r>
        <w:t xml:space="preserve">“ICH Q11: Development and Manufacture of Drug Substances.”</w:t>
      </w:r>
      <w:r>
        <w:t xml:space="preserve"> </w:t>
      </w:r>
      <w:r>
        <w:t xml:space="preserve">ICH.</w:t>
      </w:r>
    </w:p>
    <w:bookmarkEnd w:id="65"/>
    <w:bookmarkStart w:id="66"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6"/>
    <w:bookmarkStart w:id="6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2026-10-08T10:43:18Z</dcterms:created>
  <dcterms:modified xsi:type="dcterms:W3CDTF">2026-10-08T10:43:18Z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