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1"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20" w:name="tbl-appr"/>
          <w:p>
            <w:pPr>
              <w:jc w:val="center"/>
            </w:pPr>
            <w:pPr>
              <w:jc w:val="star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0"/>
          <w:p/>
        </w:tc>
      </w:tr>
    </w:tbl>
    <w:bookmarkEnd w:id="21"/>
    <w:bookmarkStart w:id="22"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427"/>
        <w:gridCol w:w="698"/>
        <w:gridCol w:w="6794"/>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execution dates recorded (see INV-001)</w:t>
            </w:r>
          </w:p>
        </w:tc>
      </w:tr>
    </w:tbl>
    <w:bookmarkEnd w:id="22"/>
    <w:bookmarkStart w:id="23" w:name="abbreviations"/>
    <w:p>
      <w:pPr>
        <w:pStyle w:val="Heading2"/>
      </w:pPr>
      <w:r>
        <w:t xml:space="preserve">Abbreviations</w:t>
      </w:r>
    </w:p>
    <w:p>
      <w:pPr>
        <w:pStyle w:val="FirstParagraph"/>
      </w:pPr>
      <w:r>
        <w:t xml:space="preserve">AMD, analytical method decision; AMV, analytical method validation; BLA, Biologics License Application; CQA, critical quality attribute; CV, column volume; DNA, deoxyribonucleic acid; ELISA, enzyme-linked immunosorbent assay; Fab, antigen-binding fragment; Fc, crystallizable fragment; GPP, general process parameter; HCP, host cell protein; HMW, high molecular weight species; IAC, intermediate acceptance criterion; icIEF, imaged capillary isoelectric focusing; KPP, key process parameter; LMW, low molecular weight species; MSAT, Manufacturing Science and Technology; NOR, normal operating range; nrCE-SDS, non-reduced capillary electrophoresis with sodium dodecyl sulfate; PAR, proven acceptable range; qPCR, quantitative polymerase chain reaction; QA, Quality Assurance; RSM, response surface methodology; SEC, size exclusion chromatography; SOP, standard operating procedure; WC-CPP, well-controlled critical process parameter.</w:t>
      </w:r>
    </w:p>
    <w:p>
      <w:r>
        <w:br w:type="page"/>
      </w:r>
    </w:p>
    <w:bookmarkEnd w:id="23"/>
    <w:bookmarkStart w:id="26"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The plan also covers a hold study of the Protein A eluate at elution pH. All studies are run in a scale-down model of the commercial column. The commercial process is run at the 15,000 L scale at the receiving site in Grafton, WI, which is the scale this characterization supports under the Process Transfer Plan PTP-001.</w:t>
      </w:r>
    </w:p>
    <w:p>
      <w:pPr>
        <w:pStyle w:val="BodyText"/>
      </w:pPr>
      <w:r>
        <w:t xml:space="preserve">The results are reported in PCR-005. They are the PARs of the multivariate parameters for each attribute with a criterion at this step, the data for the classification of every parameter of the step, and the conditions under which the eluate may be held. Although Protein A chromatography removes some virus, no viral clearance claim is made for this step</w:t>
      </w:r>
      <w:r>
        <w:t xml:space="preserve"> </w:t>
      </w:r>
      <w:r>
        <w:t xml:space="preserve">(CMC Biotech Working Group 2009)</w:t>
      </w:r>
      <w:r>
        <w:t xml:space="preserve">. The modular claim rests on low-pH inactivation, anion exchange and virus filtration (PCMP-001 §7.4), and no spiking study is planned here. The life cycle of the resin (its re-use limit, cleaning and sanitization) is governed by SOP-2008 and is outside the scope of this plan.</w:t>
      </w:r>
    </w:p>
    <w:bookmarkStart w:id="25"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of the step were executed between 2025-11-05 and 2026-09-11. This Version 2.0 is a protocol amendment issued after that execution, under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Three kinds of limit therefore need to be kept apart in this document. A Version 1.0 analysis limit is a limit applied in a Version 1.0 report at the time of analysis. An approved plan criterion is a criterion stated in an approved version of this plan before execution. A Version 2.0 criterion is a criterion of this revision, derived a priori by PCMP-001 §7.3.</w:t>
      </w:r>
    </w:p>
    <w:p>
      <w:pPr>
        <w:pStyle w:val="BodyText"/>
      </w:pPr>
      <w:r>
        <w:t xml:space="preserve">For this step, Version 1.0 of this plan contained no approved plan criterion for any output. Version 1.0 of PCR-005 applied one Version 1.0 analysis limit, 10,724 ng/mg for pool host cell protein. That limit was the drug substance criterion carried back through the nominal downstream clearance of this campaign and divided by a safety factor of 4.5 (INV-001 finding 2). Leached Protein A and fragments had no limit of their own at the step.</w:t>
      </w:r>
      <w:r>
        <w:t xml:space="preserve"> </w:t>
      </w:r>
      <w:hyperlink w:anchor="tbl-criteria-change">
        <w:r>
          <w:rPr>
            <w:rStyle w:val="Hyperlink"/>
          </w:rPr>
          <w:t xml:space="preserve">Table 2</w:t>
        </w:r>
      </w:hyperlink>
      <w:r>
        <w:t xml:space="preserve"> </w:t>
      </w:r>
      <w:r>
        <w:t xml:space="preserve">sets the Version 1.0 analysis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4"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b)</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Protein A</w:t>
                  </w:r>
                </w:p>
              </w:tc>
              <w:tc>
                <w:tcPr/>
                <w:p>
                  <w:pPr>
                    <w:pStyle w:val="Compact"/>
                    <w:jc w:val="center"/>
                  </w:pPr>
                  <w:r>
                    <w:t xml:space="preserve">Leached Protein A (ppm)</w:t>
                  </w:r>
                </w:p>
              </w:tc>
              <w:tc>
                <w:tcPr>
                  <w:gridSpan w:val="2"/>
                </w:tcPr>
                <w:p>
                  <w:pPr>
                    <w:pStyle w:val="Compact"/>
                    <w:jc w:val="center"/>
                  </w:pPr>
                  <w:r>
                    <w:t xml:space="preserve">none</w:t>
                  </w:r>
                  <w:r>
                    <w:rPr>
                      <w:vertAlign w:val="superscript"/>
                    </w:rPr>
                    <w:t xml:space="preserve">a)</w:t>
                  </w:r>
                </w:p>
              </w:tc>
              <w:tc>
                <w:tcPr/>
                <w:p>
                  <w:pPr>
                    <w:pStyle w:val="Compact"/>
                    <w:jc w:val="center"/>
                  </w:pPr>
                  <w:r>
                    <w:t xml:space="preserve">≤ 158</w:t>
                  </w:r>
                </w:p>
              </w:tc>
              <w:tc>
                <w:tcPr/>
                <w:p>
                  <w:pPr>
                    <w:pStyle w:val="Compact"/>
                    <w:jc w:val="center"/>
                  </w:pPr>
                  <w:r>
                    <w:t xml:space="preserve">back-calculated</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2.45</w:t>
                  </w:r>
                </w:p>
              </w:tc>
              <w:tc>
                <w:tcPr/>
                <w:p>
                  <w:pPr>
                    <w:pStyle w:val="Compact"/>
                    <w:jc w:val="center"/>
                  </w:pPr>
                  <w:r>
                    <w:t xml:space="preserve">back-calculated</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rPr>
                      <w:vertAlign w:val="superscript"/>
                    </w:rPr>
                    <w:t xml:space="preserve">R1</w:t>
                  </w:r>
                  <w:r>
                    <w:t xml:space="preserve"> </w:t>
                  </w:r>
                  <w:r>
                    <w:t xml:space="preserve">margin 4.5</w:t>
                  </w:r>
                </w:p>
              </w:tc>
              <w:tc>
                <w:tcPr/>
                <w:p>
                  <w:pPr>
                    <w:pStyle w:val="Compact"/>
                    <w:jc w:val="center"/>
                  </w:pPr>
                  <w:r>
                    <w:t xml:space="preserve">≤ 16,000</w:t>
                  </w:r>
                </w:p>
              </w:tc>
              <w:tc>
                <w:tcPr/>
                <w:p>
                  <w:pPr>
                    <w:pStyle w:val="Compact"/>
                    <w:jc w:val="center"/>
                  </w:pPr>
                  <w:r>
                    <w:t xml:space="preserve">back-calculated</w:t>
                  </w:r>
                </w:p>
              </w:tc>
            </w:tr>
            <w:tr>
              <w:tc>
                <w:tcPr>
                  <w:gridSpan w:val="6"/>
                </w:tcPr>
                <w:p>
                  <w:pPr>
                    <w:pStyle w:val="Compact"/>
                    <w:jc w:val="center"/>
                  </w:pPr>
                  <w:r>
                    <w:rPr>
                      <w:vertAlign w:val="superscript"/>
                    </w:rPr>
                    <w:t xml:space="preserve">a)</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b)</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bl>
          <w:bookmarkEnd w:id="24"/>
          <w:p/>
        </w:tc>
      </w:tr>
    </w:tbl>
    <w:p>
      <w:pPr>
        <w:pStyle w:val="BodyText"/>
      </w:pPr>
      <w:r>
        <w:t xml:space="preserve">This amendment makes the following changes.</w:t>
      </w:r>
    </w:p>
    <w:p>
      <w:pPr>
        <w:pStyle w:val="Compact"/>
        <w:numPr>
          <w:ilvl w:val="0"/>
          <w:numId w:val="1001"/>
        </w:numPr>
      </w:pPr>
      <w:r>
        <w:t xml:space="preserve">It states an intermediate acceptance criterion (IAC) for pool host cell protein, leached Protein A and fragments. Each is derived by the rule of PCMP-001 §7.3 from the drug substance criterion and the platform worst case of the downstream steps (</w:t>
      </w:r>
      <w:hyperlink w:anchor="sec-par">
        <w:r>
          <w:rPr>
            <w:rStyle w:val="Hyperlink"/>
          </w:rPr>
          <w:t xml:space="preserve">Section 8</w:t>
        </w:r>
      </w:hyperlink>
      <w:r>
        <w:t xml:space="preserve">). The derivation uses no data from the studies it judges. For that reason it may be applied to studies that were already executed.</w:t>
      </w:r>
    </w:p>
    <w:p>
      <w:pPr>
        <w:pStyle w:val="Compact"/>
        <w:numPr>
          <w:ilvl w:val="0"/>
          <w:numId w:val="1001"/>
        </w:numPr>
      </w:pPr>
      <w:r>
        <w:t xml:space="preserve">It adds fragments measured by nrCE-SDS (AMV-3020, under SOP-3015) as a response of the response-surface design, as decided in AMD-001 on 2026-03-20. The retained response-surface samples are tested by nrCE-SDS in study S-PA-RET. The screening samples were not retained, so their SEC fragment results are kept in the record and are not used for any decision (INV-001 finding 6).</w:t>
      </w:r>
    </w:p>
    <w:p>
      <w:pPr>
        <w:pStyle w:val="Compact"/>
        <w:numPr>
          <w:ilvl w:val="0"/>
          <w:numId w:val="1001"/>
        </w:numPr>
      </w:pPr>
      <w:r>
        <w:t xml:space="preserve">It states the model adequacy criteria and the statistic that the PAR analysis judges,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of the step (</w:t>
      </w:r>
      <w:hyperlink w:anchor="tbl-chrono">
        <w:r>
          <w:rPr>
            <w:rStyle w:val="Hyperlink"/>
          </w:rPr>
          <w:t xml:space="preserve">Table 14</w:t>
        </w:r>
      </w:hyperlink>
      <w:r>
        <w:t xml:space="preserve">, INV-001 finding 5).</w:t>
      </w:r>
    </w:p>
    <w:p>
      <w:pPr>
        <w:pStyle w:val="FirstParagraph"/>
      </w:pPr>
      <w:r>
        <w:t xml:space="preserve">The Version 2.0 criterion for pool host cell protein, 16,000 ng/mg, is wider than the Version 1.0 analysis limit. This is not a loosening of an approved criterion. The Version 1.0 limit was never approved and appears in no approved plan. It is replaced by a criterion derived a priori, without data from the studies it judges. The rule that data may tighten a criterion and never loosen it (PCMP-001 §7.5) applies to the Version 2.0 criteria from this revision on.</w:t>
      </w:r>
    </w:p>
    <w:p>
      <w:pPr>
        <w:pStyle w:val="BodyText"/>
      </w:pPr>
      <w:r>
        <w:t xml:space="preserve">The factors, their ranges and the designs are those of Version 1.0. No run is added, removed or repeated by this amendment.</w:t>
      </w:r>
    </w:p>
    <w:bookmarkEnd w:id="25"/>
    <w:bookmarkEnd w:id="26"/>
    <w:bookmarkStart w:id="27"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qualify the scale-down model for the outputs of the step at set-point, before the first characterization run.</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with a criterion at the step.</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establish how long, and at which temperature, the Protein A eluate may be held at elution pH before viral inactivation.</w:t>
      </w:r>
    </w:p>
    <w:p>
      <w:pPr>
        <w:pStyle w:val="Compact"/>
        <w:numPr>
          <w:ilvl w:val="0"/>
          <w:numId w:val="1002"/>
        </w:numPr>
      </w:pPr>
      <w:r>
        <w:t xml:space="preserve">To provide the data for the classification of every parameter of the step under SOP-4001.</w:t>
      </w:r>
    </w:p>
    <w:bookmarkEnd w:id="27"/>
    <w:bookmarkStart w:id="30" w:name="sec-related"/>
    <w:p>
      <w:pPr>
        <w:pStyle w:val="Heading1"/>
      </w:pPr>
      <w:r>
        <w:t xml:space="preserve">3. Related documents</w:t>
      </w:r>
    </w:p>
    <w:p>
      <w:pPr>
        <w:pStyle w:val="FirstParagraph"/>
      </w:pPr>
      <w:hyperlink w:anchor="tbl-related">
        <w:r>
          <w:rPr>
            <w:rStyle w:val="Hyperlink"/>
          </w:rPr>
          <w:t xml:space="preserve">Table 3</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8" w:name="tbl-related"/>
          <w:p>
            <w:pPr>
              <w:jc w:val="center"/>
            </w:pPr>
            <w:pPr>
              <w:jc w:val="start"/>
              <w:spacing w:before="200"/>
              <w:pStyle w:val="ImageCaption"/>
            </w:pPr>
            <w:r>
              <w:t xml:space="preserve">Table 3: Documents related to this plan.</w:t>
            </w:r>
          </w:p>
          <w:tbl>
            <w:tblPr>
              <w:tblStyle w:val="Table"/>
              <w:tblW w:type="pct" w:w="5000"/>
              <w:tblLayout w:type="fixed"/>
              <w:tblLook w:firstRow="1" w:lastRow="0" w:firstColumn="0" w:lastColumn="0" w:noHBand="0" w:noVBand="0" w:val="0020"/>
            </w:tblPr>
            <w:tblGrid>
              <w:gridCol w:w="766"/>
              <w:gridCol w:w="5262"/>
              <w:gridCol w:w="1890"/>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8"/>
          <w:p/>
        </w:tc>
      </w:tr>
    </w:tbl>
    <w:p>
      <w:pPr>
        <w:pStyle w:val="BodyText"/>
      </w:pPr>
      <w:hyperlink w:anchor="tbl-sop">
        <w:r>
          <w:rPr>
            <w:rStyle w:val="Hyperlink"/>
          </w:rPr>
          <w:t xml:space="preserve">Table 4</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9" w:name="tbl-sop"/>
          <w:p>
            <w:pPr>
              <w:jc w:val="center"/>
            </w:pPr>
            <w:pPr>
              <w:jc w:val="start"/>
              <w:spacing w:before="200"/>
              <w:pStyle w:val="ImageCaption"/>
            </w:pPr>
            <w:r>
              <w:t xml:space="preserve">Table 4: Controlled procedures and method validations used in this plan.</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SOP-3015</w:t>
                  </w:r>
                </w:p>
              </w:tc>
              <w:tc>
                <w:tcPr/>
                <w:p>
                  <w:pPr>
                    <w:pStyle w:val="Compact"/>
                    <w:jc w:val="left"/>
                    <w:jc w:val="center"/>
                  </w:pPr>
                  <w:r>
                    <w:t xml:space="preserve">Purity by Non-Reduced CE-SDS</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AMV-3019</w:t>
                  </w:r>
                </w:p>
              </w:tc>
              <w:tc>
                <w:tcPr/>
                <w:p>
                  <w:pPr>
                    <w:pStyle w:val="Compact"/>
                    <w:jc w:val="left"/>
                    <w:jc w:val="center"/>
                  </w:pPr>
                  <w:r>
                    <w:t xml:space="preserve">Protein Concentration by A280 (UV)</w:t>
                  </w:r>
                </w:p>
              </w:tc>
              <w:tc>
                <w:tcPr/>
                <w:p>
                  <w:pPr>
                    <w:pStyle w:val="Compact"/>
                    <w:jc w:val="left"/>
                    <w:jc w:val="center"/>
                  </w:pPr>
                  <w:r>
                    <w:t xml:space="preserve">Method validation</w:t>
                  </w:r>
                </w:p>
              </w:tc>
            </w:tr>
            <w:tr>
              <w:tc>
                <w:tcPr/>
                <w:p>
                  <w:pPr>
                    <w:pStyle w:val="Compact"/>
                    <w:jc w:val="left"/>
                    <w:jc w:val="center"/>
                  </w:pPr>
                  <w:r>
                    <w:t xml:space="preserve">AMV-3020</w:t>
                  </w:r>
                </w:p>
              </w:tc>
              <w:tc>
                <w:tcPr/>
                <w:p>
                  <w:pPr>
                    <w:pStyle w:val="Compact"/>
                    <w:jc w:val="left"/>
                    <w:jc w:val="center"/>
                  </w:pPr>
                  <w:r>
                    <w:t xml:space="preserve">Purity (non-reduced CE-SDS)</w:t>
                  </w:r>
                </w:p>
              </w:tc>
              <w:tc>
                <w:tcPr/>
                <w:p>
                  <w:pPr>
                    <w:pStyle w:val="Compact"/>
                    <w:jc w:val="left"/>
                    <w:jc w:val="center"/>
                  </w:pPr>
                  <w:r>
                    <w:t xml:space="preserve">Method validation</w:t>
                  </w:r>
                </w:p>
              </w:tc>
            </w:tr>
          </w:tbl>
          <w:bookmarkEnd w:id="29"/>
          <w:p/>
        </w:tc>
      </w:tr>
    </w:tbl>
    <w:bookmarkEnd w:id="30"/>
    <w:bookmarkStart w:id="35" w:name="sec-prior"/>
    <w:p>
      <w:pPr>
        <w:pStyle w:val="Heading1"/>
      </w:pPr>
      <w:r>
        <w:t xml:space="preserve">4. Prior knowledge and quality risk basis</w:t>
      </w:r>
    </w:p>
    <w:bookmarkStart w:id="31"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 Their history establishes the mechanism of the step and the performance to expect from it. The step is robust, and its main effects are known in direction</w:t>
      </w:r>
      <w:r>
        <w:t xml:space="preserve"> </w:t>
      </w:r>
      <w:r>
        <w:t xml:space="preserve">(CMC Biotech Working Group 2009)</w:t>
      </w:r>
      <w:r>
        <w:t xml:space="preserve">.</w:t>
      </w:r>
    </w:p>
    <w:p>
      <w:pPr>
        <w:pStyle w:val="BodyText"/>
      </w:pPr>
      <w:r>
        <w:t xml:space="preserve">Five mechanisms set the expectations for this study.</w:t>
      </w:r>
    </w:p>
    <w:p>
      <w:pPr>
        <w:pStyle w:val="Compact"/>
        <w:numPr>
          <w:ilvl w:val="0"/>
          <w:numId w:val="1003"/>
        </w:numPr>
      </w:pPr>
      <w:r>
        <w:t xml:space="preserve">Host cell protein reaches the eluate by two routes. Some binds weakly to the resin backbone or the ligand and is released when the pH drops. Some is associated with the antibody and is carried through as a complex. As the load approaches the dynamic binding capacity, the mass transfer zone moves down the bed and carries impurity into the eluate that the wash would otherwise remove. A lower elution pH releases more of the weakly bound host cell protein with the product. Pool host cell protein is therefore expected to rise with protein load and to rise as elution buffer pH falls. At high load more host cell protein is held weakly on the bed, so there is more for a low elution pH to release. The rise with falling pH is therefore expected to be steeper at high load, and this is the physical basis for an interaction between the two parameters.</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fragments still bind Fc and elute with the antibody. The amount depends on the coupling chemistry, the cycle number and the sanitization history of the resin, which are properties of the resin over its life and not of a single run. Within the ranges of one run, leached Protein A is expected to be flat.</w:t>
      </w:r>
    </w:p>
    <w:p>
      <w:pPr>
        <w:pStyle w:val="Compact"/>
        <w:numPr>
          <w:ilvl w:val="0"/>
          <w:numId w:val="1003"/>
        </w:numPr>
      </w:pPr>
      <w:r>
        <w:t xml:space="preserve">A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this matrix,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These attributes are therefore not responses of the designs.</w:t>
      </w:r>
    </w:p>
    <w:p>
      <w:pPr>
        <w:pStyle w:val="BodyText"/>
      </w:pPr>
      <w:r>
        <w:t xml:space="preserve">Protein A does not separate aggregate from monomer, since both carry Fc.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 and the time the eluate waits at elution pH before inactivation is covered by the hold study (</w:t>
      </w:r>
      <w:hyperlink w:anchor="sec-hold">
        <w:r>
          <w:rPr>
            <w:rStyle w:val="Hyperlink"/>
          </w:rPr>
          <w:t xml:space="preserve">Section 6.5</w:t>
        </w:r>
      </w:hyperlink>
      <w:r>
        <w:t xml:space="preserve">).</w:t>
      </w:r>
    </w:p>
    <w:bookmarkEnd w:id="31"/>
    <w:bookmarkStart w:id="33"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5</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2" w:name="tbl-cqas"/>
          <w:p>
            <w:pPr>
              <w:jc w:val="center"/>
            </w:pPr>
            <w:pPr>
              <w:jc w:val="start"/>
              <w:spacing w:before="200"/>
              <w:pStyle w:val="ImageCaption"/>
            </w:pPr>
            <w:r>
              <w:t xml:space="preserve">Table 5: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2"/>
          <w:p/>
        </w:tc>
      </w:tr>
    </w:tbl>
    <w:p>
      <w:pPr>
        <w:pStyle w:val="BodyText"/>
      </w:pPr>
      <w:r>
        <w:t xml:space="preserve">The drug substance criteria do not apply to the Protein A pool directly. Cation exchange and anion exchange remove host cell protein and leached Protein A after this step, and judging the pool against the drug substance limit would fail every acceptable run. Each output of the step with a downstream dependence is therefore judged against an IAC (</w:t>
      </w:r>
      <w:hyperlink w:anchor="sec-par">
        <w:r>
          <w:rPr>
            <w:rStyle w:val="Hyperlink"/>
          </w:rPr>
          <w:t xml:space="preserve">Section 8</w:t>
        </w:r>
      </w:hyperlink>
      <w:r>
        <w:t xml:space="preserve">). Residual DNA is measured for information and is not a response of the designs, because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3"/>
    <w:bookmarkStart w:id="34" w:name="sec-risk"/>
    <w:p>
      <w:pPr>
        <w:pStyle w:val="Heading2"/>
      </w:pPr>
      <w:r>
        <w:t xml:space="preserve">4.3 Risk-based prioritization of parameters</w:t>
      </w:r>
    </w:p>
    <w:p>
      <w:pPr>
        <w:pStyle w:val="FirstParagraph"/>
      </w:pPr>
      <w:r>
        <w:t xml:space="preserve">RA-001 assessed every parameter of the step before characterization began. Each parameter was ranked on its potential impact on the CQAs and on process performance, and on its potential to interact with other parameters. RA-001 gives the scores and the rationale, and they are not repeated here.</w:t>
      </w:r>
    </w:p>
    <w:p>
      <w:pPr>
        <w:pStyle w:val="BodyText"/>
      </w:pPr>
      <w:r>
        <w:t xml:space="preserve">Protein load, elution buffer pH, load flow rate and end of pool collect were assigned to multivariate study. Pool host cell protein is expected to rise with protein load and as elution buffer pH falls, with an interaction between the two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together is needed to estimate these interactions.</w:t>
      </w:r>
    </w:p>
    <w:p>
      <w:pPr>
        <w:pStyle w:val="BodyText"/>
      </w:pPr>
      <w:r>
        <w:t xml:space="preserve">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Over the range studied both effects are expected to be small against those of load and pH, and the resin manufacturer specifies binding capacity across that range. Temperature is not expected to interact with the other parameters. Bed height is different. At constant linear velocity it sets the residence time, and a shorter residence time lowers the dynamic binding capacity, which interacts with protein load (</w:t>
      </w:r>
      <w:hyperlink w:anchor="sec-uo">
        <w:r>
          <w:rPr>
            <w:rStyle w:val="Hyperlink"/>
          </w:rPr>
          <w:t xml:space="preserve">Section 4.1</w:t>
        </w:r>
      </w:hyperlink>
      <w:r>
        <w:t xml:space="preserve">). The shortest bed of the range, 10 cm at the set-point velocity, gives a residence time of 3 min, shorter than any run of the designs. In manufacture bed height is held by the packing specification, so it is studied one factor at a time. What this leaves open is stated in</w:t>
      </w:r>
      <w:r>
        <w:t xml:space="preserve"> </w:t>
      </w:r>
      <w:hyperlink w:anchor="sec-univariate">
        <w:r>
          <w:rPr>
            <w:rStyle w:val="Hyperlink"/>
          </w:rPr>
          <w:t xml:space="preserve">Section 6.4</w:t>
        </w:r>
      </w:hyperlink>
      <w:r>
        <w:t xml:space="preserve">.</w:t>
      </w:r>
    </w:p>
    <w:bookmarkEnd w:id="34"/>
    <w:bookmarkEnd w:id="35"/>
    <w:bookmarkStart w:id="43" w:name="sec-methods"/>
    <w:p>
      <w:pPr>
        <w:pStyle w:val="Heading1"/>
      </w:pPr>
      <w:r>
        <w:t xml:space="preserve">5. Materials and methods</w:t>
      </w:r>
    </w:p>
    <w:bookmarkStart w:id="36"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of PCMP-001 §5.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8</w:t>
        </w:r>
      </w:hyperlink>
      <w:r>
        <w:t xml:space="preserve"> </w:t>
      </w:r>
      <w:r>
        <w:t xml:space="preserve">unless a design sets it otherwise.</w:t>
      </w:r>
    </w:p>
    <w:p>
      <w:pPr>
        <w:pStyle w:val="BodyText"/>
      </w:pPr>
      <w:r>
        <w:t xml:space="preserve">The model is qualified under SOP-1001 in study S-PA-SDM, before the first run of the screening design. Triplicate runs at set-point, as in the qualification of the case study</w:t>
      </w:r>
      <w:r>
        <w:t xml:space="preserve"> </w:t>
      </w:r>
      <w:r>
        <w:t xml:space="preserve">(CMC Biotech Working Group 2009)</w:t>
      </w:r>
      <w:r>
        <w:t xml:space="preserve">, are compared with all manufacturing-scale batches of A-Mab run at set-point. The outputs compared are step yield, pool host cell protein, leached Protein A and column efficiency. Equivalence of the means is tested by two one-sided tests at α = 0.05. The equivalence margin for each output is half the range (highest minus lowest value) of the manufacturing-scale batches. The margin is based on that spread so that the model may differ from manufacturing scale by no more than manufacturing batches differ among themselves. The model is qualified for an output when the 90 % confidence interval of the difference in means lies within that margin.</w:t>
      </w:r>
    </w:p>
    <w:p>
      <w:pPr>
        <w:pStyle w:val="BodyText"/>
      </w:pPr>
      <w:r>
        <w:t xml:space="preserve">A difference that is consistent in direction and explained by a known scale effect may be accepted, as PCMP-001 §7.1 allows. For leached Protein A such an effect is expected. At manufacturing scale the clarified harvest is held longer before capture, so host cell proteases in the load cleave more ligand from the resin, and leached Protein A is expected to be higher at manufacturing scale than in the laboratory column. A difference in that direction is accepted and carried into the interpretation in PCR-005. It does not disqualify the model for the other outputs.</w:t>
      </w:r>
    </w:p>
    <w:p>
      <w:pPr>
        <w:pStyle w:val="BodyText"/>
      </w:pPr>
      <w:r>
        <w:t xml:space="preserve">Fragments by nrCE-SDS are not part of the qualification, because the method decision AMD-001 was taken after the model was qualified. The model is taken as representative for fragments on mechanism. Capture of Fc-bearing species and the low-pH hinge hydrolysis do not depend on scale at equal bed height, residence time and elution pH. This assumption is recorded in</w:t>
      </w:r>
      <w:r>
        <w:t xml:space="preserve"> </w:t>
      </w:r>
      <w:hyperlink w:anchor="sec-risks">
        <w:r>
          <w:rPr>
            <w:rStyle w:val="Hyperlink"/>
          </w:rPr>
          <w:t xml:space="preserve">Section 12</w:t>
        </w:r>
      </w:hyperlink>
      <w:r>
        <w:t xml:space="preserve">.</w:t>
      </w:r>
    </w:p>
    <w:bookmarkEnd w:id="36"/>
    <w:bookmarkStart w:id="37" w:name="sec-operation"/>
    <w:p>
      <w:pPr>
        <w:pStyle w:val="Heading2"/>
      </w:pPr>
      <w:r>
        <w:t xml:space="preserve">5.2 Operation</w:t>
      </w:r>
    </w:p>
    <w:p>
      <w:pPr>
        <w:pStyle w:val="FirstParagraph"/>
      </w:pPr>
      <w:r>
        <w:t xml:space="preserve">Each run follows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7"/>
    <w:bookmarkStart w:id="40"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6</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8" w:name="tbl-methods"/>
          <w:p>
            <w:pPr>
              <w:jc w:val="center"/>
            </w:pPr>
            <w:pPr>
              <w:jc w:val="start"/>
              <w:spacing w:before="200"/>
              <w:pStyle w:val="ImageCaption"/>
            </w:pPr>
            <w:r>
              <w:t xml:space="preserve">Table 6: Analytical methods, samples and purpose of each measurement.</w:t>
            </w:r>
          </w:p>
          <w:tbl>
            <w:tblPr>
              <w:tblStyle w:val="Table"/>
              <w:tblW w:type="pct" w:w="5000"/>
              <w:tblLayout w:type="fixed"/>
              <w:tblLook w:firstRow="1" w:lastRow="0" w:firstColumn="0" w:lastColumn="0" w:noHBand="0" w:noVBand="0" w:val="0020"/>
            </w:tblPr>
            <w:tblGrid>
              <w:gridCol w:w="1320"/>
              <w:gridCol w:w="412"/>
              <w:gridCol w:w="1485"/>
              <w:gridCol w:w="2516"/>
              <w:gridCol w:w="2186"/>
            </w:tblGrid>
            <w:tr>
              <w:trPr>
                <w:tblHeader w:val="on"/>
              </w:trPr>
              <w:tc>
                <w:tcPr/>
                <w:p>
                  <w:pPr>
                    <w:pStyle w:val="Compact"/>
                    <w:jc w:val="left"/>
                    <w:jc w:val="center"/>
                  </w:pPr>
                  <w:r>
                    <w:t xml:space="preserve">Attribute</w:t>
                  </w:r>
                </w:p>
              </w:tc>
              <w:tc>
                <w:tcPr/>
                <w:p>
                  <w:pPr>
                    <w:pStyle w:val="Compact"/>
                    <w:jc w:val="left"/>
                    <w:jc w:val="center"/>
                  </w:pPr>
                  <w:r>
                    <w:t xml:space="preserve">AMV</w:t>
                  </w:r>
                </w:p>
              </w:tc>
              <w:tc>
                <w:tcPr/>
                <w:p>
                  <w:pPr>
                    <w:pStyle w:val="Compact"/>
                    <w:jc w:val="left"/>
                    <w:jc w:val="center"/>
                  </w:pPr>
                  <w:r>
                    <w:t xml:space="preserve">Method</w:t>
                  </w:r>
                </w:p>
              </w:tc>
              <w:tc>
                <w:tcPr/>
                <w:p>
                  <w:pPr>
                    <w:pStyle w:val="Compact"/>
                    <w:jc w:val="left"/>
                    <w:jc w:val="center"/>
                  </w:pPr>
                  <w:r>
                    <w:t xml:space="preserve">Samples</w:t>
                  </w:r>
                </w:p>
              </w:tc>
              <w:tc>
                <w:tcPr/>
                <w:p>
                  <w:pPr>
                    <w:pStyle w:val="Compact"/>
                    <w:jc w:val="left"/>
                    <w:jc w:val="center"/>
                  </w:pPr>
                  <w:r>
                    <w:t xml:space="preserve">Purpose</w:t>
                  </w:r>
                </w:p>
              </w:tc>
            </w:tr>
            <w:tr>
              <w:tc>
                <w:tcPr/>
                <w:p>
                  <w:pPr>
                    <w:pStyle w:val="Compact"/>
                    <w:jc w:val="left"/>
                    <w:jc w:val="center"/>
                  </w:pPr>
                  <w:r>
                    <w:t xml:space="preserve">Pool host cell protein (ng/mg)</w:t>
                  </w:r>
                </w:p>
              </w:tc>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Load and pool of every run</w:t>
                  </w:r>
                </w:p>
              </w:tc>
              <w:tc>
                <w:tcPr/>
                <w:p>
                  <w:pPr>
                    <w:pStyle w:val="Compact"/>
                    <w:jc w:val="left"/>
                    <w:jc w:val="center"/>
                  </w:pPr>
                  <w:r>
                    <w:t xml:space="preserve">Response of both designs</w:t>
                  </w:r>
                </w:p>
              </w:tc>
            </w:tr>
            <w:tr>
              <w:tc>
                <w:tcPr/>
                <w:p>
                  <w:pPr>
                    <w:pStyle w:val="Compact"/>
                    <w:jc w:val="left"/>
                    <w:jc w:val="center"/>
                  </w:pPr>
                  <w:r>
                    <w:t xml:space="preserve">Leached Protein A (ppm)</w:t>
                  </w:r>
                </w:p>
              </w:tc>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Pool of every run</w:t>
                  </w:r>
                </w:p>
              </w:tc>
              <w:tc>
                <w:tcPr/>
                <w:p>
                  <w:pPr>
                    <w:pStyle w:val="Compact"/>
                    <w:jc w:val="left"/>
                    <w:jc w:val="center"/>
                  </w:pPr>
                  <w:r>
                    <w:t xml:space="preserve">Response of both designs</w:t>
                  </w:r>
                </w:p>
              </w:tc>
            </w:tr>
            <w:tr>
              <w:tc>
                <w:tcPr/>
                <w:p>
                  <w:pPr>
                    <w:pStyle w:val="Compact"/>
                    <w:jc w:val="left"/>
                    <w:jc w:val="center"/>
                  </w:pPr>
                  <w:r>
                    <w:t xml:space="preserve">Step yield</w:t>
                  </w:r>
                </w:p>
              </w:tc>
              <w:tc>
                <w:tcPr/>
                <w:p>
                  <w:pPr>
                    <w:pStyle w:val="Compact"/>
                    <w:jc w:val="left"/>
                    <w:jc w:val="center"/>
                  </w:pPr>
                  <w:r>
                    <w:t xml:space="preserve">AMV-3019</w:t>
                  </w:r>
                </w:p>
              </w:tc>
              <w:tc>
                <w:tcPr/>
                <w:p>
                  <w:pPr>
                    <w:pStyle w:val="Compact"/>
                    <w:jc w:val="left"/>
                    <w:jc w:val="center"/>
                  </w:pPr>
                  <w:r>
                    <w:t xml:space="preserve">Protein Concentration by A280 (UV)</w:t>
                  </w:r>
                </w:p>
              </w:tc>
              <w:tc>
                <w:tcPr/>
                <w:p>
                  <w:pPr>
                    <w:pStyle w:val="Compact"/>
                    <w:jc w:val="left"/>
                    <w:jc w:val="center"/>
                  </w:pPr>
                  <w:r>
                    <w:t xml:space="preserve">Load and pool of every run</w:t>
                  </w:r>
                </w:p>
              </w:tc>
              <w:tc>
                <w:tcPr/>
                <w:p>
                  <w:pPr>
                    <w:pStyle w:val="Compact"/>
                    <w:jc w:val="left"/>
                    <w:jc w:val="center"/>
                  </w:pPr>
                  <w:r>
                    <w:t xml:space="preserve">Response of both designs</w:t>
                  </w:r>
                </w:p>
              </w:tc>
            </w:tr>
            <w:tr>
              <w:tc>
                <w:tcPr/>
                <w:p>
                  <w:pPr>
                    <w:pStyle w:val="Compact"/>
                    <w:jc w:val="left"/>
                    <w:jc w:val="center"/>
                  </w:pPr>
                  <w:r>
                    <w:t xml:space="preserve">Fragments, LMW (%)</w:t>
                  </w:r>
                </w:p>
              </w:tc>
              <w:tc>
                <w:tcPr/>
                <w:p>
                  <w:pPr>
                    <w:pStyle w:val="Compact"/>
                    <w:jc w:val="left"/>
                    <w:jc w:val="center"/>
                  </w:pPr>
                  <w:r>
                    <w:t xml:space="preserve">AMV-3020</w:t>
                  </w:r>
                </w:p>
              </w:tc>
              <w:tc>
                <w:tcPr/>
                <w:p>
                  <w:pPr>
                    <w:pStyle w:val="Compact"/>
                    <w:jc w:val="left"/>
                    <w:jc w:val="center"/>
                  </w:pPr>
                  <w:r>
                    <w:t xml:space="preserve">Purity (non-reduced CE-SDS)</w:t>
                  </w:r>
                </w:p>
              </w:tc>
              <w:tc>
                <w:tcPr/>
                <w:p>
                  <w:pPr>
                    <w:pStyle w:val="Compact"/>
                    <w:jc w:val="left"/>
                    <w:jc w:val="center"/>
                  </w:pPr>
                  <w:r>
                    <w:t xml:space="preserve">Retained pools of the response-surface design, hold samples</w:t>
                  </w:r>
                </w:p>
              </w:tc>
              <w:tc>
                <w:tcPr/>
                <w:p>
                  <w:pPr>
                    <w:pStyle w:val="Compact"/>
                    <w:jc w:val="left"/>
                    <w:jc w:val="center"/>
                  </w:pPr>
                  <w:r>
                    <w:t xml:space="preserve">Response of the response-surface design, hold study</w:t>
                  </w:r>
                </w:p>
              </w:tc>
            </w:tr>
            <w:tr>
              <w:tc>
                <w:tcPr/>
                <w:p>
                  <w:pPr>
                    <w:pStyle w:val="Compact"/>
                    <w:jc w:val="left"/>
                    <w:jc w:val="center"/>
                  </w:pPr>
                  <w:r>
                    <w:t xml:space="preserve">Fragments, LMW (%)</w:t>
                  </w:r>
                </w:p>
              </w:tc>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Pool of every run of both designs</w:t>
                  </w:r>
                </w:p>
              </w:tc>
              <w:tc>
                <w:tcPr/>
                <w:p>
                  <w:pPr>
                    <w:pStyle w:val="Compact"/>
                    <w:jc w:val="left"/>
                    <w:jc w:val="center"/>
                  </w:pPr>
                  <w:r>
                    <w:t xml:space="preserve">For information only</w:t>
                  </w:r>
                </w:p>
              </w:tc>
            </w:tr>
            <w:tr>
              <w:tc>
                <w:tcPr/>
                <w:p>
                  <w:pPr>
                    <w:pStyle w:val="Compact"/>
                    <w:jc w:val="left"/>
                    <w:jc w:val="center"/>
                  </w:pPr>
                  <w:r>
                    <w:t xml:space="preserve">Aggregates, HMW (%)</w:t>
                  </w:r>
                </w:p>
              </w:tc>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Pool of every run, hold samples</w:t>
                  </w:r>
                </w:p>
              </w:tc>
              <w:tc>
                <w:tcPr/>
                <w:p>
                  <w:pPr>
                    <w:pStyle w:val="Compact"/>
                    <w:jc w:val="left"/>
                    <w:jc w:val="center"/>
                  </w:pPr>
                  <w:r>
                    <w:t xml:space="preserve">For information, hold study</w:t>
                  </w:r>
                </w:p>
              </w:tc>
            </w:tr>
            <w:tr>
              <w:tc>
                <w:tcPr/>
                <w:p>
                  <w:pPr>
                    <w:pStyle w:val="Compact"/>
                    <w:jc w:val="left"/>
                    <w:jc w:val="center"/>
                  </w:pPr>
                  <w:r>
                    <w:t xml:space="preserve">Acidic variants (%)</w:t>
                  </w:r>
                </w:p>
              </w:tc>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Hold samples</w:t>
                  </w:r>
                </w:p>
              </w:tc>
              <w:tc>
                <w:tcPr/>
                <w:p>
                  <w:pPr>
                    <w:pStyle w:val="Compact"/>
                    <w:jc w:val="left"/>
                    <w:jc w:val="center"/>
                  </w:pPr>
                  <w:r>
                    <w:t xml:space="preserve">Hold study</w:t>
                  </w:r>
                </w:p>
              </w:tc>
            </w:tr>
            <w:tr>
              <w:tc>
                <w:tcPr/>
                <w:p>
                  <w:pPr>
                    <w:pStyle w:val="Compact"/>
                    <w:jc w:val="left"/>
                    <w:jc w:val="center"/>
                  </w:pPr>
                  <w:r>
                    <w:t xml:space="preserve">Residual DNA</w:t>
                  </w:r>
                </w:p>
              </w:tc>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Load and pool of the centre-point runs</w:t>
                  </w:r>
                </w:p>
              </w:tc>
              <w:tc>
                <w:tcPr/>
                <w:p>
                  <w:pPr>
                    <w:pStyle w:val="Compact"/>
                    <w:jc w:val="left"/>
                    <w:jc w:val="center"/>
                  </w:pPr>
                  <w:r>
                    <w:t xml:space="preserve">For information only</w:t>
                  </w:r>
                </w:p>
              </w:tc>
            </w:tr>
          </w:tbl>
          <w:bookmarkEnd w:id="38"/>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as PCMP-001 §7.8 sets for every step. SEC is kept as the method for aggregate, where no co-elution of this kind applies.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7</w:t>
        </w:r>
      </w:hyperlink>
      <w:r>
        <w:t xml:space="preserve"> </w:t>
      </w:r>
      <w:r>
        <w:t xml:space="preserve">shows which method measured fragments in which study of the step.</w:t>
      </w:r>
    </w:p>
    <w:tbl>
      <w:tblPr>
        <w:tblStyle w:val="Table"/>
        <w:tblW w:type="pct" w:w="5000"/>
        <w:tblLayout w:type="fixed"/>
        <w:tblLook w:firstRow="0" w:lastRow="0" w:firstColumn="0" w:lastColumn="0" w:noHBand="0" w:noVBand="0" w:val="0000"/>
      </w:tblPr>
      <w:tblGrid>
        <w:gridCol w:w="7920"/>
      </w:tblGrid>
      <w:tr>
        <w:tc>
          <w:tcPr/>
          <w:bookmarkStart w:id="39" w:name="tbl-methods-by-study"/>
          <w:p>
            <w:pPr>
              <w:jc w:val="center"/>
            </w:pPr>
            <w:pPr>
              <w:jc w:val="start"/>
              <w:spacing w:before="200"/>
              <w:pStyle w:val="ImageCaption"/>
            </w:pPr>
            <w:r>
              <w:t xml:space="preserve">Table 7: Methods used for size variants, by step and study.</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b)</w:t>
                  </w:r>
                  <w:r>
                    <w:t xml:space="preserve"> </w:t>
                  </w:r>
                  <w:r>
                    <w:t xml:space="preserve">Retained response-surface samples, tested 2026-04-06 to 2026-04-17.</w:t>
                  </w:r>
                </w:p>
              </w:tc>
            </w:tr>
          </w:tbl>
          <w:bookmarkEnd w:id="39"/>
          <w:p/>
        </w:tc>
      </w:tr>
    </w:tbl>
    <w:bookmarkEnd w:id="40"/>
    <w:bookmarkStart w:id="41"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6</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The samples of the hold study are taken as described in</w:t>
      </w:r>
      <w:r>
        <w:t xml:space="preserve"> </w:t>
      </w:r>
      <w:hyperlink w:anchor="sec-hold">
        <w:r>
          <w:rPr>
            <w:rStyle w:val="Hyperlink"/>
          </w:rPr>
          <w:t xml:space="preserve">Section 6.5</w:t>
        </w:r>
      </w:hyperlink>
      <w:r>
        <w:t xml:space="preserve">. Every sample is labelled with the study, the run number of the design and the sample point, and the chain of custody is recorded from sampling to result.</w:t>
      </w:r>
    </w:p>
    <w:bookmarkEnd w:id="41"/>
    <w:bookmarkStart w:id="42" w:name="sec-stats"/>
    <w:p>
      <w:pPr>
        <w:pStyle w:val="Heading2"/>
      </w:pPr>
      <w:r>
        <w:t xml:space="preserve">5.5 Statistical methods</w:t>
      </w:r>
    </w:p>
    <w:p>
      <w:pPr>
        <w:pStyle w:val="FirstParagraph"/>
      </w:pPr>
      <w:r>
        <w:t xml:space="preserve">The designs are built and analysed under SOP-1002 with the common approach of PCMP-001 §6.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This is the predictive model of the step.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The PAR analysis follows PCMP-001 §6.4 and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2"/>
    <w:bookmarkEnd w:id="43"/>
    <w:bookmarkStart w:id="51" w:name="sec-design"/>
    <w:p>
      <w:pPr>
        <w:pStyle w:val="Heading1"/>
      </w:pPr>
      <w:r>
        <w:t xml:space="preserve">6. Study design</w:t>
      </w:r>
    </w:p>
    <w:bookmarkStart w:id="46"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Protein A step to be studied, with set-point, range studied, NOR and study type.</w:t>
            </w:r>
          </w:p>
          <w:tbl>
            <w:tblPr>
              <w:tblStyle w:val="Table"/>
              <w:tblW w:type="pct" w:w="5000"/>
              <w:tblLayout w:type="fixed"/>
              <w:tblLook w:firstRow="1" w:lastRow="0" w:firstColumn="0" w:lastColumn="0" w:noHBand="0" w:noVBand="0" w:val="0020"/>
            </w:tblPr>
            <w:tblGrid>
              <w:gridCol w:w="2093"/>
              <w:gridCol w:w="1001"/>
              <w:gridCol w:w="1183"/>
              <w:gridCol w:w="1547"/>
              <w:gridCol w:w="819"/>
              <w:gridCol w:w="1274"/>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10–50</w:t>
                  </w:r>
                </w:p>
              </w:tc>
              <w:tc>
                <w:tcPr/>
                <w:p>
                  <w:pPr>
                    <w:pStyle w:val="Compact"/>
                    <w:jc w:val="left"/>
                    <w:jc w:val="center"/>
                  </w:pPr>
                  <w:r>
                    <w:t xml:space="preserve">20–40</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3.2–3.9</w:t>
                  </w:r>
                </w:p>
              </w:tc>
              <w:tc>
                <w:tcPr/>
                <w:p>
                  <w:pPr>
                    <w:pStyle w:val="Compact"/>
                    <w:jc w:val="left"/>
                    <w:jc w:val="center"/>
                  </w:pPr>
                  <w:r>
                    <w:t xml:space="preserve">3.4–3.7</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w:t>
                  </w:r>
                </w:p>
              </w:tc>
              <w:tc>
                <w:tcPr/>
                <w:p>
                  <w:pPr>
                    <w:pStyle w:val="Compact"/>
                    <w:jc w:val="left"/>
                    <w:jc w:val="center"/>
                  </w:pPr>
                  <w:r>
                    <w:t xml:space="preserve">2.3–2.9</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15–30</w:t>
                  </w:r>
                </w:p>
              </w:tc>
              <w:tc>
                <w:tcPr/>
                <w:p>
                  <w:pPr>
                    <w:pStyle w:val="Compact"/>
                    <w:jc w:val="left"/>
                    <w:jc w:val="center"/>
                  </w:pPr>
                  <w:r>
                    <w:t xml:space="preserve">18–26</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10–30</w:t>
                  </w:r>
                </w:p>
              </w:tc>
              <w:tc>
                <w:tcPr/>
                <w:p>
                  <w:pPr>
                    <w:pStyle w:val="Compact"/>
                    <w:jc w:val="left"/>
                    <w:jc w:val="center"/>
                  </w:pPr>
                  <w:r>
                    <w:t xml:space="preserve">15–25</w:t>
                  </w:r>
                </w:p>
              </w:tc>
              <w:tc>
                <w:tcPr/>
                <w:p>
                  <w:pPr>
                    <w:pStyle w:val="Compact"/>
                    <w:jc w:val="left"/>
                    <w:jc w:val="center"/>
                  </w:pPr>
                  <w:r>
                    <w:t xml:space="preserve">univariate</w:t>
                  </w:r>
                </w:p>
              </w:tc>
            </w:tr>
          </w:tbl>
          <w:bookmarkEnd w:id="44"/>
          <w:p/>
        </w:tc>
      </w:tr>
    </w:tbl>
    <w:p>
      <w:pPr>
        <w:pStyle w:val="BodyText"/>
      </w:pPr>
      <w:r>
        <w:t xml:space="preserve">The ranges studied are between 1.9 and 2.3 times the width of the NOR. A wider range shows how the step behaves near and beyond the edges of routine operation, and it gives the space within which a PAR can be claimed. A PAR is never claimed beyond the range studied (PCMP-001 §7.6).</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 The ranges of protein load and end of pool collect are set symmetrically about their set-points.</w:t>
      </w:r>
    </w:p>
    <w:p>
      <w:pPr>
        <w:pStyle w:val="BodyText"/>
      </w:pPr>
      <w:hyperlink w:anchor="tbl-legend">
        <w:r>
          <w:rPr>
            <w:rStyle w:val="Hyperlink"/>
          </w:rPr>
          <w:t xml:space="preserve">Table 9</w:t>
        </w:r>
      </w:hyperlink>
      <w:r>
        <w:t xml:space="preserve"> </w:t>
      </w:r>
      <w:r>
        <w:t xml:space="preserve">gives the letter code of each design factor, which the design matrices in the appendices use.</w:t>
      </w:r>
    </w:p>
    <w:tbl>
      <w:tblPr>
        <w:tblStyle w:val="Table"/>
        <w:tblW w:type="pct" w:w="5000"/>
        <w:tblLayout w:type="fixed"/>
        <w:tblLook w:firstRow="0" w:lastRow="0" w:firstColumn="0" w:lastColumn="0" w:noHBand="0" w:noVBand="0" w:val="0000"/>
      </w:tblPr>
      <w:tblGrid>
        <w:gridCol w:w="7920"/>
      </w:tblGrid>
      <w:tr>
        <w:tc>
          <w:tcPr/>
          <w:bookmarkStart w:id="45" w:name="tbl-legend"/>
          <w:p>
            <w:pPr>
              <w:jc w:val="center"/>
            </w:pPr>
            <w:pPr>
              <w:jc w:val="start"/>
              <w:spacing w:before="200"/>
              <w:pStyle w:val="ImageCaption"/>
            </w:pPr>
            <w:r>
              <w:t xml:space="preserve">Table 9: Letter codes of the design factors.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45"/>
          <w:p/>
        </w:tc>
      </w:tr>
    </w:tbl>
    <w:bookmarkEnd w:id="46"/>
    <w:bookmarkStart w:id="47"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9</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which matters here because the mechanism predicts the interactions of protein load with elution buffer pH and with load flow rate.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7"/>
    <w:bookmarkStart w:id="48"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8"/>
    <w:bookmarkStart w:id="49"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triplicate set-point runs of the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This is the more severe test, because the short bed also has the shortest residence time.</w:t>
      </w:r>
    </w:p>
    <w:p>
      <w:pPr>
        <w:pStyle w:val="BodyText"/>
      </w:pPr>
      <w:r>
        <w:t xml:space="preserve">The responses are pool host cell protein, step yield and leached Protein A. Fragments are not measured in this study, which ran before AMD-001. The range of a univariate parameter is supported when every individual result at both ends meets the criterion of</w:t>
      </w:r>
      <w:r>
        <w:t xml:space="preserve"> </w:t>
      </w:r>
      <w:hyperlink w:anchor="tbl-outcrit">
        <w:r>
          <w:rPr>
            <w:rStyle w:val="Hyperlink"/>
          </w:rPr>
          <w:t xml:space="preserve">Table 10</w:t>
        </w:r>
      </w:hyperlink>
      <w:r>
        <w:t xml:space="preserve"> </w:t>
      </w:r>
      <w:r>
        <w:t xml:space="preserve">for pool host cell protein and for leached Protein A. Step yield has no criterion and is reported as the size of the effect only. The difference between the mean at each end and the set-point mean is reported with its 95 % confidence interval, as the size of the effect. A univariate study cannot detect an interaction. The ranges of these two parameters are therefore supported only with the other parameters at their set-points, and PCR-005 states this beside each result. For bed height this matters, because the short bed is not run at high protein load. A short bed at the upper end of the load range, where breakthrough is most likely, is therefore not characterized by this plan, and no claim is made for it.</w:t>
      </w:r>
    </w:p>
    <w:bookmarkEnd w:id="49"/>
    <w:bookmarkStart w:id="50" w:name="sec-hold"/>
    <w:p>
      <w:pPr>
        <w:pStyle w:val="Heading2"/>
      </w:pPr>
      <w:r>
        <w:t xml:space="preserve">6.5 Hold study of the Protein A eluate</w:t>
      </w:r>
    </w:p>
    <w:p>
      <w:pPr>
        <w:pStyle w:val="FirstParagraph"/>
      </w:pPr>
      <w:r>
        <w:t xml:space="preserve">The Protein A eluate is held at elution pH before viral inactivation, and the hold can change the product. Over days at low pH, partial unfolding can raise aggregate and hinge hydrolysis can raise fragments. The hold study (study S-PA-HLD) is planned here because PCMP-001 §5 assigns each hold study to the plan of the step that produces the pool.</w:t>
      </w:r>
    </w:p>
    <w:p>
      <w:pPr>
        <w:pStyle w:val="BodyText"/>
      </w:pPr>
      <w:r>
        <w:t xml:space="preserve">A pool produced at set-point is divided and held at 2-8 °C and 21 °C for up to 7 days. Samples are taken on days 0, 1, 3, 5 and 7 at each temperature. Aggregate and fragments are measured by SEC and acidic variants by icIEF at every sample point. The hold study ran before AMD-001. The samples of days 0 and 7 were retained and tested by nrCE-SDS after AMD-001, together with the retained pools of the response-surface design in study S-PA-RET. The intermediate sample points have SEC fragment results only, which are for information.</w:t>
      </w:r>
    </w:p>
    <w:p>
      <w:pPr>
        <w:pStyle w:val="BodyText"/>
      </w:pPr>
      <w:r>
        <w:t xml:space="preserve">Within the step itself, Protein A capture does not separate aggregate or charge variants (</w:t>
      </w:r>
      <w:hyperlink w:anchor="sec-uo">
        <w:r>
          <w:rPr>
            <w:rStyle w:val="Hyperlink"/>
          </w:rPr>
          <w:t xml:space="preserve">Section 4.1</w:t>
        </w:r>
      </w:hyperlink>
      <w:r>
        <w:t xml:space="preserve">). The held eluate therefore carries the criteria that PCMP-001 Table 7.1 sets for the output of the production bioreactor, which reach the viral inactivation load unchanged. These are ≤ 6.83 % HMW for aggregate and 18–39 % for acidic variants. Fragments are judged against the IAC of the Protein A pool, ≤ 2.45 % by nrCE-SDS, on the days with an nrCE-SDS result. The decision rule is item 7 of</w:t>
      </w:r>
      <w:r>
        <w:t xml:space="preserve"> </w:t>
      </w:r>
      <w:hyperlink w:anchor="sec-criteria">
        <w:r>
          <w:rPr>
            <w:rStyle w:val="Hyperlink"/>
          </w:rPr>
          <w:t xml:space="preserve">Section 7</w:t>
        </w:r>
      </w:hyperlink>
      <w:r>
        <w:t xml:space="preserve">.</w:t>
      </w:r>
    </w:p>
    <w:bookmarkEnd w:id="50"/>
    <w:bookmarkEnd w:id="51"/>
    <w:bookmarkStart w:id="53" w:name="sec-criteria"/>
    <w:p>
      <w:pPr>
        <w:pStyle w:val="Heading1"/>
      </w:pPr>
      <w:r>
        <w:t xml:space="preserve">7. Acceptance and decision criteria</w:t>
      </w:r>
    </w:p>
    <w:p>
      <w:pPr>
        <w:pStyle w:val="FirstParagraph"/>
      </w:pPr>
      <w:r>
        <w:t xml:space="preserve">The criteria below apply PCMP-001 §7 to this step. They decide when the scale-down model is qualified, when a model may be used for prediction, when a range is proven acceptable and how a parameter is classified. Items 2 to 5 are the model adequacy criteria of PCMP-001 §7.2. The measures in item 5 are the ones this plan uses to apply the PCMP-001 criterion that residuals show no pattern and no run dominates the fit.</w:t>
      </w:r>
    </w:p>
    <w:p>
      <w:pPr>
        <w:pStyle w:val="Compact"/>
        <w:numPr>
          <w:ilvl w:val="0"/>
          <w:numId w:val="1004"/>
        </w:numPr>
      </w:pPr>
      <w:r>
        <w:t xml:space="preserve">Scale-down model qualification. The model is qualified for an output when the 90 % confidence interval of the difference between its set-point mean and the manufacturing-scale mean lies within the equivalence margin of</w:t>
      </w:r>
      <w:r>
        <w:t xml:space="preserve"> </w:t>
      </w:r>
      <w:hyperlink w:anchor="sec-sdm">
        <w:r>
          <w:rPr>
            <w:rStyle w:val="Hyperlink"/>
          </w:rPr>
          <w:t xml:space="preserve">Section 5.1</w:t>
        </w:r>
      </w:hyperlink>
      <w:r>
        <w:t xml:space="preserve">. A difference that is consistent and explained by a known scale effect may be accepted if PCR-005 carries it into the interpretation. A model that fails qualification for an output is not used for that output.</w:t>
      </w:r>
    </w:p>
    <w:p>
      <w:pPr>
        <w:pStyle w:val="Compact"/>
        <w:numPr>
          <w:ilvl w:val="0"/>
          <w:numId w:val="1004"/>
        </w:numPr>
      </w:pPr>
      <w:r>
        <w:t xml:space="preserve">Model significance. A response-surface model is used for prediction only if the model F-test is significant at α = 0.05.</w:t>
      </w:r>
    </w:p>
    <w:p>
      <w:pPr>
        <w:pStyle w:val="Compact"/>
        <w:numPr>
          <w:ilvl w:val="0"/>
          <w:numId w:val="1004"/>
        </w:numPr>
      </w:pPr>
      <w:r>
        <w:t xml:space="preserve">Lack of fit. The test of lack of fit against pure error is not significant at α = 0.05.</w:t>
      </w:r>
    </w:p>
    <w:p>
      <w:pPr>
        <w:pStyle w:val="Compact"/>
        <w:numPr>
          <w:ilvl w:val="0"/>
          <w:numId w:val="1004"/>
        </w:numPr>
      </w:pPr>
      <w:r>
        <w:t xml:space="preserve">Predictive power. The predicted R², computed from the prediction error sum of squares (PRESS), falls short of the R² of the same model by no more than 0.20. The limit is the campaign threshold of PCMP-001 §7.2 and is not changed for this step.</w:t>
      </w:r>
    </w:p>
    <w:p>
      <w:pPr>
        <w:pStyle w:val="Compact"/>
        <w:numPr>
          <w:ilvl w:val="0"/>
          <w:numId w:val="1004"/>
        </w:numPr>
      </w:pPr>
      <w:r>
        <w:t xml:space="preserve">Residuals. A regression of the absolute residuals on the predicted values, and a regression of the residuals on run order, each show no slope significant at α = 0.05. No run has a Cook’s distance above 4/n, which is 0.14 for the 28 runs of the response-surface design.</w:t>
      </w:r>
    </w:p>
    <w:p>
      <w:pPr>
        <w:pStyle w:val="Compact"/>
        <w:numPr>
          <w:ilvl w:val="0"/>
          <w:numId w:val="1004"/>
        </w:numPr>
      </w:pPr>
      <w:r>
        <w:t xml:space="preserve">Step outputs and PARs. Each output with a criterion is judged against the criterion of</w:t>
      </w:r>
      <w:r>
        <w:t xml:space="preserve"> </w:t>
      </w:r>
      <w:hyperlink w:anchor="tbl-outcrit">
        <w:r>
          <w:rPr>
            <w:rStyle w:val="Hyperlink"/>
          </w:rPr>
          <w:t xml:space="preserve">Table 10</w:t>
        </w:r>
      </w:hyperlink>
      <w:r>
        <w:t xml:space="preserve">, by the analysis of</w:t>
      </w:r>
      <w:r>
        <w:t xml:space="preserve"> </w:t>
      </w:r>
      <w:hyperlink w:anchor="sec-par">
        <w:r>
          <w:rPr>
            <w:rStyle w:val="Hyperlink"/>
          </w:rPr>
          <w:t xml:space="preserve">Section 8</w:t>
        </w:r>
      </w:hyperlink>
      <w:r>
        <w:t xml:space="preserve">. A range is proven acceptable for an attribute when the NOR-propagated analysis meets the criterion across it.</w:t>
      </w:r>
    </w:p>
    <w:p>
      <w:pPr>
        <w:pStyle w:val="Compact"/>
        <w:numPr>
          <w:ilvl w:val="0"/>
          <w:numId w:val="1004"/>
        </w:numPr>
      </w:pPr>
      <w:r>
        <w:t xml:space="preserve">Hold. A hold time is supported at a temperature when aggregate and acidic variants meet their criteria at every sample point up to that time, and fragments by nrCE-SDS meet their criterion at the days tested by nrCE-SDS. SEC fragment results are not used for this decision. A trend is reported even where the criterion is met.</w:t>
      </w:r>
    </w:p>
    <w:p>
      <w:pPr>
        <w:pStyle w:val="Compact"/>
        <w:numPr>
          <w:ilvl w:val="0"/>
          <w:numId w:val="1004"/>
        </w:numPr>
      </w:pPr>
      <w:r>
        <w:t xml:space="preserve">Classification. Each parameter is classified under SOP-4001 by the decision logic of PCMP-001 §7.7.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model that fails criterion 3 or 4 is either refitted with a justified change of terms or transformation, or it is not used to set a range. A run lost or invalidated during execution is reported in PCR-005, with a statement of whether the design was repaired or re-executed.</w:t>
      </w:r>
    </w:p>
    <w:p>
      <w:pPr>
        <w:pStyle w:val="BodyText"/>
      </w:pPr>
      <w:hyperlink w:anchor="tbl-outcrit">
        <w:r>
          <w:rPr>
            <w:rStyle w:val="Hyperlink"/>
          </w:rPr>
          <w:t xml:space="preserve">Table 10</w:t>
        </w:r>
      </w:hyperlink>
      <w:r>
        <w:t xml:space="preserve"> </w:t>
      </w:r>
      <w:r>
        <w:t xml:space="preserve">lists the outputs of the step, the criterion each is judged against, its basis and the statistic that is judged against it.</w:t>
      </w:r>
    </w:p>
    <w:tbl>
      <w:tblPr>
        <w:tblStyle w:val="Table"/>
        <w:tblW w:type="pct" w:w="5000"/>
        <w:tblLayout w:type="fixed"/>
        <w:tblLook w:firstRow="0" w:lastRow="0" w:firstColumn="0" w:lastColumn="0" w:noHBand="0" w:noVBand="0" w:val="0000"/>
      </w:tblPr>
      <w:tblGrid>
        <w:gridCol w:w="7920"/>
      </w:tblGrid>
      <w:tr>
        <w:tc>
          <w:tcPr/>
          <w:bookmarkStart w:id="52" w:name="tbl-outcrit"/>
          <w:p>
            <w:pPr>
              <w:jc w:val="center"/>
            </w:pPr>
            <w:pPr>
              <w:jc w:val="start"/>
              <w:spacing w:before="200"/>
              <w:pStyle w:val="ImageCaption"/>
            </w:pPr>
            <w:r>
              <w:t xml:space="preserve">Table 10: Criteria for the outputs of the Protein A step, with basis and the statistic judged.</w:t>
            </w:r>
          </w:p>
          <w:tbl>
            <w:tblPr>
              <w:tblStyle w:val="Table"/>
              <w:tblW w:type="pct" w:w="5000"/>
              <w:tblLayout w:type="fixed"/>
              <w:tblLook w:firstRow="1" w:lastRow="0" w:firstColumn="0" w:lastColumn="0" w:noHBand="0" w:noVBand="0" w:val="0020"/>
            </w:tblPr>
            <w:tblGrid>
              <w:gridCol w:w="2048"/>
              <w:gridCol w:w="887"/>
              <w:gridCol w:w="2253"/>
              <w:gridCol w:w="2731"/>
            </w:tblGrid>
            <w:tr>
              <w:trPr>
                <w:tblHeader w:val="on"/>
              </w:trPr>
              <w:tc>
                <w:tcPr/>
                <w:p>
                  <w:pPr>
                    <w:pStyle w:val="Compact"/>
                    <w:jc w:val="left"/>
                    <w:jc w:val="center"/>
                  </w:pPr>
                  <w:r>
                    <w:t xml:space="preserve">Output</w:t>
                  </w:r>
                </w:p>
              </w:tc>
              <w:tc>
                <w:tcPr/>
                <w:p>
                  <w:pPr>
                    <w:pStyle w:val="Compact"/>
                    <w:jc w:val="left"/>
                    <w:jc w:val="center"/>
                  </w:pPr>
                  <w:r>
                    <w:t xml:space="preserve">Criterion</w:t>
                  </w:r>
                </w:p>
              </w:tc>
              <w:tc>
                <w:tcPr/>
                <w:p>
                  <w:pPr>
                    <w:pStyle w:val="Compact"/>
                    <w:jc w:val="left"/>
                    <w:jc w:val="center"/>
                  </w:pPr>
                  <w:r>
                    <w:t xml:space="preserve">Basis</w:t>
                  </w:r>
                </w:p>
              </w:tc>
              <w:tc>
                <w:tcPr/>
                <w:p>
                  <w:pPr>
                    <w:pStyle w:val="Compact"/>
                    <w:jc w:val="left"/>
                    <w:jc w:val="center"/>
                  </w:pPr>
                  <w:r>
                    <w:t xml:space="preserve">Statistic judged</w:t>
                  </w:r>
                </w:p>
              </w:tc>
            </w:tr>
            <w:tr>
              <w:tc>
                <w:tcPr/>
                <w:p>
                  <w:pPr>
                    <w:pStyle w:val="Compact"/>
                    <w:jc w:val="left"/>
                    <w:jc w:val="center"/>
                  </w:pPr>
                  <w:r>
                    <w:t xml:space="preserve">Pool HCP (ng/mg)</w:t>
                  </w:r>
                </w:p>
              </w:tc>
              <w:tc>
                <w:tcPr/>
                <w:p>
                  <w:pPr>
                    <w:pStyle w:val="Compact"/>
                    <w:jc w:val="left"/>
                    <w:jc w:val="center"/>
                  </w:pPr>
                  <w:r>
                    <w:t xml:space="preserve">≤ 16,000</w:t>
                  </w:r>
                </w:p>
              </w:tc>
              <w:tc>
                <w:tcPr/>
                <w:p>
                  <w:pPr>
                    <w:pStyle w:val="Compact"/>
                    <w:jc w:val="left"/>
                    <w:jc w:val="center"/>
                  </w:pPr>
                  <w:r>
                    <w:t xml:space="preserve">back-calculated (PCMP-001 §7.3)</w:t>
                  </w:r>
                </w:p>
              </w:tc>
              <w:tc>
                <w:tcPr/>
                <w:p>
                  <w:pPr>
                    <w:pStyle w:val="Compact"/>
                    <w:jc w:val="left"/>
                    <w:jc w:val="center"/>
                  </w:pPr>
                  <w:r>
                    <w:t xml:space="preserve">Single batch, 95 % predictive interval</w:t>
                  </w:r>
                </w:p>
              </w:tc>
            </w:tr>
            <w:tr>
              <w:tc>
                <w:tcPr/>
                <w:p>
                  <w:pPr>
                    <w:pStyle w:val="Compact"/>
                    <w:jc w:val="left"/>
                    <w:jc w:val="center"/>
                  </w:pPr>
                  <w:r>
                    <w:t xml:space="preserve">Leached Protein A (ppm)</w:t>
                  </w:r>
                </w:p>
              </w:tc>
              <w:tc>
                <w:tcPr/>
                <w:p>
                  <w:pPr>
                    <w:pStyle w:val="Compact"/>
                    <w:jc w:val="left"/>
                    <w:jc w:val="center"/>
                  </w:pPr>
                  <w:r>
                    <w:t xml:space="preserve">≤ 158</w:t>
                  </w:r>
                </w:p>
              </w:tc>
              <w:tc>
                <w:tcPr/>
                <w:p>
                  <w:pPr>
                    <w:pStyle w:val="Compact"/>
                    <w:jc w:val="left"/>
                    <w:jc w:val="center"/>
                  </w:pPr>
                  <w:r>
                    <w:t xml:space="preserve">back-calculated (PCMP-001 §7.3)</w:t>
                  </w:r>
                </w:p>
              </w:tc>
              <w:tc>
                <w:tcPr/>
                <w:p>
                  <w:pPr>
                    <w:pStyle w:val="Compact"/>
                    <w:jc w:val="left"/>
                    <w:jc w:val="center"/>
                  </w:pPr>
                  <w:r>
                    <w:t xml:space="preserve">Single batch, 95 % predictive interval</w:t>
                  </w:r>
                </w:p>
              </w:tc>
            </w:tr>
            <w:tr>
              <w:tc>
                <w:tcPr/>
                <w:p>
                  <w:pPr>
                    <w:pStyle w:val="Compact"/>
                    <w:jc w:val="left"/>
                    <w:jc w:val="center"/>
                  </w:pPr>
                  <w:r>
                    <w:t xml:space="preserve">Fragments (LMW, %, nrCE-SDS)</w:t>
                  </w:r>
                </w:p>
              </w:tc>
              <w:tc>
                <w:tcPr/>
                <w:p>
                  <w:pPr>
                    <w:pStyle w:val="Compact"/>
                    <w:jc w:val="left"/>
                    <w:jc w:val="center"/>
                  </w:pPr>
                  <w:r>
                    <w:t xml:space="preserve">≤ 2.45</w:t>
                  </w:r>
                </w:p>
              </w:tc>
              <w:tc>
                <w:tcPr/>
                <w:p>
                  <w:pPr>
                    <w:pStyle w:val="Compact"/>
                    <w:jc w:val="left"/>
                    <w:jc w:val="center"/>
                  </w:pPr>
                  <w:r>
                    <w:t xml:space="preserve">back-calculated (PCMP-001 §7.3)</w:t>
                  </w:r>
                </w:p>
              </w:tc>
              <w:tc>
                <w:tcPr/>
                <w:p>
                  <w:pPr>
                    <w:pStyle w:val="Compact"/>
                    <w:jc w:val="left"/>
                    <w:jc w:val="center"/>
                  </w:pPr>
                  <w:r>
                    <w:t xml:space="preserve">Single batch, 95 % predictive interval</w:t>
                  </w:r>
                </w:p>
              </w:tc>
            </w:tr>
            <w:tr>
              <w:tc>
                <w:tcPr/>
                <w:p>
                  <w:pPr>
                    <w:pStyle w:val="Compact"/>
                    <w:jc w:val="left"/>
                    <w:jc w:val="center"/>
                  </w:pPr>
                  <w:r>
                    <w:t xml:space="preserve">Step yield</w:t>
                  </w:r>
                </w:p>
              </w:tc>
              <w:tc>
                <w:tcPr/>
                <w:p>
                  <w:pPr>
                    <w:pStyle w:val="Compact"/>
                    <w:jc w:val="left"/>
                    <w:jc w:val="center"/>
                  </w:pPr>
                  <w:r>
                    <w:t xml:space="preserve">none</w:t>
                  </w:r>
                </w:p>
              </w:tc>
              <w:tc>
                <w:tcPr/>
                <w:p>
                  <w:pPr>
                    <w:pStyle w:val="Compact"/>
                    <w:jc w:val="left"/>
                    <w:jc w:val="center"/>
                  </w:pPr>
                  <w:r>
                    <w:t xml:space="preserve">performance attribute</w:t>
                  </w:r>
                </w:p>
              </w:tc>
              <w:tc>
                <w:tcPr/>
                <w:p>
                  <w:pPr>
                    <w:pStyle w:val="Compact"/>
                    <w:jc w:val="left"/>
                    <w:jc w:val="center"/>
                  </w:pPr>
                  <w:r>
                    <w:t xml:space="preserve">not applicable</w:t>
                  </w:r>
                </w:p>
              </w:tc>
            </w:tr>
          </w:tbl>
          <w:bookmarkEnd w:id="52"/>
          <w:p/>
        </w:tc>
      </w:tr>
    </w:tbl>
    <w:bookmarkEnd w:id="53"/>
    <w:bookmarkStart w:id="59" w:name="sec-par"/>
    <w:p>
      <w:pPr>
        <w:pStyle w:val="Heading1"/>
      </w:pPr>
      <w:r>
        <w:t xml:space="preserve">8. Proven acceptable ranges (planned analysis)</w:t>
      </w:r>
    </w:p>
    <w:bookmarkStart w:id="56"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output of this step is therefore judged against an IAC derived by the rule of PCMP-001 §7.3. The drug substance criterion is carried backward through the train, using the worst case that each downstream step showed on the platform with X-Mab, Y-Mab and Z-Mab. For a step that removes an attribute the worst case is the lowest clearance fold, and for a step that adds to it the largest increase. No margin is applied.</w:t>
      </w:r>
      <w:r>
        <w:t xml:space="preserve"> </w:t>
      </w:r>
      <w:hyperlink w:anchor="tbl-iac">
        <w:r>
          <w:rPr>
            <w:rStyle w:val="Hyperlink"/>
          </w:rPr>
          <w:t xml:space="preserve">Table 11</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4" w:name="tbl-iac"/>
          <w:p>
            <w:pPr>
              <w:jc w:val="center"/>
            </w:pPr>
            <w:pPr>
              <w:jc w:val="start"/>
              <w:spacing w:before="200"/>
              <w:pStyle w:val="ImageCaption"/>
            </w:pPr>
            <w:r>
              <w:t xml:space="preserve">Table 11: Intermediate acceptance criteria and their derivation from the drug-substance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Drug-substance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p>
              </w:tc>
              <w:tc>
                <w:tcPr>
                  <w:vMerge w:val="restart"/>
                </w:tcPr>
                <w:p>
                  <w:pPr>
                    <w:pStyle w:val="Compact"/>
                    <w:jc w:val="center"/>
                  </w:pPr>
                  <w:r>
                    <w:t xml:space="preserve">Intermediate acceptance criterion</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Protein A</w:t>
                  </w:r>
                </w:p>
              </w:tc>
              <w:tc>
                <w:tcPr/>
                <w:p>
                  <w:pPr>
                    <w:pStyle w:val="Compact"/>
                    <w:jc w:val="center"/>
                  </w:pPr>
                  <w:r>
                    <w:t xml:space="preserve">160</w:t>
                  </w:r>
                </w:p>
              </w:tc>
              <w:tc>
                <w:tcPr/>
                <w:p>
                  <w:pPr>
                    <w:pStyle w:val="Compact"/>
                    <w:jc w:val="center"/>
                  </w:pPr>
                  <w:r>
                    <w:t xml:space="preserve">0.00</w:t>
                  </w:r>
                </w:p>
              </w:tc>
              <w:tc>
                <w:tcPr/>
                <w:p>
                  <w:pPr>
                    <w:pStyle w:val="Compact"/>
                    <w:jc w:val="center"/>
                  </w:pPr>
                  <w:r>
                    <w:t xml:space="preserve">≤ 16,000</w:t>
                  </w:r>
                </w:p>
              </w:tc>
              <w:tc>
                <w:tcPr/>
                <w:p>
                  <w:pPr>
                    <w:pStyle w:val="Compact"/>
                    <w:jc w:val="center"/>
                  </w:pPr>
                  <w:r>
                    <w:t xml:space="preserve">Back-calculated</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Back-calculated</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Back-calculated</w:t>
                  </w:r>
                </w:p>
              </w:tc>
            </w:tr>
          </w:tbl>
          <w:bookmarkEnd w:id="54"/>
          <w:p/>
        </w:tc>
      </w:tr>
    </w:tbl>
    <w:p>
      <w:pPr>
        <w:pStyle w:val="BodyText"/>
      </w:pPr>
      <w:r>
        <w:t xml:space="preserve">For pool host cell protein the drug substance limit of 100 ng/mg is carried back through the platform worst cases of anion exchange and cation exchange, which together remove host cell protein 160-fold. That gives 16,000 ng/mg. For leached Protein A the limit of 5 ppm is carried back through the same two steps, which together remove it 31.6-fold, and gives 158 ppm. For fragments the limit of 2.00 % is carried back through the lowest platform clearance of cation exchange, 1.3-fold, and then through the largest increase of low-pH viral inactivation, 0.15 %. That gives 2.45 %.</w:t>
      </w:r>
    </w:p>
    <w:p>
      <w:pPr>
        <w:pStyle w:val="BodyText"/>
      </w:pPr>
      <w:r>
        <w:t xml:space="preserve">Each criterion rests on assumptions about the downstream steps.</w:t>
      </w:r>
      <w:r>
        <w:t xml:space="preserve"> </w:t>
      </w:r>
      <w:hyperlink w:anchor="tbl-worstcase">
        <w:r>
          <w:rPr>
            <w:rStyle w:val="Hyperlink"/>
          </w:rPr>
          <w:t xml:space="preserve">Table 12</w:t>
        </w:r>
      </w:hyperlink>
      <w:r>
        <w:t xml:space="preserve"> </w:t>
      </w:r>
      <w:r>
        <w:t xml:space="preserve">lists them with the report that checks each one, under PCMP-001 §7.5. Data may tighten a criterion of this revision and never loosen it. Where a downstream report finds its step doing worse within its NOR than the platform worst case, the A-Mab value replaces the platform value and the criterion of this step is recalculated. Leached Protein A is not a response of the cation exchange or anion exchange designs, so the platform values for it cannot be checked in this campaign and they stand.</w:t>
      </w:r>
    </w:p>
    <w:tbl>
      <w:tblPr>
        <w:tblStyle w:val="Table"/>
        <w:tblW w:type="pct" w:w="5000"/>
        <w:tblLayout w:type="fixed"/>
        <w:tblLook w:firstRow="0" w:lastRow="0" w:firstColumn="0" w:lastColumn="0" w:noHBand="0" w:noVBand="0" w:val="0000"/>
      </w:tblPr>
      <w:tblGrid>
        <w:gridCol w:w="7920"/>
      </w:tblGrid>
      <w:tr>
        <w:tc>
          <w:tcPr/>
          <w:bookmarkStart w:id="55" w:name="tbl-worstcase"/>
          <w:p>
            <w:pPr>
              <w:jc w:val="center"/>
            </w:pPr>
            <w:pPr>
              <w:jc w:val="start"/>
              <w:spacing w:before="200"/>
              <w:pStyle w:val="ImageCaption"/>
            </w:pPr>
            <w:r>
              <w:t xml:space="preserve">Table 12: Platform worst cases on which the criteria of this step rely, and the report that checks each.</w:t>
            </w:r>
          </w:p>
          <w:tbl>
            <w:tblPr>
              <w:tblStyle w:val="Table"/>
              <w:tblW w:type="pct" w:w="5000"/>
              <w:tblLayout w:type="fixed"/>
              <w:tblLook w:firstRow="1" w:lastRow="0" w:firstColumn="0" w:lastColumn="0" w:noHBand="0" w:noVBand="0" w:val="0020"/>
            </w:tblPr>
            <w:tblGrid>
              <w:gridCol w:w="1113"/>
              <w:gridCol w:w="1113"/>
              <w:gridCol w:w="948"/>
              <w:gridCol w:w="742"/>
              <w:gridCol w:w="2475"/>
              <w:gridCol w:w="1526"/>
            </w:tblGrid>
            <w:tr>
              <w:trPr>
                <w:tblHeader w:val="on"/>
              </w:trPr>
              <w:tc>
                <w:tcPr/>
                <w:p>
                  <w:pPr>
                    <w:pStyle w:val="Compact"/>
                    <w:jc w:val="left"/>
                    <w:jc w:val="center"/>
                  </w:pPr>
                  <w:r>
                    <w:t xml:space="preserve">Downstream step</w:t>
                  </w:r>
                </w:p>
              </w:tc>
              <w:tc>
                <w:tcPr/>
                <w:p>
                  <w:pPr>
                    <w:pStyle w:val="Compact"/>
                    <w:jc w:val="left"/>
                    <w:jc w:val="center"/>
                  </w:pPr>
                  <w:r>
                    <w:t xml:space="preserve">Attribute</w:t>
                  </w:r>
                </w:p>
              </w:tc>
              <w:tc>
                <w:tcPr/>
                <w:p>
                  <w:pPr>
                    <w:pStyle w:val="Compact"/>
                    <w:jc w:val="left"/>
                    <w:jc w:val="center"/>
                  </w:pPr>
                  <w:r>
                    <w:t xml:space="preserve">Worst case</w:t>
                  </w:r>
                </w:p>
              </w:tc>
              <w:tc>
                <w:tcPr/>
                <w:p>
                  <w:pPr>
                    <w:pStyle w:val="Compact"/>
                    <w:jc w:val="right"/>
                    <w:jc w:val="center"/>
                  </w:pPr>
                  <w:r>
                    <w:t xml:space="preserve">Platform value</w:t>
                  </w:r>
                </w:p>
              </w:tc>
              <w:tc>
                <w:tcPr/>
                <w:p>
                  <w:pPr>
                    <w:pStyle w:val="Compact"/>
                    <w:jc w:val="left"/>
                    <w:jc w:val="center"/>
                  </w:pPr>
                  <w:r>
                    <w:t xml:space="preserve">Source</w:t>
                  </w:r>
                </w:p>
              </w:tc>
              <w:tc>
                <w:tcPr/>
                <w:p>
                  <w:pPr>
                    <w:pStyle w:val="Compact"/>
                    <w:jc w:val="left"/>
                    <w:jc w:val="center"/>
                  </w:pPr>
                  <w:r>
                    <w:t xml:space="preserve">Checked in</w:t>
                  </w:r>
                </w:p>
              </w:tc>
            </w:tr>
            <w:tr>
              <w:tc>
                <w:tcPr/>
                <w:p>
                  <w:pPr>
                    <w:pStyle w:val="Compact"/>
                    <w:jc w:val="left"/>
                    <w:jc w:val="center"/>
                  </w:pPr>
                  <w:r>
                    <w:t xml:space="preserve">Low-pH viral inactivation</w:t>
                  </w:r>
                </w:p>
              </w:tc>
              <w:tc>
                <w:tcPr/>
                <w:p>
                  <w:pPr>
                    <w:pStyle w:val="Compact"/>
                    <w:jc w:val="left"/>
                    <w:jc w:val="center"/>
                  </w:pPr>
                  <w:r>
                    <w:t xml:space="preserve">Fragments, LMW (%)</w:t>
                  </w:r>
                </w:p>
              </w:tc>
              <w:tc>
                <w:tcPr/>
                <w:p>
                  <w:pPr>
                    <w:pStyle w:val="Compact"/>
                    <w:jc w:val="left"/>
                    <w:jc w:val="center"/>
                  </w:pPr>
                  <w:r>
                    <w:t xml:space="preserve">Largest increase</w:t>
                  </w:r>
                </w:p>
              </w:tc>
              <w:tc>
                <w:tcPr/>
                <w:p>
                  <w:pPr>
                    <w:pStyle w:val="Compact"/>
                    <w:jc w:val="right"/>
                    <w:jc w:val="center"/>
                  </w:pPr>
                  <w:r>
                    <w:t xml:space="preserve">0.15</w:t>
                  </w:r>
                </w:p>
              </w:tc>
              <w:tc>
                <w:tcPr/>
                <w:p>
                  <w:pPr>
                    <w:pStyle w:val="Compact"/>
                    <w:jc w:val="left"/>
                    <w:jc w:val="center"/>
                  </w:pPr>
                  <w:r>
                    <w:t xml:space="preserve">X/Y/Z-Mab low-pH hold, 180 min, nrCE-SDS</w:t>
                  </w:r>
                </w:p>
              </w:tc>
              <w:tc>
                <w:tcPr/>
                <w:p>
                  <w:pPr>
                    <w:pStyle w:val="Compact"/>
                    <w:jc w:val="left"/>
                    <w:jc w:val="center"/>
                  </w:pPr>
                  <w:r>
                    <w:t xml:space="preserve">PCR-006</w:t>
                  </w:r>
                </w:p>
              </w:tc>
            </w:tr>
            <w:tr>
              <w:tc>
                <w:tcPr/>
                <w:p>
                  <w:pPr>
                    <w:pStyle w:val="Compact"/>
                    <w:jc w:val="left"/>
                    <w:jc w:val="center"/>
                  </w:pPr>
                  <w:r>
                    <w:t xml:space="preserve">Cation exchange</w:t>
                  </w:r>
                </w:p>
              </w:tc>
              <w:tc>
                <w:tcPr/>
                <w:p>
                  <w:pPr>
                    <w:pStyle w:val="Compact"/>
                    <w:jc w:val="left"/>
                    <w:jc w:val="center"/>
                  </w:pPr>
                  <w:r>
                    <w:t xml:space="preserve">Host cell protein (ng/mg)</w:t>
                  </w:r>
                </w:p>
              </w:tc>
              <w:tc>
                <w:tcPr/>
                <w:p>
                  <w:pPr>
                    <w:pStyle w:val="Compact"/>
                    <w:jc w:val="left"/>
                    <w:jc w:val="center"/>
                  </w:pPr>
                  <w:r>
                    <w:t xml:space="preserve">Lowest clearance fold</w:t>
                  </w:r>
                </w:p>
              </w:tc>
              <w:tc>
                <w:tcPr/>
                <w:p>
                  <w:pPr>
                    <w:pStyle w:val="Compact"/>
                    <w:jc w:val="right"/>
                    <w:jc w:val="center"/>
                  </w:pPr>
                  <w:r>
                    <w:t xml:space="preserve">40</w:t>
                  </w:r>
                </w:p>
              </w:tc>
              <w:tc>
                <w:tcPr/>
                <w:p>
                  <w:pPr>
                    <w:pStyle w:val="Compact"/>
                    <w:jc w:val="left"/>
                    <w:jc w:val="center"/>
                  </w:pPr>
                  <w:r>
                    <w:t xml:space="preserve">X/Y/Z-Mab CEX, lowest of 31 runs at characterization edges</w:t>
                  </w:r>
                </w:p>
              </w:tc>
              <w:tc>
                <w:tcPr/>
                <w:p>
                  <w:pPr>
                    <w:pStyle w:val="Compact"/>
                    <w:jc w:val="left"/>
                    <w:jc w:val="center"/>
                  </w:pPr>
                  <w:r>
                    <w:t xml:space="preserve">PCR-007</w:t>
                  </w:r>
                </w:p>
              </w:tc>
            </w:tr>
            <w:tr>
              <w:tc>
                <w:tcPr/>
                <w:p>
                  <w:pPr>
                    <w:pStyle w:val="Compact"/>
                    <w:jc w:val="left"/>
                    <w:jc w:val="center"/>
                  </w:pPr>
                  <w:r>
                    <w:t xml:space="preserve">Cation exchange</w:t>
                  </w:r>
                </w:p>
              </w:tc>
              <w:tc>
                <w:tcPr/>
                <w:p>
                  <w:pPr>
                    <w:pStyle w:val="Compact"/>
                    <w:jc w:val="left"/>
                    <w:jc w:val="center"/>
                  </w:pPr>
                  <w:r>
                    <w:t xml:space="preserve">Fragments, LMW (%)</w:t>
                  </w:r>
                </w:p>
              </w:tc>
              <w:tc>
                <w:tcPr/>
                <w:p>
                  <w:pPr>
                    <w:pStyle w:val="Compact"/>
                    <w:jc w:val="left"/>
                    <w:jc w:val="center"/>
                  </w:pPr>
                  <w:r>
                    <w:t xml:space="preserve">Lowest clearance fold</w:t>
                  </w:r>
                </w:p>
              </w:tc>
              <w:tc>
                <w:tcPr/>
                <w:p>
                  <w:pPr>
                    <w:pStyle w:val="Compact"/>
                    <w:jc w:val="right"/>
                    <w:jc w:val="center"/>
                  </w:pPr>
                  <w:r>
                    <w:t xml:space="preserve">1.3</w:t>
                  </w:r>
                </w:p>
              </w:tc>
              <w:tc>
                <w:tcPr/>
                <w:p>
                  <w:pPr>
                    <w:pStyle w:val="Compact"/>
                    <w:jc w:val="left"/>
                    <w:jc w:val="center"/>
                  </w:pPr>
                  <w:r>
                    <w:t xml:space="preserve">Y-Mab and Z-Mab CEX, nrCE-SDS</w:t>
                  </w:r>
                </w:p>
              </w:tc>
              <w:tc>
                <w:tcPr/>
                <w:p>
                  <w:pPr>
                    <w:pStyle w:val="Compact"/>
                    <w:jc w:val="left"/>
                    <w:jc w:val="center"/>
                  </w:pPr>
                  <w:r>
                    <w:t xml:space="preserve">PCR-007</w:t>
                  </w:r>
                </w:p>
              </w:tc>
            </w:tr>
            <w:tr>
              <w:tc>
                <w:tcPr/>
                <w:p>
                  <w:pPr>
                    <w:pStyle w:val="Compact"/>
                    <w:jc w:val="left"/>
                    <w:jc w:val="center"/>
                  </w:pPr>
                  <w:r>
                    <w:t xml:space="preserve">Cation exchange</w:t>
                  </w:r>
                </w:p>
              </w:tc>
              <w:tc>
                <w:tcPr/>
                <w:p>
                  <w:pPr>
                    <w:pStyle w:val="Compact"/>
                    <w:jc w:val="left"/>
                    <w:jc w:val="center"/>
                  </w:pPr>
                  <w:r>
                    <w:t xml:space="preserve">Leached Protein A (ppm)</w:t>
                  </w:r>
                </w:p>
              </w:tc>
              <w:tc>
                <w:tcPr/>
                <w:p>
                  <w:pPr>
                    <w:pStyle w:val="Compact"/>
                    <w:jc w:val="left"/>
                    <w:jc w:val="center"/>
                  </w:pPr>
                  <w:r>
                    <w:t xml:space="preserve">Lowest clearance fold</w:t>
                  </w:r>
                </w:p>
              </w:tc>
              <w:tc>
                <w:tcPr/>
                <w:p>
                  <w:pPr>
                    <w:pStyle w:val="Compact"/>
                    <w:jc w:val="right"/>
                    <w:jc w:val="center"/>
                  </w:pPr>
                  <w:r>
                    <w:t xml:space="preserve">3.16</w:t>
                  </w:r>
                </w:p>
              </w:tc>
              <w:tc>
                <w:tcPr/>
                <w:p>
                  <w:pPr>
                    <w:pStyle w:val="Compact"/>
                    <w:jc w:val="left"/>
                    <w:jc w:val="center"/>
                  </w:pPr>
                  <w:r>
                    <w:t xml:space="preserve">X/Y/Z-Mab CEX, 0.5 log10</w:t>
                  </w:r>
                </w:p>
              </w:tc>
              <w:tc>
                <w:tcPr/>
                <w:p>
                  <w:pPr>
                    <w:pStyle w:val="Compact"/>
                    <w:jc w:val="left"/>
                    <w:jc w:val="center"/>
                  </w:pPr>
                  <w:r>
                    <w:t xml:space="preserve">not checked (not a design response)</w:t>
                  </w:r>
                </w:p>
              </w:tc>
            </w:tr>
            <w:tr>
              <w:tc>
                <w:tcPr/>
                <w:p>
                  <w:pPr>
                    <w:pStyle w:val="Compact"/>
                    <w:jc w:val="left"/>
                    <w:jc w:val="center"/>
                  </w:pPr>
                  <w:r>
                    <w:t xml:space="preserve">Anion exchange</w:t>
                  </w:r>
                </w:p>
              </w:tc>
              <w:tc>
                <w:tcPr/>
                <w:p>
                  <w:pPr>
                    <w:pStyle w:val="Compact"/>
                    <w:jc w:val="left"/>
                    <w:jc w:val="center"/>
                  </w:pPr>
                  <w:r>
                    <w:t xml:space="preserve">Host cell protein (ng/mg)</w:t>
                  </w:r>
                </w:p>
              </w:tc>
              <w:tc>
                <w:tcPr/>
                <w:p>
                  <w:pPr>
                    <w:pStyle w:val="Compact"/>
                    <w:jc w:val="left"/>
                    <w:jc w:val="center"/>
                  </w:pPr>
                  <w:r>
                    <w:t xml:space="preserve">Lowest clearance fold</w:t>
                  </w:r>
                </w:p>
              </w:tc>
              <w:tc>
                <w:tcPr/>
                <w:p>
                  <w:pPr>
                    <w:pStyle w:val="Compact"/>
                    <w:jc w:val="right"/>
                    <w:jc w:val="center"/>
                  </w:pPr>
                  <w:r>
                    <w:t xml:space="preserve">4</w:t>
                  </w:r>
                </w:p>
              </w:tc>
              <w:tc>
                <w:tcPr/>
                <w:p>
                  <w:pPr>
                    <w:pStyle w:val="Compact"/>
                    <w:jc w:val="left"/>
                    <w:jc w:val="center"/>
                  </w:pPr>
                  <w:r>
                    <w:t xml:space="preserve">X/Y/Z-Mab AEX flow-through</w:t>
                  </w:r>
                </w:p>
              </w:tc>
              <w:tc>
                <w:tcPr/>
                <w:p>
                  <w:pPr>
                    <w:pStyle w:val="Compact"/>
                    <w:jc w:val="left"/>
                    <w:jc w:val="center"/>
                  </w:pPr>
                  <w:r>
                    <w:t xml:space="preserve">PCR-008</w:t>
                  </w:r>
                </w:p>
              </w:tc>
            </w:tr>
            <w:tr>
              <w:tc>
                <w:tcPr/>
                <w:p>
                  <w:pPr>
                    <w:pStyle w:val="Compact"/>
                    <w:jc w:val="left"/>
                    <w:jc w:val="center"/>
                  </w:pPr>
                  <w:r>
                    <w:t xml:space="preserve">Anion exchange</w:t>
                  </w:r>
                </w:p>
              </w:tc>
              <w:tc>
                <w:tcPr/>
                <w:p>
                  <w:pPr>
                    <w:pStyle w:val="Compact"/>
                    <w:jc w:val="left"/>
                    <w:jc w:val="center"/>
                  </w:pPr>
                  <w:r>
                    <w:t xml:space="preserve">Leached Protein A (ppm)</w:t>
                  </w:r>
                </w:p>
              </w:tc>
              <w:tc>
                <w:tcPr/>
                <w:p>
                  <w:pPr>
                    <w:pStyle w:val="Compact"/>
                    <w:jc w:val="left"/>
                    <w:jc w:val="center"/>
                  </w:pPr>
                  <w:r>
                    <w:t xml:space="preserve">Lowest clearance fold</w:t>
                  </w:r>
                </w:p>
              </w:tc>
              <w:tc>
                <w:tcPr/>
                <w:p>
                  <w:pPr>
                    <w:pStyle w:val="Compact"/>
                    <w:jc w:val="right"/>
                    <w:jc w:val="center"/>
                  </w:pPr>
                  <w:r>
                    <w:t xml:space="preserve">10</w:t>
                  </w:r>
                </w:p>
              </w:tc>
              <w:tc>
                <w:tcPr/>
                <w:p>
                  <w:pPr>
                    <w:pStyle w:val="Compact"/>
                    <w:jc w:val="left"/>
                    <w:jc w:val="center"/>
                  </w:pPr>
                  <w:r>
                    <w:t xml:space="preserve">X/Y/Z-Mab AEX flow-through, 1 log10</w:t>
                  </w:r>
                </w:p>
              </w:tc>
              <w:tc>
                <w:tcPr/>
                <w:p>
                  <w:pPr>
                    <w:pStyle w:val="Compact"/>
                    <w:jc w:val="left"/>
                    <w:jc w:val="center"/>
                  </w:pPr>
                  <w:r>
                    <w:t xml:space="preserve">not checked (not a design response)</w:t>
                  </w:r>
                </w:p>
              </w:tc>
            </w:tr>
          </w:tbl>
          <w:bookmarkEnd w:id="55"/>
          <w:p/>
        </w:tc>
      </w:tr>
    </w:tbl>
    <w:bookmarkEnd w:id="56"/>
    <w:bookmarkStart w:id="57" w:name="sec-par-analyses"/>
    <w:p>
      <w:pPr>
        <w:pStyle w:val="Heading2"/>
      </w:pPr>
      <w:r>
        <w:t xml:space="preserve">8.2 The two analyses</w:t>
      </w:r>
    </w:p>
    <w:p>
      <w:pPr>
        <w:pStyle w:val="FirstParagraph"/>
      </w:pPr>
      <w:r>
        <w:t xml:space="preserve">A PAR is computed for each output of</w:t>
      </w:r>
      <w:r>
        <w:t xml:space="preserve"> </w:t>
      </w:r>
      <w:hyperlink w:anchor="tbl-outcrit">
        <w:r>
          <w:rPr>
            <w:rStyle w:val="Hyperlink"/>
          </w:rPr>
          <w:t xml:space="preserve">Table 10</w:t>
        </w:r>
      </w:hyperlink>
      <w:r>
        <w:t xml:space="preserve"> </w:t>
      </w:r>
      <w:r>
        <w:t xml:space="preserve">that has a criterion and for each of the 4 factors of the response-surface model. Two analyses are run, as PCMP-001 §6.4 defines them.</w:t>
      </w:r>
    </w:p>
    <w:p>
      <w:pPr>
        <w:pStyle w:val="Compact"/>
        <w:numPr>
          <w:ilvl w:val="0"/>
          <w:numId w:val="1005"/>
        </w:numPr>
      </w:pPr>
      <w:r>
        <w:t xml:space="preserve">The set-point analysis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5"/>
        </w:numPr>
      </w:pPr>
      <w:r>
        <w:t xml:space="preserve">The NOR-propagated analysis scans the factor at 81 grid points across its range studied. At each grid point it draws 2,000 operating points for the other factors, each from a normal distribution centred on its set-point, with the width that PCMP-001 §6.4 sets from its NOR, and clipped to the range studied. The model residual is added to each draw. The PAR is the contiguous range around the set-point over which the 95 % predictive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At the edge of a region defined on mean predictions, a single batch meets its criterion only about half the time</w:t>
      </w:r>
      <w:r>
        <w:t xml:space="preserve"> </w:t>
      </w:r>
      <w:r>
        <w:t xml:space="preserve">(CMC Biotech Working Group 2009)</w:t>
      </w:r>
      <w:r>
        <w:t xml:space="preserve">, and that is why the decision uses the predictive interval of a single batch.</w:t>
      </w:r>
    </w:p>
    <w:bookmarkEnd w:id="57"/>
    <w:bookmarkStart w:id="58"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Their ranges are supported by the measured responses against the same criteria at each end of the range studied.</w:t>
      </w:r>
    </w:p>
    <w:bookmarkEnd w:id="58"/>
    <w:bookmarkEnd w:id="59"/>
    <w:bookmarkStart w:id="60"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60"/>
    <w:bookmarkStart w:id="62" w:name="sec-roles"/>
    <w:p>
      <w:pPr>
        <w:pStyle w:val="Heading1"/>
      </w:pPr>
      <w:r>
        <w:t xml:space="preserve">10. Roles and responsibilities</w:t>
      </w:r>
    </w:p>
    <w:p>
      <w:pPr>
        <w:pStyle w:val="FirstParagraph"/>
      </w:pPr>
      <w:hyperlink w:anchor="tbl-roles">
        <w:r>
          <w:rPr>
            <w:rStyle w:val="Hyperlink"/>
          </w:rPr>
          <w:t xml:space="preserve">Table 13</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61" w:name="tbl-roles"/>
          <w:p>
            <w:pPr>
              <w:jc w:val="center"/>
            </w:pPr>
            <w:pPr>
              <w:jc w:val="start"/>
              <w:spacing w:before="200"/>
              <w:pStyle w:val="ImageCaption"/>
            </w:pPr>
            <w:r>
              <w:t xml:space="preserve">Table 13: Responsibilities of the functions for this plan.</w:t>
            </w:r>
          </w:p>
          <w:tbl>
            <w:tblPr>
              <w:tblStyle w:val="Table"/>
              <w:tblW w:type="pct" w:w="5000"/>
              <w:tblLayout w:type="fixed"/>
              <w:tblLook w:firstRow="1" w:lastRow="0" w:firstColumn="0" w:lastColumn="0" w:noHBand="0" w:noVBand="0" w:val="0020"/>
            </w:tblPr>
            <w:tblGrid>
              <w:gridCol w:w="1595"/>
              <w:gridCol w:w="6324"/>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the hold study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qualification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61"/>
          <w:p/>
        </w:tc>
      </w:tr>
    </w:tbl>
    <w:bookmarkEnd w:id="62"/>
    <w:bookmarkStart w:id="64"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qualification of the scale-down model, both designs, the univariate studies, the hold study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and the hold study runs alongside the response-surface design. The retained pools are tested by nrCE-SDS after AMD-001.</w:t>
      </w:r>
      <w:r>
        <w:t xml:space="preserve"> </w:t>
      </w:r>
      <w:hyperlink w:anchor="tbl-chrono">
        <w:r>
          <w:rPr>
            <w:rStyle w:val="Hyperlink"/>
          </w:rPr>
          <w:t xml:space="preserve">Table 14</w:t>
        </w:r>
      </w:hyperlink>
      <w:r>
        <w:t xml:space="preserve"> </w:t>
      </w:r>
      <w:r>
        <w:t xml:space="preserve">records the execution window of each study, as INV-001 finding 5 requires.</w:t>
      </w:r>
    </w:p>
    <w:tbl>
      <w:tblPr>
        <w:tblStyle w:val="Table"/>
        <w:tblW w:type="pct" w:w="5000"/>
        <w:tblLayout w:type="fixed"/>
        <w:tblLook w:firstRow="0" w:lastRow="0" w:firstColumn="0" w:lastColumn="0" w:noHBand="0" w:noVBand="0" w:val="0000"/>
      </w:tblPr>
      <w:tblGrid>
        <w:gridCol w:w="7920"/>
      </w:tblGrid>
      <w:tr>
        <w:tc>
          <w:tcPr/>
          <w:bookmarkStart w:id="63" w:name="tbl-chrono"/>
          <w:p>
            <w:pPr>
              <w:jc w:val="center"/>
            </w:pPr>
            <w:pPr>
              <w:jc w:val="start"/>
              <w:spacing w:before="200"/>
              <w:pStyle w:val="ImageCaption"/>
            </w:pPr>
            <w:r>
              <w:t xml:space="preserve">Table 14: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S-PA-HLD</w:t>
                  </w:r>
                </w:p>
              </w:tc>
              <w:tc>
                <w:tcPr/>
                <w:p>
                  <w:pPr>
                    <w:pStyle w:val="Compact"/>
                    <w:jc w:val="left"/>
                    <w:jc w:val="center"/>
                  </w:pPr>
                  <w:r>
                    <w:t xml:space="preserve">hold study</w:t>
                  </w:r>
                </w:p>
              </w:tc>
              <w:tc>
                <w:tcPr/>
                <w:p>
                  <w:pPr>
                    <w:pStyle w:val="Compact"/>
                    <w:jc w:val="left"/>
                    <w:jc w:val="center"/>
                  </w:pPr>
                  <w:r>
                    <w:t xml:space="preserve">2026-02-02</w:t>
                  </w:r>
                </w:p>
              </w:tc>
              <w:tc>
                <w:tcPr/>
                <w:p>
                  <w:pPr>
                    <w:pStyle w:val="Compact"/>
                    <w:jc w:val="left"/>
                    <w:jc w:val="center"/>
                  </w:pPr>
                  <w:r>
                    <w:t xml:space="preserve">2026-02-16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r>
              <w:tc>
                <w:tcPr/>
                <w:p>
                  <w:pPr>
                    <w:pStyle w:val="Compact"/>
                    <w:jc w:val="left"/>
                    <w:jc w:val="center"/>
                  </w:pPr>
                  <w:r>
                    <w:t xml:space="preserve">S-PA-SDM2</w:t>
                  </w:r>
                </w:p>
              </w:tc>
              <w:tc>
                <w:tcPr/>
                <w:p>
                  <w:pPr>
                    <w:pStyle w:val="Compact"/>
                    <w:jc w:val="left"/>
                    <w:jc w:val="center"/>
                  </w:pPr>
                  <w:r>
                    <w:t xml:space="preserve">scale-down model qualification</w:t>
                  </w:r>
                </w:p>
              </w:tc>
              <w:tc>
                <w:tcPr/>
                <w:p>
                  <w:pPr>
                    <w:pStyle w:val="Compact"/>
                    <w:jc w:val="left"/>
                    <w:jc w:val="center"/>
                  </w:pPr>
                  <w:r>
                    <w:t xml:space="preserve">2026-09-07</w:t>
                  </w:r>
                </w:p>
              </w:tc>
              <w:tc>
                <w:tcPr/>
                <w:p>
                  <w:pPr>
                    <w:pStyle w:val="Compact"/>
                    <w:jc w:val="left"/>
                    <w:jc w:val="center"/>
                  </w:pPr>
                  <w:r>
                    <w:t xml:space="preserve">2026-09-11</w:t>
                  </w:r>
                </w:p>
              </w:tc>
            </w:tr>
          </w:tbl>
          <w:bookmarkEnd w:id="63"/>
          <w:p/>
        </w:tc>
      </w:tr>
    </w:tbl>
    <w:bookmarkEnd w:id="64"/>
    <w:bookmarkStart w:id="65"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06"/>
        </w:numPr>
      </w:pPr>
      <w:r>
        <w:t xml:space="preserve">The scale-down model represents the commercial column. This is tested by the equivalence comparison of</w:t>
      </w:r>
      <w:r>
        <w:t xml:space="preserve"> </w:t>
      </w:r>
      <w:hyperlink w:anchor="sec-sdm">
        <w:r>
          <w:rPr>
            <w:rStyle w:val="Hyperlink"/>
          </w:rPr>
          <w:t xml:space="preserve">Section 5.1</w:t>
        </w:r>
      </w:hyperlink>
      <w:r>
        <w:t xml:space="preserve"> </w:t>
      </w:r>
      <w:r>
        <w:t xml:space="preserve">for every output except fragments. For fragments it rests on mechanism, because capture and elution do not depend on scale at equal bed height, residence time and elution pH.</w:t>
      </w:r>
    </w:p>
    <w:p>
      <w:pPr>
        <w:pStyle w:val="Compact"/>
        <w:numPr>
          <w:ilvl w:val="0"/>
          <w:numId w:val="1006"/>
        </w:numPr>
      </w:pPr>
      <w:r>
        <w:t xml:space="preserve">Leached Protein A is expected to be lower in the laboratory column than at manufacturing scale, because the manufacturing load is held longer before capture (</w:t>
      </w:r>
      <w:hyperlink w:anchor="sec-sdm">
        <w:r>
          <w:rPr>
            <w:rStyle w:val="Hyperlink"/>
          </w:rPr>
          <w:t xml:space="preserve">Section 5.1</w:t>
        </w:r>
      </w:hyperlink>
      <w:r>
        <w:t xml:space="preserve">). The levels measured in the designs therefore show the effects of the parameters, and the scale difference is carried into PCR-005. The life of the resin is controlled by SOP-2008.</w:t>
      </w:r>
    </w:p>
    <w:p>
      <w:pPr>
        <w:pStyle w:val="Compact"/>
        <w:numPr>
          <w:ilvl w:val="0"/>
          <w:numId w:val="1006"/>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06"/>
        </w:numPr>
      </w:pPr>
      <w:r>
        <w:t xml:space="preserve">The criteria of this step rest on the platform worst cases of</w:t>
      </w:r>
      <w:r>
        <w:t xml:space="preserve"> </w:t>
      </w:r>
      <w:hyperlink w:anchor="tbl-worstcase">
        <w:r>
          <w:rPr>
            <w:rStyle w:val="Hyperlink"/>
          </w:rPr>
          <w:t xml:space="preserve">Table 12</w:t>
        </w:r>
      </w:hyperlink>
      <w:r>
        <w:t xml:space="preserve">. A downstream step that does worse within its NOR tightens the criterion of this step, and PCR-005 must then use the tightened value. The platform values for leached Protein A cannot be checked in this campaign.</w:t>
      </w:r>
    </w:p>
    <w:p>
      <w:pPr>
        <w:pStyle w:val="Compact"/>
        <w:numPr>
          <w:ilvl w:val="0"/>
          <w:numId w:val="1006"/>
        </w:numPr>
      </w:pPr>
      <w:r>
        <w:t xml:space="preserve">Fragments by nrCE-SDS rest on retained samples, the pools of the response-surface design and the day 0 and 7 samples of the hold study.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06"/>
        </w:numPr>
      </w:pPr>
      <w:r>
        <w:t xml:space="preserve">Supply of clarified harvest and resin may limit the number of runs. The designs are executed in full before analysis, and no run is dropped to save material.</w:t>
      </w:r>
    </w:p>
    <w:bookmarkEnd w:id="65"/>
    <w:bookmarkStart w:id="66" w:name="sec-approvals"/>
    <w:p>
      <w:pPr>
        <w:pStyle w:val="Heading1"/>
      </w:pPr>
      <w:r>
        <w:t xml:space="preserve">13. Approvals</w:t>
      </w:r>
    </w:p>
    <w:p>
      <w:pPr>
        <w:pStyle w:val="FirstParagraph"/>
      </w:pPr>
      <w:r>
        <w:t xml:space="preserve">This plan is approved by the functions listed in the approval record at the front of this document (</w:t>
      </w:r>
      <w:hyperlink w:anchor="tbl-appr">
        <w:r>
          <w:rPr>
            <w:rStyle w:val="Hyperlink"/>
          </w:rPr>
          <w:t xml:space="preserve">Table 1</w:t>
        </w:r>
      </w:hyperlink>
      <w:r>
        <w:t xml:space="preserve">). Version 2.0 takes effect on 2026-09-30. It replaces Version 1.0 for the analysis and the reporting of the studies of the step.</w:t>
      </w:r>
    </w:p>
    <w:bookmarkEnd w:id="66"/>
    <w:bookmarkStart w:id="68" w:name="sec-appa"/>
    <w:p>
      <w:pPr>
        <w:pStyle w:val="Heading1"/>
      </w:pPr>
      <w:r>
        <w:t xml:space="preserve">Appendix A. Planned screening design</w:t>
      </w:r>
    </w:p>
    <w:p>
      <w:pPr>
        <w:pStyle w:val="FirstParagraph"/>
      </w:pPr>
      <w:hyperlink w:anchor="tbl-appa">
        <w:r>
          <w:rPr>
            <w:rStyle w:val="Hyperlink"/>
          </w:rPr>
          <w:t xml:space="preserve">Table 15</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9</w:t>
        </w:r>
      </w:hyperlink>
      <w:r>
        <w:t xml:space="preserve">. Runs are listed in standard order and executed in random order.</w:t>
      </w:r>
    </w:p>
    <w:tbl>
      <w:tblPr>
        <w:tblStyle w:val="Table"/>
        <w:tblW w:type="pct" w:w="5000"/>
        <w:tblLayout w:type="fixed"/>
        <w:tblLook w:firstRow="0" w:lastRow="0" w:firstColumn="0" w:lastColumn="0" w:noHBand="0" w:noVBand="0" w:val="0000"/>
      </w:tblPr>
      <w:tblGrid>
        <w:gridCol w:w="7920"/>
      </w:tblGrid>
      <w:tr>
        <w:tc>
          <w:tcPr/>
          <w:bookmarkStart w:id="67" w:name="tbl-appa"/>
          <w:p>
            <w:pPr>
              <w:jc w:val="center"/>
            </w:pPr>
            <w:pPr>
              <w:jc w:val="start"/>
              <w:spacing w:before="200"/>
              <w:pStyle w:val="ImageCaption"/>
            </w:pPr>
            <w:r>
              <w:t xml:space="preserve">Table 15: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67"/>
          <w:p/>
        </w:tc>
      </w:tr>
    </w:tbl>
    <w:bookmarkEnd w:id="68"/>
    <w:bookmarkStart w:id="70" w:name="sec-appb"/>
    <w:p>
      <w:pPr>
        <w:pStyle w:val="Heading1"/>
      </w:pPr>
      <w:r>
        <w:t xml:space="preserve">Appendix B. Planned response-surface design</w:t>
      </w:r>
    </w:p>
    <w:p>
      <w:pPr>
        <w:pStyle w:val="FirstParagraph"/>
      </w:pPr>
      <w:hyperlink w:anchor="tbl-appb">
        <w:r>
          <w:rPr>
            <w:rStyle w:val="Hyperlink"/>
          </w:rPr>
          <w:t xml:space="preserve">Table 16</w:t>
        </w:r>
      </w:hyperlink>
      <w:r>
        <w:t xml:space="preserve"> </w:t>
      </w:r>
      <w:r>
        <w:t xml:space="preserve">gives the planned face-centred central composite design (study S-PA-RSM) in coded units. Runs are listed in standard order and executed in random order.</w:t>
      </w:r>
    </w:p>
    <w:tbl>
      <w:tblPr>
        <w:tblStyle w:val="Table"/>
        <w:tblW w:type="pct" w:w="5000"/>
        <w:tblLayout w:type="fixed"/>
        <w:tblLook w:firstRow="0" w:lastRow="0" w:firstColumn="0" w:lastColumn="0" w:noHBand="0" w:noVBand="0" w:val="0000"/>
      </w:tblPr>
      <w:tblGrid>
        <w:gridCol w:w="7920"/>
      </w:tblGrid>
      <w:tr>
        <w:tc>
          <w:tcPr/>
          <w:bookmarkStart w:id="69" w:name="tbl-appb"/>
          <w:p>
            <w:pPr>
              <w:jc w:val="center"/>
            </w:pPr>
            <w:pPr>
              <w:jc w:val="start"/>
              <w:spacing w:before="200"/>
              <w:pStyle w:val="ImageCaption"/>
            </w:pPr>
            <w:r>
              <w:t xml:space="preserve">Table 16: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69"/>
          <w:p/>
        </w:tc>
      </w:tr>
    </w:tbl>
    <w:bookmarkEnd w:id="70"/>
    <w:bookmarkStart w:id="73" w:name="references"/>
    <w:p>
      <w:pPr>
        <w:pStyle w:val="Heading1"/>
      </w:pPr>
      <w:r>
        <w:t xml:space="preserve">References</w:t>
      </w:r>
    </w:p>
    <w:bookmarkStart w:id="72" w:name="refs"/>
    <w:bookmarkStart w:id="7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2026-10-08T10:48:08Z</dcterms:created>
  <dcterms:modified xsi:type="dcterms:W3CDTF">2026-10-08T10:48:08Z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