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2.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Protein A Chromatography (Step 5) — PCR-005</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PCR-005</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Protein A Chromatography (Step 5)</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PCR-005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1"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20" w:name="tbl-appr"/>
          <w:p>
            <w:pPr>
              <w:jc w:val="center"/>
            </w:pPr>
            <w:pPr>
              <w:jc w:val="star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0"/>
          <w:p/>
        </w:tc>
      </w:tr>
    </w:tbl>
    <w:bookmarkEnd w:id="21"/>
    <w:bookmarkStart w:id="22"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427"/>
        <w:gridCol w:w="698"/>
        <w:gridCol w:w="6794"/>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Re-analysis under INV-001: a-priori intermediate acceptance criteria, fragments by nrCE-SDS, two-sided capability for acidic variants, execution dates recorded (see INV-001)</w:t>
            </w:r>
          </w:p>
        </w:tc>
      </w:tr>
    </w:tbl>
    <w:bookmarkEnd w:id="22"/>
    <w:bookmarkStart w:id="23" w:name="abbreviations"/>
    <w:p>
      <w:pPr>
        <w:pStyle w:val="Heading2"/>
      </w:pPr>
      <w:r>
        <w:t xml:space="preserve">Abbreviations</w:t>
      </w:r>
    </w:p>
    <w:p>
      <w:pPr>
        <w:pStyle w:val="FirstParagraph"/>
      </w:pPr>
      <w:r>
        <w:t xml:space="preserve">AMD, analytical method decision (AMD-001 set nrCE-SDS as the method for fragments); AMV, analytical method validation; BLA, Biologics License Application; CI, confidence interval; CPP, critical process parameter; CQA, critical quality attribute; CV, column volume (as a unit) or coefficient of variation (as %CV); DNA, deoxyribonucleic acid; ELISA, enzyme-linked immunosorbent assay; Fab, antigen-binding fragment; Fc, crystallizable fragment; GPP, general process parameter; HCP, host cell protein; HMW, high molecular weight species; icIEF, imaged capillary isoelectric focusing; KPP, key process parameter; LMW, low molecular weight species; MSAT, Manufacturing Science and Technology; NOR, normal operating range; nrCE-SDS, non-reduced capillary electrophoresis with sodium dodecyl sulfate; PAR, proven acceptable range; PRESS, prediction error sum of squares; qPCR, quantitative polymerase chain reaction; QA, Quality Assurance; RSM, response surface methodology; SEC, size exclusion chromatography; SOP, standard operating procedure; WC-CPP, well-controlled critical process parameter.</w:t>
      </w:r>
    </w:p>
    <w:p>
      <w:r>
        <w:br w:type="page"/>
      </w:r>
    </w:p>
    <w:bookmarkEnd w:id="23"/>
    <w:bookmarkStart w:id="24" w:name="executive-summary"/>
    <w:p>
      <w:pPr>
        <w:pStyle w:val="Heading1"/>
      </w:pPr>
      <w:r>
        <w:t xml:space="preserve">Executive summary</w:t>
      </w:r>
    </w:p>
    <w:p>
      <w:pPr>
        <w:pStyle w:val="FirstParagraph"/>
      </w:pPr>
      <w:r>
        <w:t xml:space="preserve">This report presents the process characterization of the Protein A chromatography step (Step 5) of the A-Mab drug substance process. Protein A chromatography is the capture step of the purification train. It removes most of the host cell protein and DNA of the clarified harvest, and it adds one impurity of its own, Protein A ligand that leaches from the resin. The studies were run under the approved plan PCP-005 in a scale-down model of the commercial column, between 2025-11-05 and 2026-09-11. The report follows the lifecycle approach to process validation</w:t>
      </w:r>
      <w:r>
        <w:t xml:space="preserve"> </w:t>
      </w:r>
      <w:r>
        <w:t xml:space="preserve">(U.S. Food and Drug Administration 2011)</w:t>
      </w:r>
      <w:r>
        <w:t xml:space="preserve">, the enhanced approach of ICH Q8 and ICH Q11</w:t>
      </w:r>
      <w:r>
        <w:t xml:space="preserve"> </w:t>
      </w:r>
      <w:r>
        <w:t xml:space="preserve">(International Council for Harmonisation 2009, 2012)</w:t>
      </w:r>
      <w:r>
        <w:t xml:space="preserve"> </w:t>
      </w:r>
      <w:r>
        <w:t xml:space="preserve">and the A-Mab case study</w:t>
      </w:r>
      <w:r>
        <w:t xml:space="preserve"> </w:t>
      </w:r>
      <w:r>
        <w:t xml:space="preserve">(CMC Biotech Working Group 2009)</w:t>
      </w:r>
      <w:r>
        <w:t xml:space="preserve">. This is Version 2.0 of the report. It re-analyses the same experiments as Version 1.0 against the criteria of PCMP-001 Version 2.0, issued under INV-001, and adds the fragment results by nrCE-SDS.</w:t>
      </w:r>
    </w:p>
    <w:p>
      <w:pPr>
        <w:pStyle w:val="BodyText"/>
      </w:pPr>
      <w:r>
        <w:t xml:space="preserve">The step has 6 process parameters. Of these, 4 were studied in a 19-run screening design followed by a 28-run response-surface design, and 2 were studied one factor at a time. Protein load and elution buffer pH were classified as WC-CPPs, load flow rate and end of pool collect as KPPs, and operating temperature and bed height as GPPs. No parameter of the step was classified as a CPP.</w:t>
      </w:r>
    </w:p>
    <w:p>
      <w:pPr>
        <w:pStyle w:val="Compact"/>
        <w:numPr>
          <w:ilvl w:val="0"/>
          <w:numId w:val="1001"/>
        </w:numPr>
      </w:pPr>
      <w:r>
        <w:t xml:space="preserve">F1. With the 3 set-point runs that PCP-005 planned, the confidence interval was wider than the equivalence margin for pool host cell protein, step yield and leached Protein A even at zero difference, so equivalence could not be shown (DEV-005-03). A further 6 set-point runs were made with the margins unchanged. Over all 9 scale-down runs the model is equivalent to manufacturing scale for pool host cell protein and equivalent for peak asymmetry. Leached Protein A is consistently lower in the scale-down model, which is expected from the longer hold of the manufacturing load before capture, giving its host cell proteases more time to cleave ligand. This study does not test that cause. The difference was accepted as a known scale effect, as PCP-005 §5.1 allows. Step yield and column efficiency were not shown equivalent. Their intervals exceed the margin on the low side by 1.4 % and 35 % of the margin (</w:t>
      </w:r>
      <w:hyperlink w:anchor="sec-sdm">
        <w:r>
          <w:rPr>
            <w:rStyle w:val="Hyperlink"/>
          </w:rPr>
          <w:t xml:space="preserve">Section 3.1</w:t>
        </w:r>
      </w:hyperlink>
      <w:r>
        <w:t xml:space="preserve">).</w:t>
      </w:r>
    </w:p>
    <w:p>
      <w:pPr>
        <w:pStyle w:val="Compact"/>
        <w:numPr>
          <w:ilvl w:val="0"/>
          <w:numId w:val="1001"/>
        </w:numPr>
      </w:pPr>
      <w:r>
        <w:t xml:space="preserve">F2. Pool host cell protein rises with protein load and as elution buffer pH falls, and the two parameters interact. It falls as the end of pool collect is extended. The response-surface model for pool host cell protein meets criteria 2 to 4 of PCP-005 §7 and does not meet criterion 5 (finding F7,</w:t>
      </w:r>
      <w:r>
        <w:t xml:space="preserve"> </w:t>
      </w:r>
      <w:hyperlink w:anchor="sec-rsm">
        <w:r>
          <w:rPr>
            <w:rStyle w:val="Hyperlink"/>
          </w:rPr>
          <w:t xml:space="preserve">Section 5.3</w:t>
        </w:r>
      </w:hyperlink>
      <w:r>
        <w:t xml:space="preserve">).</w:t>
      </w:r>
    </w:p>
    <w:p>
      <w:pPr>
        <w:pStyle w:val="Compact"/>
        <w:numPr>
          <w:ilvl w:val="0"/>
          <w:numId w:val="1001"/>
        </w:numPr>
      </w:pPr>
      <w:r>
        <w:t xml:space="preserve">F3. Step yield rises with end of pool collect and falls with protein load and load flow rate, and flow rate costs yield mainly at high load. The full quadratic model fails the predictive criterion, and a reduced model with the terms significant in both designs meets criteria 2 to 4 of PCP-005 §7. Like every model of the study, it does not meet criterion 5 (</w:t>
      </w:r>
      <w:hyperlink w:anchor="sec-rsm">
        <w:r>
          <w:rPr>
            <w:rStyle w:val="Hyperlink"/>
          </w:rPr>
          <w:t xml:space="preserve">Section 5.3</w:t>
        </w:r>
      </w:hyperlink>
      <w:r>
        <w:t xml:space="preserve">).</w:t>
      </w:r>
    </w:p>
    <w:p>
      <w:pPr>
        <w:pStyle w:val="Compact"/>
        <w:numPr>
          <w:ilvl w:val="0"/>
          <w:numId w:val="1001"/>
        </w:numPr>
      </w:pPr>
      <w:r>
        <w:t xml:space="preserve">F4. No adequate model results for leached Protein A, so its dependence on the parameters of the multivariate design is not resolved. Every run of both designs met its intermediate acceptance criterion of ≤ 158 ppm, with a highest result of 4.61 ppm (</w:t>
      </w:r>
      <w:hyperlink w:anchor="sec-rsm">
        <w:r>
          <w:rPr>
            <w:rStyle w:val="Hyperlink"/>
          </w:rPr>
          <w:t xml:space="preserve">Section 5.3</w:t>
        </w:r>
      </w:hyperlink>
      <w:r>
        <w:t xml:space="preserve">).</w:t>
      </w:r>
    </w:p>
    <w:p>
      <w:pPr>
        <w:pStyle w:val="Compact"/>
        <w:numPr>
          <w:ilvl w:val="0"/>
          <w:numId w:val="1001"/>
        </w:numPr>
      </w:pPr>
      <w:r>
        <w:t xml:space="preserve">F5. Fragments by nrCE-SDS fall slightly as elution buffer pH rises, and no adequate model results. All 28 response-surface pools met the criterion of ≤ 2.45 %, with a highest result of 1.09 % (</w:t>
      </w:r>
      <w:hyperlink w:anchor="sec-rsm">
        <w:r>
          <w:rPr>
            <w:rStyle w:val="Hyperlink"/>
          </w:rPr>
          <w:t xml:space="preserve">Section 5.3</w:t>
        </w:r>
      </w:hyperlink>
      <w:r>
        <w:t xml:space="preserve">).</w:t>
      </w:r>
    </w:p>
    <w:p>
      <w:pPr>
        <w:pStyle w:val="Compact"/>
        <w:numPr>
          <w:ilvl w:val="0"/>
          <w:numId w:val="1001"/>
        </w:numPr>
      </w:pPr>
      <w:r>
        <w:t xml:space="preserve">F6. Under the criteria of Version 2.0 the NOR-propagated PAR for pool host cell protein spans the whole range studied for protein load, load flow rate and end of pool collect. For elution buffer pH it is 3.26–3.9, against a range studied of 3.2–3.9. Every output met its criterion across the NOR (</w:t>
      </w:r>
      <w:hyperlink w:anchor="sec-par">
        <w:r>
          <w:rPr>
            <w:rStyle w:val="Hyperlink"/>
          </w:rPr>
          <w:t xml:space="preserve">Section 7</w:t>
        </w:r>
      </w:hyperlink>
      <w:r>
        <w:t xml:space="preserve">).</w:t>
      </w:r>
    </w:p>
    <w:p>
      <w:pPr>
        <w:pStyle w:val="Compact"/>
        <w:numPr>
          <w:ilvl w:val="0"/>
          <w:numId w:val="1001"/>
        </w:numPr>
      </w:pPr>
      <w:r>
        <w:t xml:space="preserve">F7. No residual trend against the predicted value or the run order was found for any response. Between 2 and 8 runs of each response-surface model exceed a Cook’s distance of 4/n, so criterion 5 of PCP-005 §7 is not met. Deletion of any one of these runs does not change the conclusion for pool host cell protein (</w:t>
      </w:r>
      <w:hyperlink w:anchor="sec-resid">
        <w:r>
          <w:rPr>
            <w:rStyle w:val="Hyperlink"/>
          </w:rPr>
          <w:t xml:space="preserve">Section 5.5</w:t>
        </w:r>
      </w:hyperlink>
      <w:r>
        <w:t xml:space="preserve">).</w:t>
      </w:r>
    </w:p>
    <w:p>
      <w:pPr>
        <w:pStyle w:val="Compact"/>
        <w:numPr>
          <w:ilvl w:val="0"/>
          <w:numId w:val="1001"/>
        </w:numPr>
      </w:pPr>
      <w:r>
        <w:t xml:space="preserve">F8. The Protein A eluate held at elution pH met its criteria for 7 days at both 2-8 °C and 21 °C. Aggregate and acidic variants rose more at 21 °C. Fragments by nrCE-SDS rose at both temperatures, and the data do not show a temperature dependence (</w:t>
      </w:r>
      <w:hyperlink w:anchor="sec-hold">
        <w:r>
          <w:rPr>
            <w:rStyle w:val="Hyperlink"/>
          </w:rPr>
          <w:t xml:space="preserve">Section 5.7</w:t>
        </w:r>
      </w:hyperlink>
      <w:r>
        <w:t xml:space="preserve">).</w:t>
      </w:r>
    </w:p>
    <w:p>
      <w:pPr>
        <w:pStyle w:val="Compact"/>
        <w:numPr>
          <w:ilvl w:val="0"/>
          <w:numId w:val="1001"/>
        </w:numPr>
      </w:pPr>
      <w:r>
        <w:t xml:space="preserve">F9. No difference from the set-point runs was detected at either end of the ranges of operating temperature and bed height, and every result met its criterion. With two runs at each end the intervals are wide (</w:t>
      </w:r>
      <w:hyperlink w:anchor="sec-uni">
        <w:r>
          <w:rPr>
            <w:rStyle w:val="Hyperlink"/>
          </w:rPr>
          <w:t xml:space="preserve">Section 5.6</w:t>
        </w:r>
      </w:hyperlink>
      <w:r>
        <w:t xml:space="preserve">).</w:t>
      </w:r>
    </w:p>
    <w:p>
      <w:pPr>
        <w:pStyle w:val="Compact"/>
        <w:numPr>
          <w:ilvl w:val="0"/>
          <w:numId w:val="1001"/>
        </w:numPr>
      </w:pPr>
      <w:r>
        <w:t xml:space="preserve">F10. The effect of end of pool collect on pool host cell protein, and its interactions with protein load and elution buffer pH, have opposite signs in the screening and the response-surface designs. The difference is larger than the noise of the screening design, and its cause was not identified (</w:t>
      </w:r>
      <w:hyperlink w:anchor="sec-rsm">
        <w:r>
          <w:rPr>
            <w:rStyle w:val="Hyperlink"/>
          </w:rPr>
          <w:t xml:space="preserve">Section 5.3</w:t>
        </w:r>
      </w:hyperlink>
      <w:r>
        <w:t xml:space="preserve">).</w:t>
      </w:r>
    </w:p>
    <w:p>
      <w:pPr>
        <w:pStyle w:val="FirstParagraph"/>
      </w:pPr>
      <w:r>
        <w:t xml:space="preserve">Under criterion 1 of PCP-005 §7 a model that fails qualification for an output is not used for that output. The qualification for pool host cell protein supports the PARs and the design space of that output. The scale-down model was not shown equivalent for step yield, so under the same criterion the step yield model is not used for any range or prediction. The KPP classes of load flow rate and end of pool collect rest on the direction of the yield effects, which both designs show, and not on the model (</w:t>
      </w:r>
      <w:hyperlink w:anchor="sec-class">
        <w:r>
          <w:rPr>
            <w:rStyle w:val="Hyperlink"/>
          </w:rPr>
          <w:t xml:space="preserve">Section 9</w:t>
        </w:r>
      </w:hyperlink>
      <w:r>
        <w:t xml:space="preserve">). The main effects of protein load and elution buffer pH agree in direction with the platform history and the mechanism of the step. Load flow rate did not raise pool host cell protein as the mechanism predicts (</w:t>
      </w:r>
      <w:hyperlink w:anchor="sec-mech">
        <w:r>
          <w:rPr>
            <w:rStyle w:val="Hyperlink"/>
          </w:rPr>
          <w:t xml:space="preserve">Section 5.8</w:t>
        </w:r>
      </w:hyperlink>
      <w:r>
        <w:t xml:space="preserve">).</w:t>
      </w:r>
    </w:p>
    <w:p>
      <w:pPr>
        <w:pStyle w:val="BodyText"/>
      </w:pPr>
      <w:r>
        <w:t xml:space="preserve">At commercial scale the integrated model of the train gives a Cpk of 6.14 for host cell protein, 10.76 for fragments and 2,785 for leached Protein A in the drug substance, and no simulated batch of 2,000 fell outside these criteria. The Cpk for leached Protein A is not meaningful, because the simulated drug substance values lie below the limit of quantitation of the ELISA. Three deviations were recorded (DEV-005-01, DEV-005-02 and DEV-005-03). All three were investigated. The affected data were retained, and for DEV-005-03 supplementary runs were made. The results roll up into the Process Characterization Master Report PCMR-001.</w:t>
      </w:r>
    </w:p>
    <w:bookmarkEnd w:id="24"/>
    <w:bookmarkStart w:id="30" w:name="introduction"/>
    <w:p>
      <w:pPr>
        <w:pStyle w:val="Heading1"/>
      </w:pPr>
      <w:r>
        <w:t xml:space="preserve">1. Introduction</w:t>
      </w:r>
    </w:p>
    <w:bookmarkStart w:id="25" w:name="product-and-unit-operation"/>
    <w:p>
      <w:pPr>
        <w:pStyle w:val="Heading2"/>
      </w:pPr>
      <w:r>
        <w:t xml:space="preserve">1.1 Product and unit operation</w:t>
      </w:r>
    </w:p>
    <w:p>
      <w:pPr>
        <w:pStyle w:val="FirstParagraph"/>
      </w:pPr>
      <w:r>
        <w:t xml:space="preserve">A-Mab is a humanized IgG1 monoclonal antibody whose primary mechanism of action is antibody-dependent cell-mediated cytotoxicity. It is developed by Novacyte Biologics and is being transferred from development at the sending site to commercial drug substance manufacture at 15,000 L scale at the receiving site, under the Process Transfer Plan PTP-001. The drug substance is purified by the platform train of Protein A capture, low-pH viral inactivation, cation exchange, anion exchange, small virus retentive filtration and UF/DF.</w:t>
      </w:r>
    </w:p>
    <w:p>
      <w:pPr>
        <w:pStyle w:val="BodyText"/>
      </w:pPr>
      <w:r>
        <w:t xml:space="preserve">Protein A chromatography is the first chromatographic step of the purification train. It is operated in bind and elute mode. The resin binds the antibody from the clarified harvest at neutral pH, while host cell protein, DNA and most other components of the feed are removed in the load flow-through and the wash. A low-pH buffer elutes the antibody into a small volume, and the eluate passes to low-pH viral inactivation (Step 6) without neutralization. The step is the principal point of clearance for host cell protein and DNA, and it partly clears fragments. It introduces one attribute of the CQA register, leached Protein A. Although Protein A chromatography removes some virus, no viral clearance claim is made for this step</w:t>
      </w:r>
      <w:r>
        <w:t xml:space="preserve"> </w:t>
      </w:r>
      <w:r>
        <w:t xml:space="preserve">(CMC Biotech Working Group 2009)</w:t>
      </w:r>
      <w:r>
        <w:t xml:space="preserve">. The modular claim rests on low-pH inactivation, anion exchange and virus filtration, and it is consolidated in PCMR-001.</w:t>
      </w:r>
    </w:p>
    <w:bookmarkEnd w:id="25"/>
    <w:bookmarkStart w:id="26" w:name="objectives"/>
    <w:p>
      <w:pPr>
        <w:pStyle w:val="Heading2"/>
      </w:pPr>
      <w:r>
        <w:t xml:space="preserve">1.2 Objectives</w:t>
      </w:r>
    </w:p>
    <w:p>
      <w:pPr>
        <w:pStyle w:val="FirstParagraph"/>
      </w:pPr>
      <w:r>
        <w:t xml:space="preserve">The objectives of the characterization were the following, as PCP-005 §2 states them.</w:t>
      </w:r>
    </w:p>
    <w:p>
      <w:pPr>
        <w:pStyle w:val="Compact"/>
        <w:numPr>
          <w:ilvl w:val="0"/>
          <w:numId w:val="1002"/>
        </w:numPr>
      </w:pPr>
      <w:r>
        <w:t xml:space="preserve">To qualify the scale-down model for the outputs of the step at set-point.</w:t>
      </w:r>
    </w:p>
    <w:p>
      <w:pPr>
        <w:pStyle w:val="Compact"/>
        <w:numPr>
          <w:ilvl w:val="0"/>
          <w:numId w:val="1002"/>
        </w:numPr>
      </w:pPr>
      <w:r>
        <w:t xml:space="preserve">To identify which of the 4 parameters of the multivariate design, and which of their two-factor interactions, affect pool host cell protein, step yield and leached Protein A.</w:t>
      </w:r>
    </w:p>
    <w:p>
      <w:pPr>
        <w:pStyle w:val="Compact"/>
        <w:numPr>
          <w:ilvl w:val="0"/>
          <w:numId w:val="1002"/>
        </w:numPr>
      </w:pPr>
      <w:r>
        <w:t xml:space="preserve">To fit response-surface models for pool host cell protein, step yield, leached Protein A and fragments by nrCE-SDS, and to judge their adequacy for prediction.</w:t>
      </w:r>
    </w:p>
    <w:p>
      <w:pPr>
        <w:pStyle w:val="Compact"/>
        <w:numPr>
          <w:ilvl w:val="0"/>
          <w:numId w:val="1002"/>
        </w:numPr>
      </w:pPr>
      <w:r>
        <w:t xml:space="preserve">To determine the PAR of each multivariate parameter for each attribute with a criterion at the step.</w:t>
      </w:r>
    </w:p>
    <w:p>
      <w:pPr>
        <w:pStyle w:val="Compact"/>
        <w:numPr>
          <w:ilvl w:val="0"/>
          <w:numId w:val="1002"/>
        </w:numPr>
      </w:pPr>
      <w:r>
        <w:t xml:space="preserve">To establish the effect of operating temperature and bed height over their ranges, one factor at a time.</w:t>
      </w:r>
    </w:p>
    <w:p>
      <w:pPr>
        <w:pStyle w:val="Compact"/>
        <w:numPr>
          <w:ilvl w:val="0"/>
          <w:numId w:val="1002"/>
        </w:numPr>
      </w:pPr>
      <w:r>
        <w:t xml:space="preserve">To establish how long, and at which temperature, the Protein A eluate may be held at elution pH before viral inactivation.</w:t>
      </w:r>
    </w:p>
    <w:p>
      <w:pPr>
        <w:pStyle w:val="Compact"/>
        <w:numPr>
          <w:ilvl w:val="0"/>
          <w:numId w:val="1002"/>
        </w:numPr>
      </w:pPr>
      <w:r>
        <w:t xml:space="preserve">To provide the data for the classification of every parameter of the step under SOP-4001, and to support the Stage 2 ranges and the control strategy.</w:t>
      </w:r>
    </w:p>
    <w:bookmarkEnd w:id="26"/>
    <w:bookmarkStart w:id="27" w:name="regulatory-and-scientific-basis"/>
    <w:p>
      <w:pPr>
        <w:pStyle w:val="Heading2"/>
      </w:pPr>
      <w:r>
        <w:t xml:space="preserve">1.3 Regulatory and scientific basis</w:t>
      </w:r>
    </w:p>
    <w:p>
      <w:pPr>
        <w:pStyle w:val="FirstParagraph"/>
      </w:pPr>
      <w:r>
        <w:t xml:space="preserve">The study is part of Stage 1 (process design) of the lifecycle approach to process validation</w:t>
      </w:r>
      <w:r>
        <w:t xml:space="preserve"> </w:t>
      </w:r>
      <w:r>
        <w:t xml:space="preserve">(U.S. Food and Drug Administration 2011)</w:t>
      </w:r>
      <w:r>
        <w:t xml:space="preserve">. It follows the enhanced approach of ICH Q8(R2) and ICH Q11</w:t>
      </w:r>
      <w:r>
        <w:t xml:space="preserve"> </w:t>
      </w:r>
      <w:r>
        <w:t xml:space="preserve">(International Council for Harmonisation 2009, 2012)</w:t>
      </w:r>
      <w:r>
        <w:t xml:space="preserve">, in which prior knowledge and risk assessment identify the parameters that may affect quality, and designed experiments then measure and bound those effects. Criticality is treated as a continuum, as ICH Q8(R2) describes it, and risk is managed under ICH Q9</w:t>
      </w:r>
      <w:r>
        <w:t xml:space="preserve"> </w:t>
      </w:r>
      <w:r>
        <w:t xml:space="preserve">(International Council for Harmonisation 2023)</w:t>
      </w:r>
      <w:r>
        <w:t xml:space="preserve">. The classification of parameters follows the decision logic of the A-Mab case study</w:t>
      </w:r>
      <w:r>
        <w:t xml:space="preserve"> </w:t>
      </w:r>
      <w:r>
        <w:t xml:space="preserve">(CMC Biotech Working Group 2009)</w:t>
      </w:r>
      <w:r>
        <w:t xml:space="preserve">, as PCMP-001 §7.7 applies it. The documents this report depends on and feeds are listed below.</w:t>
      </w:r>
    </w:p>
    <w:tbl>
      <w:tblPr>
        <w:tblStyle w:val="Table"/>
        <w:tblW w:type="pct" w:w="5000"/>
        <w:tblLayout w:type="fixed"/>
        <w:tblLook w:firstRow="1" w:lastRow="0" w:firstColumn="0" w:lastColumn="0" w:noHBand="0" w:noVBand="0" w:val="0020"/>
      </w:tblPr>
      <w:tblGrid>
        <w:gridCol w:w="766"/>
        <w:gridCol w:w="5262"/>
        <w:gridCol w:w="1890"/>
      </w:tblGrid>
      <w:tr>
        <w:trPr>
          <w:tblHeader w:val="on"/>
        </w:trPr>
        <w:tc>
          <w:tcPr/>
          <w:p>
            <w:pPr>
              <w:pStyle w:val="Compact"/>
              <w:jc w:val="left"/>
            </w:pPr>
            <w:r>
              <w:t xml:space="preserve">Document ID</w:t>
            </w:r>
          </w:p>
        </w:tc>
        <w:tc>
          <w:tcPr/>
          <w:p>
            <w:pPr>
              <w:pStyle w:val="Compact"/>
              <w:jc w:val="left"/>
            </w:pPr>
            <w:r>
              <w:t xml:space="preserve">Title</w:t>
            </w:r>
          </w:p>
        </w:tc>
        <w:tc>
          <w:tcPr/>
          <w:p>
            <w:pPr>
              <w:pStyle w:val="Compact"/>
              <w:jc w:val="left"/>
            </w:pPr>
            <w:r>
              <w:t xml:space="preserve">Relationship</w:t>
            </w:r>
          </w:p>
        </w:tc>
      </w:tr>
      <w:tr>
        <w:tc>
          <w:tcPr/>
          <w:p>
            <w:pPr>
              <w:pStyle w:val="Compact"/>
              <w:jc w:val="left"/>
            </w:pPr>
            <w:r>
              <w:t xml:space="preserve">PTP-001</w:t>
            </w:r>
          </w:p>
        </w:tc>
        <w:tc>
          <w:tcPr/>
          <w:p>
            <w:pPr>
              <w:pStyle w:val="Compact"/>
              <w:jc w:val="left"/>
            </w:pPr>
            <w:r>
              <w:t xml:space="preserve">Process Transfer Plan (A-Mab Drug Substance)</w:t>
            </w:r>
          </w:p>
        </w:tc>
        <w:tc>
          <w:tcPr/>
          <w:p>
            <w:pPr>
              <w:pStyle w:val="Compact"/>
              <w:jc w:val="left"/>
            </w:pPr>
            <w:r>
              <w:t xml:space="preserve">Parent — transfer scope</w:t>
            </w:r>
          </w:p>
        </w:tc>
      </w:tr>
      <w:tr>
        <w:tc>
          <w:tcPr/>
          <w:p>
            <w:pPr>
              <w:pStyle w:val="Compact"/>
              <w:jc w:val="left"/>
            </w:pPr>
            <w:r>
              <w:t xml:space="preserve">RA-001</w:t>
            </w:r>
          </w:p>
        </w:tc>
        <w:tc>
          <w:tcPr/>
          <w:p>
            <w:pPr>
              <w:pStyle w:val="Compact"/>
              <w:jc w:val="left"/>
            </w:pPr>
            <w:r>
              <w:t xml:space="preserve">Pre-Characterization Process Risk Assessment (A-Mab Drug Substance)</w:t>
            </w:r>
          </w:p>
        </w:tc>
        <w:tc>
          <w:tcPr/>
          <w:p>
            <w:pPr>
              <w:pStyle w:val="Compact"/>
              <w:jc w:val="left"/>
            </w:pPr>
            <w:r>
              <w:t xml:space="preserve">Parent — risk basis for study scope</w:t>
            </w:r>
          </w:p>
        </w:tc>
      </w:tr>
      <w:tr>
        <w:tc>
          <w:tcPr/>
          <w:p>
            <w:pPr>
              <w:pStyle w:val="Compact"/>
              <w:jc w:val="left"/>
            </w:pPr>
            <w:r>
              <w:t xml:space="preserve">PCMP-001</w:t>
            </w:r>
          </w:p>
        </w:tc>
        <w:tc>
          <w:tcPr/>
          <w:p>
            <w:pPr>
              <w:pStyle w:val="Compact"/>
              <w:jc w:val="left"/>
            </w:pPr>
            <w:r>
              <w:t xml:space="preserve">Process Characterization Master Plan (A-Mab Drug Substance)</w:t>
            </w:r>
          </w:p>
        </w:tc>
        <w:tc>
          <w:tcPr/>
          <w:p>
            <w:pPr>
              <w:pStyle w:val="Compact"/>
              <w:jc w:val="left"/>
            </w:pPr>
            <w:r>
              <w:t xml:space="preserve">Parent — master plan</w:t>
            </w:r>
          </w:p>
        </w:tc>
      </w:tr>
      <w:tr>
        <w:tc>
          <w:tcPr/>
          <w:p>
            <w:pPr>
              <w:pStyle w:val="Compact"/>
              <w:jc w:val="left"/>
            </w:pPr>
            <w:r>
              <w:t xml:space="preserve">PCP-005</w:t>
            </w:r>
          </w:p>
        </w:tc>
        <w:tc>
          <w:tcPr/>
          <w:p>
            <w:pPr>
              <w:pStyle w:val="Compact"/>
              <w:jc w:val="left"/>
            </w:pPr>
            <w:r>
              <w:t xml:space="preserve">Process Characterization Plan (Protein A Chromatography (Step 5))</w:t>
            </w:r>
          </w:p>
        </w:tc>
        <w:tc>
          <w:tcPr/>
          <w:p>
            <w:pPr>
              <w:pStyle w:val="Compact"/>
              <w:jc w:val="left"/>
            </w:pPr>
            <w:r>
              <w:t xml:space="preserve">Sibling — paired document</w:t>
            </w:r>
          </w:p>
        </w:tc>
      </w:tr>
      <w:tr>
        <w:tc>
          <w:tcPr/>
          <w:p>
            <w:pPr>
              <w:pStyle w:val="Compact"/>
              <w:jc w:val="left"/>
            </w:pPr>
            <w:r>
              <w:t xml:space="preserve">PCMR-001</w:t>
            </w:r>
          </w:p>
        </w:tc>
        <w:tc>
          <w:tcPr/>
          <w:p>
            <w:pPr>
              <w:pStyle w:val="Compact"/>
              <w:jc w:val="left"/>
            </w:pPr>
            <w:r>
              <w:t xml:space="preserve">Process Characterization Master Report (A-Mab Drug Substance)</w:t>
            </w:r>
          </w:p>
        </w:tc>
        <w:tc>
          <w:tcPr/>
          <w:p>
            <w:pPr>
              <w:pStyle w:val="Compact"/>
              <w:jc w:val="left"/>
            </w:pPr>
            <w:r>
              <w:t xml:space="preserve">Rolls up into</w:t>
            </w:r>
          </w:p>
        </w:tc>
      </w:tr>
      <w:tr>
        <w:tc>
          <w:tcPr/>
          <w:p>
            <w:pPr>
              <w:pStyle w:val="Compact"/>
              <w:jc w:val="left"/>
            </w:pPr>
            <w:r>
              <w:t xml:space="preserve">INV-001</w:t>
            </w:r>
          </w:p>
        </w:tc>
        <w:tc>
          <w:tcPr/>
          <w:p>
            <w:pPr>
              <w:pStyle w:val="Compact"/>
              <w:jc w:val="left"/>
            </w:pPr>
            <w:r>
              <w:t xml:space="preserve">Investigation Report (Acceptance criteria for proven-acceptable-range analysis set after data review)</w:t>
            </w:r>
          </w:p>
        </w:tc>
        <w:tc>
          <w:tcPr/>
          <w:p>
            <w:pPr>
              <w:pStyle w:val="Compact"/>
              <w:jc w:val="left"/>
            </w:pPr>
            <w:r>
              <w:t xml:space="preserve">Reason for this revision</w:t>
            </w:r>
          </w:p>
        </w:tc>
      </w:tr>
    </w:tbl>
    <w:bookmarkEnd w:id="27"/>
    <w:bookmarkStart w:id="29" w:name="changes-in-this-revision"/>
    <w:p>
      <w:pPr>
        <w:pStyle w:val="Heading2"/>
      </w:pPr>
      <w:r>
        <w:t xml:space="preserve">1.4 Changes in this revision</w:t>
      </w:r>
    </w:p>
    <w:p>
      <w:pPr>
        <w:pStyle w:val="FirstParagraph"/>
      </w:pPr>
      <w:r>
        <w:t xml:space="preserve">Version 1.0 of this report was approved on 2026-07-24. Version 2.0 takes effect on 2026-09-30 and is issued under INV-001. QA opened the investigation on 2026-08-03 after its review of PCMR-001 Version 1.0 for BLA readiness, and closed it on 2026-09-18 with the classification major. The investigation found that the criteria used to judge each step in the PAR analysis were not in any approved protocol and had been set after the data were seen (INV-001 finding 1). For this step, Version 1.0 judged pool host cell protein against ≤ 10,724 ng/mg. That limit was the drug substance criterion carried back through the nominal downstream clearance of this campaign and divided by a margin of 4.5 (INV-001 finding 2). Leached Protein A was judged against the drug substance criterion, and fragments were not reported.</w:t>
      </w:r>
      <w:r>
        <w:t xml:space="preserve"> </w:t>
      </w:r>
      <w:hyperlink w:anchor="tbl-criteria-change">
        <w:r>
          <w:rPr>
            <w:rStyle w:val="Hyperlink"/>
          </w:rPr>
          <w:t xml:space="preserve">Table 2</w:t>
        </w:r>
      </w:hyperlink>
      <w:r>
        <w:t xml:space="preserve"> </w:t>
      </w:r>
      <w:r>
        <w:t xml:space="preserve">sets the Version 1.0 limits beside the Version 2.0 criteria.</w:t>
      </w:r>
    </w:p>
    <w:tbl>
      <w:tblPr>
        <w:tblStyle w:val="Table"/>
        <w:tblW w:type="pct" w:w="5000"/>
        <w:tblLayout w:type="fixed"/>
        <w:tblLook w:firstRow="0" w:lastRow="0" w:firstColumn="0" w:lastColumn="0" w:noHBand="0" w:noVBand="0" w:val="0000"/>
      </w:tblPr>
      <w:tblGrid>
        <w:gridCol w:w="7920"/>
      </w:tblGrid>
      <w:tr>
        <w:tc>
          <w:tcPr/>
          <w:bookmarkStart w:id="28" w:name="tbl-criteria-change"/>
          <w:p>
            <w:pPr>
              <w:jc w:val="center"/>
            </w:pPr>
            <w:pPr>
              <w:jc w:val="start"/>
              <w:spacing w:before="200"/>
              <w:pStyle w:val="ImageCaption"/>
            </w:pPr>
            <w:r>
              <w:t xml:space="preserve">Table 2: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b)</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Protein A</w:t>
                  </w:r>
                </w:p>
              </w:tc>
              <w:tc>
                <w:tcPr/>
                <w:p>
                  <w:pPr>
                    <w:pStyle w:val="Compact"/>
                    <w:jc w:val="center"/>
                  </w:pPr>
                  <w:r>
                    <w:t xml:space="preserve">Leached Protein A (ppm)</w:t>
                  </w:r>
                </w:p>
              </w:tc>
              <w:tc>
                <w:tcPr>
                  <w:gridSpan w:val="2"/>
                </w:tcPr>
                <w:p>
                  <w:pPr>
                    <w:pStyle w:val="Compact"/>
                    <w:jc w:val="center"/>
                  </w:pPr>
                  <w:r>
                    <w:t xml:space="preserve">none</w:t>
                  </w:r>
                  <w:r>
                    <w:rPr>
                      <w:vertAlign w:val="superscript"/>
                    </w:rPr>
                    <w:t xml:space="preserve">a)</w:t>
                  </w:r>
                </w:p>
              </w:tc>
              <w:tc>
                <w:tcPr/>
                <w:p>
                  <w:pPr>
                    <w:pStyle w:val="Compact"/>
                    <w:jc w:val="center"/>
                  </w:pPr>
                  <w:r>
                    <w:t xml:space="preserve">≤ 158</w:t>
                  </w:r>
                </w:p>
              </w:tc>
              <w:tc>
                <w:tcPr/>
                <w:p>
                  <w:pPr>
                    <w:pStyle w:val="Compact"/>
                    <w:jc w:val="center"/>
                  </w:pPr>
                  <w:r>
                    <w:t xml:space="preserve">back-calculated</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2.45</w:t>
                  </w:r>
                </w:p>
              </w:tc>
              <w:tc>
                <w:tcPr/>
                <w:p>
                  <w:pPr>
                    <w:pStyle w:val="Compact"/>
                    <w:jc w:val="center"/>
                  </w:pPr>
                  <w:r>
                    <w:t xml:space="preserve">back-calculated</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rPr>
                      <w:vertAlign w:val="superscript"/>
                    </w:rPr>
                    <w:t xml:space="preserve">R1</w:t>
                  </w:r>
                  <w:r>
                    <w:t xml:space="preserve"> </w:t>
                  </w:r>
                  <w:r>
                    <w:t xml:space="preserve">margin 4.5</w:t>
                  </w:r>
                </w:p>
              </w:tc>
              <w:tc>
                <w:tcPr/>
                <w:p>
                  <w:pPr>
                    <w:pStyle w:val="Compact"/>
                    <w:jc w:val="center"/>
                  </w:pPr>
                  <w:r>
                    <w:t xml:space="preserve">≤ 16,000</w:t>
                  </w:r>
                </w:p>
              </w:tc>
              <w:tc>
                <w:tcPr/>
                <w:p>
                  <w:pPr>
                    <w:pStyle w:val="Compact"/>
                    <w:jc w:val="center"/>
                  </w:pPr>
                  <w:r>
                    <w:t xml:space="preserve">back-calculated</w:t>
                  </w:r>
                </w:p>
              </w:tc>
            </w:tr>
            <w:tr>
              <w:tc>
                <w:tcPr>
                  <w:gridSpan w:val="6"/>
                </w:tcPr>
                <w:p>
                  <w:pPr>
                    <w:pStyle w:val="Compact"/>
                    <w:jc w:val="center"/>
                  </w:pPr>
                  <w:r>
                    <w:rPr>
                      <w:vertAlign w:val="superscript"/>
                    </w:rPr>
                    <w:t xml:space="preserve">a)</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b)</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bl>
          <w:bookmarkEnd w:id="28"/>
          <w:p/>
        </w:tc>
      </w:tr>
    </w:tbl>
    <w:p>
      <w:pPr>
        <w:pStyle w:val="BodyText"/>
      </w:pPr>
      <w:r>
        <w:t xml:space="preserve">The Version 2.0 criteria are intermediate acceptance criteria derived a priori by PCMP-001 §7.3. The criterion for pool host cell protein, ≤ 16,000 ng/mg, is wider than the Version 1.0 limit. The Version 1.0 limit was never approved and appears in no approved plan, and it is replaced by a criterion derived without data from the studies it judges. The rule that data may tighten a criterion and never loosen it applies to the Version 2.0 criteria from this revision on.</w:t>
      </w:r>
    </w:p>
    <w:p>
      <w:pPr>
        <w:pStyle w:val="BodyText"/>
      </w:pPr>
      <w:r>
        <w:t xml:space="preserve">The experiments, the data and the fitted models are those of Version 1.0. What moved is the following.</w:t>
      </w:r>
    </w:p>
    <w:p>
      <w:pPr>
        <w:pStyle w:val="Compact"/>
        <w:numPr>
          <w:ilvl w:val="0"/>
          <w:numId w:val="1003"/>
        </w:numPr>
      </w:pPr>
      <w:r>
        <w:t xml:space="preserve">The NOR-propagated PAR for pool host cell protein. Under the Version 1.0 limit it was 10–34.5 g/L resin for protein load, which ends inside the NOR of 20–40 g/L resin and made the upper end of the NOR appear unsupported. Under Version 2.0 it is 10–50 g/L resin. For elution buffer pH it moved from 3.48–3.9 to 3.26–3.9, for load flow rate from 138–300 to 100–300 cm/hr, and for end of pool collect from 2.29–3.2 to 2–3.2 CV.</w:t>
      </w:r>
    </w:p>
    <w:p>
      <w:pPr>
        <w:pStyle w:val="Compact"/>
        <w:numPr>
          <w:ilvl w:val="0"/>
          <w:numId w:val="1003"/>
        </w:numPr>
      </w:pPr>
      <w:r>
        <w:t xml:space="preserve">The NOR-propagated PAR of elution buffer pH for leached Protein A. Under the drug substance criterion of ≤ 5 ppm it was 3.2–3.86. Leached Protein A is now judged against its intermediate acceptance criterion and reported descriptively, because no adequate model results for it (</w:t>
      </w:r>
      <w:hyperlink w:anchor="sec-rsm">
        <w:r>
          <w:rPr>
            <w:rStyle w:val="Hyperlink"/>
          </w:rPr>
          <w:t xml:space="preserve">Section 5.3</w:t>
        </w:r>
      </w:hyperlink>
      <w:r>
        <w:t xml:space="preserve">).</w:t>
      </w:r>
    </w:p>
    <w:p>
      <w:pPr>
        <w:pStyle w:val="Compact"/>
        <w:numPr>
          <w:ilvl w:val="0"/>
          <w:numId w:val="1003"/>
        </w:numPr>
      </w:pPr>
      <w:r>
        <w:t xml:space="preserve">Fragments by nrCE-SDS are reported for the first time. The retained response-surface pools and the hold samples of days 0 and 7 were tested in study S-PA-RET under AMD-001 (</w:t>
      </w:r>
      <w:hyperlink w:anchor="tbl-methods-by-study">
        <w:r>
          <w:rPr>
            <w:rStyle w:val="Hyperlink"/>
          </w:rPr>
          <w:t xml:space="preserve">Table 5</w:t>
        </w:r>
      </w:hyperlink>
      <w:r>
        <w:t xml:space="preserve">). The SEC fragment results of both designs are kept in the record and are not used for any decision (INV-001 finding 6).</w:t>
      </w:r>
    </w:p>
    <w:p>
      <w:pPr>
        <w:pStyle w:val="Compact"/>
        <w:numPr>
          <w:ilvl w:val="0"/>
          <w:numId w:val="1003"/>
        </w:numPr>
      </w:pPr>
      <w:r>
        <w:t xml:space="preserve">Each response-surface model is judged against the model adequacy criteria of PCP-005 §7, which Version 1.0 left to the analysis. The full quadratic model for step yield was replaced by a reduced model, and leached Protein A and fragments are reported descriptively (</w:t>
      </w:r>
      <w:hyperlink w:anchor="sec-rsm">
        <w:r>
          <w:rPr>
            <w:rStyle w:val="Hyperlink"/>
          </w:rPr>
          <w:t xml:space="preserve">Section 5.3</w:t>
        </w:r>
      </w:hyperlink>
      <w:r>
        <w:t xml:space="preserve">).</w:t>
      </w:r>
    </w:p>
    <w:p>
      <w:pPr>
        <w:pStyle w:val="Compact"/>
        <w:numPr>
          <w:ilvl w:val="0"/>
          <w:numId w:val="1003"/>
        </w:numPr>
      </w:pPr>
      <w:r>
        <w:t xml:space="preserve">The scale-down model qualification is reported against the equivalence test of PCP-005 §5.1. The planned set-point runs could not demonstrate equivalence whatever the means were, and 6 supplementary set-point runs (study S-PA-SDM2) were made under DEV-005-03, with the margins unchanged (</w:t>
      </w:r>
      <w:hyperlink w:anchor="sec-sdm">
        <w:r>
          <w:rPr>
            <w:rStyle w:val="Hyperlink"/>
          </w:rPr>
          <w:t xml:space="preserve">Section 3.1</w:t>
        </w:r>
      </w:hyperlink>
      <w:r>
        <w:t xml:space="preserve">).</w:t>
      </w:r>
    </w:p>
    <w:p>
      <w:pPr>
        <w:pStyle w:val="Compact"/>
        <w:numPr>
          <w:ilvl w:val="0"/>
          <w:numId w:val="1003"/>
        </w:numPr>
      </w:pPr>
      <w:r>
        <w:t xml:space="preserve">The execution window of every study is recorded (</w:t>
      </w:r>
      <w:hyperlink w:anchor="tbl-chronology">
        <w:r>
          <w:rPr>
            <w:rStyle w:val="Hyperlink"/>
          </w:rPr>
          <w:t xml:space="preserve">Table 8</w:t>
        </w:r>
      </w:hyperlink>
      <w:r>
        <w:t xml:space="preserve">, INV-001 finding 5).</w:t>
      </w:r>
    </w:p>
    <w:p>
      <w:pPr>
        <w:pStyle w:val="FirstParagraph"/>
      </w:pPr>
      <w:r>
        <w:t xml:space="preserve">The parameter effects and their directions are those of Version 1.0. Their discussion is extended in this revision (</w:t>
      </w:r>
      <w:hyperlink w:anchor="sec-rsm">
        <w:r>
          <w:rPr>
            <w:rStyle w:val="Hyperlink"/>
          </w:rPr>
          <w:t xml:space="preserve">Section 5.3</w:t>
        </w:r>
      </w:hyperlink>
      <w:r>
        <w:t xml:space="preserve">). Acidic variants are not an output of this step, so the two-sided capability assessment of INV-001 finding 4 does not apply here.</w:t>
      </w:r>
    </w:p>
    <w:bookmarkEnd w:id="29"/>
    <w:bookmarkEnd w:id="30"/>
    <w:bookmarkStart w:id="35" w:name="prior-knowledge-and-quality-risk-basis"/>
    <w:p>
      <w:pPr>
        <w:pStyle w:val="Heading1"/>
      </w:pPr>
      <w:r>
        <w:t xml:space="preserve">2. Prior knowledge and quality risk basis</w:t>
      </w:r>
    </w:p>
    <w:bookmarkStart w:id="31" w:name="platform-and-prior-product-knowledge"/>
    <w:p>
      <w:pPr>
        <w:pStyle w:val="Heading2"/>
      </w:pPr>
      <w:r>
        <w:t xml:space="preserve">2.1 Platform and prior-product knowledge</w:t>
      </w:r>
    </w:p>
    <w:p>
      <w:pPr>
        <w:pStyle w:val="FirstParagraph"/>
      </w:pPr>
      <w:r>
        <w:t xml:space="preserve">The same capture step has been used to purify the platform antibodies X-Mab, Y-Mab and Z-Mab, and A-Mab through clinical manufacture. Their history establishes the mechanism of the step and the direction of its main effects.</w:t>
      </w:r>
    </w:p>
    <w:p>
      <w:pPr>
        <w:pStyle w:val="BodyText"/>
      </w:pPr>
      <w:r>
        <w:t xml:space="preserve">Staphylococcal Protein A, immobilized on the resin, binds the Fc region of the antibody at the interface between the second and third constant domains of the heavy chain. When the pH is lowered, histidine residues at this interface become protonated, the interaction weakens, and the antibody is released. The expectations for each output follow from this mechanism.</w:t>
      </w:r>
    </w:p>
    <w:p>
      <w:pPr>
        <w:pStyle w:val="BodyText"/>
      </w:pPr>
      <w:r>
        <w:t xml:space="preserve">Host cell protein reaches the eluate by two routes. Some binds weakly to the resin backbone or the ligand and is released when the pH drops, and some is associated with the antibody and is carried through as a complex. The host cell protein associated with the bound antibody is carried on the bed with it, so its amount rises with the mass of antibody loaded. A lower elution pH releases more of the weakly bound host cell protein with the product. Pool host cell protein was therefore expected to rise with protein load and as elution buffer pH falls. At high load more host cell protein is held weakly on the bed, so a low elution pH has more to release. An interaction between the two parameters was expected for this reason.</w:t>
      </w:r>
    </w:p>
    <w:p>
      <w:pPr>
        <w:pStyle w:val="BodyText"/>
      </w:pPr>
      <w:r>
        <w:t xml:space="preserve">Step yield is lost when antibody breaks through during the load or remains on the column at the end of collection. Binding is limited by diffusion into the pores of the bead. For this reason breakthrough rises as the load approaches the dynamic binding capacity and as the residence time falls. A higher load flow rate shortens the residence time and lowers the dynamic binding capacity, and this costs yield only when the bed is close to capacity. Yield was therefore expected to fall with flow rate mainly at high load, and to rise as the end of pool collect is extended into the tail of the elution peak.</w:t>
      </w:r>
    </w:p>
    <w:p>
      <w:pPr>
        <w:pStyle w:val="BodyText"/>
      </w:pPr>
      <w:r>
        <w:t xml:space="preserve">Leached Protein A comes from hydrolysis of the coupling chemistry and from cleavage of exposed ligand by host cell proteases in the load, and the leached fragments elute with the antibody because they still bind Fc. Leaching is highest on new resin. More protease activity in the load, for example after a longer hold of the clarified harvest before capture, is expected to cleave more ligand. Neither of these is a setting of the run, so within the ranges of one run leached Protein A was expected to be flat.</w:t>
      </w:r>
    </w:p>
    <w:p>
      <w:pPr>
        <w:pStyle w:val="BodyText"/>
      </w:pPr>
      <w:r>
        <w:t xml:space="preserve">A fragment is captured only if it still carries Fc. Fab fragments flow through with the load, and the pool carries less fragment than the feed. A lower elution pH may add a little acid-catalysed hinge hydrolysis during elution. The pool also still carries host cell protein, part of which elutes in the low molecular weight window of SEC and is read as fragment. SEC therefore overstates fragments in this matrix, and nrCE-SDS does not (INV-001 finding 6). DNA is polyanionic and does not bind Protein A. Its clearance is large and was not expected to depend on the operating parameters within their ranges.</w:t>
      </w:r>
    </w:p>
    <w:p>
      <w:pPr>
        <w:pStyle w:val="BodyText"/>
      </w:pPr>
      <w:r>
        <w:t xml:space="preserve">Protein A, when operated under platform conditions, does not separate glycan variants or charge variants, because it binds the Fc region independently of both</w:t>
      </w:r>
      <w:r>
        <w:t xml:space="preserve"> </w:t>
      </w:r>
      <w:r>
        <w:t xml:space="preserve">(CMC Biotech Working Group 2009)</w:t>
      </w:r>
      <w:r>
        <w:t xml:space="preserve">. Nor does it separate aggregate from monomer, since both carry Fc. In the Protein A characterization of the case study no process parameter had a significant effect on aggregate</w:t>
      </w:r>
      <w:r>
        <w:t xml:space="preserve"> </w:t>
      </w:r>
      <w:r>
        <w:t xml:space="preserve">(CMC Biotech Working Group 2009)</w:t>
      </w:r>
      <w:r>
        <w:t xml:space="preserve">. Aggregate formation at low pH over the inactivation hold is characterized in PCR-006. For these reasons glycan variants, charge variants and aggregate were not responses of the designs.</w:t>
      </w:r>
    </w:p>
    <w:bookmarkEnd w:id="31"/>
    <w:bookmarkStart w:id="33" w:name="quality-attributes-in-scope"/>
    <w:p>
      <w:pPr>
        <w:pStyle w:val="Heading2"/>
      </w:pPr>
      <w:r>
        <w:t xml:space="preserve">2.2 Quality attributes in scope</w:t>
      </w:r>
    </w:p>
    <w:p>
      <w:pPr>
        <w:pStyle w:val="FirstParagraph"/>
      </w:pPr>
      <w:r>
        <w:t xml:space="preserve">Leached Protein A is the only attribute of the CQA register that this step introduces. The step is also the principal point of clearance for host cell protein and DNA, and it partly clears fragments.</w:t>
      </w:r>
      <w:r>
        <w:t xml:space="preserve"> </w:t>
      </w:r>
      <w:hyperlink w:anchor="tbl-cqa">
        <w:r>
          <w:rPr>
            <w:rStyle w:val="Hyperlink"/>
          </w:rPr>
          <w:t xml:space="preserve">Table 3</w:t>
        </w:r>
      </w:hyperlink>
      <w:r>
        <w:t xml:space="preserve"> </w:t>
      </w:r>
      <w:r>
        <w:t xml:space="preserve">lists the attributes in scope with their drug substance criteria and the criticality level the register assigns. The register treats criticality as a continuum, as the A-Mab case study does</w:t>
      </w:r>
      <w:r>
        <w:t xml:space="preserve"> </w:t>
      </w:r>
      <w:r>
        <w:t xml:space="preserve">(CMC Biotech Working Group 2009)</w:t>
      </w:r>
      <w:r>
        <w:t xml:space="preserve">. Each attribute is a CQA with a level from very low (VL) to very high (VH), assigned with Tool #1, whose score is the product of impact and uncertainty.</w:t>
      </w:r>
    </w:p>
    <w:tbl>
      <w:tblPr>
        <w:tblStyle w:val="Table"/>
        <w:tblW w:type="pct" w:w="5000"/>
        <w:tblLayout w:type="fixed"/>
        <w:tblLook w:firstRow="0" w:lastRow="0" w:firstColumn="0" w:lastColumn="0" w:noHBand="0" w:noVBand="0" w:val="0000"/>
      </w:tblPr>
      <w:tblGrid>
        <w:gridCol w:w="7920"/>
      </w:tblGrid>
      <w:tr>
        <w:tc>
          <w:tcPr/>
          <w:bookmarkStart w:id="32" w:name="tbl-cqa"/>
          <w:p>
            <w:pPr>
              <w:jc w:val="center"/>
            </w:pPr>
            <w:pPr>
              <w:jc w:val="start"/>
              <w:spacing w:before="200"/>
              <w:pStyle w:val="ImageCaption"/>
            </w:pPr>
            <w:r>
              <w:t xml:space="preserve">Table 3: Quality attributes in scope of this report, with the drug substance criterion and criticality.</w:t>
            </w:r>
          </w:p>
          <w:tbl>
            <w:tblPr>
              <w:tblStyle w:val="Table"/>
              <w:tblW w:type="pct" w:w="5000"/>
              <w:tblLayout w:type="fixed"/>
              <w:tblLook w:firstRow="1" w:lastRow="0" w:firstColumn="0" w:lastColumn="0" w:noHBand="0" w:noVBand="0" w:val="0020"/>
            </w:tblPr>
            <w:tblGrid>
              <w:gridCol w:w="2805"/>
              <w:gridCol w:w="1485"/>
              <w:gridCol w:w="1485"/>
              <w:gridCol w:w="1237"/>
              <w:gridCol w:w="907"/>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Leached Protein A</w:t>
                  </w:r>
                </w:p>
              </w:tc>
              <w:tc>
                <w:tcPr/>
                <w:p>
                  <w:pPr>
                    <w:pStyle w:val="Compact"/>
                    <w:jc w:val="left"/>
                    <w:jc w:val="center"/>
                  </w:pPr>
                  <w:r>
                    <w:t xml:space="preserve">process impurity</w:t>
                  </w:r>
                </w:p>
              </w:tc>
              <w:tc>
                <w:tcPr/>
                <w:p>
                  <w:pPr>
                    <w:pStyle w:val="Compact"/>
                    <w:jc w:val="left"/>
                    <w:jc w:val="center"/>
                  </w:pPr>
                  <w:r>
                    <w:t xml:space="preserve">≤ 5 ppm</w:t>
                  </w:r>
                </w:p>
              </w:tc>
              <w:tc>
                <w:tcPr/>
                <w:p>
                  <w:pPr>
                    <w:pStyle w:val="Compact"/>
                    <w:jc w:val="left"/>
                    <w:jc w:val="center"/>
                  </w:pPr>
                  <w:r>
                    <w:t xml:space="preserve">L-M</w:t>
                  </w:r>
                </w:p>
              </w:tc>
              <w:tc>
                <w:tcPr/>
                <w:p>
                  <w:pPr>
                    <w:pStyle w:val="Compact"/>
                    <w:jc w:val="right"/>
                    <w:jc w:val="center"/>
                  </w:pPr>
                  <w:r>
                    <w:t xml:space="preserve">16</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Fragments (LMW, clipped species)</w:t>
                  </w:r>
                </w:p>
              </w:tc>
              <w:tc>
                <w:tcPr/>
                <w:p>
                  <w:pPr>
                    <w:pStyle w:val="Compact"/>
                    <w:jc w:val="left"/>
                    <w:jc w:val="center"/>
                  </w:pPr>
                  <w:r>
                    <w:t xml:space="preserve">size variant</w:t>
                  </w:r>
                </w:p>
              </w:tc>
              <w:tc>
                <w:tcPr/>
                <w:p>
                  <w:pPr>
                    <w:pStyle w:val="Compact"/>
                    <w:jc w:val="left"/>
                    <w:jc w:val="center"/>
                  </w:pPr>
                  <w:r>
                    <w:t xml:space="preserve">≤ 2 % (nrCE-SDS)</w:t>
                  </w:r>
                </w:p>
              </w:tc>
              <w:tc>
                <w:tcPr/>
                <w:p>
                  <w:pPr>
                    <w:pStyle w:val="Compact"/>
                    <w:jc w:val="left"/>
                    <w:jc w:val="center"/>
                  </w:pPr>
                  <w:r>
                    <w:t xml:space="preserve">L</w:t>
                  </w:r>
                </w:p>
              </w:tc>
              <w:tc>
                <w:tcPr/>
                <w:p>
                  <w:pPr>
                    <w:pStyle w:val="Compact"/>
                    <w:jc w:val="right"/>
                    <w:jc w:val="center"/>
                  </w:pPr>
                  <w:r>
                    <w:t xml:space="preserve">12</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bl>
          <w:bookmarkEnd w:id="32"/>
          <w:p/>
        </w:tc>
      </w:tr>
    </w:tbl>
    <w:p>
      <w:pPr>
        <w:pStyle w:val="BodyText"/>
      </w:pPr>
      <w:r>
        <w:t xml:space="preserve">The drug substance criteria do not apply to the Protein A pool directly. Cation exchange and anion exchange remove host cell protein, leached Protein A and fragments after this step, and judging the pool against the drug substance limit would fail every acceptable run. Each output of the step with a downstream dependence is therefore judged against an intermediate acceptance criterion (</w:t>
      </w:r>
      <w:hyperlink w:anchor="sec-par">
        <w:r>
          <w:rPr>
            <w:rStyle w:val="Hyperlink"/>
          </w:rPr>
          <w:t xml:space="preserve">Section 7</w:t>
        </w:r>
      </w:hyperlink>
      <w:r>
        <w:t xml:space="preserve">). Residual DNA and aggregate were measured for information. Step yield is a performance attribute without an acceptance criterion, and it is used for the classification of parameters that act on process performance.</w:t>
      </w:r>
    </w:p>
    <w:bookmarkEnd w:id="33"/>
    <w:bookmarkStart w:id="34" w:name="X8e350aaf11e00001962f0e94cfe08bc5c1a6d7b"/>
    <w:p>
      <w:pPr>
        <w:pStyle w:val="Heading2"/>
      </w:pPr>
      <w:r>
        <w:t xml:space="preserve">2.3 Risk-based prioritization and parameter selection</w:t>
      </w:r>
    </w:p>
    <w:p>
      <w:pPr>
        <w:pStyle w:val="FirstParagraph"/>
      </w:pPr>
      <w:r>
        <w:t xml:space="preserve">RA-001 assessed every parameter of the step before characterization began. Each parameter was ranked on its potential impact on the CQAs and on process performance, and on its potential to interact with other parameters. RA-001 gives the scores and the rationale.</w:t>
      </w:r>
    </w:p>
    <w:p>
      <w:pPr>
        <w:pStyle w:val="BodyText"/>
      </w:pPr>
      <w:r>
        <w:t xml:space="preserve">Protein load, elution buffer pH, load flow rate and end of pool collect were assigned to multivariate study. Each carries an effect expected from the mechanism, and the interactions of protein load with elution buffer pH and with load flow rate can only be estimated in a design that varies the parameters together. Operating temperature and bed height were assigned to univariate study. A higher temperature speeds the diffusion of the antibody into the pores, which raises the dynamic binding capacity, and it strengthens the hydrophobic contacts at the Fc–ligand interface, which makes elution slightly less complete. Over the range studied both effects were expected to be small against those of load and pH, and the resin manufacturer specifies binding capacity across that range. Bed height is held by the packing specification in manufacture, and at constant linear velocity it sets the residence time.</w:t>
      </w:r>
    </w:p>
    <w:p>
      <w:pPr>
        <w:pStyle w:val="BodyText"/>
      </w:pPr>
      <w:r>
        <w:t xml:space="preserve">The ranges studied are between 1.9 and 2.3 times the width of the NOR. They show how the step behaves near and beyond the edges of routine operation, and they bound the knowledge space within which a PAR can be claimed.</w:t>
      </w:r>
    </w:p>
    <w:bookmarkEnd w:id="34"/>
    <w:bookmarkEnd w:id="35"/>
    <w:bookmarkStart w:id="43" w:name="materials-and-methods"/>
    <w:p>
      <w:pPr>
        <w:pStyle w:val="Heading1"/>
      </w:pPr>
      <w:r>
        <w:t xml:space="preserve">3. Materials and methods</w:t>
      </w:r>
    </w:p>
    <w:bookmarkStart w:id="37" w:name="sec-sdm"/>
    <w:p>
      <w:pPr>
        <w:pStyle w:val="Heading2"/>
      </w:pPr>
      <w:r>
        <w:t xml:space="preserve">3.1 Scale-down model and its qualification</w:t>
      </w:r>
    </w:p>
    <w:p>
      <w:pPr>
        <w:pStyle w:val="FirstParagraph"/>
      </w:pPr>
      <w:r>
        <w:t xml:space="preserve">The scale-down model is a laboratory column packed with the commercial Protein A resin and operated under SOP-2007 on the scaling principles of PCMP-001 §5. The bed height and the residence time of the commercial column were kept. Load, wash and elution volumes were normalized to column volumes, and buffers were made to the commercial recipes. Column efficiency was checked by plate count and peak asymmetry after packing, and both are compared with manufacturing scale below.</w:t>
      </w:r>
    </w:p>
    <w:p>
      <w:pPr>
        <w:pStyle w:val="BodyText"/>
      </w:pPr>
      <w:r>
        <w:t xml:space="preserve">The model was qualified under SOP-1001 in study S-PA-SDM (2025-11-05 to 2025-11-14), before the first run of the screening design, and in the supplementary study S-PA-SDM2 (2026-09-07 to 2026-09-11) made under DEV-005-03. Set-point runs of the scale-down model were compared with the 5 manufacturing-scale batches of A-Mab run at set-point. The outputs compared were pool host cell protein, step yield, leached Protein A, and column efficiency as plates per metre and peak asymmetry. Equivalence of the means was tested by two one-sided tests at α = 0.05, using a Student t interval with pooled variance. The equivalence margin for each output is half the range of the manufacturing-scale batches. The model is qualified for an output when the 90 % confidence interval of the difference in means lies within that margin.</w:t>
      </w:r>
    </w:p>
    <w:p>
      <w:pPr>
        <w:pStyle w:val="BodyText"/>
      </w:pPr>
      <w:r>
        <w:t xml:space="preserve">With the 3 runs of S-PA-SDM the half-width of the interval alone was larger than the margin for pool host cell protein, step yield and leached Protein A, so equivalence could not be shown for them whatever the means were (DEV-005-03,</w:t>
      </w:r>
      <w:r>
        <w:t xml:space="preserve"> </w:t>
      </w:r>
      <w:hyperlink w:anchor="sec-dev">
        <w:r>
          <w:rPr>
            <w:rStyle w:val="Hyperlink"/>
          </w:rPr>
          <w:t xml:space="preserve">Section 13</w:t>
        </w:r>
      </w:hyperlink>
      <w:r>
        <w:t xml:space="preserve">). A further 6 set-point runs were therefore made. The margins were not changed.</w:t>
      </w:r>
      <w:r>
        <w:t xml:space="preserve"> </w:t>
      </w:r>
      <w:hyperlink w:anchor="tbl-sdm">
        <w:r>
          <w:rPr>
            <w:rStyle w:val="Hyperlink"/>
          </w:rPr>
          <w:t xml:space="preserve">Table 4</w:t>
        </w:r>
      </w:hyperlink>
      <w:r>
        <w:t xml:space="preserve"> </w:t>
      </w:r>
      <w:r>
        <w:t xml:space="preserve">gives the result over all 9 scale-down runs, with 12 degrees of freedom.</w:t>
      </w:r>
    </w:p>
    <w:tbl>
      <w:tblPr>
        <w:tblStyle w:val="Table"/>
        <w:tblW w:type="pct" w:w="5000"/>
        <w:tblLayout w:type="fixed"/>
        <w:tblLook w:firstRow="0" w:lastRow="0" w:firstColumn="0" w:lastColumn="0" w:noHBand="0" w:noVBand="0" w:val="0000"/>
      </w:tblPr>
      <w:tblGrid>
        <w:gridCol w:w="7920"/>
      </w:tblGrid>
      <w:tr>
        <w:tc>
          <w:tcPr/>
          <w:bookmarkStart w:id="36" w:name="tbl-sdm"/>
          <w:p>
            <w:pPr>
              <w:jc w:val="center"/>
            </w:pPr>
            <w:pPr>
              <w:jc w:val="start"/>
              <w:spacing w:before="200"/>
              <w:pStyle w:val="ImageCaption"/>
            </w:pPr>
            <w:r>
              <w:t xml:space="preserve">Table 4: Scale-down model qualification over all scale-down set-point runs (studies S-PA-SDM and S-PA-SDM2). SD, scale-down model. M, manufacturing scale. Difference and 90 % confidence interval (CI), scale-down minus manufacturing. Step yield in percentage points.</w:t>
            </w:r>
          </w:p>
          <w:tbl>
            <w:tblPr>
              <w:tblStyle w:val="Table"/>
              <w:tblW w:type="pct" w:w="5000"/>
              <w:tblLayout w:type="fixed"/>
              <w:tblLook w:firstRow="1" w:lastRow="0" w:firstColumn="0" w:lastColumn="0" w:noHBand="0" w:noVBand="0" w:val="0020"/>
            </w:tblPr>
            <w:tblGrid>
              <w:gridCol w:w="1963"/>
              <w:gridCol w:w="916"/>
              <w:gridCol w:w="785"/>
              <w:gridCol w:w="720"/>
              <w:gridCol w:w="916"/>
              <w:gridCol w:w="1047"/>
              <w:gridCol w:w="654"/>
              <w:gridCol w:w="916"/>
            </w:tblGrid>
            <w:tr>
              <w:trPr>
                <w:tblHeader w:val="on"/>
              </w:trPr>
              <w:tc>
                <w:tcPr/>
                <w:p>
                  <w:pPr>
                    <w:pStyle w:val="Compact"/>
                    <w:jc w:val="left"/>
                    <w:jc w:val="center"/>
                  </w:pPr>
                  <w:r>
                    <w:t xml:space="preserve">Output</w:t>
                  </w:r>
                </w:p>
              </w:tc>
              <w:tc>
                <w:tcPr/>
                <w:p>
                  <w:pPr>
                    <w:pStyle w:val="Compact"/>
                    <w:jc w:val="right"/>
                    <w:jc w:val="center"/>
                  </w:pPr>
                  <w:r>
                    <w:t xml:space="preserve">n (SD / M)</w:t>
                  </w:r>
                </w:p>
              </w:tc>
              <w:tc>
                <w:tcPr/>
                <w:p>
                  <w:pPr>
                    <w:pStyle w:val="Compact"/>
                    <w:jc w:val="right"/>
                    <w:jc w:val="center"/>
                  </w:pPr>
                  <w:r>
                    <w:t xml:space="preserve">Mean, SD</w:t>
                  </w:r>
                </w:p>
              </w:tc>
              <w:tc>
                <w:tcPr/>
                <w:p>
                  <w:pPr>
                    <w:pStyle w:val="Compact"/>
                    <w:jc w:val="right"/>
                    <w:jc w:val="center"/>
                  </w:pPr>
                  <w:r>
                    <w:t xml:space="preserve">Mean, M</w:t>
                  </w:r>
                </w:p>
              </w:tc>
              <w:tc>
                <w:tcPr/>
                <w:p>
                  <w:pPr>
                    <w:pStyle w:val="Compact"/>
                    <w:jc w:val="right"/>
                    <w:jc w:val="center"/>
                  </w:pPr>
                  <w:r>
                    <w:t xml:space="preserve">Difference</w:t>
                  </w:r>
                </w:p>
              </w:tc>
              <w:tc>
                <w:tcPr/>
                <w:p>
                  <w:pPr>
                    <w:pStyle w:val="Compact"/>
                    <w:jc w:val="right"/>
                    <w:jc w:val="center"/>
                  </w:pPr>
                  <w:r>
                    <w:t xml:space="preserve">90 % CI</w:t>
                  </w:r>
                </w:p>
              </w:tc>
              <w:tc>
                <w:tcPr/>
                <w:p>
                  <w:pPr>
                    <w:pStyle w:val="Compact"/>
                    <w:jc w:val="right"/>
                    <w:jc w:val="center"/>
                  </w:pPr>
                  <w:r>
                    <w:t xml:space="preserve">Margin</w:t>
                  </w:r>
                </w:p>
              </w:tc>
              <w:tc>
                <w:tcPr/>
                <w:p>
                  <w:pPr>
                    <w:pStyle w:val="Compact"/>
                    <w:jc w:val="right"/>
                    <w:jc w:val="center"/>
                  </w:pPr>
                  <w:r>
                    <w:t xml:space="preserve">Equivalent</w:t>
                  </w:r>
                </w:p>
              </w:tc>
            </w:tr>
            <w:tr>
              <w:tc>
                <w:tcPr/>
                <w:p>
                  <w:pPr>
                    <w:pStyle w:val="Compact"/>
                    <w:jc w:val="left"/>
                    <w:jc w:val="center"/>
                  </w:pPr>
                  <w:r>
                    <w:t xml:space="preserve">Pool HCP (ng/mg)</w:t>
                  </w:r>
                </w:p>
              </w:tc>
              <w:tc>
                <w:tcPr/>
                <w:p>
                  <w:pPr>
                    <w:pStyle w:val="Compact"/>
                    <w:jc w:val="right"/>
                    <w:jc w:val="center"/>
                  </w:pPr>
                  <w:r>
                    <w:t xml:space="preserve">9 / 5</w:t>
                  </w:r>
                </w:p>
              </w:tc>
              <w:tc>
                <w:tcPr/>
                <w:p>
                  <w:pPr>
                    <w:pStyle w:val="Compact"/>
                    <w:jc w:val="right"/>
                    <w:jc w:val="center"/>
                  </w:pPr>
                  <w:r>
                    <w:t xml:space="preserve">7,712</w:t>
                  </w:r>
                </w:p>
              </w:tc>
              <w:tc>
                <w:tcPr/>
                <w:p>
                  <w:pPr>
                    <w:pStyle w:val="Compact"/>
                    <w:jc w:val="right"/>
                    <w:jc w:val="center"/>
                  </w:pPr>
                  <w:r>
                    <w:t xml:space="preserve">7,964</w:t>
                  </w:r>
                </w:p>
              </w:tc>
              <w:tc>
                <w:tcPr/>
                <w:p>
                  <w:pPr>
                    <w:pStyle w:val="Compact"/>
                    <w:jc w:val="right"/>
                    <w:jc w:val="center"/>
                  </w:pPr>
                  <w:r>
                    <w:t xml:space="preserve">-251</w:t>
                  </w:r>
                </w:p>
              </w:tc>
              <w:tc>
                <w:tcPr/>
                <w:p>
                  <w:pPr>
                    <w:pStyle w:val="Compact"/>
                    <w:jc w:val="right"/>
                    <w:jc w:val="center"/>
                  </w:pPr>
                  <w:r>
                    <w:t xml:space="preserve">-929 to 427</w:t>
                  </w:r>
                </w:p>
              </w:tc>
              <w:tc>
                <w:tcPr/>
                <w:p>
                  <w:pPr>
                    <w:pStyle w:val="Compact"/>
                    <w:jc w:val="right"/>
                    <w:jc w:val="center"/>
                  </w:pPr>
                  <w:r>
                    <w:t xml:space="preserve">± 1,026</w:t>
                  </w:r>
                </w:p>
              </w:tc>
              <w:tc>
                <w:tcPr/>
                <w:p>
                  <w:pPr>
                    <w:pStyle w:val="Compact"/>
                    <w:jc w:val="right"/>
                    <w:jc w:val="center"/>
                  </w:pPr>
                  <w:r>
                    <w:t xml:space="preserve">Yes</w:t>
                  </w:r>
                </w:p>
              </w:tc>
            </w:tr>
            <w:tr>
              <w:tc>
                <w:tcPr/>
                <w:p>
                  <w:pPr>
                    <w:pStyle w:val="Compact"/>
                    <w:jc w:val="left"/>
                    <w:jc w:val="center"/>
                  </w:pPr>
                  <w:r>
                    <w:t xml:space="preserve">Step yield (%)</w:t>
                  </w:r>
                </w:p>
              </w:tc>
              <w:tc>
                <w:tcPr/>
                <w:p>
                  <w:pPr>
                    <w:pStyle w:val="Compact"/>
                    <w:jc w:val="right"/>
                    <w:jc w:val="center"/>
                  </w:pPr>
                  <w:r>
                    <w:t xml:space="preserve">9 / 5</w:t>
                  </w:r>
                </w:p>
              </w:tc>
              <w:tc>
                <w:tcPr/>
                <w:p>
                  <w:pPr>
                    <w:pStyle w:val="Compact"/>
                    <w:jc w:val="right"/>
                    <w:jc w:val="center"/>
                  </w:pPr>
                  <w:r>
                    <w:t xml:space="preserve">94.18</w:t>
                  </w:r>
                </w:p>
              </w:tc>
              <w:tc>
                <w:tcPr/>
                <w:p>
                  <w:pPr>
                    <w:pStyle w:val="Compact"/>
                    <w:jc w:val="right"/>
                    <w:jc w:val="center"/>
                  </w:pPr>
                  <w:r>
                    <w:t xml:space="preserve">94.42</w:t>
                  </w:r>
                </w:p>
              </w:tc>
              <w:tc>
                <w:tcPr/>
                <w:p>
                  <w:pPr>
                    <w:pStyle w:val="Compact"/>
                    <w:jc w:val="right"/>
                    <w:jc w:val="center"/>
                  </w:pPr>
                  <w:r>
                    <w:t xml:space="preserve">-0.24</w:t>
                  </w:r>
                </w:p>
              </w:tc>
              <w:tc>
                <w:tcPr/>
                <w:p>
                  <w:pPr>
                    <w:pStyle w:val="Compact"/>
                    <w:jc w:val="right"/>
                    <w:jc w:val="center"/>
                  </w:pPr>
                  <w:r>
                    <w:t xml:space="preserve">-2.14 to 1.67</w:t>
                  </w:r>
                </w:p>
              </w:tc>
              <w:tc>
                <w:tcPr/>
                <w:p>
                  <w:pPr>
                    <w:pStyle w:val="Compact"/>
                    <w:jc w:val="right"/>
                    <w:jc w:val="center"/>
                  </w:pPr>
                  <w:r>
                    <w:t xml:space="preserve">± 2.11</w:t>
                  </w:r>
                </w:p>
              </w:tc>
              <w:tc>
                <w:tcPr/>
                <w:p>
                  <w:pPr>
                    <w:pStyle w:val="Compact"/>
                    <w:jc w:val="right"/>
                    <w:jc w:val="center"/>
                  </w:pPr>
                  <w:r>
                    <w:t xml:space="preserve">No</w:t>
                  </w:r>
                </w:p>
              </w:tc>
            </w:tr>
            <w:tr>
              <w:tc>
                <w:tcPr/>
                <w:p>
                  <w:pPr>
                    <w:pStyle w:val="Compact"/>
                    <w:jc w:val="left"/>
                    <w:jc w:val="center"/>
                  </w:pPr>
                  <w:r>
                    <w:t xml:space="preserve">Leached Protein A (ppm)</w:t>
                  </w:r>
                </w:p>
              </w:tc>
              <w:tc>
                <w:tcPr/>
                <w:p>
                  <w:pPr>
                    <w:pStyle w:val="Compact"/>
                    <w:jc w:val="right"/>
                    <w:jc w:val="center"/>
                  </w:pPr>
                  <w:r>
                    <w:t xml:space="preserve">9 / 5</w:t>
                  </w:r>
                </w:p>
              </w:tc>
              <w:tc>
                <w:tcPr/>
                <w:p>
                  <w:pPr>
                    <w:pStyle w:val="Compact"/>
                    <w:jc w:val="right"/>
                    <w:jc w:val="center"/>
                  </w:pPr>
                  <w:r>
                    <w:t xml:space="preserve">2.52</w:t>
                  </w:r>
                </w:p>
              </w:tc>
              <w:tc>
                <w:tcPr/>
                <w:p>
                  <w:pPr>
                    <w:pStyle w:val="Compact"/>
                    <w:jc w:val="right"/>
                    <w:jc w:val="center"/>
                  </w:pPr>
                  <w:r>
                    <w:t xml:space="preserve">3.70</w:t>
                  </w:r>
                </w:p>
              </w:tc>
              <w:tc>
                <w:tcPr/>
                <w:p>
                  <w:pPr>
                    <w:pStyle w:val="Compact"/>
                    <w:jc w:val="right"/>
                    <w:jc w:val="center"/>
                  </w:pPr>
                  <w:r>
                    <w:t xml:space="preserve">-1.18</w:t>
                  </w:r>
                </w:p>
              </w:tc>
              <w:tc>
                <w:tcPr/>
                <w:p>
                  <w:pPr>
                    <w:pStyle w:val="Compact"/>
                    <w:jc w:val="right"/>
                    <w:jc w:val="center"/>
                  </w:pPr>
                  <w:r>
                    <w:t xml:space="preserve">-1.97 to -0.39</w:t>
                  </w:r>
                </w:p>
              </w:tc>
              <w:tc>
                <w:tcPr/>
                <w:p>
                  <w:pPr>
                    <w:pStyle w:val="Compact"/>
                    <w:jc w:val="right"/>
                    <w:jc w:val="center"/>
                  </w:pPr>
                  <w:r>
                    <w:t xml:space="preserve">± 1.08</w:t>
                  </w:r>
                </w:p>
              </w:tc>
              <w:tc>
                <w:tcPr/>
                <w:p>
                  <w:pPr>
                    <w:pStyle w:val="Compact"/>
                    <w:jc w:val="right"/>
                    <w:jc w:val="center"/>
                  </w:pPr>
                  <w:r>
                    <w:t xml:space="preserve">No</w:t>
                  </w:r>
                </w:p>
              </w:tc>
            </w:tr>
            <w:tr>
              <w:tc>
                <w:tcPr/>
                <w:p>
                  <w:pPr>
                    <w:pStyle w:val="Compact"/>
                    <w:jc w:val="left"/>
                    <w:jc w:val="center"/>
                  </w:pPr>
                  <w:r>
                    <w:t xml:space="preserve">Column efficiency (plates/m)</w:t>
                  </w:r>
                </w:p>
              </w:tc>
              <w:tc>
                <w:tcPr/>
                <w:p>
                  <w:pPr>
                    <w:pStyle w:val="Compact"/>
                    <w:jc w:val="right"/>
                    <w:jc w:val="center"/>
                  </w:pPr>
                  <w:r>
                    <w:t xml:space="preserve">9 / 5</w:t>
                  </w:r>
                </w:p>
              </w:tc>
              <w:tc>
                <w:tcPr/>
                <w:p>
                  <w:pPr>
                    <w:pStyle w:val="Compact"/>
                    <w:jc w:val="right"/>
                    <w:jc w:val="center"/>
                  </w:pPr>
                  <w:r>
                    <w:t xml:space="preserve">2,533</w:t>
                  </w:r>
                </w:p>
              </w:tc>
              <w:tc>
                <w:tcPr/>
                <w:p>
                  <w:pPr>
                    <w:pStyle w:val="Compact"/>
                    <w:jc w:val="right"/>
                    <w:jc w:val="center"/>
                  </w:pPr>
                  <w:r>
                    <w:t xml:space="preserve">2,649</w:t>
                  </w:r>
                </w:p>
              </w:tc>
              <w:tc>
                <w:tcPr/>
                <w:p>
                  <w:pPr>
                    <w:pStyle w:val="Compact"/>
                    <w:jc w:val="right"/>
                    <w:jc w:val="center"/>
                  </w:pPr>
                  <w:r>
                    <w:t xml:space="preserve">-116</w:t>
                  </w:r>
                </w:p>
              </w:tc>
              <w:tc>
                <w:tcPr/>
                <w:p>
                  <w:pPr>
                    <w:pStyle w:val="Compact"/>
                    <w:jc w:val="right"/>
                    <w:jc w:val="center"/>
                  </w:pPr>
                  <w:r>
                    <w:t xml:space="preserve">-320 to 89</w:t>
                  </w:r>
                </w:p>
              </w:tc>
              <w:tc>
                <w:tcPr/>
                <w:p>
                  <w:pPr>
                    <w:pStyle w:val="Compact"/>
                    <w:jc w:val="right"/>
                    <w:jc w:val="center"/>
                  </w:pPr>
                  <w:r>
                    <w:t xml:space="preserve">± 237</w:t>
                  </w:r>
                </w:p>
              </w:tc>
              <w:tc>
                <w:tcPr/>
                <w:p>
                  <w:pPr>
                    <w:pStyle w:val="Compact"/>
                    <w:jc w:val="right"/>
                    <w:jc w:val="center"/>
                  </w:pPr>
                  <w:r>
                    <w:t xml:space="preserve">No</w:t>
                  </w:r>
                </w:p>
              </w:tc>
            </w:tr>
            <w:tr>
              <w:tc>
                <w:tcPr/>
                <w:p>
                  <w:pPr>
                    <w:pStyle w:val="Compact"/>
                    <w:jc w:val="left"/>
                    <w:jc w:val="center"/>
                  </w:pPr>
                  <w:r>
                    <w:t xml:space="preserve">Peak asymmetry</w:t>
                  </w:r>
                </w:p>
              </w:tc>
              <w:tc>
                <w:tcPr/>
                <w:p>
                  <w:pPr>
                    <w:pStyle w:val="Compact"/>
                    <w:jc w:val="right"/>
                    <w:jc w:val="center"/>
                  </w:pPr>
                  <w:r>
                    <w:t xml:space="preserve">9 / 5</w:t>
                  </w:r>
                </w:p>
              </w:tc>
              <w:tc>
                <w:tcPr/>
                <w:p>
                  <w:pPr>
                    <w:pStyle w:val="Compact"/>
                    <w:jc w:val="right"/>
                    <w:jc w:val="center"/>
                  </w:pPr>
                  <w:r>
                    <w:t xml:space="preserve">1.20</w:t>
                  </w:r>
                </w:p>
              </w:tc>
              <w:tc>
                <w:tcPr/>
                <w:p>
                  <w:pPr>
                    <w:pStyle w:val="Compact"/>
                    <w:jc w:val="right"/>
                    <w:jc w:val="center"/>
                  </w:pPr>
                  <w:r>
                    <w:t xml:space="preserve">1.22</w:t>
                  </w:r>
                </w:p>
              </w:tc>
              <w:tc>
                <w:tcPr/>
                <w:p>
                  <w:pPr>
                    <w:pStyle w:val="Compact"/>
                    <w:jc w:val="right"/>
                    <w:jc w:val="center"/>
                  </w:pPr>
                  <w:r>
                    <w:t xml:space="preserve">-0.02</w:t>
                  </w:r>
                </w:p>
              </w:tc>
              <w:tc>
                <w:tcPr/>
                <w:p>
                  <w:pPr>
                    <w:pStyle w:val="Compact"/>
                    <w:jc w:val="right"/>
                    <w:jc w:val="center"/>
                  </w:pPr>
                  <w:r>
                    <w:t xml:space="preserve">-0.09 to 0.05</w:t>
                  </w:r>
                </w:p>
              </w:tc>
              <w:tc>
                <w:tcPr/>
                <w:p>
                  <w:pPr>
                    <w:pStyle w:val="Compact"/>
                    <w:jc w:val="right"/>
                    <w:jc w:val="center"/>
                  </w:pPr>
                  <w:r>
                    <w:t xml:space="preserve">± 0.12</w:t>
                  </w:r>
                </w:p>
              </w:tc>
              <w:tc>
                <w:tcPr/>
                <w:p>
                  <w:pPr>
                    <w:pStyle w:val="Compact"/>
                    <w:jc w:val="right"/>
                    <w:jc w:val="center"/>
                  </w:pPr>
                  <w:r>
                    <w:t xml:space="preserve">Yes</w:t>
                  </w:r>
                </w:p>
              </w:tc>
            </w:tr>
          </w:tbl>
          <w:bookmarkEnd w:id="36"/>
          <w:p/>
        </w:tc>
      </w:tr>
    </w:tbl>
    <w:p>
      <w:pPr>
        <w:pStyle w:val="BodyText"/>
      </w:pPr>
      <w:r>
        <w:t xml:space="preserve">The scale-down model met the equivalence criterion for 2 of the 5 outputs, pool host cell protein and peak asymmetry.</w:t>
      </w:r>
    </w:p>
    <w:p>
      <w:pPr>
        <w:pStyle w:val="BodyText"/>
      </w:pPr>
      <w:r>
        <w:t xml:space="preserve">For pool host cell protein the difference in means was -251 ng/mg, and the interval of -929 to 427 ng/mg lies within the margin of ± 1,026 ng/mg. The model is qualified for pool host cell protein.</w:t>
      </w:r>
    </w:p>
    <w:p>
      <w:pPr>
        <w:pStyle w:val="BodyText"/>
      </w:pPr>
      <w:r>
        <w:t xml:space="preserve">For leached Protein A the scale-down mean was 2.52 ppm against 3.70 ppm at manufacturing scale, and the whole confidence interval lies below zero. Each scale-down run was below the manufacturing mean. PCP-005 §5.1 accepts a difference that is consistent in direction and explained by a known scale effect, provided this report carries it into the interpretation. The difference is consistent in direction, and a scale effect on leached Protein A is recorded for this step. Its expected cause is the longer hold of the clarified harvest before capture at manufacturing scale, which gives host cell proteases more time to cleave ligand from the resin. This study does not test that cause. The difference was accepted as a known scale effect. It is carried into the interpretation of leached Protein A in</w:t>
      </w:r>
      <w:r>
        <w:t xml:space="preserve"> </w:t>
      </w:r>
      <w:hyperlink w:anchor="sec-rsm">
        <w:r>
          <w:rPr>
            <w:rStyle w:val="Hyperlink"/>
          </w:rPr>
          <w:t xml:space="preserve">Section 5.3</w:t>
        </w:r>
      </w:hyperlink>
      <w:r>
        <w:t xml:space="preserve">, where the design results are scaled by the ratio of the manufacturing mean to the scale-down mean, 1.47.</w:t>
      </w:r>
    </w:p>
    <w:p>
      <w:pPr>
        <w:pStyle w:val="BodyText"/>
      </w:pPr>
      <w:r>
        <w:t xml:space="preserve">For step yield the difference in means was -0.24 percentage points. The interval of -2.14 to 1.67 points extends beyond the margin of ± 2.11 on the low side, by 1.4 % of the margin, so equivalence was not shown. No known scale effect applies to step yield. Under criterion 1 of PCP-005 §7 the step yield model is therefore not used for any range or prediction. The yield effects reported in</w:t>
      </w:r>
      <w:r>
        <w:t xml:space="preserve"> </w:t>
      </w:r>
      <w:hyperlink w:anchor="sec-rsm">
        <w:r>
          <w:rPr>
            <w:rStyle w:val="Hyperlink"/>
          </w:rPr>
          <w:t xml:space="preserve">Section 5.3</w:t>
        </w:r>
      </w:hyperlink>
      <w:r>
        <w:t xml:space="preserve"> </w:t>
      </w:r>
      <w:r>
        <w:t xml:space="preserve">describe the scale-down model. Their direction, which both designs show, supports the KPP classes in</w:t>
      </w:r>
      <w:r>
        <w:t xml:space="preserve"> </w:t>
      </w:r>
      <w:hyperlink w:anchor="sec-class">
        <w:r>
          <w:rPr>
            <w:rStyle w:val="Hyperlink"/>
          </w:rPr>
          <w:t xml:space="preserve">Section 9</w:t>
        </w:r>
      </w:hyperlink>
      <w:r>
        <w:t xml:space="preserve">, and their size at manufacturing scale is not established.</w:t>
      </w:r>
    </w:p>
    <w:p>
      <w:pPr>
        <w:pStyle w:val="BodyText"/>
      </w:pPr>
      <w:r>
        <w:t xml:space="preserve">For column efficiency the scale-down column averaged 2,533 plates per metre against 2,649 at manufacturing scale. The interval of -320 to 89 extends beyond the margin of ± 237 on the low side, by 35 % of the margin, so equivalence was not shown. Peak asymmetry was equivalent. Column efficiency is a check of the packing and not a response of the characterization, so no result of this report depends on it directly. A lower plate count would broaden the peaks of the laboratory column. Pool host cell protein, which depends on how sharply the product elutes, was nevertheless shown equivalent.</w:t>
      </w:r>
    </w:p>
    <w:p>
      <w:pPr>
        <w:pStyle w:val="BodyText"/>
      </w:pPr>
      <w:r>
        <w:t xml:space="preserve">Fragments by nrCE-SDS were not part of the qualification, because the analytical method decision AMD-001 was taken after the model was qualified. The model is taken as representative for fragments on mechanism. Capture of Fc-bearing species and low-pH hinge hydrolysis do not depend on scale at equal bed height, residence time and elution pH.</w:t>
      </w:r>
    </w:p>
    <w:bookmarkEnd w:id="37"/>
    <w:bookmarkStart w:id="38" w:name="operation"/>
    <w:p>
      <w:pPr>
        <w:pStyle w:val="Heading2"/>
      </w:pPr>
      <w:r>
        <w:t xml:space="preserve">3.2 Operation</w:t>
      </w:r>
    </w:p>
    <w:p>
      <w:pPr>
        <w:pStyle w:val="FirstParagraph"/>
      </w:pPr>
      <w:r>
        <w:t xml:space="preserve">Each run followed SOP-2007 at laboratory scale. The column was equilibrated, loaded with clarified harvest to the target protein load, washed, and eluted with the elution buffer at the pH set by the design. The eluate was collected from the rise of the absorbance at 280 nm until the end of pool collect set by the design, in column volumes. The column was then stripped, cleaned and stored under SOP-2008. The pool was not neutralized, because the commercial eluate passes to low-pH viral inactivation at elution pH.</w:t>
      </w:r>
    </w:p>
    <w:p>
      <w:pPr>
        <w:pStyle w:val="BodyText"/>
      </w:pPr>
      <w:r>
        <w:t xml:space="preserve">Each design was loaded from one pool of clarified harvest produced at set-point and held frozen in aliquots. A single feed keeps feed variation out of the estimated effects. The effect of feed quality on the step was therefore not estimated in these studies. The case study reports that Protein A capture is robust over a wide range of feed inputs</w:t>
      </w:r>
      <w:r>
        <w:t xml:space="preserve"> </w:t>
      </w:r>
      <w:r>
        <w:t xml:space="preserve">(CMC Biotech Working Group 2009)</w:t>
      </w:r>
      <w:r>
        <w:t xml:space="preserve">, and the feed is characterized in PCR-003 and PCR-004. Runs were executed in random order within each design. The resin was used within the life-cycle limits of SOP-2008, and the life cycle of the resin is outside the scope of this report.</w:t>
      </w:r>
    </w:p>
    <w:bookmarkEnd w:id="38"/>
    <w:bookmarkStart w:id="40" w:name="analytical-methods"/>
    <w:p>
      <w:pPr>
        <w:pStyle w:val="Heading2"/>
      </w:pPr>
      <w:r>
        <w:t xml:space="preserve">3.3 Analytical methods</w:t>
      </w:r>
    </w:p>
    <w:p>
      <w:pPr>
        <w:pStyle w:val="FirstParagraph"/>
      </w:pPr>
      <w:r>
        <w:t xml:space="preserve">Each response was measured by a validated method under its own AMV. The controlled procedures and method validations used are listed below. The SOP and AMV numbers are placeholders.</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pPr>
            <w:r>
              <w:t xml:space="preserve">Reference</w:t>
            </w:r>
          </w:p>
        </w:tc>
        <w:tc>
          <w:tcPr/>
          <w:p>
            <w:pPr>
              <w:pStyle w:val="Compact"/>
              <w:jc w:val="left"/>
            </w:pPr>
            <w:r>
              <w:t xml:space="preserve">Title</w:t>
            </w:r>
          </w:p>
        </w:tc>
        <w:tc>
          <w:tcPr/>
          <w:p>
            <w:pPr>
              <w:pStyle w:val="Compact"/>
              <w:jc w:val="left"/>
            </w:pPr>
            <w:r>
              <w:t xml:space="preserve">Type</w:t>
            </w:r>
          </w:p>
        </w:tc>
      </w:tr>
      <w:tr>
        <w:tc>
          <w:tcPr/>
          <w:p>
            <w:pPr>
              <w:pStyle w:val="Compact"/>
              <w:jc w:val="left"/>
            </w:pPr>
            <w:r>
              <w:t xml:space="preserve">SOP-1001</w:t>
            </w:r>
          </w:p>
        </w:tc>
        <w:tc>
          <w:tcPr/>
          <w:p>
            <w:pPr>
              <w:pStyle w:val="Compact"/>
              <w:jc w:val="left"/>
            </w:pPr>
            <w:r>
              <w:t xml:space="preserve">Qualification of Scale-Down Models</w:t>
            </w:r>
          </w:p>
        </w:tc>
        <w:tc>
          <w:tcPr/>
          <w:p>
            <w:pPr>
              <w:pStyle w:val="Compact"/>
              <w:jc w:val="left"/>
            </w:pPr>
            <w:r>
              <w:t xml:space="preserve">SOP</w:t>
            </w:r>
          </w:p>
        </w:tc>
      </w:tr>
      <w:tr>
        <w:tc>
          <w:tcPr/>
          <w:p>
            <w:pPr>
              <w:pStyle w:val="Compact"/>
              <w:jc w:val="left"/>
            </w:pPr>
            <w:r>
              <w:t xml:space="preserve">SOP-1002</w:t>
            </w:r>
          </w:p>
        </w:tc>
        <w:tc>
          <w:tcPr/>
          <w:p>
            <w:pPr>
              <w:pStyle w:val="Compact"/>
              <w:jc w:val="left"/>
            </w:pPr>
            <w:r>
              <w:t xml:space="preserve">Design, Execution and Statistical Analysis of DoE Studies</w:t>
            </w:r>
          </w:p>
        </w:tc>
        <w:tc>
          <w:tcPr/>
          <w:p>
            <w:pPr>
              <w:pStyle w:val="Compact"/>
              <w:jc w:val="left"/>
            </w:pPr>
            <w:r>
              <w:t xml:space="preserve">SOP</w:t>
            </w:r>
          </w:p>
        </w:tc>
      </w:tr>
      <w:tr>
        <w:tc>
          <w:tcPr/>
          <w:p>
            <w:pPr>
              <w:pStyle w:val="Compact"/>
              <w:jc w:val="left"/>
            </w:pPr>
            <w:r>
              <w:t xml:space="preserve">SOP-2007</w:t>
            </w:r>
          </w:p>
        </w:tc>
        <w:tc>
          <w:tcPr/>
          <w:p>
            <w:pPr>
              <w:pStyle w:val="Compact"/>
              <w:jc w:val="left"/>
            </w:pPr>
            <w:r>
              <w:t xml:space="preserve">Operation of the Protein A Capture Chromatography Step</w:t>
            </w:r>
          </w:p>
        </w:tc>
        <w:tc>
          <w:tcPr/>
          <w:p>
            <w:pPr>
              <w:pStyle w:val="Compact"/>
              <w:jc w:val="left"/>
            </w:pPr>
            <w:r>
              <w:t xml:space="preserve">SOP</w:t>
            </w:r>
          </w:p>
        </w:tc>
      </w:tr>
      <w:tr>
        <w:tc>
          <w:tcPr/>
          <w:p>
            <w:pPr>
              <w:pStyle w:val="Compact"/>
              <w:jc w:val="left"/>
            </w:pPr>
            <w:r>
              <w:t xml:space="preserve">SOP-2008</w:t>
            </w:r>
          </w:p>
        </w:tc>
        <w:tc>
          <w:tcPr/>
          <w:p>
            <w:pPr>
              <w:pStyle w:val="Compact"/>
              <w:jc w:val="left"/>
            </w:pPr>
            <w:r>
              <w:t xml:space="preserve">Chromatography Resin Life-Cycle, Packing and Sanitization</w:t>
            </w:r>
          </w:p>
        </w:tc>
        <w:tc>
          <w:tcPr/>
          <w:p>
            <w:pPr>
              <w:pStyle w:val="Compact"/>
              <w:jc w:val="left"/>
            </w:pPr>
            <w:r>
              <w:t xml:space="preserve">SOP</w:t>
            </w:r>
          </w:p>
        </w:tc>
      </w:tr>
      <w:tr>
        <w:tc>
          <w:tcPr/>
          <w:p>
            <w:pPr>
              <w:pStyle w:val="Compact"/>
              <w:jc w:val="left"/>
            </w:pPr>
            <w:r>
              <w:t xml:space="preserve">SOP-4001</w:t>
            </w:r>
          </w:p>
        </w:tc>
        <w:tc>
          <w:tcPr/>
          <w:p>
            <w:pPr>
              <w:pStyle w:val="Compact"/>
              <w:jc w:val="left"/>
            </w:pPr>
            <w:r>
              <w:t xml:space="preserve">Process-Parameter Classification and Control-Strategy Definition</w:t>
            </w:r>
          </w:p>
        </w:tc>
        <w:tc>
          <w:tcPr/>
          <w:p>
            <w:pPr>
              <w:pStyle w:val="Compact"/>
              <w:jc w:val="left"/>
            </w:pPr>
            <w:r>
              <w:t xml:space="preserve">SOP</w:t>
            </w:r>
          </w:p>
        </w:tc>
      </w:tr>
      <w:tr>
        <w:tc>
          <w:tcPr/>
          <w:p>
            <w:pPr>
              <w:pStyle w:val="Compact"/>
              <w:jc w:val="left"/>
            </w:pPr>
            <w:r>
              <w:t xml:space="preserve">SOP-3015</w:t>
            </w:r>
          </w:p>
        </w:tc>
        <w:tc>
          <w:tcPr/>
          <w:p>
            <w:pPr>
              <w:pStyle w:val="Compact"/>
              <w:jc w:val="left"/>
            </w:pPr>
            <w:r>
              <w:t xml:space="preserve">Purity by Non-Reduced CE-SDS</w:t>
            </w:r>
          </w:p>
        </w:tc>
        <w:tc>
          <w:tcPr/>
          <w:p>
            <w:pPr>
              <w:pStyle w:val="Compact"/>
              <w:jc w:val="left"/>
            </w:pPr>
            <w:r>
              <w:t xml:space="preserve">SOP</w:t>
            </w:r>
          </w:p>
        </w:tc>
      </w:tr>
      <w:tr>
        <w:tc>
          <w:tcPr/>
          <w:p>
            <w:pPr>
              <w:pStyle w:val="Compact"/>
              <w:jc w:val="left"/>
            </w:pPr>
            <w:r>
              <w:t xml:space="preserve">AMV-3016</w:t>
            </w:r>
          </w:p>
        </w:tc>
        <w:tc>
          <w:tcPr/>
          <w:p>
            <w:pPr>
              <w:pStyle w:val="Compact"/>
              <w:jc w:val="left"/>
            </w:pPr>
            <w:r>
              <w:t xml:space="preserve">Leached Protein A by ELISA (ppm)</w:t>
            </w:r>
          </w:p>
        </w:tc>
        <w:tc>
          <w:tcPr/>
          <w:p>
            <w:pPr>
              <w:pStyle w:val="Compact"/>
              <w:jc w:val="left"/>
            </w:pPr>
            <w:r>
              <w:t xml:space="preserve">Method validation</w:t>
            </w:r>
          </w:p>
        </w:tc>
      </w:tr>
      <w:tr>
        <w:tc>
          <w:tcPr/>
          <w:p>
            <w:pPr>
              <w:pStyle w:val="Compact"/>
              <w:jc w:val="left"/>
            </w:pPr>
            <w:r>
              <w:t xml:space="preserve">AMV-3012</w:t>
            </w:r>
          </w:p>
        </w:tc>
        <w:tc>
          <w:tcPr/>
          <w:p>
            <w:pPr>
              <w:pStyle w:val="Compact"/>
              <w:jc w:val="left"/>
            </w:pPr>
            <w:r>
              <w:t xml:space="preserve">Host-Cell Protein ELISA</w:t>
            </w:r>
          </w:p>
        </w:tc>
        <w:tc>
          <w:tcPr/>
          <w:p>
            <w:pPr>
              <w:pStyle w:val="Compact"/>
              <w:jc w:val="left"/>
            </w:pPr>
            <w:r>
              <w:t xml:space="preserve">Method validation</w:t>
            </w:r>
          </w:p>
        </w:tc>
      </w:tr>
      <w:tr>
        <w:tc>
          <w:tcPr/>
          <w:p>
            <w:pPr>
              <w:pStyle w:val="Compact"/>
              <w:jc w:val="left"/>
            </w:pPr>
            <w:r>
              <w:t xml:space="preserve">AMV-3014</w:t>
            </w:r>
          </w:p>
        </w:tc>
        <w:tc>
          <w:tcPr/>
          <w:p>
            <w:pPr>
              <w:pStyle w:val="Compact"/>
              <w:jc w:val="left"/>
            </w:pPr>
            <w:r>
              <w:t xml:space="preserve">Residual DNA (qPCR)</w:t>
            </w:r>
          </w:p>
        </w:tc>
        <w:tc>
          <w:tcPr/>
          <w:p>
            <w:pPr>
              <w:pStyle w:val="Compact"/>
              <w:jc w:val="left"/>
            </w:pPr>
            <w:r>
              <w:t xml:space="preserve">Method validation</w:t>
            </w:r>
          </w:p>
        </w:tc>
      </w:tr>
      <w:tr>
        <w:tc>
          <w:tcPr/>
          <w:p>
            <w:pPr>
              <w:pStyle w:val="Compact"/>
              <w:jc w:val="left"/>
            </w:pPr>
            <w:r>
              <w:t xml:space="preserve">AMV-3011</w:t>
            </w:r>
          </w:p>
        </w:tc>
        <w:tc>
          <w:tcPr/>
          <w:p>
            <w:pPr>
              <w:pStyle w:val="Compact"/>
              <w:jc w:val="left"/>
            </w:pPr>
            <w:r>
              <w:t xml:space="preserve">Size-Variants (SEC-HPLC)</w:t>
            </w:r>
          </w:p>
        </w:tc>
        <w:tc>
          <w:tcPr/>
          <w:p>
            <w:pPr>
              <w:pStyle w:val="Compact"/>
              <w:jc w:val="left"/>
            </w:pPr>
            <w:r>
              <w:t xml:space="preserve">Method validation</w:t>
            </w:r>
          </w:p>
        </w:tc>
      </w:tr>
      <w:tr>
        <w:tc>
          <w:tcPr/>
          <w:p>
            <w:pPr>
              <w:pStyle w:val="Compact"/>
              <w:jc w:val="left"/>
            </w:pPr>
            <w:r>
              <w:t xml:space="preserve">AMV-3019</w:t>
            </w:r>
          </w:p>
        </w:tc>
        <w:tc>
          <w:tcPr/>
          <w:p>
            <w:pPr>
              <w:pStyle w:val="Compact"/>
              <w:jc w:val="left"/>
            </w:pPr>
            <w:r>
              <w:t xml:space="preserve">Protein Concentration by A280 (UV)</w:t>
            </w:r>
          </w:p>
        </w:tc>
        <w:tc>
          <w:tcPr/>
          <w:p>
            <w:pPr>
              <w:pStyle w:val="Compact"/>
              <w:jc w:val="left"/>
            </w:pPr>
            <w:r>
              <w:t xml:space="preserve">Method validation</w:t>
            </w:r>
          </w:p>
        </w:tc>
      </w:tr>
      <w:tr>
        <w:tc>
          <w:tcPr/>
          <w:p>
            <w:pPr>
              <w:pStyle w:val="Compact"/>
              <w:jc w:val="left"/>
            </w:pPr>
            <w:r>
              <w:t xml:space="preserve">AMV-3013</w:t>
            </w:r>
          </w:p>
        </w:tc>
        <w:tc>
          <w:tcPr/>
          <w:p>
            <w:pPr>
              <w:pStyle w:val="Compact"/>
              <w:jc w:val="left"/>
            </w:pPr>
            <w:r>
              <w:t xml:space="preserve">Charge Variants (icIEF)</w:t>
            </w:r>
          </w:p>
        </w:tc>
        <w:tc>
          <w:tcPr/>
          <w:p>
            <w:pPr>
              <w:pStyle w:val="Compact"/>
              <w:jc w:val="left"/>
            </w:pPr>
            <w:r>
              <w:t xml:space="preserve">Method validation</w:t>
            </w:r>
          </w:p>
        </w:tc>
      </w:tr>
      <w:tr>
        <w:tc>
          <w:tcPr/>
          <w:p>
            <w:pPr>
              <w:pStyle w:val="Compact"/>
              <w:jc w:val="left"/>
            </w:pPr>
            <w:r>
              <w:t xml:space="preserve">AMV-3020</w:t>
            </w:r>
          </w:p>
        </w:tc>
        <w:tc>
          <w:tcPr/>
          <w:p>
            <w:pPr>
              <w:pStyle w:val="Compact"/>
              <w:jc w:val="left"/>
            </w:pPr>
            <w:r>
              <w:t xml:space="preserve">Purity (non-reduced CE-SDS)</w:t>
            </w:r>
          </w:p>
        </w:tc>
        <w:tc>
          <w:tcPr/>
          <w:p>
            <w:pPr>
              <w:pStyle w:val="Compact"/>
              <w:jc w:val="left"/>
            </w:pPr>
            <w:r>
              <w:t xml:space="preserve">Method validation</w:t>
            </w:r>
          </w:p>
        </w:tc>
      </w:tr>
    </w:tbl>
    <w:p>
      <w:pPr>
        <w:pStyle w:val="BodyText"/>
      </w:pPr>
      <w:r>
        <w:t xml:space="preserve">Pool host cell protein was measured by ELISA (AMV-3012) and is reported per mass of antibody in the pool, so that it does not depend on how far the pool is diluted by the end of pool collect. Step yield is the mass of antibody in the pool divided by the mass loaded, from the protein concentration by absorbance at 280 nm (AMV-3019) and the measured volumes. Leached Protein A was measured by ELISA (AMV-3016). Fragments were measured by nrCE-SDS (AMV-3020, under SOP-3015), as PCMP-001 §7.8 sets for every step. SEC (AMV-3011) remains the method for aggregate, where no co-elution of this kind applies. Acidic variants in the hold study were measured by icIEF (AMV-3013), and residual DNA by qPCR (AMV-3014).</w:t>
      </w:r>
      <w:r>
        <w:t xml:space="preserve"> </w:t>
      </w:r>
      <w:hyperlink w:anchor="tbl-methods-by-study">
        <w:r>
          <w:rPr>
            <w:rStyle w:val="Hyperlink"/>
          </w:rPr>
          <w:t xml:space="preserve">Table 5</w:t>
        </w:r>
      </w:hyperlink>
      <w:r>
        <w:t xml:space="preserve"> </w:t>
      </w:r>
      <w:r>
        <w:t xml:space="preserve">shows which method measured fragments in which study of the step, and Appendix D summarizes the methods.</w:t>
      </w:r>
    </w:p>
    <w:tbl>
      <w:tblPr>
        <w:tblStyle w:val="Table"/>
        <w:tblW w:type="pct" w:w="5000"/>
        <w:tblLayout w:type="fixed"/>
        <w:tblLook w:firstRow="0" w:lastRow="0" w:firstColumn="0" w:lastColumn="0" w:noHBand="0" w:noVBand="0" w:val="0000"/>
      </w:tblPr>
      <w:tblGrid>
        <w:gridCol w:w="7920"/>
      </w:tblGrid>
      <w:tr>
        <w:tc>
          <w:tcPr/>
          <w:bookmarkStart w:id="39" w:name="tbl-methods-by-study"/>
          <w:p>
            <w:pPr>
              <w:jc w:val="center"/>
            </w:pPr>
            <w:pPr>
              <w:jc w:val="start"/>
              <w:spacing w:before="200"/>
              <w:pStyle w:val="ImageCaption"/>
            </w:pPr>
            <w:r>
              <w:t xml:space="preserve">Table 5: Methods used for size variants, by step and study.</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b)</w:t>
                  </w:r>
                  <w:r>
                    <w:t xml:space="preserve"> </w:t>
                  </w:r>
                  <w:r>
                    <w:t xml:space="preserve">Retained response-surface samples, tested 2026-04-06 to 2026-04-17.</w:t>
                  </w:r>
                </w:p>
              </w:tc>
            </w:tr>
          </w:tbl>
          <w:bookmarkEnd w:id="39"/>
          <w:p/>
        </w:tc>
      </w:tr>
    </w:tbl>
    <w:p>
      <w:pPr>
        <w:pStyle w:val="BodyText"/>
      </w:pPr>
      <w:r>
        <w:t xml:space="preserve">The screening design ran before AMD-001, and its pools were not retained. Its fragment results are by SEC only and are not used for any decision. The response-surface pools were retained frozen and were tested by nrCE-SDS in study S-PA-RET (2026-04-06 to 2026-04-17). On those pools SEC read fragments higher than nrCE-SDS by 0.12 to 1.37 percentage points (median 0.36), which is the bias that INV-001 finding 6 describes for a matrix that still carries host cell protein.</w:t>
      </w:r>
    </w:p>
    <w:bookmarkEnd w:id="40"/>
    <w:bookmarkStart w:id="41" w:name="sampling-plan"/>
    <w:p>
      <w:pPr>
        <w:pStyle w:val="Heading2"/>
      </w:pPr>
      <w:r>
        <w:t xml:space="preserve">3.4 Sampling plan</w:t>
      </w:r>
    </w:p>
    <w:p>
      <w:pPr>
        <w:pStyle w:val="FirstParagraph"/>
      </w:pPr>
      <w:r>
        <w:t xml:space="preserve">The load of each design was sampled once per feed aliquot thawed. The pool of every run was sampled once at the end of collection, after mixing, and its volume was recorded. Each pool sample was divided into aliquots for each method. One further aliquot of every response-surface pool was retained frozen under the sample management procedure of Analytical Development, and these are the samples tested by nrCE-SDS in study S-PA-RET. The screening design had 3 centre points and the response-surface design 4. Residual DNA was measured on the load and pool of the centre-point runs. The hold study was sampled as described in</w:t>
      </w:r>
      <w:r>
        <w:t xml:space="preserve"> </w:t>
      </w:r>
      <w:hyperlink w:anchor="sec-holddesign">
        <w:r>
          <w:rPr>
            <w:rStyle w:val="Hyperlink"/>
          </w:rPr>
          <w:t xml:space="preserve">Section 4.5</w:t>
        </w:r>
      </w:hyperlink>
      <w:r>
        <w:t xml:space="preserve">.</w:t>
      </w:r>
    </w:p>
    <w:bookmarkEnd w:id="41"/>
    <w:bookmarkStart w:id="42" w:name="statistical-methods"/>
    <w:p>
      <w:pPr>
        <w:pStyle w:val="Heading2"/>
      </w:pPr>
      <w:r>
        <w:t xml:space="preserve">3.5 Statistical methods</w:t>
      </w:r>
    </w:p>
    <w:p>
      <w:pPr>
        <w:pStyle w:val="FirstParagraph"/>
      </w:pPr>
      <w:r>
        <w:t xml:space="preserve">The designs were built and analysed under SOP-1002 with the common approach of PCMP-001 §6. Factors were coded from −1 to +1 over their range studied, with 0 at the centre. For each of the 4 design factors the centre of the range studied is the set-point, so the centre-point runs of both designs are set-point runs.</w:t>
      </w:r>
    </w:p>
    <w:p>
      <w:pPr>
        <w:pStyle w:val="BodyText"/>
      </w:pPr>
      <w:r>
        <w:t xml:space="preserve">The screening data were fitted with a model of main effects and two-factor interactions. Effects are reported as the change in the response over the coded range of the factor, which is twice the coefficient. Significance was judged at α = 0.05. The screening model identifies effects. A two-level design cannot resolve curvature, so the screening model was not used to predict between its corners.</w:t>
      </w:r>
    </w:p>
    <w:p>
      <w:pPr>
        <w:pStyle w:val="BodyText"/>
      </w:pPr>
      <w:r>
        <w:t xml:space="preserve">The response-surface data were fitted with a full quadratic model. This is the predictive model of the step, and every PAR and every prediction of a quality attribute in this report comes from it. Step yield is the exception, because its full quadratic model failed criterion 4 and was replaced by a reduced model (</w:t>
      </w:r>
      <w:hyperlink w:anchor="sec-rsm">
        <w:r>
          <w:rPr>
            <w:rStyle w:val="Hyperlink"/>
          </w:rPr>
          <w:t xml:space="preserve">Section 5.3</w:t>
        </w:r>
      </w:hyperlink>
      <w:r>
        <w:t xml:space="preserve">). Coefficients are reported in coded units, so that each measures the change in the response over half the range studied. Effects quoted from them are twice the coefficient. Each model is reported with R², adjusted R² and predicted R² (from PRESS), the model F-test, and the test of lack of fit against pure error from the centre points. The adequacy criteria of PCP-005 §7 were applied as follows.</w:t>
      </w:r>
    </w:p>
    <w:p>
      <w:pPr>
        <w:pStyle w:val="BodyText"/>
      </w:pPr>
      <w:r>
        <w:t xml:space="preserve">The numbers are those of PCP-005 §7, where criterion 1 is the qualification of the scale-down model (</w:t>
      </w:r>
      <w:hyperlink w:anchor="sec-sdm">
        <w:r>
          <w:rPr>
            <w:rStyle w:val="Hyperlink"/>
          </w:rPr>
          <w:t xml:space="preserve">Section 3.1</w:t>
        </w:r>
      </w:hyperlink>
      <w:r>
        <w:t xml:space="preserve">).</w:t>
      </w:r>
    </w:p>
    <w:p>
      <w:pPr>
        <w:pStyle w:val="Compact"/>
        <w:numPr>
          <w:ilvl w:val="0"/>
          <w:numId w:val="1004"/>
        </w:numPr>
      </w:pPr>
      <w:r>
        <w:t xml:space="preserve">Model significance. The model F-test is significant at α = 0.05.</w:t>
      </w:r>
    </w:p>
    <w:p>
      <w:pPr>
        <w:pStyle w:val="Compact"/>
        <w:numPr>
          <w:ilvl w:val="0"/>
          <w:numId w:val="1004"/>
        </w:numPr>
      </w:pPr>
      <w:r>
        <w:t xml:space="preserve">Lack of fit. The lack of fit test is not significant at α = 0.05.</w:t>
      </w:r>
    </w:p>
    <w:p>
      <w:pPr>
        <w:pStyle w:val="Compact"/>
        <w:numPr>
          <w:ilvl w:val="0"/>
          <w:numId w:val="1004"/>
        </w:numPr>
      </w:pPr>
      <w:r>
        <w:t xml:space="preserve">Predictive power. Predicted R² falls short of R² by no more than 0.20.</w:t>
      </w:r>
    </w:p>
    <w:p>
      <w:pPr>
        <w:pStyle w:val="Compact"/>
        <w:numPr>
          <w:ilvl w:val="0"/>
          <w:numId w:val="1004"/>
        </w:numPr>
      </w:pPr>
      <w:r>
        <w:t xml:space="preserve">Residuals. Regressions of the absolute residuals on the predicted values, and of the residuals on run order, show no slope significant at α = 0.05, and no run has a Cook’s distance above 4/n (0.14 for 28 runs).</w:t>
      </w:r>
    </w:p>
    <w:p>
      <w:pPr>
        <w:pStyle w:val="FirstParagraph"/>
      </w:pPr>
      <w:r>
        <w:t xml:space="preserve">A model that fails criterion 3 or 4 was refitted with a justified change of terms, or it was not used to set a range. Where no adequate model resulted, the response is reported descriptively against its criterion over the runs of the design.</w:t>
      </w:r>
    </w:p>
    <w:p>
      <w:pPr>
        <w:pStyle w:val="BodyText"/>
      </w:pPr>
      <w:r>
        <w:t xml:space="preserve">The PAR analysis follows PCMP-001 §6.4 and is described in</w:t>
      </w:r>
      <w:r>
        <w:t xml:space="preserve"> </w:t>
      </w:r>
      <w:hyperlink w:anchor="sec-par">
        <w:r>
          <w:rPr>
            <w:rStyle w:val="Hyperlink"/>
          </w:rPr>
          <w:t xml:space="preserve">Section 7</w:t>
        </w:r>
      </w:hyperlink>
      <w:r>
        <w:t xml:space="preserve">. Capability at commercial scale was estimated from the integrated model of the train, which runs 2,000 simulated batches with each parameter drawn within its NOR. Capability is reported as a one-sided Cpk against the drug substance criterion for each attribute of this step, and is judged against the target of 1.33 and the minimum of 1.00 that PCMP-001 §7.9 sets, and the same simulation gives the probability of an out-of-specification drug substance.</w:t>
      </w:r>
    </w:p>
    <w:bookmarkEnd w:id="42"/>
    <w:bookmarkEnd w:id="43"/>
    <w:bookmarkStart w:id="52" w:name="study-design"/>
    <w:p>
      <w:pPr>
        <w:pStyle w:val="Heading1"/>
      </w:pPr>
      <w:r>
        <w:t xml:space="preserve">4. Study design</w:t>
      </w:r>
    </w:p>
    <w:bookmarkStart w:id="47" w:name="factors-ranges-and-the-knowledge-space"/>
    <w:p>
      <w:pPr>
        <w:pStyle w:val="Heading2"/>
      </w:pPr>
      <w:r>
        <w:t xml:space="preserve">4.1 Factors, ranges and the knowledge space</w:t>
      </w:r>
    </w:p>
    <w:p>
      <w:pPr>
        <w:pStyle w:val="FirstParagraph"/>
      </w:pPr>
      <w:hyperlink w:anchor="tbl-params">
        <w:r>
          <w:rPr>
            <w:rStyle w:val="Hyperlink"/>
          </w:rPr>
          <w:t xml:space="preserve">Table 6</w:t>
        </w:r>
      </w:hyperlink>
      <w:r>
        <w:t xml:space="preserve"> </w:t>
      </w:r>
      <w:r>
        <w:t xml:space="preserve">lists the parameters of the step with their set-point, NOR, range studied, study type and the classification proposed in</w:t>
      </w:r>
      <w:r>
        <w:t xml:space="preserve"> </w:t>
      </w:r>
      <w:hyperlink w:anchor="sec-class">
        <w:r>
          <w:rPr>
            <w:rStyle w:val="Hyperlink"/>
          </w:rPr>
          <w:t xml:space="preserve">Section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params"/>
          <w:p>
            <w:pPr>
              <w:jc w:val="center"/>
            </w:pPr>
            <w:pPr>
              <w:jc w:val="start"/>
              <w:spacing w:before="200"/>
              <w:pStyle w:val="ImageCaption"/>
            </w:pPr>
            <w:r>
              <w:t xml:space="preserve">Table 6: Parameters of the Protein A step with set-point, NOR, range studied (Char. range), classification and study type.</w:t>
            </w:r>
          </w:p>
          <w:tbl>
            <w:tblPr>
              <w:tblStyle w:val="Table"/>
              <w:tblW w:type="pct" w:w="5000"/>
              <w:tblLayout w:type="fixed"/>
              <w:tblLook w:firstRow="1" w:lastRow="0" w:firstColumn="0" w:lastColumn="0" w:noHBand="0" w:noVBand="0" w:val="0020"/>
            </w:tblPr>
            <w:tblGrid>
              <w:gridCol w:w="1937"/>
              <w:gridCol w:w="926"/>
              <w:gridCol w:w="1095"/>
              <w:gridCol w:w="758"/>
              <w:gridCol w:w="1263"/>
              <w:gridCol w:w="758"/>
              <w:gridCol w:w="1179"/>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Protein load</w:t>
                  </w:r>
                </w:p>
              </w:tc>
              <w:tc>
                <w:tcPr/>
                <w:p>
                  <w:pPr>
                    <w:pStyle w:val="Compact"/>
                    <w:jc w:val="left"/>
                    <w:jc w:val="center"/>
                  </w:pPr>
                  <w:r>
                    <w:t xml:space="preserve">g/L resin</w:t>
                  </w:r>
                </w:p>
              </w:tc>
              <w:tc>
                <w:tcPr/>
                <w:p>
                  <w:pPr>
                    <w:pStyle w:val="Compact"/>
                    <w:jc w:val="right"/>
                    <w:jc w:val="center"/>
                  </w:pPr>
                  <w:r>
                    <w:t xml:space="preserve">30</w:t>
                  </w:r>
                </w:p>
              </w:tc>
              <w:tc>
                <w:tcPr/>
                <w:p>
                  <w:pPr>
                    <w:pStyle w:val="Compact"/>
                    <w:jc w:val="left"/>
                    <w:jc w:val="center"/>
                  </w:pPr>
                  <w:r>
                    <w:t xml:space="preserve">20–40</w:t>
                  </w:r>
                </w:p>
              </w:tc>
              <w:tc>
                <w:tcPr/>
                <w:p>
                  <w:pPr>
                    <w:pStyle w:val="Compact"/>
                    <w:jc w:val="left"/>
                    <w:jc w:val="center"/>
                  </w:pPr>
                  <w:r>
                    <w:t xml:space="preserve">10–50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Elution buffer pH</w:t>
                  </w:r>
                </w:p>
              </w:tc>
              <w:tc>
                <w:tcPr/>
                <w:p>
                  <w:pPr>
                    <w:pStyle w:val="Compact"/>
                    <w:jc w:val="left"/>
                    <w:jc w:val="center"/>
                  </w:pPr>
                  <w:r>
                    <w:t xml:space="preserve">pH</w:t>
                  </w:r>
                </w:p>
              </w:tc>
              <w:tc>
                <w:tcPr/>
                <w:p>
                  <w:pPr>
                    <w:pStyle w:val="Compact"/>
                    <w:jc w:val="right"/>
                    <w:jc w:val="center"/>
                  </w:pPr>
                  <w:r>
                    <w:t xml:space="preserve">3.55</w:t>
                  </w:r>
                </w:p>
              </w:tc>
              <w:tc>
                <w:tcPr/>
                <w:p>
                  <w:pPr>
                    <w:pStyle w:val="Compact"/>
                    <w:jc w:val="left"/>
                    <w:jc w:val="center"/>
                  </w:pPr>
                  <w:r>
                    <w:t xml:space="preserve">3.4–3.7</w:t>
                  </w:r>
                </w:p>
              </w:tc>
              <w:tc>
                <w:tcPr/>
                <w:p>
                  <w:pPr>
                    <w:pStyle w:val="Compact"/>
                    <w:jc w:val="left"/>
                    <w:jc w:val="center"/>
                  </w:pPr>
                  <w:r>
                    <w:t xml:space="preserve">3.2–3.9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Load flow rate</w:t>
                  </w:r>
                </w:p>
              </w:tc>
              <w:tc>
                <w:tcPr/>
                <w:p>
                  <w:pPr>
                    <w:pStyle w:val="Compact"/>
                    <w:jc w:val="left"/>
                    <w:jc w:val="center"/>
                  </w:pPr>
                  <w:r>
                    <w:t xml:space="preserve">cm/hr</w:t>
                  </w:r>
                </w:p>
              </w:tc>
              <w:tc>
                <w:tcPr/>
                <w:p>
                  <w:pPr>
                    <w:pStyle w:val="Compact"/>
                    <w:jc w:val="right"/>
                    <w:jc w:val="center"/>
                  </w:pPr>
                  <w:r>
                    <w:t xml:space="preserve">200</w:t>
                  </w:r>
                </w:p>
              </w:tc>
              <w:tc>
                <w:tcPr/>
                <w:p>
                  <w:pPr>
                    <w:pStyle w:val="Compact"/>
                    <w:jc w:val="left"/>
                    <w:jc w:val="center"/>
                  </w:pPr>
                  <w:r>
                    <w:t xml:space="preserve">150–250</w:t>
                  </w:r>
                </w:p>
              </w:tc>
              <w:tc>
                <w:tcPr/>
                <w:p>
                  <w:pPr>
                    <w:pStyle w:val="Compact"/>
                    <w:jc w:val="left"/>
                    <w:jc w:val="center"/>
                  </w:pPr>
                  <w:r>
                    <w:t xml:space="preserve">100–300</w:t>
                  </w:r>
                </w:p>
              </w:tc>
              <w:tc>
                <w:tcPr/>
                <w:p>
                  <w:pPr>
                    <w:pStyle w:val="Compact"/>
                    <w:jc w:val="left"/>
                    <w:jc w:val="center"/>
                  </w:pPr>
                  <w:r>
                    <w:t xml:space="preserve">KPP</w:t>
                  </w:r>
                </w:p>
              </w:tc>
              <w:tc>
                <w:tcPr/>
                <w:p>
                  <w:pPr>
                    <w:pStyle w:val="Compact"/>
                    <w:jc w:val="left"/>
                    <w:jc w:val="center"/>
                  </w:pPr>
                  <w:r>
                    <w:t xml:space="preserve">multivariate</w:t>
                  </w:r>
                </w:p>
              </w:tc>
            </w:tr>
            <w:tr>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right"/>
                    <w:jc w:val="center"/>
                  </w:pPr>
                  <w:r>
                    <w:t xml:space="preserve">2.6</w:t>
                  </w:r>
                </w:p>
              </w:tc>
              <w:tc>
                <w:tcPr/>
                <w:p>
                  <w:pPr>
                    <w:pStyle w:val="Compact"/>
                    <w:jc w:val="left"/>
                    <w:jc w:val="center"/>
                  </w:pPr>
                  <w:r>
                    <w:t xml:space="preserve">2.3–2.9</w:t>
                  </w:r>
                </w:p>
              </w:tc>
              <w:tc>
                <w:tcPr/>
                <w:p>
                  <w:pPr>
                    <w:pStyle w:val="Compact"/>
                    <w:jc w:val="left"/>
                    <w:jc w:val="center"/>
                  </w:pPr>
                  <w:r>
                    <w:t xml:space="preserve">2–3.2</w:t>
                  </w:r>
                </w:p>
              </w:tc>
              <w:tc>
                <w:tcPr/>
                <w:p>
                  <w:pPr>
                    <w:pStyle w:val="Compact"/>
                    <w:jc w:val="left"/>
                    <w:jc w:val="center"/>
                  </w:pPr>
                  <w:r>
                    <w:t xml:space="preserve">KPP</w:t>
                  </w:r>
                </w:p>
              </w:tc>
              <w:tc>
                <w:tcPr/>
                <w:p>
                  <w:pPr>
                    <w:pStyle w:val="Compact"/>
                    <w:jc w:val="left"/>
                    <w:jc w:val="center"/>
                  </w:pPr>
                  <w:r>
                    <w:t xml:space="preserve">multivariate</w:t>
                  </w:r>
                </w:p>
              </w:tc>
            </w:tr>
            <w:tr>
              <w:tc>
                <w:tcPr/>
                <w:p>
                  <w:pPr>
                    <w:pStyle w:val="Compact"/>
                    <w:jc w:val="left"/>
                    <w:jc w:val="center"/>
                  </w:pPr>
                  <w:r>
                    <w:t xml:space="preserve">Operating temperature</w:t>
                  </w:r>
                </w:p>
              </w:tc>
              <w:tc>
                <w:tcPr/>
                <w:p>
                  <w:pPr>
                    <w:pStyle w:val="Compact"/>
                    <w:jc w:val="left"/>
                    <w:jc w:val="center"/>
                  </w:pPr>
                  <w:r>
                    <w:t xml:space="preserve">°C</w:t>
                  </w:r>
                </w:p>
              </w:tc>
              <w:tc>
                <w:tcPr/>
                <w:p>
                  <w:pPr>
                    <w:pStyle w:val="Compact"/>
                    <w:jc w:val="right"/>
                    <w:jc w:val="center"/>
                  </w:pPr>
                  <w:r>
                    <w:t xml:space="preserve">22</w:t>
                  </w:r>
                </w:p>
              </w:tc>
              <w:tc>
                <w:tcPr/>
                <w:p>
                  <w:pPr>
                    <w:pStyle w:val="Compact"/>
                    <w:jc w:val="left"/>
                    <w:jc w:val="center"/>
                  </w:pPr>
                  <w:r>
                    <w:t xml:space="preserve">18–26</w:t>
                  </w:r>
                </w:p>
              </w:tc>
              <w:tc>
                <w:tcPr/>
                <w:p>
                  <w:pPr>
                    <w:pStyle w:val="Compact"/>
                    <w:jc w:val="left"/>
                    <w:jc w:val="center"/>
                  </w:pPr>
                  <w:r>
                    <w:t xml:space="preserve">15–30</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Bed height</w:t>
                  </w:r>
                </w:p>
              </w:tc>
              <w:tc>
                <w:tcPr/>
                <w:p>
                  <w:pPr>
                    <w:pStyle w:val="Compact"/>
                    <w:jc w:val="left"/>
                    <w:jc w:val="center"/>
                  </w:pPr>
                  <w:r>
                    <w:t xml:space="preserve">cm</w:t>
                  </w:r>
                </w:p>
              </w:tc>
              <w:tc>
                <w:tcPr/>
                <w:p>
                  <w:pPr>
                    <w:pStyle w:val="Compact"/>
                    <w:jc w:val="right"/>
                    <w:jc w:val="center"/>
                  </w:pPr>
                  <w:r>
                    <w:t xml:space="preserve">20</w:t>
                  </w:r>
                </w:p>
              </w:tc>
              <w:tc>
                <w:tcPr/>
                <w:p>
                  <w:pPr>
                    <w:pStyle w:val="Compact"/>
                    <w:jc w:val="left"/>
                    <w:jc w:val="center"/>
                  </w:pPr>
                  <w:r>
                    <w:t xml:space="preserve">15–25</w:t>
                  </w:r>
                </w:p>
              </w:tc>
              <w:tc>
                <w:tcPr/>
                <w:p>
                  <w:pPr>
                    <w:pStyle w:val="Compact"/>
                    <w:jc w:val="left"/>
                    <w:jc w:val="center"/>
                  </w:pPr>
                  <w:r>
                    <w:t xml:space="preserve">10–30</w:t>
                  </w:r>
                </w:p>
              </w:tc>
              <w:tc>
                <w:tcPr/>
                <w:p>
                  <w:pPr>
                    <w:pStyle w:val="Compact"/>
                    <w:jc w:val="left"/>
                    <w:jc w:val="center"/>
                  </w:pPr>
                  <w:r>
                    <w:t xml:space="preserve">GPP</w:t>
                  </w:r>
                </w:p>
              </w:tc>
              <w:tc>
                <w:tcPr/>
                <w:p>
                  <w:pPr>
                    <w:pStyle w:val="Compact"/>
                    <w:jc w:val="left"/>
                    <w:jc w:val="center"/>
                  </w:pPr>
                  <w:r>
                    <w:t xml:space="preserve">univariate</w:t>
                  </w:r>
                </w:p>
              </w:tc>
            </w:tr>
          </w:tbl>
          <w:bookmarkEnd w:id="44"/>
          <w:p/>
        </w:tc>
      </w:tr>
    </w:tbl>
    <w:p>
      <w:pPr>
        <w:pStyle w:val="BodyText"/>
      </w:pPr>
      <w:r>
        <w:t xml:space="preserve">Load flow rate is set as a linear velocity, so at the set-point bed height it fixes the residence time. The residence time is 6 min at the set-point flow rate, and over the range studied it runs from 4 min at the highest flow to 12 min at the lowest. The upper end of the flow range therefore tests the shortest residence time against the highest load, which is the condition most likely to cause breakthrough. The lower end of the elution pH range tests the strongest elution and the largest release of weakly bound host cell protein. The upper end tests the weakest elution, with the broadest peak and the least co-eluting host cell protein.</w:t>
      </w:r>
      <w:r>
        <w:t xml:space="preserve"> </w:t>
      </w:r>
      <w:hyperlink w:anchor="tbl-legend">
        <w:r>
          <w:rPr>
            <w:rStyle w:val="Hyperlink"/>
          </w:rPr>
          <w:t xml:space="preserve">Table 7</w:t>
        </w:r>
      </w:hyperlink>
      <w:r>
        <w:t xml:space="preserve"> </w:t>
      </w:r>
      <w:r>
        <w:t xml:space="preserve">gives the letter code of each design factor, which the coefficient tables and the appendices use.</w:t>
      </w:r>
    </w:p>
    <w:tbl>
      <w:tblPr>
        <w:tblStyle w:val="Table"/>
        <w:tblW w:type="pct" w:w="5000"/>
        <w:tblLayout w:type="fixed"/>
        <w:tblLook w:firstRow="0" w:lastRow="0" w:firstColumn="0" w:lastColumn="0" w:noHBand="0" w:noVBand="0" w:val="0000"/>
      </w:tblPr>
      <w:tblGrid>
        <w:gridCol w:w="7920"/>
      </w:tblGrid>
      <w:tr>
        <w:tc>
          <w:tcPr/>
          <w:bookmarkStart w:id="45" w:name="tbl-legend"/>
          <w:p>
            <w:pPr>
              <w:jc w:val="center"/>
            </w:pPr>
            <w:pPr>
              <w:jc w:val="start"/>
              <w:spacing w:before="200"/>
              <w:pStyle w:val="ImageCaption"/>
            </w:pPr>
            <w:r>
              <w:t xml:space="preserve">Table 7: Letter codes of the design factors.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Protein load</w:t>
                  </w:r>
                </w:p>
              </w:tc>
              <w:tc>
                <w:tcPr/>
                <w:p>
                  <w:pPr>
                    <w:pStyle w:val="Compact"/>
                    <w:jc w:val="left"/>
                    <w:jc w:val="center"/>
                  </w:pPr>
                  <w:r>
                    <w:t xml:space="preserve">g/L resin</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Elution buffer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Load flow rate</w:t>
                  </w:r>
                </w:p>
              </w:tc>
              <w:tc>
                <w:tcPr/>
                <w:p>
                  <w:pPr>
                    <w:pStyle w:val="Compact"/>
                    <w:jc w:val="left"/>
                    <w:jc w:val="center"/>
                  </w:pPr>
                  <w:r>
                    <w:t xml:space="preserve">cm/hr</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End of pool collect</w:t>
                  </w:r>
                </w:p>
              </w:tc>
              <w:tc>
                <w:tcPr/>
                <w:p>
                  <w:pPr>
                    <w:pStyle w:val="Compact"/>
                    <w:jc w:val="left"/>
                    <w:jc w:val="center"/>
                  </w:pPr>
                  <w:r>
                    <w:t xml:space="preserve">CV</w:t>
                  </w:r>
                </w:p>
              </w:tc>
              <w:tc>
                <w:tcPr/>
                <w:p>
                  <w:pPr>
                    <w:pStyle w:val="Compact"/>
                    <w:jc w:val="left"/>
                    <w:jc w:val="center"/>
                  </w:pPr>
                  <w:r>
                    <w:t xml:space="preserve">screening + RSM</w:t>
                  </w:r>
                </w:p>
              </w:tc>
            </w:tr>
          </w:tbl>
          <w:bookmarkEnd w:id="45"/>
          <w:p/>
        </w:tc>
      </w:tr>
    </w:tbl>
    <w:p>
      <w:pPr>
        <w:pStyle w:val="BodyText"/>
      </w:pPr>
      <w:r>
        <w:t xml:space="preserve">The execution window of every study of the step is recorded in</w:t>
      </w:r>
      <w:r>
        <w:t xml:space="preserve"> </w:t>
      </w:r>
      <w:hyperlink w:anchor="tbl-chronology">
        <w:r>
          <w:rPr>
            <w:rStyle w:val="Hyperlink"/>
          </w:rPr>
          <w:t xml:space="preserve">Table 8</w:t>
        </w:r>
      </w:hyperlink>
      <w:r>
        <w:t xml:space="preserve">. Each study began after PCP-005 Version 1.0 was approved on 2025-11-03.</w:t>
      </w:r>
    </w:p>
    <w:tbl>
      <w:tblPr>
        <w:tblStyle w:val="Table"/>
        <w:tblW w:type="pct" w:w="5000"/>
        <w:tblLayout w:type="fixed"/>
        <w:tblLook w:firstRow="0" w:lastRow="0" w:firstColumn="0" w:lastColumn="0" w:noHBand="0" w:noVBand="0" w:val="0000"/>
      </w:tblPr>
      <w:tblGrid>
        <w:gridCol w:w="7920"/>
      </w:tblGrid>
      <w:tr>
        <w:tc>
          <w:tcPr/>
          <w:bookmarkStart w:id="46" w:name="tbl-chronology"/>
          <w:p>
            <w:pPr>
              <w:jc w:val="center"/>
            </w:pPr>
            <w:pPr>
              <w:jc w:val="start"/>
              <w:spacing w:before="200"/>
              <w:pStyle w:val="ImageCaption"/>
            </w:pPr>
            <w:r>
              <w:t xml:space="preserve">Table 8: Execution window of each study of the Protein A step.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Study</w:t>
                  </w:r>
                </w:p>
              </w:tc>
              <w:tc>
                <w:tcPr/>
                <w:p>
                  <w:pPr>
                    <w:pStyle w:val="Compact"/>
                    <w:jc w:val="left"/>
                    <w:jc w:val="center"/>
                  </w:pPr>
                  <w:r>
                    <w:t xml:space="preserve">Study type</w:t>
                  </w:r>
                </w:p>
              </w:tc>
              <w:tc>
                <w:tcPr/>
                <w:p>
                  <w:pPr>
                    <w:pStyle w:val="Compact"/>
                    <w:jc w:val="left"/>
                    <w:jc w:val="center"/>
                  </w:pPr>
                  <w:r>
                    <w:t xml:space="preserve">Start</w:t>
                  </w:r>
                </w:p>
              </w:tc>
              <w:tc>
                <w:tcPr/>
                <w:p>
                  <w:pPr>
                    <w:pStyle w:val="Compact"/>
                    <w:jc w:val="left"/>
                    <w:jc w:val="center"/>
                  </w:pPr>
                  <w:r>
                    <w:t xml:space="preserve">End</w:t>
                  </w:r>
                </w:p>
              </w:tc>
            </w:tr>
            <w:tr>
              <w:tc>
                <w:tcPr/>
                <w:p>
                  <w:pPr>
                    <w:pStyle w:val="Compact"/>
                    <w:jc w:val="left"/>
                    <w:jc w:val="center"/>
                  </w:pPr>
                  <w:r>
                    <w:t xml:space="preserve">S-PA-SDM</w:t>
                  </w:r>
                </w:p>
              </w:tc>
              <w:tc>
                <w:tcPr/>
                <w:p>
                  <w:pPr>
                    <w:pStyle w:val="Compact"/>
                    <w:jc w:val="left"/>
                    <w:jc w:val="center"/>
                  </w:pPr>
                  <w:r>
                    <w:t xml:space="preserve">scale-down model qualification</w:t>
                  </w:r>
                </w:p>
              </w:tc>
              <w:tc>
                <w:tcPr/>
                <w:p>
                  <w:pPr>
                    <w:pStyle w:val="Compact"/>
                    <w:jc w:val="left"/>
                    <w:jc w:val="center"/>
                  </w:pPr>
                  <w:r>
                    <w:t xml:space="preserve">2025-11-05</w:t>
                  </w:r>
                </w:p>
              </w:tc>
              <w:tc>
                <w:tcPr/>
                <w:p>
                  <w:pPr>
                    <w:pStyle w:val="Compact"/>
                    <w:jc w:val="left"/>
                    <w:jc w:val="center"/>
                  </w:pPr>
                  <w:r>
                    <w:t xml:space="preserve">2025-11-14</w:t>
                  </w:r>
                </w:p>
              </w:tc>
            </w:tr>
            <w:tr>
              <w:tc>
                <w:tcPr/>
                <w:p>
                  <w:pPr>
                    <w:pStyle w:val="Compact"/>
                    <w:jc w:val="left"/>
                    <w:jc w:val="center"/>
                  </w:pPr>
                  <w:r>
                    <w:t xml:space="preserve">S-PA-UNI</w:t>
                  </w:r>
                </w:p>
              </w:tc>
              <w:tc>
                <w:tcPr/>
                <w:p>
                  <w:pPr>
                    <w:pStyle w:val="Compact"/>
                    <w:jc w:val="left"/>
                    <w:jc w:val="center"/>
                  </w:pPr>
                  <w:r>
                    <w:t xml:space="preserve">univariate study</w:t>
                  </w:r>
                </w:p>
              </w:tc>
              <w:tc>
                <w:tcPr/>
                <w:p>
                  <w:pPr>
                    <w:pStyle w:val="Compact"/>
                    <w:jc w:val="left"/>
                    <w:jc w:val="center"/>
                  </w:pPr>
                  <w:r>
                    <w:t xml:space="preserve">2025-12-08</w:t>
                  </w:r>
                </w:p>
              </w:tc>
              <w:tc>
                <w:tcPr/>
                <w:p>
                  <w:pPr>
                    <w:pStyle w:val="Compact"/>
                    <w:jc w:val="left"/>
                    <w:jc w:val="center"/>
                  </w:pPr>
                  <w:r>
                    <w:t xml:space="preserve">2025-12-12</w:t>
                  </w:r>
                </w:p>
              </w:tc>
            </w:tr>
            <w:tr>
              <w:tc>
                <w:tcPr/>
                <w:p>
                  <w:pPr>
                    <w:pStyle w:val="Compact"/>
                    <w:jc w:val="left"/>
                    <w:jc w:val="center"/>
                  </w:pPr>
                  <w:r>
                    <w:t xml:space="preserve">S-PA-SDM2</w:t>
                  </w:r>
                </w:p>
              </w:tc>
              <w:tc>
                <w:tcPr/>
                <w:p>
                  <w:pPr>
                    <w:pStyle w:val="Compact"/>
                    <w:jc w:val="left"/>
                    <w:jc w:val="center"/>
                  </w:pPr>
                  <w:r>
                    <w:t xml:space="preserve">scale-down model qualification</w:t>
                  </w:r>
                </w:p>
              </w:tc>
              <w:tc>
                <w:tcPr/>
                <w:p>
                  <w:pPr>
                    <w:pStyle w:val="Compact"/>
                    <w:jc w:val="left"/>
                    <w:jc w:val="center"/>
                  </w:pPr>
                  <w:r>
                    <w:t xml:space="preserve">2026-09-07</w:t>
                  </w:r>
                </w:p>
              </w:tc>
              <w:tc>
                <w:tcPr/>
                <w:p>
                  <w:pPr>
                    <w:pStyle w:val="Compact"/>
                    <w:jc w:val="left"/>
                    <w:jc w:val="center"/>
                  </w:pPr>
                  <w:r>
                    <w:t xml:space="preserve">2026-09-11</w:t>
                  </w:r>
                </w:p>
              </w:tc>
            </w:tr>
            <w:tr>
              <w:tc>
                <w:tcPr/>
                <w:p>
                  <w:pPr>
                    <w:pStyle w:val="Compact"/>
                    <w:jc w:val="left"/>
                    <w:jc w:val="center"/>
                  </w:pPr>
                  <w:r>
                    <w:t xml:space="preserve">S-PA-SCR</w:t>
                  </w:r>
                </w:p>
              </w:tc>
              <w:tc>
                <w:tcPr/>
                <w:p>
                  <w:pPr>
                    <w:pStyle w:val="Compact"/>
                    <w:jc w:val="left"/>
                    <w:jc w:val="center"/>
                  </w:pPr>
                  <w:r>
                    <w:t xml:space="preserve">screening design</w:t>
                  </w:r>
                </w:p>
              </w:tc>
              <w:tc>
                <w:tcPr/>
                <w:p>
                  <w:pPr>
                    <w:pStyle w:val="Compact"/>
                    <w:jc w:val="left"/>
                    <w:jc w:val="center"/>
                  </w:pPr>
                  <w:r>
                    <w:t xml:space="preserve">2025-11-17</w:t>
                  </w:r>
                </w:p>
              </w:tc>
              <w:tc>
                <w:tcPr/>
                <w:p>
                  <w:pPr>
                    <w:pStyle w:val="Compact"/>
                    <w:jc w:val="left"/>
                    <w:jc w:val="center"/>
                  </w:pPr>
                  <w:r>
                    <w:t xml:space="preserve">2025-12-05</w:t>
                  </w:r>
                </w:p>
              </w:tc>
            </w:tr>
            <w:tr>
              <w:tc>
                <w:tcPr/>
                <w:p>
                  <w:pPr>
                    <w:pStyle w:val="Compact"/>
                    <w:jc w:val="left"/>
                    <w:jc w:val="center"/>
                  </w:pPr>
                  <w:r>
                    <w:t xml:space="preserve">S-PA-RSM</w:t>
                  </w:r>
                </w:p>
              </w:tc>
              <w:tc>
                <w:tcPr/>
                <w:p>
                  <w:pPr>
                    <w:pStyle w:val="Compact"/>
                    <w:jc w:val="left"/>
                    <w:jc w:val="center"/>
                  </w:pPr>
                  <w:r>
                    <w:t xml:space="preserve">response-surface design</w:t>
                  </w:r>
                </w:p>
              </w:tc>
              <w:tc>
                <w:tcPr/>
                <w:p>
                  <w:pPr>
                    <w:pStyle w:val="Compact"/>
                    <w:jc w:val="left"/>
                    <w:jc w:val="center"/>
                  </w:pPr>
                  <w:r>
                    <w:t xml:space="preserve">2026-01-12</w:t>
                  </w:r>
                </w:p>
              </w:tc>
              <w:tc>
                <w:tcPr/>
                <w:p>
                  <w:pPr>
                    <w:pStyle w:val="Compact"/>
                    <w:jc w:val="left"/>
                    <w:jc w:val="center"/>
                  </w:pPr>
                  <w:r>
                    <w:t xml:space="preserve">2026-02-06</w:t>
                  </w:r>
                </w:p>
              </w:tc>
            </w:tr>
            <w:tr>
              <w:tc>
                <w:tcPr/>
                <w:p>
                  <w:pPr>
                    <w:pStyle w:val="Compact"/>
                    <w:jc w:val="left"/>
                    <w:jc w:val="center"/>
                  </w:pPr>
                  <w:r>
                    <w:t xml:space="preserve">S-PA-HLD</w:t>
                  </w:r>
                </w:p>
              </w:tc>
              <w:tc>
                <w:tcPr/>
                <w:p>
                  <w:pPr>
                    <w:pStyle w:val="Compact"/>
                    <w:jc w:val="left"/>
                    <w:jc w:val="center"/>
                  </w:pPr>
                  <w:r>
                    <w:t xml:space="preserve">hold study</w:t>
                  </w:r>
                </w:p>
              </w:tc>
              <w:tc>
                <w:tcPr/>
                <w:p>
                  <w:pPr>
                    <w:pStyle w:val="Compact"/>
                    <w:jc w:val="left"/>
                    <w:jc w:val="center"/>
                  </w:pPr>
                  <w:r>
                    <w:t xml:space="preserve">2026-02-02</w:t>
                  </w:r>
                </w:p>
              </w:tc>
              <w:tc>
                <w:tcPr/>
                <w:p>
                  <w:pPr>
                    <w:pStyle w:val="Compact"/>
                    <w:jc w:val="left"/>
                    <w:jc w:val="center"/>
                  </w:pPr>
                  <w:r>
                    <w:t xml:space="preserve">2026-02-16</w:t>
                  </w:r>
                </w:p>
              </w:tc>
            </w:tr>
            <w:tr>
              <w:tc>
                <w:tcPr/>
                <w:p>
                  <w:pPr>
                    <w:pStyle w:val="Compact"/>
                    <w:jc w:val="left"/>
                    <w:jc w:val="center"/>
                  </w:pPr>
                  <w:r>
                    <w:t xml:space="preserve">S-PA-RET</w:t>
                  </w:r>
                </w:p>
              </w:tc>
              <w:tc>
                <w:tcPr/>
                <w:p>
                  <w:pPr>
                    <w:pStyle w:val="Compact"/>
                    <w:jc w:val="left"/>
                    <w:jc w:val="center"/>
                  </w:pPr>
                  <w:r>
                    <w:t xml:space="preserve">retest of retained samples</w:t>
                  </w:r>
                </w:p>
              </w:tc>
              <w:tc>
                <w:tcPr/>
                <w:p>
                  <w:pPr>
                    <w:pStyle w:val="Compact"/>
                    <w:jc w:val="left"/>
                    <w:jc w:val="center"/>
                  </w:pPr>
                  <w:r>
                    <w:t xml:space="preserve">2026-04-06</w:t>
                  </w:r>
                </w:p>
              </w:tc>
              <w:tc>
                <w:tcPr/>
                <w:p>
                  <w:pPr>
                    <w:pStyle w:val="Compact"/>
                    <w:jc w:val="left"/>
                    <w:jc w:val="center"/>
                  </w:pPr>
                  <w:r>
                    <w:t xml:space="preserve">2026-04-17</w:t>
                  </w:r>
                </w:p>
              </w:tc>
            </w:tr>
          </w:tbl>
          <w:bookmarkEnd w:id="46"/>
          <w:p/>
        </w:tc>
      </w:tr>
    </w:tbl>
    <w:bookmarkEnd w:id="47"/>
    <w:bookmarkStart w:id="48" w:name="screening-design"/>
    <w:p>
      <w:pPr>
        <w:pStyle w:val="Heading2"/>
      </w:pPr>
      <w:r>
        <w:t xml:space="preserve">4.2 Screening design</w:t>
      </w:r>
    </w:p>
    <w:p>
      <w:pPr>
        <w:pStyle w:val="FirstParagraph"/>
      </w:pPr>
      <w:r>
        <w:t xml:space="preserve">The screening design (study S-PA-SCR, 2025-11-17 to 2025-12-05) was a full two-level factorial design in the 4 factors, with 16 factorial runs and 3 centre points, 19 runs in all. Because the design is a full factorial, no effect is aliased with another, and every main effect and every two-factor interaction can be estimated. The responses were pool host cell protein, step yield and leached Protein A, with fragments by SEC recorded for information. All 4 factors were carried into the response-surface design whatever the screening result, as PCP-005 §6.2 planned. The screening design therefore served to identify effects and interactions and to check the ranges. Appendix A gives the matrix and the results.</w:t>
      </w:r>
    </w:p>
    <w:bookmarkEnd w:id="48"/>
    <w:bookmarkStart w:id="49" w:name="response-surface-design"/>
    <w:p>
      <w:pPr>
        <w:pStyle w:val="Heading2"/>
      </w:pPr>
      <w:r>
        <w:t xml:space="preserve">4.3 Response-surface design</w:t>
      </w:r>
    </w:p>
    <w:p>
      <w:pPr>
        <w:pStyle w:val="FirstParagraph"/>
      </w:pPr>
      <w:r>
        <w:t xml:space="preserve">The response-surface design (study S-PA-RSM, 2026-01-12 to 2026-02-06) was a face-centred central composite design in the same 4 factors. It has 16 factorial runs, 8 axial runs at the faces of the cube and 4 centre points, 28 runs in all. A face-centred design keeps every run inside the range studied. The full quadratic model leaves 13 residual degrees of freedom, with 3 for pure error and 10 for lack of fit. The responses were pool host cell protein, step yield, leached Protein A and fragments by nrCE-SDS on the retained pools. Appendix B gives the matrix and the results.</w:t>
      </w:r>
    </w:p>
    <w:bookmarkEnd w:id="49"/>
    <w:bookmarkStart w:id="50" w:name="univariate-assessment"/>
    <w:p>
      <w:pPr>
        <w:pStyle w:val="Heading2"/>
      </w:pPr>
      <w:r>
        <w:t xml:space="preserve">4.4 Univariate assessment</w:t>
      </w:r>
    </w:p>
    <w:p>
      <w:pPr>
        <w:pStyle w:val="FirstParagraph"/>
      </w:pPr>
      <w:r>
        <w:t xml:space="preserve">Operating temperature and bed height were studied one factor at a time in study S-PA-UNI (2025-12-08 to 2025-12-12), with the other parameters at their set-points. Each was run 2 times at the low and the high end of its range studied, and the 3 set-point runs of study S-PA-SDM served as the reference, as PCP-005 §6.4 planned. Bed height was varied at the set-point linear velocity, so that the residence time changed with it. The shortest bed gives a residence time of 3 min, shorter than any run of the designs. The responses were pool host cell protein, step yield and leached Protein A. Fragments were not measured in this study, which ran before AMD-001. A univariate study cannot detect an interaction. The ranges of these two parameters are therefore supported only with the other parameters at their set-points.</w:t>
      </w:r>
    </w:p>
    <w:bookmarkEnd w:id="50"/>
    <w:bookmarkStart w:id="51" w:name="sec-holddesign"/>
    <w:p>
      <w:pPr>
        <w:pStyle w:val="Heading2"/>
      </w:pPr>
      <w:r>
        <w:t xml:space="preserve">4.5 Hold study of the Protein A eluate</w:t>
      </w:r>
    </w:p>
    <w:p>
      <w:pPr>
        <w:pStyle w:val="FirstParagraph"/>
      </w:pPr>
      <w:r>
        <w:t xml:space="preserve">The Protein A eluate is held at elution pH before viral inactivation. A pool produced at set-point was divided and held at 2-8 °C and 21 °C for up to 7 days in study S-PA-HLD (2026-02-02 to 2026-02-16). Samples were taken on days 0, 1, 3, 5 and 7 at each temperature. Aggregate and fragments were measured by SEC, and acidic variants by icIEF, at every sample point. The samples of days 0 and 7 were retained and tested by nrCE-SDS in study S-PA-RET. Because Protein A capture does not separate aggregate or charge variants, the held eluate carries the criteria that PCMP-001 sets for the output of the production bioreactor, ≤ 6.83 % HMW and 18–39 % acidic variants. Fragments are judged against the intermediate acceptance criterion of the pool, ≤ 2.45 % by nrCE-SDS, on the days with an nrCE-SDS result.</w:t>
      </w:r>
    </w:p>
    <w:bookmarkEnd w:id="51"/>
    <w:bookmarkEnd w:id="52"/>
    <w:bookmarkStart w:id="89" w:name="results"/>
    <w:p>
      <w:pPr>
        <w:pStyle w:val="Heading1"/>
      </w:pPr>
      <w:r>
        <w:t xml:space="preserve">5. Results</w:t>
      </w:r>
    </w:p>
    <w:bookmarkStart w:id="55" w:name="Xa1d357a057988a4668963a3d4bd6b4df2b4673e"/>
    <w:p>
      <w:pPr>
        <w:pStyle w:val="Heading2"/>
      </w:pPr>
      <w:r>
        <w:t xml:space="preserve">5.1 Centre-point performance and reproducibility</w:t>
      </w:r>
    </w:p>
    <w:p>
      <w:pPr>
        <w:pStyle w:val="FirstParagraph"/>
      </w:pPr>
      <w:r>
        <w:t xml:space="preserve">The centre points of each design were run at set-point and estimate the pure error against which lack of fit is tested.</w:t>
      </w:r>
      <w:r>
        <w:t xml:space="preserve"> </w:t>
      </w:r>
      <w:hyperlink w:anchor="tbl-cp-rsm">
        <w:r>
          <w:rPr>
            <w:rStyle w:val="Hyperlink"/>
          </w:rPr>
          <w:t xml:space="preserve">Table 9</w:t>
        </w:r>
      </w:hyperlink>
      <w:r>
        <w:t xml:space="preserve"> </w:t>
      </w:r>
      <w:r>
        <w:t xml:space="preserve">gives their mean, standard deviation and coefficient of variation in the response-surface design, and</w:t>
      </w:r>
      <w:r>
        <w:t xml:space="preserve"> </w:t>
      </w:r>
      <w:hyperlink w:anchor="tbl-cp-scr">
        <w:r>
          <w:rPr>
            <w:rStyle w:val="Hyperlink"/>
          </w:rPr>
          <w:t xml:space="preserve">Table 10</w:t>
        </w:r>
      </w:hyperlink>
      <w:r>
        <w:t xml:space="preserve"> </w:t>
      </w:r>
      <w:r>
        <w:t xml:space="preserve">in the screening design.</w:t>
      </w:r>
    </w:p>
    <w:tbl>
      <w:tblPr>
        <w:tblStyle w:val="Table"/>
        <w:tblW w:type="pct" w:w="5000"/>
        <w:tblLayout w:type="fixed"/>
        <w:tblLook w:firstRow="0" w:lastRow="0" w:firstColumn="0" w:lastColumn="0" w:noHBand="0" w:noVBand="0" w:val="0000"/>
      </w:tblPr>
      <w:tblGrid>
        <w:gridCol w:w="7920"/>
      </w:tblGrid>
      <w:tr>
        <w:tc>
          <w:tcPr/>
          <w:bookmarkStart w:id="53" w:name="tbl-cp-rsm"/>
          <w:p>
            <w:pPr>
              <w:jc w:val="center"/>
            </w:pPr>
            <w:pPr>
              <w:jc w:val="start"/>
              <w:spacing w:before="200"/>
              <w:pStyle w:val="ImageCaption"/>
            </w:pPr>
            <w:r>
              <w:t xml:space="preserve">Table 9: Centre-point reproducibility in the response-surface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4</w:t>
                  </w:r>
                </w:p>
              </w:tc>
              <w:tc>
                <w:tcPr/>
                <w:p>
                  <w:pPr>
                    <w:pStyle w:val="Compact"/>
                    <w:jc w:val="right"/>
                    <w:jc w:val="center"/>
                  </w:pPr>
                  <w:r>
                    <w:t xml:space="preserve">7.56e+03</w:t>
                  </w:r>
                </w:p>
              </w:tc>
              <w:tc>
                <w:tcPr/>
                <w:p>
                  <w:pPr>
                    <w:pStyle w:val="Compact"/>
                    <w:jc w:val="right"/>
                    <w:jc w:val="center"/>
                  </w:pPr>
                  <w:r>
                    <w:t xml:space="preserve">357</w:t>
                  </w:r>
                </w:p>
              </w:tc>
              <w:tc>
                <w:tcPr/>
                <w:p>
                  <w:pPr>
                    <w:pStyle w:val="Compact"/>
                    <w:jc w:val="right"/>
                    <w:jc w:val="center"/>
                  </w:pPr>
                  <w:r>
                    <w:t xml:space="preserve">4.72</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0.946</w:t>
                  </w:r>
                </w:p>
              </w:tc>
              <w:tc>
                <w:tcPr/>
                <w:p>
                  <w:pPr>
                    <w:pStyle w:val="Compact"/>
                    <w:jc w:val="right"/>
                    <w:jc w:val="center"/>
                  </w:pPr>
                  <w:r>
                    <w:t xml:space="preserve">0.0187</w:t>
                  </w:r>
                </w:p>
              </w:tc>
              <w:tc>
                <w:tcPr/>
                <w:p>
                  <w:pPr>
                    <w:pStyle w:val="Compact"/>
                    <w:jc w:val="right"/>
                    <w:jc w:val="center"/>
                  </w:pPr>
                  <w:r>
                    <w:t xml:space="preserve">1.97</w:t>
                  </w:r>
                </w:p>
              </w:tc>
            </w:tr>
            <w:tr>
              <w:tc>
                <w:tcPr/>
                <w:p>
                  <w:pPr>
                    <w:pStyle w:val="Compact"/>
                    <w:jc w:val="left"/>
                    <w:jc w:val="center"/>
                  </w:pPr>
                  <w:r>
                    <w:t xml:space="preserve">Leached Protein A (ppm)</w:t>
                  </w:r>
                </w:p>
              </w:tc>
              <w:tc>
                <w:tcPr/>
                <w:p>
                  <w:pPr>
                    <w:pStyle w:val="Compact"/>
                    <w:jc w:val="right"/>
                    <w:jc w:val="center"/>
                  </w:pPr>
                  <w:r>
                    <w:t xml:space="preserve">4</w:t>
                  </w:r>
                </w:p>
              </w:tc>
              <w:tc>
                <w:tcPr/>
                <w:p>
                  <w:pPr>
                    <w:pStyle w:val="Compact"/>
                    <w:jc w:val="right"/>
                    <w:jc w:val="center"/>
                  </w:pPr>
                  <w:r>
                    <w:t xml:space="preserve">2.86</w:t>
                  </w:r>
                </w:p>
              </w:tc>
              <w:tc>
                <w:tcPr/>
                <w:p>
                  <w:pPr>
                    <w:pStyle w:val="Compact"/>
                    <w:jc w:val="right"/>
                    <w:jc w:val="center"/>
                  </w:pPr>
                  <w:r>
                    <w:t xml:space="preserve">0.967</w:t>
                  </w:r>
                </w:p>
              </w:tc>
              <w:tc>
                <w:tcPr/>
                <w:p>
                  <w:pPr>
                    <w:pStyle w:val="Compact"/>
                    <w:jc w:val="right"/>
                    <w:jc w:val="center"/>
                  </w:pPr>
                  <w:r>
                    <w:t xml:space="preserve">33.8</w:t>
                  </w:r>
                </w:p>
              </w:tc>
            </w:tr>
          </w:tbl>
          <w:bookmarkEnd w:id="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cp-scr"/>
          <w:p>
            <w:pPr>
              <w:jc w:val="center"/>
            </w:pPr>
            <w:pPr>
              <w:jc w:val="start"/>
              <w:spacing w:before="200"/>
              <w:pStyle w:val="ImageCaption"/>
            </w:pPr>
            <w:r>
              <w:t xml:space="preserve">Table 10: Centre-point reproducibility in the screening design.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Pool HCP (ng/mg)</w:t>
                  </w:r>
                </w:p>
              </w:tc>
              <w:tc>
                <w:tcPr/>
                <w:p>
                  <w:pPr>
                    <w:pStyle w:val="Compact"/>
                    <w:jc w:val="right"/>
                    <w:jc w:val="center"/>
                  </w:pPr>
                  <w:r>
                    <w:t xml:space="preserve">3</w:t>
                  </w:r>
                </w:p>
              </w:tc>
              <w:tc>
                <w:tcPr/>
                <w:p>
                  <w:pPr>
                    <w:pStyle w:val="Compact"/>
                    <w:jc w:val="right"/>
                    <w:jc w:val="center"/>
                  </w:pPr>
                  <w:r>
                    <w:t xml:space="preserve">8.1e+03</w:t>
                  </w:r>
                </w:p>
              </w:tc>
              <w:tc>
                <w:tcPr/>
                <w:p>
                  <w:pPr>
                    <w:pStyle w:val="Compact"/>
                    <w:jc w:val="right"/>
                    <w:jc w:val="center"/>
                  </w:pPr>
                  <w:r>
                    <w:t xml:space="preserve">1.61e+03</w:t>
                  </w:r>
                </w:p>
              </w:tc>
              <w:tc>
                <w:tcPr/>
                <w:p>
                  <w:pPr>
                    <w:pStyle w:val="Compact"/>
                    <w:jc w:val="right"/>
                    <w:jc w:val="center"/>
                  </w:pPr>
                  <w:r>
                    <w:t xml:space="preserve">19.9</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0.935</w:t>
                  </w:r>
                </w:p>
              </w:tc>
              <w:tc>
                <w:tcPr/>
                <w:p>
                  <w:pPr>
                    <w:pStyle w:val="Compact"/>
                    <w:jc w:val="right"/>
                    <w:jc w:val="center"/>
                  </w:pPr>
                  <w:r>
                    <w:t xml:space="preserve">0.00599</w:t>
                  </w:r>
                </w:p>
              </w:tc>
              <w:tc>
                <w:tcPr/>
                <w:p>
                  <w:pPr>
                    <w:pStyle w:val="Compact"/>
                    <w:jc w:val="right"/>
                    <w:jc w:val="center"/>
                  </w:pPr>
                  <w:r>
                    <w:t xml:space="preserve">0.64</w:t>
                  </w:r>
                </w:p>
              </w:tc>
            </w:tr>
            <w:tr>
              <w:tc>
                <w:tcPr/>
                <w:p>
                  <w:pPr>
                    <w:pStyle w:val="Compact"/>
                    <w:jc w:val="left"/>
                    <w:jc w:val="center"/>
                  </w:pPr>
                  <w:r>
                    <w:t xml:space="preserve">Leached Protein A (ppm)</w:t>
                  </w:r>
                </w:p>
              </w:tc>
              <w:tc>
                <w:tcPr/>
                <w:p>
                  <w:pPr>
                    <w:pStyle w:val="Compact"/>
                    <w:jc w:val="right"/>
                    <w:jc w:val="center"/>
                  </w:pPr>
                  <w:r>
                    <w:t xml:space="preserve">3</w:t>
                  </w:r>
                </w:p>
              </w:tc>
              <w:tc>
                <w:tcPr/>
                <w:p>
                  <w:pPr>
                    <w:pStyle w:val="Compact"/>
                    <w:jc w:val="right"/>
                    <w:jc w:val="center"/>
                  </w:pPr>
                  <w:r>
                    <w:t xml:space="preserve">3.28</w:t>
                  </w:r>
                </w:p>
              </w:tc>
              <w:tc>
                <w:tcPr/>
                <w:p>
                  <w:pPr>
                    <w:pStyle w:val="Compact"/>
                    <w:jc w:val="right"/>
                    <w:jc w:val="center"/>
                  </w:pPr>
                  <w:r>
                    <w:t xml:space="preserve">0.508</w:t>
                  </w:r>
                </w:p>
              </w:tc>
              <w:tc>
                <w:tcPr/>
                <w:p>
                  <w:pPr>
                    <w:pStyle w:val="Compact"/>
                    <w:jc w:val="right"/>
                    <w:jc w:val="center"/>
                  </w:pPr>
                  <w:r>
                    <w:t xml:space="preserve">15.5</w:t>
                  </w:r>
                </w:p>
              </w:tc>
            </w:tr>
          </w:tbl>
          <w:bookmarkEnd w:id="54"/>
          <w:p/>
        </w:tc>
      </w:tr>
    </w:tbl>
    <w:p>
      <w:pPr>
        <w:pStyle w:val="BodyText"/>
      </w:pPr>
      <w:r>
        <w:t xml:space="preserve">Step yield was the most reproducible response, with a coefficient of variation of 1.97 % in the response-surface design. Pool host cell protein reproduced to 4.72 % in the response-surface design and to 19.88 % in the screening design. The larger screening value makes the screening tests for pool host cell protein less sensitive than those of the response-surface design. Leached Protein A was the least precise response, at 33.84 % in the response-surface design. Its centre-point spread is of the same size as its variation across the whole design, so the variation of the ELISA and of the runs at set-point masks any effect of the parameters of that size.</w:t>
      </w:r>
    </w:p>
    <w:bookmarkEnd w:id="55"/>
    <w:bookmarkStart w:id="59" w:name="screening-factor-effects"/>
    <w:p>
      <w:pPr>
        <w:pStyle w:val="Heading2"/>
      </w:pPr>
      <w:r>
        <w:t xml:space="preserve">5.2 Screening: factor effects</w:t>
      </w:r>
    </w:p>
    <w:p>
      <w:pPr>
        <w:pStyle w:val="FirstParagraph"/>
      </w:pPr>
      <w:hyperlink w:anchor="tbl-scr-fit">
        <w:r>
          <w:rPr>
            <w:rStyle w:val="Hyperlink"/>
          </w:rPr>
          <w:t xml:space="preserve">Table 11</w:t>
        </w:r>
      </w:hyperlink>
      <w:r>
        <w:t xml:space="preserve"> </w:t>
      </w:r>
      <w:r>
        <w:t xml:space="preserve">summarizes the screening models. The models for pool host cell protein and step yield are significant. The model for leached Protein A is not (p = 0.867), and none of its terms is significant.</w:t>
      </w:r>
    </w:p>
    <w:tbl>
      <w:tblPr>
        <w:tblStyle w:val="Table"/>
        <w:tblW w:type="pct" w:w="5000"/>
        <w:tblLayout w:type="fixed"/>
        <w:tblLook w:firstRow="0" w:lastRow="0" w:firstColumn="0" w:lastColumn="0" w:noHBand="0" w:noVBand="0" w:val="0000"/>
      </w:tblPr>
      <w:tblGrid>
        <w:gridCol w:w="7920"/>
      </w:tblGrid>
      <w:tr>
        <w:tc>
          <w:tcPr/>
          <w:bookmarkStart w:id="56" w:name="tbl-scr-fit"/>
          <w:p>
            <w:pPr>
              <w:jc w:val="center"/>
            </w:pPr>
            <w:pPr>
              <w:jc w:val="start"/>
              <w:spacing w:before="200"/>
              <w:pStyle w:val="ImageCaption"/>
            </w:pPr>
            <w:r>
              <w:t xml:space="preserve">Table 11: Screening model summary (main effects and two-factor interactions).</w:t>
            </w:r>
          </w:p>
          <w:tbl>
            <w:tblPr>
              <w:tblStyle w:val="Table"/>
              <w:tblW w:type="pct" w:w="5000"/>
              <w:tblLayout w:type="fixed"/>
              <w:tblLook w:firstRow="1" w:lastRow="0" w:firstColumn="0" w:lastColumn="0" w:noHBand="0" w:noVBand="0" w:val="0020"/>
            </w:tblPr>
            <w:tblGrid>
              <w:gridCol w:w="2250"/>
              <w:gridCol w:w="450"/>
              <w:gridCol w:w="630"/>
              <w:gridCol w:w="990"/>
              <w:gridCol w:w="1080"/>
              <w:gridCol w:w="720"/>
              <w:gridCol w:w="990"/>
              <w:gridCol w:w="810"/>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Pool HCP (ng/mg)</w:t>
                  </w:r>
                </w:p>
              </w:tc>
              <w:tc>
                <w:tcPr/>
                <w:p>
                  <w:pPr>
                    <w:pStyle w:val="Compact"/>
                    <w:jc w:val="right"/>
                    <w:jc w:val="center"/>
                  </w:pPr>
                  <w:r>
                    <w:t xml:space="preserve">19</w:t>
                  </w:r>
                </w:p>
              </w:tc>
              <w:tc>
                <w:tcPr/>
                <w:p>
                  <w:pPr>
                    <w:pStyle w:val="Compact"/>
                    <w:jc w:val="right"/>
                    <w:jc w:val="center"/>
                  </w:pPr>
                  <w:r>
                    <w:t xml:space="preserve">0.973</w:t>
                  </w:r>
                </w:p>
              </w:tc>
              <w:tc>
                <w:tcPr/>
                <w:p>
                  <w:pPr>
                    <w:pStyle w:val="Compact"/>
                    <w:jc w:val="right"/>
                    <w:jc w:val="center"/>
                  </w:pPr>
                  <w:r>
                    <w:t xml:space="preserve">0.939</w:t>
                  </w:r>
                </w:p>
              </w:tc>
              <w:tc>
                <w:tcPr/>
                <w:p>
                  <w:pPr>
                    <w:pStyle w:val="Compact"/>
                    <w:jc w:val="right"/>
                    <w:jc w:val="center"/>
                  </w:pPr>
                  <w:r>
                    <w:t xml:space="preserve">0.886</w:t>
                  </w:r>
                </w:p>
              </w:tc>
              <w:tc>
                <w:tcPr/>
                <w:p>
                  <w:pPr>
                    <w:pStyle w:val="Compact"/>
                    <w:jc w:val="right"/>
                    <w:jc w:val="center"/>
                  </w:pPr>
                  <w:r>
                    <w:t xml:space="preserve">28.6</w:t>
                  </w:r>
                </w:p>
              </w:tc>
              <w:tc>
                <w:tcPr/>
                <w:p>
                  <w:pPr>
                    <w:pStyle w:val="Compact"/>
                    <w:jc w:val="right"/>
                    <w:jc w:val="center"/>
                  </w:pPr>
                  <w:r>
                    <w:t xml:space="preserve">3.49e-05</w:t>
                  </w:r>
                </w:p>
              </w:tc>
              <w:tc>
                <w:tcPr/>
                <w:p>
                  <w:pPr>
                    <w:pStyle w:val="Compact"/>
                    <w:jc w:val="right"/>
                    <w:jc w:val="center"/>
                  </w:pPr>
                  <w:r>
                    <w:t xml:space="preserve">1.4e+03</w:t>
                  </w:r>
                </w:p>
              </w:tc>
            </w:tr>
            <w:tr>
              <w:tc>
                <w:tcPr/>
                <w:p>
                  <w:pPr>
                    <w:pStyle w:val="Compact"/>
                    <w:jc w:val="left"/>
                    <w:jc w:val="center"/>
                  </w:pPr>
                  <w:r>
                    <w:t xml:space="preserve">Step yield</w:t>
                  </w:r>
                </w:p>
              </w:tc>
              <w:tc>
                <w:tcPr/>
                <w:p>
                  <w:pPr>
                    <w:pStyle w:val="Compact"/>
                    <w:jc w:val="right"/>
                    <w:jc w:val="center"/>
                  </w:pPr>
                  <w:r>
                    <w:t xml:space="preserve">19</w:t>
                  </w:r>
                </w:p>
              </w:tc>
              <w:tc>
                <w:tcPr/>
                <w:p>
                  <w:pPr>
                    <w:pStyle w:val="Compact"/>
                    <w:jc w:val="right"/>
                    <w:jc w:val="center"/>
                  </w:pPr>
                  <w:r>
                    <w:t xml:space="preserve">0.976</w:t>
                  </w:r>
                </w:p>
              </w:tc>
              <w:tc>
                <w:tcPr/>
                <w:p>
                  <w:pPr>
                    <w:pStyle w:val="Compact"/>
                    <w:jc w:val="right"/>
                    <w:jc w:val="center"/>
                  </w:pPr>
                  <w:r>
                    <w:t xml:space="preserve">0.945</w:t>
                  </w:r>
                </w:p>
              </w:tc>
              <w:tc>
                <w:tcPr/>
                <w:p>
                  <w:pPr>
                    <w:pStyle w:val="Compact"/>
                    <w:jc w:val="right"/>
                    <w:jc w:val="center"/>
                  </w:pPr>
                  <w:r>
                    <w:t xml:space="preserve">0.798</w:t>
                  </w:r>
                </w:p>
              </w:tc>
              <w:tc>
                <w:tcPr/>
                <w:p>
                  <w:pPr>
                    <w:pStyle w:val="Compact"/>
                    <w:jc w:val="right"/>
                    <w:jc w:val="center"/>
                  </w:pPr>
                  <w:r>
                    <w:t xml:space="preserve">32</w:t>
                  </w:r>
                </w:p>
              </w:tc>
              <w:tc>
                <w:tcPr/>
                <w:p>
                  <w:pPr>
                    <w:pStyle w:val="Compact"/>
                    <w:jc w:val="right"/>
                    <w:jc w:val="center"/>
                  </w:pPr>
                  <w:r>
                    <w:t xml:space="preserve">2.28e-05</w:t>
                  </w:r>
                </w:p>
              </w:tc>
              <w:tc>
                <w:tcPr/>
                <w:p>
                  <w:pPr>
                    <w:pStyle w:val="Compact"/>
                    <w:jc w:val="right"/>
                    <w:jc w:val="center"/>
                  </w:pPr>
                  <w:r>
                    <w:t xml:space="preserve">0.00833</w:t>
                  </w:r>
                </w:p>
              </w:tc>
            </w:tr>
            <w:tr>
              <w:tc>
                <w:tcPr/>
                <w:p>
                  <w:pPr>
                    <w:pStyle w:val="Compact"/>
                    <w:jc w:val="left"/>
                    <w:jc w:val="center"/>
                  </w:pPr>
                  <w:r>
                    <w:t xml:space="preserve">Leached Protein A (ppm)</w:t>
                  </w:r>
                </w:p>
              </w:tc>
              <w:tc>
                <w:tcPr/>
                <w:p>
                  <w:pPr>
                    <w:pStyle w:val="Compact"/>
                    <w:jc w:val="right"/>
                    <w:jc w:val="center"/>
                  </w:pPr>
                  <w:r>
                    <w:t xml:space="preserve">19</w:t>
                  </w:r>
                </w:p>
              </w:tc>
              <w:tc>
                <w:tcPr/>
                <w:p>
                  <w:pPr>
                    <w:pStyle w:val="Compact"/>
                    <w:jc w:val="right"/>
                    <w:jc w:val="center"/>
                  </w:pPr>
                  <w:r>
                    <w:t xml:space="preserve">0.371</w:t>
                  </w:r>
                </w:p>
              </w:tc>
              <w:tc>
                <w:tcPr/>
                <w:p>
                  <w:pPr>
                    <w:pStyle w:val="Compact"/>
                    <w:jc w:val="right"/>
                    <w:jc w:val="center"/>
                  </w:pPr>
                  <w:r>
                    <w:t xml:space="preserve">-0.414</w:t>
                  </w:r>
                </w:p>
              </w:tc>
              <w:tc>
                <w:tcPr/>
                <w:p>
                  <w:pPr>
                    <w:pStyle w:val="Compact"/>
                    <w:jc w:val="right"/>
                    <w:jc w:val="center"/>
                  </w:pPr>
                  <w:r>
                    <w:t xml:space="preserve">-2.98</w:t>
                  </w:r>
                </w:p>
              </w:tc>
              <w:tc>
                <w:tcPr/>
                <w:p>
                  <w:pPr>
                    <w:pStyle w:val="Compact"/>
                    <w:jc w:val="right"/>
                    <w:jc w:val="center"/>
                  </w:pPr>
                  <w:r>
                    <w:t xml:space="preserve">0.473</w:t>
                  </w:r>
                </w:p>
              </w:tc>
              <w:tc>
                <w:tcPr/>
                <w:p>
                  <w:pPr>
                    <w:pStyle w:val="Compact"/>
                    <w:jc w:val="right"/>
                    <w:jc w:val="center"/>
                  </w:pPr>
                  <w:r>
                    <w:t xml:space="preserve">0.867</w:t>
                  </w:r>
                </w:p>
              </w:tc>
              <w:tc>
                <w:tcPr/>
                <w:p>
                  <w:pPr>
                    <w:pStyle w:val="Compact"/>
                    <w:jc w:val="right"/>
                    <w:jc w:val="center"/>
                  </w:pPr>
                  <w:r>
                    <w:t xml:space="preserve">0.513</w:t>
                  </w:r>
                </w:p>
              </w:tc>
            </w:tr>
          </w:tbl>
          <w:bookmarkEnd w:id="56"/>
          <w:p/>
        </w:tc>
      </w:tr>
    </w:tbl>
    <w:p>
      <w:pPr>
        <w:pStyle w:val="BodyText"/>
      </w:pPr>
      <w:r>
        <w:t xml:space="preserve">Pool host cell protein was affected by elution buffer pH (B) and protein load (A), and by their interaction (AB). Raising the elution pH across its range lowered pool host cell protein by 8,840 ng/mg, and raising protein load across its range raised it by 7,269 ng/mg. The AB interaction (-2,587 ng/mg, p = 0.006) is negative, so the fall in host cell protein with rising pH is steeper at high load. Load flow rate and end of pool collect had no significant effect in the screening design. The effect of end of pool collect was positive in this design (708 ng/mg, p = 0.341), the opposite sign to the response-surface design (</w:t>
      </w:r>
      <w:hyperlink w:anchor="sec-rsm">
        <w:r>
          <w:rPr>
            <w:rStyle w:val="Hyperlink"/>
          </w:rPr>
          <w:t xml:space="preserve">Section 5.3</w:t>
        </w:r>
      </w:hyperlink>
      <w:r>
        <w:t xml:space="preserve">).</w:t>
      </w:r>
      <w:r>
        <w:t xml:space="preserve"> </w:t>
      </w:r>
      <w:hyperlink w:anchor="tbl-scr-hcp">
        <w:r>
          <w:rPr>
            <w:rStyle w:val="Hyperlink"/>
          </w:rPr>
          <w:t xml:space="preserve">Table 12</w:t>
        </w:r>
      </w:hyperlink>
      <w:r>
        <w:t xml:space="preserve"> </w:t>
      </w:r>
      <w:r>
        <w:t xml:space="preserve">gives the effects.</w:t>
      </w:r>
    </w:p>
    <w:tbl>
      <w:tblPr>
        <w:tblStyle w:val="Table"/>
        <w:tblW w:type="pct" w:w="5000"/>
        <w:tblLayout w:type="fixed"/>
        <w:tblLook w:firstRow="0" w:lastRow="0" w:firstColumn="0" w:lastColumn="0" w:noHBand="0" w:noVBand="0" w:val="0000"/>
      </w:tblPr>
      <w:tblGrid>
        <w:gridCol w:w="7920"/>
      </w:tblGrid>
      <w:tr>
        <w:tc>
          <w:tcPr/>
          <w:bookmarkStart w:id="57" w:name="tbl-scr-hcp"/>
          <w:p>
            <w:pPr>
              <w:jc w:val="center"/>
            </w:pPr>
            <w:pPr>
              <w:jc w:val="start"/>
              <w:spacing w:before="200"/>
              <w:pStyle w:val="ImageCaption"/>
            </w:pPr>
            <w:r>
              <w:t xml:space="preserve">Table 12: Screening effects on pool HCP (ng/mg), sorted by size.</w:t>
            </w:r>
          </w:p>
          <w:tbl>
            <w:tblPr>
              <w:tblStyle w:val="Table"/>
              <w:tblW w:type="pct" w:w="5000"/>
              <w:tblLayout w:type="fixed"/>
              <w:tblLook w:firstRow="1" w:lastRow="0" w:firstColumn="0" w:lastColumn="0" w:noHBand="0" w:noVBand="0" w:val="0020"/>
            </w:tblPr>
            <w:tblGrid>
              <w:gridCol w:w="892"/>
              <w:gridCol w:w="1115"/>
              <w:gridCol w:w="1115"/>
              <w:gridCol w:w="1450"/>
              <w:gridCol w:w="1227"/>
              <w:gridCol w:w="1227"/>
              <w:gridCol w:w="892"/>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-8,840.3</w:t>
                  </w:r>
                </w:p>
              </w:tc>
              <w:tc>
                <w:tcPr/>
                <w:p>
                  <w:pPr>
                    <w:pStyle w:val="Compact"/>
                    <w:jc w:val="right"/>
                    <w:jc w:val="center"/>
                  </w:pPr>
                  <w:r>
                    <w:t xml:space="preserve">-4,420.2</w:t>
                  </w:r>
                </w:p>
              </w:tc>
              <w:tc>
                <w:tcPr/>
                <w:p>
                  <w:pPr>
                    <w:pStyle w:val="Compact"/>
                    <w:jc w:val="right"/>
                    <w:jc w:val="center"/>
                  </w:pPr>
                  <w:r>
                    <w:t xml:space="preserve">350</w:t>
                  </w:r>
                </w:p>
              </w:tc>
              <w:tc>
                <w:tcPr/>
                <w:p>
                  <w:pPr>
                    <w:pStyle w:val="Compact"/>
                    <w:jc w:val="right"/>
                    <w:jc w:val="center"/>
                  </w:pPr>
                  <w:r>
                    <w:t xml:space="preserve">-12.6</w:t>
                  </w:r>
                </w:p>
              </w:tc>
              <w:tc>
                <w:tcPr/>
                <w:p>
                  <w:pPr>
                    <w:pStyle w:val="Compact"/>
                    <w:jc w:val="right"/>
                    <w:jc w:val="center"/>
                  </w:pPr>
                  <w:r>
                    <w:t xml:space="preserve">1.45e-06</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7,269.4</w:t>
                  </w:r>
                </w:p>
              </w:tc>
              <w:tc>
                <w:tcPr/>
                <w:p>
                  <w:pPr>
                    <w:pStyle w:val="Compact"/>
                    <w:jc w:val="right"/>
                    <w:jc w:val="center"/>
                  </w:pPr>
                  <w:r>
                    <w:t xml:space="preserve">3,634.7</w:t>
                  </w:r>
                </w:p>
              </w:tc>
              <w:tc>
                <w:tcPr/>
                <w:p>
                  <w:pPr>
                    <w:pStyle w:val="Compact"/>
                    <w:jc w:val="right"/>
                    <w:jc w:val="center"/>
                  </w:pPr>
                  <w:r>
                    <w:t xml:space="preserve">350</w:t>
                  </w:r>
                </w:p>
              </w:tc>
              <w:tc>
                <w:tcPr/>
                <w:p>
                  <w:pPr>
                    <w:pStyle w:val="Compact"/>
                    <w:jc w:val="right"/>
                    <w:jc w:val="center"/>
                  </w:pPr>
                  <w:r>
                    <w:t xml:space="preserve">10.4</w:t>
                  </w:r>
                </w:p>
              </w:tc>
              <w:tc>
                <w:tcPr/>
                <w:p>
                  <w:pPr>
                    <w:pStyle w:val="Compact"/>
                    <w:jc w:val="right"/>
                    <w:jc w:val="center"/>
                  </w:pPr>
                  <w:r>
                    <w:t xml:space="preserve">6.4e-06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-2,586.7</w:t>
                  </w:r>
                </w:p>
              </w:tc>
              <w:tc>
                <w:tcPr/>
                <w:p>
                  <w:pPr>
                    <w:pStyle w:val="Compact"/>
                    <w:jc w:val="right"/>
                    <w:jc w:val="center"/>
                  </w:pPr>
                  <w:r>
                    <w:t xml:space="preserve">-1,293.4</w:t>
                  </w:r>
                </w:p>
              </w:tc>
              <w:tc>
                <w:tcPr/>
                <w:p>
                  <w:pPr>
                    <w:pStyle w:val="Compact"/>
                    <w:jc w:val="right"/>
                    <w:jc w:val="center"/>
                  </w:pPr>
                  <w:r>
                    <w:t xml:space="preserve">350</w:t>
                  </w:r>
                </w:p>
              </w:tc>
              <w:tc>
                <w:tcPr/>
                <w:p>
                  <w:pPr>
                    <w:pStyle w:val="Compact"/>
                    <w:jc w:val="right"/>
                    <w:jc w:val="center"/>
                  </w:pPr>
                  <w:r>
                    <w:t xml:space="preserve">-3.7</w:t>
                  </w:r>
                </w:p>
              </w:tc>
              <w:tc>
                <w:tcPr/>
                <w:p>
                  <w:pPr>
                    <w:pStyle w:val="Compact"/>
                    <w:jc w:val="right"/>
                    <w:jc w:val="center"/>
                  </w:pPr>
                  <w:r>
                    <w:t xml:space="preserve">0.00608</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1,132.9</w:t>
                  </w:r>
                </w:p>
              </w:tc>
              <w:tc>
                <w:tcPr/>
                <w:p>
                  <w:pPr>
                    <w:pStyle w:val="Compact"/>
                    <w:jc w:val="right"/>
                    <w:jc w:val="center"/>
                  </w:pPr>
                  <w:r>
                    <w:t xml:space="preserve">566.4</w:t>
                  </w:r>
                </w:p>
              </w:tc>
              <w:tc>
                <w:tcPr/>
                <w:p>
                  <w:pPr>
                    <w:pStyle w:val="Compact"/>
                    <w:jc w:val="right"/>
                    <w:jc w:val="center"/>
                  </w:pPr>
                  <w:r>
                    <w:t xml:space="preserve">350</w:t>
                  </w:r>
                </w:p>
              </w:tc>
              <w:tc>
                <w:tcPr/>
                <w:p>
                  <w:pPr>
                    <w:pStyle w:val="Compact"/>
                    <w:jc w:val="right"/>
                    <w:jc w:val="center"/>
                  </w:pPr>
                  <w:r>
                    <w:t xml:space="preserve">1.62</w:t>
                  </w:r>
                </w:p>
              </w:tc>
              <w:tc>
                <w:tcPr/>
                <w:p>
                  <w:pPr>
                    <w:pStyle w:val="Compact"/>
                    <w:jc w:val="right"/>
                    <w:jc w:val="center"/>
                  </w:pPr>
                  <w:r>
                    <w:t xml:space="preserve">0.144</w:t>
                  </w:r>
                </w:p>
              </w:tc>
              <w:tc>
                <w:tcPr/>
                <w:p>
                  <w:pPr>
                    <w:pStyle w:val="Compact"/>
                  </w:pPr>
                </w:p>
              </w:tc>
            </w:tr>
            <w:tr>
              <w:tc>
                <w:tcPr/>
                <w:p>
                  <w:pPr>
                    <w:pStyle w:val="Compact"/>
                    <w:jc w:val="left"/>
                    <w:jc w:val="center"/>
                  </w:pPr>
                  <w:r>
                    <w:t xml:space="preserve">AC</w:t>
                  </w:r>
                </w:p>
              </w:tc>
              <w:tc>
                <w:tcPr/>
                <w:p>
                  <w:pPr>
                    <w:pStyle w:val="Compact"/>
                    <w:jc w:val="right"/>
                    <w:jc w:val="center"/>
                  </w:pPr>
                  <w:r>
                    <w:t xml:space="preserve">830.1</w:t>
                  </w:r>
                </w:p>
              </w:tc>
              <w:tc>
                <w:tcPr/>
                <w:p>
                  <w:pPr>
                    <w:pStyle w:val="Compact"/>
                    <w:jc w:val="right"/>
                    <w:jc w:val="center"/>
                  </w:pPr>
                  <w:r>
                    <w:t xml:space="preserve">415.1</w:t>
                  </w:r>
                </w:p>
              </w:tc>
              <w:tc>
                <w:tcPr/>
                <w:p>
                  <w:pPr>
                    <w:pStyle w:val="Compact"/>
                    <w:jc w:val="right"/>
                    <w:jc w:val="center"/>
                  </w:pPr>
                  <w:r>
                    <w:t xml:space="preserve">350</w:t>
                  </w:r>
                </w:p>
              </w:tc>
              <w:tc>
                <w:tcPr/>
                <w:p>
                  <w:pPr>
                    <w:pStyle w:val="Compact"/>
                    <w:jc w:val="right"/>
                    <w:jc w:val="center"/>
                  </w:pPr>
                  <w:r>
                    <w:t xml:space="preserve">1.19</w:t>
                  </w:r>
                </w:p>
              </w:tc>
              <w:tc>
                <w:tcPr/>
                <w:p>
                  <w:pPr>
                    <w:pStyle w:val="Compact"/>
                    <w:jc w:val="right"/>
                    <w:jc w:val="center"/>
                  </w:pPr>
                  <w:r>
                    <w:t xml:space="preserve">0.27</w:t>
                  </w:r>
                </w:p>
              </w:tc>
              <w:tc>
                <w:tcPr/>
                <w:p>
                  <w:pPr>
                    <w:pStyle w:val="Compact"/>
                  </w:pPr>
                </w:p>
              </w:tc>
            </w:tr>
            <w:tr>
              <w:tc>
                <w:tcPr/>
                <w:p>
                  <w:pPr>
                    <w:pStyle w:val="Compact"/>
                    <w:jc w:val="left"/>
                    <w:jc w:val="center"/>
                  </w:pPr>
                  <w:r>
                    <w:t xml:space="preserve">D</w:t>
                  </w:r>
                </w:p>
              </w:tc>
              <w:tc>
                <w:tcPr/>
                <w:p>
                  <w:pPr>
                    <w:pStyle w:val="Compact"/>
                    <w:jc w:val="right"/>
                    <w:jc w:val="center"/>
                  </w:pPr>
                  <w:r>
                    <w:t xml:space="preserve">707.9</w:t>
                  </w:r>
                </w:p>
              </w:tc>
              <w:tc>
                <w:tcPr/>
                <w:p>
                  <w:pPr>
                    <w:pStyle w:val="Compact"/>
                    <w:jc w:val="right"/>
                    <w:jc w:val="center"/>
                  </w:pPr>
                  <w:r>
                    <w:t xml:space="preserve">353.9</w:t>
                  </w:r>
                </w:p>
              </w:tc>
              <w:tc>
                <w:tcPr/>
                <w:p>
                  <w:pPr>
                    <w:pStyle w:val="Compact"/>
                    <w:jc w:val="right"/>
                    <w:jc w:val="center"/>
                  </w:pPr>
                  <w:r>
                    <w:t xml:space="preserve">350</w:t>
                  </w:r>
                </w:p>
              </w:tc>
              <w:tc>
                <w:tcPr/>
                <w:p>
                  <w:pPr>
                    <w:pStyle w:val="Compact"/>
                    <w:jc w:val="right"/>
                    <w:jc w:val="center"/>
                  </w:pPr>
                  <w:r>
                    <w:t xml:space="preserve">1.01</w:t>
                  </w:r>
                </w:p>
              </w:tc>
              <w:tc>
                <w:tcPr/>
                <w:p>
                  <w:pPr>
                    <w:pStyle w:val="Compact"/>
                    <w:jc w:val="right"/>
                    <w:jc w:val="center"/>
                  </w:pPr>
                  <w:r>
                    <w:t xml:space="preserve">0.341</w:t>
                  </w:r>
                </w:p>
              </w:tc>
              <w:tc>
                <w:tcPr/>
                <w:p>
                  <w:pPr>
                    <w:pStyle w:val="Compact"/>
                  </w:pPr>
                </w:p>
              </w:tc>
            </w:tr>
            <w:tr>
              <w:tc>
                <w:tcPr/>
                <w:p>
                  <w:pPr>
                    <w:pStyle w:val="Compact"/>
                    <w:jc w:val="left"/>
                    <w:jc w:val="center"/>
                  </w:pPr>
                  <w:r>
                    <w:t xml:space="preserve">BD</w:t>
                  </w:r>
                </w:p>
              </w:tc>
              <w:tc>
                <w:tcPr/>
                <w:p>
                  <w:pPr>
                    <w:pStyle w:val="Compact"/>
                    <w:jc w:val="right"/>
                    <w:jc w:val="center"/>
                  </w:pPr>
                  <w:r>
                    <w:t xml:space="preserve">-433.1</w:t>
                  </w:r>
                </w:p>
              </w:tc>
              <w:tc>
                <w:tcPr/>
                <w:p>
                  <w:pPr>
                    <w:pStyle w:val="Compact"/>
                    <w:jc w:val="right"/>
                    <w:jc w:val="center"/>
                  </w:pPr>
                  <w:r>
                    <w:t xml:space="preserve">-216.5</w:t>
                  </w:r>
                </w:p>
              </w:tc>
              <w:tc>
                <w:tcPr/>
                <w:p>
                  <w:pPr>
                    <w:pStyle w:val="Compact"/>
                    <w:jc w:val="right"/>
                    <w:jc w:val="center"/>
                  </w:pPr>
                  <w:r>
                    <w:t xml:space="preserve">350</w:t>
                  </w:r>
                </w:p>
              </w:tc>
              <w:tc>
                <w:tcPr/>
                <w:p>
                  <w:pPr>
                    <w:pStyle w:val="Compact"/>
                    <w:jc w:val="right"/>
                    <w:jc w:val="center"/>
                  </w:pPr>
                  <w:r>
                    <w:t xml:space="preserve">-0.619</w:t>
                  </w:r>
                </w:p>
              </w:tc>
              <w:tc>
                <w:tcPr/>
                <w:p>
                  <w:pPr>
                    <w:pStyle w:val="Compact"/>
                    <w:jc w:val="right"/>
                    <w:jc w:val="center"/>
                  </w:pPr>
                  <w:r>
                    <w:t xml:space="preserve">0.553</w:t>
                  </w:r>
                </w:p>
              </w:tc>
              <w:tc>
                <w:tcPr/>
                <w:p>
                  <w:pPr>
                    <w:pStyle w:val="Compact"/>
                  </w:pPr>
                </w:p>
              </w:tc>
            </w:tr>
            <w:tr>
              <w:tc>
                <w:tcPr/>
                <w:p>
                  <w:pPr>
                    <w:pStyle w:val="Compact"/>
                    <w:jc w:val="left"/>
                    <w:jc w:val="center"/>
                  </w:pPr>
                  <w:r>
                    <w:t xml:space="preserve">C</w:t>
                  </w:r>
                </w:p>
              </w:tc>
              <w:tc>
                <w:tcPr/>
                <w:p>
                  <w:pPr>
                    <w:pStyle w:val="Compact"/>
                    <w:jc w:val="right"/>
                    <w:jc w:val="center"/>
                  </w:pPr>
                  <w:r>
                    <w:t xml:space="preserve">167.3</w:t>
                  </w:r>
                </w:p>
              </w:tc>
              <w:tc>
                <w:tcPr/>
                <w:p>
                  <w:pPr>
                    <w:pStyle w:val="Compact"/>
                    <w:jc w:val="right"/>
                    <w:jc w:val="center"/>
                  </w:pPr>
                  <w:r>
                    <w:t xml:space="preserve">83.7</w:t>
                  </w:r>
                </w:p>
              </w:tc>
              <w:tc>
                <w:tcPr/>
                <w:p>
                  <w:pPr>
                    <w:pStyle w:val="Compact"/>
                    <w:jc w:val="right"/>
                    <w:jc w:val="center"/>
                  </w:pPr>
                  <w:r>
                    <w:t xml:space="preserve">350</w:t>
                  </w:r>
                </w:p>
              </w:tc>
              <w:tc>
                <w:tcPr/>
                <w:p>
                  <w:pPr>
                    <w:pStyle w:val="Compact"/>
                    <w:jc w:val="right"/>
                    <w:jc w:val="center"/>
                  </w:pPr>
                  <w:r>
                    <w:t xml:space="preserve">0.239</w:t>
                  </w:r>
                </w:p>
              </w:tc>
              <w:tc>
                <w:tcPr/>
                <w:p>
                  <w:pPr>
                    <w:pStyle w:val="Compact"/>
                    <w:jc w:val="right"/>
                    <w:jc w:val="center"/>
                  </w:pPr>
                  <w:r>
                    <w:t xml:space="preserve">0.817</w:t>
                  </w:r>
                </w:p>
              </w:tc>
              <w:tc>
                <w:tcPr/>
                <w:p>
                  <w:pPr>
                    <w:pStyle w:val="Compact"/>
                  </w:pPr>
                </w:p>
              </w:tc>
            </w:tr>
            <w:tr>
              <w:tc>
                <w:tcPr/>
                <w:p>
                  <w:pPr>
                    <w:pStyle w:val="Compact"/>
                    <w:jc w:val="left"/>
                    <w:jc w:val="center"/>
                  </w:pPr>
                  <w:r>
                    <w:t xml:space="preserve">CD</w:t>
                  </w:r>
                </w:p>
              </w:tc>
              <w:tc>
                <w:tcPr/>
                <w:p>
                  <w:pPr>
                    <w:pStyle w:val="Compact"/>
                    <w:jc w:val="right"/>
                    <w:jc w:val="center"/>
                  </w:pPr>
                  <w:r>
                    <w:t xml:space="preserve">-70.6</w:t>
                  </w:r>
                </w:p>
              </w:tc>
              <w:tc>
                <w:tcPr/>
                <w:p>
                  <w:pPr>
                    <w:pStyle w:val="Compact"/>
                    <w:jc w:val="right"/>
                    <w:jc w:val="center"/>
                  </w:pPr>
                  <w:r>
                    <w:t xml:space="preserve">-35.3</w:t>
                  </w:r>
                </w:p>
              </w:tc>
              <w:tc>
                <w:tcPr/>
                <w:p>
                  <w:pPr>
                    <w:pStyle w:val="Compact"/>
                    <w:jc w:val="right"/>
                    <w:jc w:val="center"/>
                  </w:pPr>
                  <w:r>
                    <w:t xml:space="preserve">350</w:t>
                  </w:r>
                </w:p>
              </w:tc>
              <w:tc>
                <w:tcPr/>
                <w:p>
                  <w:pPr>
                    <w:pStyle w:val="Compact"/>
                    <w:jc w:val="right"/>
                    <w:jc w:val="center"/>
                  </w:pPr>
                  <w:r>
                    <w:t xml:space="preserve">-0.101</w:t>
                  </w:r>
                </w:p>
              </w:tc>
              <w:tc>
                <w:tcPr/>
                <w:p>
                  <w:pPr>
                    <w:pStyle w:val="Compact"/>
                    <w:jc w:val="right"/>
                    <w:jc w:val="center"/>
                  </w:pPr>
                  <w:r>
                    <w:t xml:space="preserve">0.922</w:t>
                  </w:r>
                </w:p>
              </w:tc>
              <w:tc>
                <w:tcPr/>
                <w:p>
                  <w:pPr>
                    <w:pStyle w:val="Compact"/>
                  </w:pPr>
                </w:p>
              </w:tc>
            </w:tr>
            <w:tr>
              <w:tc>
                <w:tcPr/>
                <w:p>
                  <w:pPr>
                    <w:pStyle w:val="Compact"/>
                    <w:jc w:val="left"/>
                    <w:jc w:val="center"/>
                  </w:pPr>
                  <w:r>
                    <w:t xml:space="preserve">BC</w:t>
                  </w:r>
                </w:p>
              </w:tc>
              <w:tc>
                <w:tcPr/>
                <w:p>
                  <w:pPr>
                    <w:pStyle w:val="Compact"/>
                    <w:jc w:val="right"/>
                    <w:jc w:val="center"/>
                  </w:pPr>
                  <w:r>
                    <w:t xml:space="preserve">6.1</w:t>
                  </w:r>
                </w:p>
              </w:tc>
              <w:tc>
                <w:tcPr/>
                <w:p>
                  <w:pPr>
                    <w:pStyle w:val="Compact"/>
                    <w:jc w:val="right"/>
                    <w:jc w:val="center"/>
                  </w:pPr>
                  <w:r>
                    <w:t xml:space="preserve">3.0</w:t>
                  </w:r>
                </w:p>
              </w:tc>
              <w:tc>
                <w:tcPr/>
                <w:p>
                  <w:pPr>
                    <w:pStyle w:val="Compact"/>
                    <w:jc w:val="right"/>
                    <w:jc w:val="center"/>
                  </w:pPr>
                  <w:r>
                    <w:t xml:space="preserve">350</w:t>
                  </w:r>
                </w:p>
              </w:tc>
              <w:tc>
                <w:tcPr/>
                <w:p>
                  <w:pPr>
                    <w:pStyle w:val="Compact"/>
                    <w:jc w:val="right"/>
                    <w:jc w:val="center"/>
                  </w:pPr>
                  <w:r>
                    <w:t xml:space="preserve">0.00868</w:t>
                  </w:r>
                </w:p>
              </w:tc>
              <w:tc>
                <w:tcPr/>
                <w:p>
                  <w:pPr>
                    <w:pStyle w:val="Compact"/>
                    <w:jc w:val="right"/>
                    <w:jc w:val="center"/>
                  </w:pPr>
                  <w:r>
                    <w:t xml:space="preserve">0.993</w:t>
                  </w:r>
                </w:p>
              </w:tc>
              <w:tc>
                <w:tcPr/>
                <w:p>
                  <w:pPr>
                    <w:pStyle w:val="Compact"/>
                  </w:pPr>
                </w:p>
              </w:tc>
            </w:tr>
          </w:tbl>
          <w:bookmarkEnd w:id="57"/>
          <w:p/>
        </w:tc>
      </w:tr>
    </w:tbl>
    <w:p>
      <w:pPr>
        <w:pStyle w:val="BodyText"/>
      </w:pPr>
      <w:r>
        <w:t xml:space="preserve">Step yield was affected by end of pool collect (D), protein load (A) and load flow rate (C), and by the AC interaction. Extending the end of pool collect across its range raised yield by 6.0 percentage points. Raising protein load and load flow rate lowered it by 2.6 and 2.4 percentage points. The AC interaction (-2.1 percentage points, p = 0.001) means that flow rate costs more yield at high load. The CD and BD interactions were also significant, at -1.1 and -1.0 percentage points. These are smaller than the main effects, and they were not confirmed in the response-surface design. Elution buffer pH had no significant effect on yield.</w:t>
      </w:r>
      <w:r>
        <w:t xml:space="preserve"> </w:t>
      </w:r>
      <w:hyperlink w:anchor="tbl-scr-yield">
        <w:r>
          <w:rPr>
            <w:rStyle w:val="Hyperlink"/>
          </w:rPr>
          <w:t xml:space="preserve">Table 13</w:t>
        </w:r>
      </w:hyperlink>
      <w:r>
        <w:t xml:space="preserve"> </w:t>
      </w:r>
      <w:r>
        <w:t xml:space="preserve">gives the effects, and Appendix C gives the effects for leached Protein A.</w:t>
      </w:r>
    </w:p>
    <w:tbl>
      <w:tblPr>
        <w:tblStyle w:val="Table"/>
        <w:tblW w:type="pct" w:w="5000"/>
        <w:tblLayout w:type="fixed"/>
        <w:tblLook w:firstRow="0" w:lastRow="0" w:firstColumn="0" w:lastColumn="0" w:noHBand="0" w:noVBand="0" w:val="0000"/>
      </w:tblPr>
      <w:tblGrid>
        <w:gridCol w:w="7920"/>
      </w:tblGrid>
      <w:tr>
        <w:tc>
          <w:tcPr/>
          <w:bookmarkStart w:id="58" w:name="tbl-scr-yield"/>
          <w:p>
            <w:pPr>
              <w:jc w:val="center"/>
            </w:pPr>
            <w:pPr>
              <w:jc w:val="start"/>
              <w:spacing w:before="200"/>
              <w:pStyle w:val="ImageCaption"/>
            </w:pPr>
            <w:r>
              <w:t xml:space="preserve">Table 13: Screening effects on step yield (fraction), sorted by size.</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D</w:t>
                  </w:r>
                </w:p>
              </w:tc>
              <w:tc>
                <w:tcPr/>
                <w:p>
                  <w:pPr>
                    <w:pStyle w:val="Compact"/>
                    <w:jc w:val="right"/>
                    <w:jc w:val="center"/>
                  </w:pPr>
                  <w:r>
                    <w:t xml:space="preserve">0.0604</w:t>
                  </w:r>
                </w:p>
              </w:tc>
              <w:tc>
                <w:tcPr/>
                <w:p>
                  <w:pPr>
                    <w:pStyle w:val="Compact"/>
                    <w:jc w:val="right"/>
                    <w:jc w:val="center"/>
                  </w:pPr>
                  <w:r>
                    <w:t xml:space="preserve">0.0302</w:t>
                  </w:r>
                </w:p>
              </w:tc>
              <w:tc>
                <w:tcPr/>
                <w:p>
                  <w:pPr>
                    <w:pStyle w:val="Compact"/>
                    <w:jc w:val="right"/>
                    <w:jc w:val="center"/>
                  </w:pPr>
                  <w:r>
                    <w:t xml:space="preserve">0.00208</w:t>
                  </w:r>
                </w:p>
              </w:tc>
              <w:tc>
                <w:tcPr/>
                <w:p>
                  <w:pPr>
                    <w:pStyle w:val="Compact"/>
                    <w:jc w:val="right"/>
                    <w:jc w:val="center"/>
                  </w:pPr>
                  <w:r>
                    <w:t xml:space="preserve">14.5</w:t>
                  </w:r>
                </w:p>
              </w:tc>
              <w:tc>
                <w:tcPr/>
                <w:p>
                  <w:pPr>
                    <w:pStyle w:val="Compact"/>
                    <w:jc w:val="right"/>
                    <w:jc w:val="center"/>
                  </w:pPr>
                  <w:r>
                    <w:t xml:space="preserve">5.01e-07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-0.0255</w:t>
                  </w:r>
                </w:p>
              </w:tc>
              <w:tc>
                <w:tcPr/>
                <w:p>
                  <w:pPr>
                    <w:pStyle w:val="Compact"/>
                    <w:jc w:val="right"/>
                    <w:jc w:val="center"/>
                  </w:pPr>
                  <w:r>
                    <w:t xml:space="preserve">-0.0128</w:t>
                  </w:r>
                </w:p>
              </w:tc>
              <w:tc>
                <w:tcPr/>
                <w:p>
                  <w:pPr>
                    <w:pStyle w:val="Compact"/>
                    <w:jc w:val="right"/>
                    <w:jc w:val="center"/>
                  </w:pPr>
                  <w:r>
                    <w:t xml:space="preserve">0.00208</w:t>
                  </w:r>
                </w:p>
              </w:tc>
              <w:tc>
                <w:tcPr/>
                <w:p>
                  <w:pPr>
                    <w:pStyle w:val="Compact"/>
                    <w:jc w:val="right"/>
                    <w:jc w:val="center"/>
                  </w:pPr>
                  <w:r>
                    <w:t xml:space="preserve">-6.13</w:t>
                  </w:r>
                </w:p>
              </w:tc>
              <w:tc>
                <w:tcPr/>
                <w:p>
                  <w:pPr>
                    <w:pStyle w:val="Compact"/>
                    <w:jc w:val="right"/>
                    <w:jc w:val="center"/>
                  </w:pPr>
                  <w:r>
                    <w:t xml:space="preserve">0.00028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-0.0237</w:t>
                  </w:r>
                </w:p>
              </w:tc>
              <w:tc>
                <w:tcPr/>
                <w:p>
                  <w:pPr>
                    <w:pStyle w:val="Compact"/>
                    <w:jc w:val="right"/>
                    <w:jc w:val="center"/>
                  </w:pPr>
                  <w:r>
                    <w:t xml:space="preserve">-0.0118</w:t>
                  </w:r>
                </w:p>
              </w:tc>
              <w:tc>
                <w:tcPr/>
                <w:p>
                  <w:pPr>
                    <w:pStyle w:val="Compact"/>
                    <w:jc w:val="right"/>
                    <w:jc w:val="center"/>
                  </w:pPr>
                  <w:r>
                    <w:t xml:space="preserve">0.00208</w:t>
                  </w:r>
                </w:p>
              </w:tc>
              <w:tc>
                <w:tcPr/>
                <w:p>
                  <w:pPr>
                    <w:pStyle w:val="Compact"/>
                    <w:jc w:val="right"/>
                    <w:jc w:val="center"/>
                  </w:pPr>
                  <w:r>
                    <w:t xml:space="preserve">-5.68</w:t>
                  </w:r>
                </w:p>
              </w:tc>
              <w:tc>
                <w:tcPr/>
                <w:p>
                  <w:pPr>
                    <w:pStyle w:val="Compact"/>
                    <w:jc w:val="right"/>
                    <w:jc w:val="center"/>
                  </w:pPr>
                  <w:r>
                    <w:t xml:space="preserve">0.000463</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-0.0209</w:t>
                  </w:r>
                </w:p>
              </w:tc>
              <w:tc>
                <w:tcPr/>
                <w:p>
                  <w:pPr>
                    <w:pStyle w:val="Compact"/>
                    <w:jc w:val="right"/>
                    <w:jc w:val="center"/>
                  </w:pPr>
                  <w:r>
                    <w:t xml:space="preserve">-0.0104</w:t>
                  </w:r>
                </w:p>
              </w:tc>
              <w:tc>
                <w:tcPr/>
                <w:p>
                  <w:pPr>
                    <w:pStyle w:val="Compact"/>
                    <w:jc w:val="right"/>
                    <w:jc w:val="center"/>
                  </w:pPr>
                  <w:r>
                    <w:t xml:space="preserve">0.00208</w:t>
                  </w:r>
                </w:p>
              </w:tc>
              <w:tc>
                <w:tcPr/>
                <w:p>
                  <w:pPr>
                    <w:pStyle w:val="Compact"/>
                    <w:jc w:val="right"/>
                    <w:jc w:val="center"/>
                  </w:pPr>
                  <w:r>
                    <w:t xml:space="preserve">-5.01</w:t>
                  </w:r>
                </w:p>
              </w:tc>
              <w:tc>
                <w:tcPr/>
                <w:p>
                  <w:pPr>
                    <w:pStyle w:val="Compact"/>
                    <w:jc w:val="right"/>
                    <w:jc w:val="center"/>
                  </w:pPr>
                  <w:r>
                    <w:t xml:space="preserve">0.00104</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-0.0107</w:t>
                  </w:r>
                </w:p>
              </w:tc>
              <w:tc>
                <w:tcPr/>
                <w:p>
                  <w:pPr>
                    <w:pStyle w:val="Compact"/>
                    <w:jc w:val="right"/>
                    <w:jc w:val="center"/>
                  </w:pPr>
                  <w:r>
                    <w:t xml:space="preserve">-0.00537</w:t>
                  </w:r>
                </w:p>
              </w:tc>
              <w:tc>
                <w:tcPr/>
                <w:p>
                  <w:pPr>
                    <w:pStyle w:val="Compact"/>
                    <w:jc w:val="right"/>
                    <w:jc w:val="center"/>
                  </w:pPr>
                  <w:r>
                    <w:t xml:space="preserve">0.00208</w:t>
                  </w:r>
                </w:p>
              </w:tc>
              <w:tc>
                <w:tcPr/>
                <w:p>
                  <w:pPr>
                    <w:pStyle w:val="Compact"/>
                    <w:jc w:val="right"/>
                    <w:jc w:val="center"/>
                  </w:pPr>
                  <w:r>
                    <w:t xml:space="preserve">-2.58</w:t>
                  </w:r>
                </w:p>
              </w:tc>
              <w:tc>
                <w:tcPr/>
                <w:p>
                  <w:pPr>
                    <w:pStyle w:val="Compact"/>
                    <w:jc w:val="right"/>
                    <w:jc w:val="center"/>
                  </w:pPr>
                  <w:r>
                    <w:t xml:space="preserve">0.0326</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-0.00981</w:t>
                  </w:r>
                </w:p>
              </w:tc>
              <w:tc>
                <w:tcPr/>
                <w:p>
                  <w:pPr>
                    <w:pStyle w:val="Compact"/>
                    <w:jc w:val="right"/>
                    <w:jc w:val="center"/>
                  </w:pPr>
                  <w:r>
                    <w:t xml:space="preserve">-0.0049</w:t>
                  </w:r>
                </w:p>
              </w:tc>
              <w:tc>
                <w:tcPr/>
                <w:p>
                  <w:pPr>
                    <w:pStyle w:val="Compact"/>
                    <w:jc w:val="right"/>
                    <w:jc w:val="center"/>
                  </w:pPr>
                  <w:r>
                    <w:t xml:space="preserve">0.00208</w:t>
                  </w:r>
                </w:p>
              </w:tc>
              <w:tc>
                <w:tcPr/>
                <w:p>
                  <w:pPr>
                    <w:pStyle w:val="Compact"/>
                    <w:jc w:val="right"/>
                    <w:jc w:val="center"/>
                  </w:pPr>
                  <w:r>
                    <w:t xml:space="preserve">-2.36</w:t>
                  </w:r>
                </w:p>
              </w:tc>
              <w:tc>
                <w:tcPr/>
                <w:p>
                  <w:pPr>
                    <w:pStyle w:val="Compact"/>
                    <w:jc w:val="right"/>
                    <w:jc w:val="center"/>
                  </w:pPr>
                  <w:r>
                    <w:t xml:space="preserve">0.0463</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0.00443</w:t>
                  </w:r>
                </w:p>
              </w:tc>
              <w:tc>
                <w:tcPr/>
                <w:p>
                  <w:pPr>
                    <w:pStyle w:val="Compact"/>
                    <w:jc w:val="right"/>
                    <w:jc w:val="center"/>
                  </w:pPr>
                  <w:r>
                    <w:t xml:space="preserve">0.00221</w:t>
                  </w:r>
                </w:p>
              </w:tc>
              <w:tc>
                <w:tcPr/>
                <w:p>
                  <w:pPr>
                    <w:pStyle w:val="Compact"/>
                    <w:jc w:val="right"/>
                    <w:jc w:val="center"/>
                  </w:pPr>
                  <w:r>
                    <w:t xml:space="preserve">0.00208</w:t>
                  </w:r>
                </w:p>
              </w:tc>
              <w:tc>
                <w:tcPr/>
                <w:p>
                  <w:pPr>
                    <w:pStyle w:val="Compact"/>
                    <w:jc w:val="right"/>
                    <w:jc w:val="center"/>
                  </w:pPr>
                  <w:r>
                    <w:t xml:space="preserve">1.06</w:t>
                  </w:r>
                </w:p>
              </w:tc>
              <w:tc>
                <w:tcPr/>
                <w:p>
                  <w:pPr>
                    <w:pStyle w:val="Compact"/>
                    <w:jc w:val="right"/>
                    <w:jc w:val="center"/>
                  </w:pPr>
                  <w:r>
                    <w:t xml:space="preserve">0.319</w:t>
                  </w:r>
                </w:p>
              </w:tc>
              <w:tc>
                <w:tcPr/>
                <w:p>
                  <w:pPr>
                    <w:pStyle w:val="Compact"/>
                  </w:pPr>
                </w:p>
              </w:tc>
            </w:tr>
            <w:tr>
              <w:tc>
                <w:tcPr/>
                <w:p>
                  <w:pPr>
                    <w:pStyle w:val="Compact"/>
                    <w:jc w:val="left"/>
                    <w:jc w:val="center"/>
                  </w:pPr>
                  <w:r>
                    <w:t xml:space="preserve">AD</w:t>
                  </w:r>
                </w:p>
              </w:tc>
              <w:tc>
                <w:tcPr/>
                <w:p>
                  <w:pPr>
                    <w:pStyle w:val="Compact"/>
                    <w:jc w:val="right"/>
                    <w:jc w:val="center"/>
                  </w:pPr>
                  <w:r>
                    <w:t xml:space="preserve">0.0037</w:t>
                  </w:r>
                </w:p>
              </w:tc>
              <w:tc>
                <w:tcPr/>
                <w:p>
                  <w:pPr>
                    <w:pStyle w:val="Compact"/>
                    <w:jc w:val="right"/>
                    <w:jc w:val="center"/>
                  </w:pPr>
                  <w:r>
                    <w:t xml:space="preserve">0.00185</w:t>
                  </w:r>
                </w:p>
              </w:tc>
              <w:tc>
                <w:tcPr/>
                <w:p>
                  <w:pPr>
                    <w:pStyle w:val="Compact"/>
                    <w:jc w:val="right"/>
                    <w:jc w:val="center"/>
                  </w:pPr>
                  <w:r>
                    <w:t xml:space="preserve">0.00208</w:t>
                  </w:r>
                </w:p>
              </w:tc>
              <w:tc>
                <w:tcPr/>
                <w:p>
                  <w:pPr>
                    <w:pStyle w:val="Compact"/>
                    <w:jc w:val="right"/>
                    <w:jc w:val="center"/>
                  </w:pPr>
                  <w:r>
                    <w:t xml:space="preserve">0.889</w:t>
                  </w:r>
                </w:p>
              </w:tc>
              <w:tc>
                <w:tcPr/>
                <w:p>
                  <w:pPr>
                    <w:pStyle w:val="Compact"/>
                    <w:jc w:val="right"/>
                    <w:jc w:val="center"/>
                  </w:pPr>
                  <w:r>
                    <w:t xml:space="preserve">0.4</w:t>
                  </w:r>
                </w:p>
              </w:tc>
              <w:tc>
                <w:tcPr/>
                <w:p>
                  <w:pPr>
                    <w:pStyle w:val="Compact"/>
                  </w:pPr>
                </w:p>
              </w:tc>
            </w:tr>
            <w:tr>
              <w:tc>
                <w:tcPr/>
                <w:p>
                  <w:pPr>
                    <w:pStyle w:val="Compact"/>
                    <w:jc w:val="left"/>
                    <w:jc w:val="center"/>
                  </w:pPr>
                  <w:r>
                    <w:t xml:space="preserve">BC</w:t>
                  </w:r>
                </w:p>
              </w:tc>
              <w:tc>
                <w:tcPr/>
                <w:p>
                  <w:pPr>
                    <w:pStyle w:val="Compact"/>
                    <w:jc w:val="right"/>
                    <w:jc w:val="center"/>
                  </w:pPr>
                  <w:r>
                    <w:t xml:space="preserve">0.0035</w:t>
                  </w:r>
                </w:p>
              </w:tc>
              <w:tc>
                <w:tcPr/>
                <w:p>
                  <w:pPr>
                    <w:pStyle w:val="Compact"/>
                    <w:jc w:val="right"/>
                    <w:jc w:val="center"/>
                  </w:pPr>
                  <w:r>
                    <w:t xml:space="preserve">0.00175</w:t>
                  </w:r>
                </w:p>
              </w:tc>
              <w:tc>
                <w:tcPr/>
                <w:p>
                  <w:pPr>
                    <w:pStyle w:val="Compact"/>
                    <w:jc w:val="right"/>
                    <w:jc w:val="center"/>
                  </w:pPr>
                  <w:r>
                    <w:t xml:space="preserve">0.00208</w:t>
                  </w:r>
                </w:p>
              </w:tc>
              <w:tc>
                <w:tcPr/>
                <w:p>
                  <w:pPr>
                    <w:pStyle w:val="Compact"/>
                    <w:jc w:val="right"/>
                    <w:jc w:val="center"/>
                  </w:pPr>
                  <w:r>
                    <w:t xml:space="preserve">0.84</w:t>
                  </w:r>
                </w:p>
              </w:tc>
              <w:tc>
                <w:tcPr/>
                <w:p>
                  <w:pPr>
                    <w:pStyle w:val="Compact"/>
                    <w:jc w:val="right"/>
                    <w:jc w:val="center"/>
                  </w:pPr>
                  <w:r>
                    <w:t xml:space="preserve">0.425</w:t>
                  </w:r>
                </w:p>
              </w:tc>
              <w:tc>
                <w:tcPr/>
                <w:p>
                  <w:pPr>
                    <w:pStyle w:val="Compact"/>
                  </w:pPr>
                </w:p>
              </w:tc>
            </w:tr>
            <w:tr>
              <w:tc>
                <w:tcPr/>
                <w:p>
                  <w:pPr>
                    <w:pStyle w:val="Compact"/>
                    <w:jc w:val="left"/>
                    <w:jc w:val="center"/>
                  </w:pPr>
                  <w:r>
                    <w:t xml:space="preserve">B</w:t>
                  </w:r>
                </w:p>
              </w:tc>
              <w:tc>
                <w:tcPr/>
                <w:p>
                  <w:pPr>
                    <w:pStyle w:val="Compact"/>
                    <w:jc w:val="right"/>
                    <w:jc w:val="center"/>
                  </w:pPr>
                  <w:r>
                    <w:t xml:space="preserve">-0.00236</w:t>
                  </w:r>
                </w:p>
              </w:tc>
              <w:tc>
                <w:tcPr/>
                <w:p>
                  <w:pPr>
                    <w:pStyle w:val="Compact"/>
                    <w:jc w:val="right"/>
                    <w:jc w:val="center"/>
                  </w:pPr>
                  <w:r>
                    <w:t xml:space="preserve">-0.00118</w:t>
                  </w:r>
                </w:p>
              </w:tc>
              <w:tc>
                <w:tcPr/>
                <w:p>
                  <w:pPr>
                    <w:pStyle w:val="Compact"/>
                    <w:jc w:val="right"/>
                    <w:jc w:val="center"/>
                  </w:pPr>
                  <w:r>
                    <w:t xml:space="preserve">0.00208</w:t>
                  </w:r>
                </w:p>
              </w:tc>
              <w:tc>
                <w:tcPr/>
                <w:p>
                  <w:pPr>
                    <w:pStyle w:val="Compact"/>
                    <w:jc w:val="right"/>
                    <w:jc w:val="center"/>
                  </w:pPr>
                  <w:r>
                    <w:t xml:space="preserve">-0.568</w:t>
                  </w:r>
                </w:p>
              </w:tc>
              <w:tc>
                <w:tcPr/>
                <w:p>
                  <w:pPr>
                    <w:pStyle w:val="Compact"/>
                    <w:jc w:val="right"/>
                    <w:jc w:val="center"/>
                  </w:pPr>
                  <w:r>
                    <w:t xml:space="preserve">0.586</w:t>
                  </w:r>
                </w:p>
              </w:tc>
              <w:tc>
                <w:tcPr/>
                <w:p>
                  <w:pPr>
                    <w:pStyle w:val="Compact"/>
                  </w:pPr>
                </w:p>
              </w:tc>
            </w:tr>
          </w:tbl>
          <w:bookmarkEnd w:id="58"/>
          <w:p/>
        </w:tc>
      </w:tr>
    </w:tbl>
    <w:p>
      <w:pPr>
        <w:pStyle w:val="BodyText"/>
      </w:pPr>
      <w:r>
        <w:t xml:space="preserve">The screening results agree with the expectations of the platform history in direction for protein load and elution buffer pH and for the AB interaction on pool host cell protein, and for every main effect and the AC interaction on step yield. This type of design cannot attribute curvature to a factor, and the effects were refined in the response-surface design.</w:t>
      </w:r>
    </w:p>
    <w:bookmarkEnd w:id="59"/>
    <w:bookmarkStart w:id="79" w:name="sec-rsm"/>
    <w:p>
      <w:pPr>
        <w:pStyle w:val="Heading2"/>
      </w:pPr>
      <w:r>
        <w:t xml:space="preserve">5.3 Response-surface models</w:t>
      </w:r>
    </w:p>
    <w:p>
      <w:pPr>
        <w:pStyle w:val="FirstParagraph"/>
      </w:pPr>
      <w:hyperlink w:anchor="tbl-adequacy">
        <w:r>
          <w:rPr>
            <w:rStyle w:val="Hyperlink"/>
          </w:rPr>
          <w:t xml:space="preserve">Table 14</w:t>
        </w:r>
      </w:hyperlink>
      <w:r>
        <w:t xml:space="preserve"> </w:t>
      </w:r>
      <w:r>
        <w:t xml:space="preserve">judges each response-surface model against criteria 2 to 4 of PCP-005 §7. Criterion 5, on the residuals, is reported separately in</w:t>
      </w:r>
      <w:r>
        <w:t xml:space="preserve"> </w:t>
      </w:r>
      <w:hyperlink w:anchor="sec-resid">
        <w:r>
          <w:rPr>
            <w:rStyle w:val="Hyperlink"/>
          </w:rPr>
          <w:t xml:space="preserve">Section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tbl-adequacy"/>
          <w:p>
            <w:pPr>
              <w:jc w:val="center"/>
            </w:pPr>
            <w:pPr>
              <w:jc w:val="start"/>
              <w:spacing w:before="200"/>
              <w:pStyle w:val="ImageCaption"/>
            </w:pPr>
            <w:r>
              <w:t xml:space="preserve">Table 14: Adequacy of the response-surface models against PCP-005 §7, criteria 2 to 4.</w:t>
            </w:r>
          </w:p>
          <w:tbl>
            <w:tblPr>
              <w:tblStyle w:val="Table"/>
              <w:tblW w:type="pct" w:w="5000"/>
              <w:tblLayout w:type="fixed"/>
              <w:tblLook w:firstRow="1" w:lastRow="0" w:firstColumn="0" w:lastColumn="0" w:noHBand="0" w:noVBand="0" w:val="0020"/>
            </w:tblPr>
            <w:tblGrid>
              <w:gridCol w:w="1650"/>
              <w:gridCol w:w="1045"/>
              <w:gridCol w:w="385"/>
              <w:gridCol w:w="605"/>
              <w:gridCol w:w="660"/>
              <w:gridCol w:w="935"/>
              <w:gridCol w:w="605"/>
              <w:gridCol w:w="935"/>
              <w:gridCol w:w="1100"/>
            </w:tblGrid>
            <w:tr>
              <w:trPr>
                <w:tblHeader w:val="on"/>
              </w:trPr>
              <w:tc>
                <w:tcPr/>
                <w:p>
                  <w:pPr>
                    <w:pStyle w:val="Compact"/>
                    <w:jc w:val="left"/>
                    <w:jc w:val="center"/>
                  </w:pPr>
                  <w:r>
                    <w:t xml:space="preserve">Response</w:t>
                  </w:r>
                </w:p>
              </w:tc>
              <w:tc>
                <w:tcPr/>
                <w:p>
                  <w:pPr>
                    <w:pStyle w:val="Compact"/>
                    <w:jc w:val="left"/>
                    <w:jc w:val="center"/>
                  </w:pPr>
                  <w:r>
                    <w:t xml:space="preserve">Model</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R² − pred. R²</w:t>
                  </w:r>
                </w:p>
              </w:tc>
              <w:tc>
                <w:tcPr/>
                <w:p>
                  <w:pPr>
                    <w:pStyle w:val="Compact"/>
                    <w:jc w:val="left"/>
                    <w:jc w:val="center"/>
                  </w:pPr>
                  <w:r>
                    <w:t xml:space="preserve">Model p</w:t>
                  </w:r>
                </w:p>
              </w:tc>
              <w:tc>
                <w:tcPr/>
                <w:p>
                  <w:pPr>
                    <w:pStyle w:val="Compact"/>
                    <w:jc w:val="right"/>
                    <w:jc w:val="center"/>
                  </w:pPr>
                  <w:r>
                    <w:t xml:space="preserve">Lack of fit p</w:t>
                  </w:r>
                </w:p>
              </w:tc>
              <w:tc>
                <w:tcPr/>
                <w:p>
                  <w:pPr>
                    <w:pStyle w:val="Compact"/>
                    <w:jc w:val="left"/>
                    <w:jc w:val="center"/>
                  </w:pPr>
                  <w:r>
                    <w:t xml:space="preserve">Criteria 2–4 met</w:t>
                  </w:r>
                </w:p>
              </w:tc>
            </w:tr>
            <w:tr>
              <w:tc>
                <w:tcPr/>
                <w:p>
                  <w:pPr>
                    <w:pStyle w:val="Compact"/>
                    <w:jc w:val="left"/>
                    <w:jc w:val="center"/>
                  </w:pPr>
                  <w:r>
                    <w:t xml:space="preserve">Pool HCP (ng/mg)</w:t>
                  </w:r>
                </w:p>
              </w:tc>
              <w:tc>
                <w:tcPr/>
                <w:p>
                  <w:pPr>
                    <w:pStyle w:val="Compact"/>
                    <w:jc w:val="left"/>
                    <w:jc w:val="center"/>
                  </w:pPr>
                  <w:r>
                    <w:t xml:space="preserve">full quadratic</w:t>
                  </w:r>
                </w:p>
              </w:tc>
              <w:tc>
                <w:tcPr/>
                <w:p>
                  <w:pPr>
                    <w:pStyle w:val="Compact"/>
                    <w:jc w:val="right"/>
                    <w:jc w:val="center"/>
                  </w:pPr>
                  <w:r>
                    <w:t xml:space="preserve">0.989</w:t>
                  </w:r>
                </w:p>
              </w:tc>
              <w:tc>
                <w:tcPr/>
                <w:p>
                  <w:pPr>
                    <w:pStyle w:val="Compact"/>
                    <w:jc w:val="right"/>
                    <w:jc w:val="center"/>
                  </w:pPr>
                  <w:r>
                    <w:t xml:space="preserve">0.976</w:t>
                  </w:r>
                </w:p>
              </w:tc>
              <w:tc>
                <w:tcPr/>
                <w:p>
                  <w:pPr>
                    <w:pStyle w:val="Compact"/>
                    <w:jc w:val="right"/>
                    <w:jc w:val="center"/>
                  </w:pPr>
                  <w:r>
                    <w:t xml:space="preserve">0.932</w:t>
                  </w:r>
                </w:p>
              </w:tc>
              <w:tc>
                <w:tcPr/>
                <w:p>
                  <w:pPr>
                    <w:pStyle w:val="Compact"/>
                    <w:jc w:val="right"/>
                    <w:jc w:val="center"/>
                  </w:pPr>
                  <w:r>
                    <w:t xml:space="preserve">0.057</w:t>
                  </w:r>
                </w:p>
              </w:tc>
              <w:tc>
                <w:tcPr/>
                <w:p>
                  <w:pPr>
                    <w:pStyle w:val="Compact"/>
                    <w:jc w:val="left"/>
                    <w:jc w:val="center"/>
                  </w:pPr>
                  <w:r>
                    <w:t xml:space="preserve">&lt; 0.001</w:t>
                  </w:r>
                </w:p>
              </w:tc>
              <w:tc>
                <w:tcPr/>
                <w:p>
                  <w:pPr>
                    <w:pStyle w:val="Compact"/>
                    <w:jc w:val="right"/>
                    <w:jc w:val="center"/>
                  </w:pPr>
                  <w:r>
                    <w:t xml:space="preserve">0.058</w:t>
                  </w:r>
                </w:p>
              </w:tc>
              <w:tc>
                <w:tcPr/>
                <w:p>
                  <w:pPr>
                    <w:pStyle w:val="Compact"/>
                    <w:jc w:val="left"/>
                    <w:jc w:val="center"/>
                  </w:pPr>
                  <w:r>
                    <w:t xml:space="preserve">Yes</w:t>
                  </w:r>
                </w:p>
              </w:tc>
            </w:tr>
            <w:tr>
              <w:tc>
                <w:tcPr/>
                <w:p>
                  <w:pPr>
                    <w:pStyle w:val="Compact"/>
                    <w:jc w:val="left"/>
                    <w:jc w:val="center"/>
                  </w:pPr>
                  <w:r>
                    <w:t xml:space="preserve">Step yield</w:t>
                  </w:r>
                </w:p>
              </w:tc>
              <w:tc>
                <w:tcPr/>
                <w:p>
                  <w:pPr>
                    <w:pStyle w:val="Compact"/>
                    <w:jc w:val="left"/>
                    <w:jc w:val="center"/>
                  </w:pPr>
                  <w:r>
                    <w:t xml:space="preserve">full quadratic</w:t>
                  </w:r>
                </w:p>
              </w:tc>
              <w:tc>
                <w:tcPr/>
                <w:p>
                  <w:pPr>
                    <w:pStyle w:val="Compact"/>
                    <w:jc w:val="right"/>
                    <w:jc w:val="center"/>
                  </w:pPr>
                  <w:r>
                    <w:t xml:space="preserve">0.913</w:t>
                  </w:r>
                </w:p>
              </w:tc>
              <w:tc>
                <w:tcPr/>
                <w:p>
                  <w:pPr>
                    <w:pStyle w:val="Compact"/>
                    <w:jc w:val="right"/>
                    <w:jc w:val="center"/>
                  </w:pPr>
                  <w:r>
                    <w:t xml:space="preserve">0.818</w:t>
                  </w:r>
                </w:p>
              </w:tc>
              <w:tc>
                <w:tcPr/>
                <w:p>
                  <w:pPr>
                    <w:pStyle w:val="Compact"/>
                    <w:jc w:val="right"/>
                    <w:jc w:val="center"/>
                  </w:pPr>
                  <w:r>
                    <w:t xml:space="preserve">0.586</w:t>
                  </w:r>
                </w:p>
              </w:tc>
              <w:tc>
                <w:tcPr/>
                <w:p>
                  <w:pPr>
                    <w:pStyle w:val="Compact"/>
                    <w:jc w:val="right"/>
                    <w:jc w:val="center"/>
                  </w:pPr>
                  <w:r>
                    <w:t xml:space="preserve">0.326</w:t>
                  </w:r>
                </w:p>
              </w:tc>
              <w:tc>
                <w:tcPr/>
                <w:p>
                  <w:pPr>
                    <w:pStyle w:val="Compact"/>
                    <w:jc w:val="left"/>
                    <w:jc w:val="center"/>
                  </w:pPr>
                  <w:r>
                    <w:t xml:space="preserve">&lt; 0.001</w:t>
                  </w:r>
                </w:p>
              </w:tc>
              <w:tc>
                <w:tcPr/>
                <w:p>
                  <w:pPr>
                    <w:pStyle w:val="Compact"/>
                    <w:jc w:val="right"/>
                    <w:jc w:val="center"/>
                  </w:pPr>
                  <w:r>
                    <w:t xml:space="preserve">0.731</w:t>
                  </w:r>
                </w:p>
              </w:tc>
              <w:tc>
                <w:tcPr/>
                <w:p>
                  <w:pPr>
                    <w:pStyle w:val="Compact"/>
                    <w:jc w:val="left"/>
                    <w:jc w:val="center"/>
                  </w:pPr>
                  <w:r>
                    <w:t xml:space="preserve">No</w:t>
                  </w:r>
                </w:p>
              </w:tc>
            </w:tr>
            <w:tr>
              <w:tc>
                <w:tcPr/>
                <w:p>
                  <w:pPr>
                    <w:pStyle w:val="Compact"/>
                    <w:jc w:val="left"/>
                    <w:jc w:val="center"/>
                  </w:pPr>
                  <w:r>
                    <w:t xml:space="preserve">Step yield</w:t>
                  </w:r>
                </w:p>
              </w:tc>
              <w:tc>
                <w:tcPr/>
                <w:p>
                  <w:pPr>
                    <w:pStyle w:val="Compact"/>
                    <w:jc w:val="left"/>
                    <w:jc w:val="center"/>
                  </w:pPr>
                  <w:r>
                    <w:t xml:space="preserve">reduced (5 terms)</w:t>
                  </w:r>
                </w:p>
              </w:tc>
              <w:tc>
                <w:tcPr/>
                <w:p>
                  <w:pPr>
                    <w:pStyle w:val="Compact"/>
                    <w:jc w:val="right"/>
                    <w:jc w:val="center"/>
                  </w:pPr>
                  <w:r>
                    <w:t xml:space="preserve">0.831</w:t>
                  </w:r>
                </w:p>
              </w:tc>
              <w:tc>
                <w:tcPr/>
                <w:p>
                  <w:pPr>
                    <w:pStyle w:val="Compact"/>
                    <w:jc w:val="right"/>
                    <w:jc w:val="center"/>
                  </w:pPr>
                  <w:r>
                    <w:t xml:space="preserve">0.801</w:t>
                  </w:r>
                </w:p>
              </w:tc>
              <w:tc>
                <w:tcPr/>
                <w:p>
                  <w:pPr>
                    <w:pStyle w:val="Compact"/>
                    <w:jc w:val="right"/>
                    <w:jc w:val="center"/>
                  </w:pPr>
                  <w:r>
                    <w:t xml:space="preserve">0.759</w:t>
                  </w:r>
                </w:p>
              </w:tc>
              <w:tc>
                <w:tcPr/>
                <w:p>
                  <w:pPr>
                    <w:pStyle w:val="Compact"/>
                    <w:jc w:val="right"/>
                    <w:jc w:val="center"/>
                  </w:pPr>
                  <w:r>
                    <w:t xml:space="preserve">0.072</w:t>
                  </w:r>
                </w:p>
              </w:tc>
              <w:tc>
                <w:tcPr/>
                <w:p>
                  <w:pPr>
                    <w:pStyle w:val="Compact"/>
                    <w:jc w:val="left"/>
                    <w:jc w:val="center"/>
                  </w:pPr>
                  <w:r>
                    <w:t xml:space="preserve">&lt; 0.001</w:t>
                  </w:r>
                </w:p>
              </w:tc>
              <w:tc>
                <w:tcPr/>
                <w:p>
                  <w:pPr>
                    <w:pStyle w:val="Compact"/>
                    <w:jc w:val="right"/>
                    <w:jc w:val="center"/>
                  </w:pPr>
                  <w:r>
                    <w:t xml:space="preserve">0.693</w:t>
                  </w:r>
                </w:p>
              </w:tc>
              <w:tc>
                <w:tcPr/>
                <w:p>
                  <w:pPr>
                    <w:pStyle w:val="Compact"/>
                    <w:jc w:val="left"/>
                    <w:jc w:val="center"/>
                  </w:pPr>
                  <w:r>
                    <w:t xml:space="preserve">Yes</w:t>
                  </w:r>
                </w:p>
              </w:tc>
            </w:tr>
            <w:tr>
              <w:tc>
                <w:tcPr/>
                <w:p>
                  <w:pPr>
                    <w:pStyle w:val="Compact"/>
                    <w:jc w:val="left"/>
                    <w:jc w:val="center"/>
                  </w:pPr>
                  <w:r>
                    <w:t xml:space="preserve">Leached Protein A (ppm)</w:t>
                  </w:r>
                </w:p>
              </w:tc>
              <w:tc>
                <w:tcPr/>
                <w:p>
                  <w:pPr>
                    <w:pStyle w:val="Compact"/>
                    <w:jc w:val="left"/>
                    <w:jc w:val="center"/>
                  </w:pPr>
                  <w:r>
                    <w:t xml:space="preserve">full quadratic</w:t>
                  </w:r>
                </w:p>
              </w:tc>
              <w:tc>
                <w:tcPr/>
                <w:p>
                  <w:pPr>
                    <w:pStyle w:val="Compact"/>
                    <w:jc w:val="right"/>
                    <w:jc w:val="center"/>
                  </w:pPr>
                  <w:r>
                    <w:t xml:space="preserve">0.567</w:t>
                  </w:r>
                </w:p>
              </w:tc>
              <w:tc>
                <w:tcPr/>
                <w:p>
                  <w:pPr>
                    <w:pStyle w:val="Compact"/>
                    <w:jc w:val="right"/>
                    <w:jc w:val="center"/>
                  </w:pPr>
                  <w:r>
                    <w:t xml:space="preserve">0.101</w:t>
                  </w:r>
                </w:p>
              </w:tc>
              <w:tc>
                <w:tcPr/>
                <w:p>
                  <w:pPr>
                    <w:pStyle w:val="Compact"/>
                    <w:jc w:val="right"/>
                    <w:jc w:val="center"/>
                  </w:pPr>
                  <w:r>
                    <w:t xml:space="preserve">-0.714</w:t>
                  </w:r>
                </w:p>
              </w:tc>
              <w:tc>
                <w:tcPr/>
                <w:p>
                  <w:pPr>
                    <w:pStyle w:val="Compact"/>
                    <w:jc w:val="right"/>
                    <w:jc w:val="center"/>
                  </w:pPr>
                  <w:r>
                    <w:t xml:space="preserve">1.28</w:t>
                  </w:r>
                </w:p>
              </w:tc>
              <w:tc>
                <w:tcPr/>
                <w:p>
                  <w:pPr>
                    <w:pStyle w:val="Compact"/>
                    <w:jc w:val="left"/>
                    <w:jc w:val="center"/>
                  </w:pPr>
                  <w:r>
                    <w:t xml:space="preserve">0.365</w:t>
                  </w:r>
                </w:p>
              </w:tc>
              <w:tc>
                <w:tcPr/>
                <w:p>
                  <w:pPr>
                    <w:pStyle w:val="Compact"/>
                    <w:jc w:val="right"/>
                    <w:jc w:val="center"/>
                  </w:pPr>
                  <w:r>
                    <w:t xml:space="preserve">0.953</w:t>
                  </w:r>
                </w:p>
              </w:tc>
              <w:tc>
                <w:tcPr/>
                <w:p>
                  <w:pPr>
                    <w:pStyle w:val="Compact"/>
                    <w:jc w:val="left"/>
                    <w:jc w:val="center"/>
                  </w:pPr>
                  <w:r>
                    <w:t xml:space="preserve">No</w:t>
                  </w:r>
                </w:p>
              </w:tc>
            </w:tr>
            <w:tr>
              <w:tc>
                <w:tcPr/>
                <w:p>
                  <w:pPr>
                    <w:pStyle w:val="Compact"/>
                    <w:jc w:val="left"/>
                    <w:jc w:val="center"/>
                  </w:pPr>
                  <w:r>
                    <w:t xml:space="preserve">Fragments (LMW, %, nrCE-SDS)</w:t>
                  </w:r>
                </w:p>
              </w:tc>
              <w:tc>
                <w:tcPr/>
                <w:p>
                  <w:pPr>
                    <w:pStyle w:val="Compact"/>
                    <w:jc w:val="left"/>
                    <w:jc w:val="center"/>
                  </w:pPr>
                  <w:r>
                    <w:t xml:space="preserve">full quadratic</w:t>
                  </w:r>
                </w:p>
              </w:tc>
              <w:tc>
                <w:tcPr/>
                <w:p>
                  <w:pPr>
                    <w:pStyle w:val="Compact"/>
                    <w:jc w:val="right"/>
                    <w:jc w:val="center"/>
                  </w:pPr>
                  <w:r>
                    <w:t xml:space="preserve">0.599</w:t>
                  </w:r>
                </w:p>
              </w:tc>
              <w:tc>
                <w:tcPr/>
                <w:p>
                  <w:pPr>
                    <w:pStyle w:val="Compact"/>
                    <w:jc w:val="right"/>
                    <w:jc w:val="center"/>
                  </w:pPr>
                  <w:r>
                    <w:t xml:space="preserve">0.168</w:t>
                  </w:r>
                </w:p>
              </w:tc>
              <w:tc>
                <w:tcPr/>
                <w:p>
                  <w:pPr>
                    <w:pStyle w:val="Compact"/>
                    <w:jc w:val="right"/>
                    <w:jc w:val="center"/>
                  </w:pPr>
                  <w:r>
                    <w:t xml:space="preserve">-1.32</w:t>
                  </w:r>
                </w:p>
              </w:tc>
              <w:tc>
                <w:tcPr/>
                <w:p>
                  <w:pPr>
                    <w:pStyle w:val="Compact"/>
                    <w:jc w:val="right"/>
                    <w:jc w:val="center"/>
                  </w:pPr>
                  <w:r>
                    <w:t xml:space="preserve">1.92</w:t>
                  </w:r>
                </w:p>
              </w:tc>
              <w:tc>
                <w:tcPr/>
                <w:p>
                  <w:pPr>
                    <w:pStyle w:val="Compact"/>
                    <w:jc w:val="left"/>
                    <w:jc w:val="center"/>
                  </w:pPr>
                  <w:r>
                    <w:t xml:space="preserve">0.280</w:t>
                  </w:r>
                </w:p>
              </w:tc>
              <w:tc>
                <w:tcPr/>
                <w:p>
                  <w:pPr>
                    <w:pStyle w:val="Compact"/>
                    <w:jc w:val="right"/>
                    <w:jc w:val="center"/>
                  </w:pPr>
                  <w:r>
                    <w:t xml:space="preserve">0.644</w:t>
                  </w:r>
                </w:p>
              </w:tc>
              <w:tc>
                <w:tcPr/>
                <w:p>
                  <w:pPr>
                    <w:pStyle w:val="Compact"/>
                    <w:jc w:val="left"/>
                    <w:jc w:val="center"/>
                  </w:pPr>
                  <w:r>
                    <w:t xml:space="preserve">No</w:t>
                  </w:r>
                </w:p>
              </w:tc>
            </w:tr>
          </w:tbl>
          <w:bookmarkEnd w:id="60"/>
          <w:p/>
        </w:tc>
      </w:tr>
    </w:tbl>
    <w:p>
      <w:pPr>
        <w:pStyle w:val="BodyText"/>
      </w:pPr>
      <w:r>
        <w:t xml:space="preserve">The model for pool host cell protein meets criteria 2 to 4. The full quadratic model for step yield is significant and shows no lack of fit, but its predicted R² falls short of R² by 0.326, more than the limit of 0.20. It was therefore refitted with the terms that were significant in both designs, the main effects of A, C and D and the AC interaction. The reduced model meets criteria 2 to 4. The models for leached Protein A and fragments by nrCE-SDS are not significant (p = 0.365 and 0.280), and both have a negative predicted R². No adequate model results for them, and they are reported descriptively. The same verdicts follow when predicted R² is compared with adjusted R², as PCMP-001 §7.2 states the criterion.</w:t>
      </w:r>
    </w:p>
    <w:bookmarkStart w:id="71" w:name="pool-host-cell-protein"/>
    <w:p>
      <w:pPr>
        <w:pStyle w:val="Heading3"/>
      </w:pPr>
      <w:r>
        <w:t xml:space="preserve">5.3.1 Pool host cell protein</w:t>
      </w:r>
    </w:p>
    <w:p>
      <w:pPr>
        <w:pStyle w:val="FirstParagraph"/>
      </w:pPr>
      <w:hyperlink w:anchor="tbl-coef-hcp">
        <w:r>
          <w:rPr>
            <w:rStyle w:val="Hyperlink"/>
          </w:rPr>
          <w:t xml:space="preserve">Table 15</w:t>
        </w:r>
      </w:hyperlink>
      <w:r>
        <w:t xml:space="preserve"> </w:t>
      </w:r>
      <w:r>
        <w:t xml:space="preserve">gives the coefficients of the model for pool host cell protein, and</w:t>
      </w:r>
      <w:r>
        <w:t xml:space="preserve"> </w:t>
      </w:r>
      <w:hyperlink w:anchor="tbl-anova-hcp">
        <w:r>
          <w:rPr>
            <w:rStyle w:val="Hyperlink"/>
          </w:rPr>
          <w:t xml:space="preserve">Table 16</w:t>
        </w:r>
      </w:hyperlink>
      <w:r>
        <w:t xml:space="preserve"> </w:t>
      </w:r>
      <w:r>
        <w:t xml:space="preserve">its analysis of variance.</w:t>
      </w:r>
    </w:p>
    <w:tbl>
      <w:tblPr>
        <w:tblStyle w:val="Table"/>
        <w:tblW w:type="pct" w:w="5000"/>
        <w:tblLayout w:type="fixed"/>
        <w:tblLook w:firstRow="0" w:lastRow="0" w:firstColumn="0" w:lastColumn="0" w:noHBand="0" w:noVBand="0" w:val="0000"/>
      </w:tblPr>
      <w:tblGrid>
        <w:gridCol w:w="7920"/>
      </w:tblGrid>
      <w:tr>
        <w:tc>
          <w:tcPr/>
          <w:bookmarkStart w:id="61" w:name="tbl-coef-hcp"/>
          <w:p>
            <w:pPr>
              <w:jc w:val="center"/>
            </w:pPr>
            <w:pPr>
              <w:jc w:val="start"/>
              <w:spacing w:before="200"/>
              <w:pStyle w:val="ImageCaption"/>
            </w:pPr>
            <w:r>
              <w:t xml:space="preserve">Table 15: Response-surface coefficients for pool HCP (ng/mg),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7,215.5</w:t>
                  </w:r>
                </w:p>
              </w:tc>
              <w:tc>
                <w:tcPr/>
                <w:p>
                  <w:pPr>
                    <w:pStyle w:val="Compact"/>
                    <w:jc w:val="right"/>
                    <w:jc w:val="center"/>
                  </w:pPr>
                  <w:r>
                    <w:t xml:space="preserve">309</w:t>
                  </w:r>
                </w:p>
              </w:tc>
              <w:tc>
                <w:tcPr/>
                <w:p>
                  <w:pPr>
                    <w:pStyle w:val="Compact"/>
                    <w:jc w:val="right"/>
                    <w:jc w:val="center"/>
                  </w:pPr>
                  <w:r>
                    <w:t xml:space="preserve">23.3</w:t>
                  </w:r>
                </w:p>
              </w:tc>
              <w:tc>
                <w:tcPr/>
                <w:p>
                  <w:pPr>
                    <w:pStyle w:val="Compact"/>
                    <w:jc w:val="right"/>
                    <w:jc w:val="center"/>
                  </w:pPr>
                  <w:r>
                    <w:t xml:space="preserve">5.44e-12</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3,871.8</w:t>
                  </w:r>
                </w:p>
              </w:tc>
              <w:tc>
                <w:tcPr/>
                <w:p>
                  <w:pPr>
                    <w:pStyle w:val="Compact"/>
                    <w:jc w:val="right"/>
                    <w:jc w:val="center"/>
                  </w:pPr>
                  <w:r>
                    <w:t xml:space="preserve">211</w:t>
                  </w:r>
                </w:p>
              </w:tc>
              <w:tc>
                <w:tcPr/>
                <w:p>
                  <w:pPr>
                    <w:pStyle w:val="Compact"/>
                    <w:jc w:val="right"/>
                    <w:jc w:val="center"/>
                  </w:pPr>
                  <w:r>
                    <w:t xml:space="preserve">18.4</w:t>
                  </w:r>
                </w:p>
              </w:tc>
              <w:tc>
                <w:tcPr/>
                <w:p>
                  <w:pPr>
                    <w:pStyle w:val="Compact"/>
                    <w:jc w:val="right"/>
                    <w:jc w:val="center"/>
                  </w:pPr>
                  <w:r>
                    <w:t xml:space="preserve">1.12e-10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-5,244.6</w:t>
                  </w:r>
                </w:p>
              </w:tc>
              <w:tc>
                <w:tcPr/>
                <w:p>
                  <w:pPr>
                    <w:pStyle w:val="Compact"/>
                    <w:jc w:val="right"/>
                    <w:jc w:val="center"/>
                  </w:pPr>
                  <w:r>
                    <w:t xml:space="preserve">211</w:t>
                  </w:r>
                </w:p>
              </w:tc>
              <w:tc>
                <w:tcPr/>
                <w:p>
                  <w:pPr>
                    <w:pStyle w:val="Compact"/>
                    <w:jc w:val="right"/>
                    <w:jc w:val="center"/>
                  </w:pPr>
                  <w:r>
                    <w:t xml:space="preserve">-24.9</w:t>
                  </w:r>
                </w:p>
              </w:tc>
              <w:tc>
                <w:tcPr/>
                <w:p>
                  <w:pPr>
                    <w:pStyle w:val="Compact"/>
                    <w:jc w:val="right"/>
                    <w:jc w:val="center"/>
                  </w:pPr>
                  <w:r>
                    <w:t xml:space="preserve">2.4e-12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-435.4</w:t>
                  </w:r>
                </w:p>
              </w:tc>
              <w:tc>
                <w:tcPr/>
                <w:p>
                  <w:pPr>
                    <w:pStyle w:val="Compact"/>
                    <w:jc w:val="right"/>
                    <w:jc w:val="center"/>
                  </w:pPr>
                  <w:r>
                    <w:t xml:space="preserve">211</w:t>
                  </w:r>
                </w:p>
              </w:tc>
              <w:tc>
                <w:tcPr/>
                <w:p>
                  <w:pPr>
                    <w:pStyle w:val="Compact"/>
                    <w:jc w:val="right"/>
                    <w:jc w:val="center"/>
                  </w:pPr>
                  <w:r>
                    <w:t xml:space="preserve">-2.06</w:t>
                  </w:r>
                </w:p>
              </w:tc>
              <w:tc>
                <w:tcPr/>
                <w:p>
                  <w:pPr>
                    <w:pStyle w:val="Compact"/>
                    <w:jc w:val="right"/>
                    <w:jc w:val="center"/>
                  </w:pPr>
                  <w:r>
                    <w:t xml:space="preserve">0.0596</w:t>
                  </w:r>
                </w:p>
              </w:tc>
              <w:tc>
                <w:tcPr/>
                <w:p>
                  <w:pPr>
                    <w:pStyle w:val="Compact"/>
                  </w:pPr>
                </w:p>
              </w:tc>
            </w:tr>
            <w:tr>
              <w:tc>
                <w:tcPr/>
                <w:p>
                  <w:pPr>
                    <w:pStyle w:val="Compact"/>
                    <w:jc w:val="left"/>
                    <w:jc w:val="center"/>
                  </w:pPr>
                  <w:r>
                    <w:t xml:space="preserve">D</w:t>
                  </w:r>
                </w:p>
              </w:tc>
              <w:tc>
                <w:tcPr/>
                <w:p>
                  <w:pPr>
                    <w:pStyle w:val="Compact"/>
                    <w:jc w:val="right"/>
                    <w:jc w:val="center"/>
                  </w:pPr>
                  <w:r>
                    <w:t xml:space="preserve">-1,055.5</w:t>
                  </w:r>
                </w:p>
              </w:tc>
              <w:tc>
                <w:tcPr/>
                <w:p>
                  <w:pPr>
                    <w:pStyle w:val="Compact"/>
                    <w:jc w:val="right"/>
                    <w:jc w:val="center"/>
                  </w:pPr>
                  <w:r>
                    <w:t xml:space="preserve">211</w:t>
                  </w:r>
                </w:p>
              </w:tc>
              <w:tc>
                <w:tcPr/>
                <w:p>
                  <w:pPr>
                    <w:pStyle w:val="Compact"/>
                    <w:jc w:val="right"/>
                    <w:jc w:val="center"/>
                  </w:pPr>
                  <w:r>
                    <w:t xml:space="preserve">-5</w:t>
                  </w:r>
                </w:p>
              </w:tc>
              <w:tc>
                <w:tcPr/>
                <w:p>
                  <w:pPr>
                    <w:pStyle w:val="Compact"/>
                    <w:jc w:val="right"/>
                    <w:jc w:val="center"/>
                  </w:pPr>
                  <w:r>
                    <w:t xml:space="preserve">0.000242</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-1,899.8</w:t>
                  </w:r>
                </w:p>
              </w:tc>
              <w:tc>
                <w:tcPr/>
                <w:p>
                  <w:pPr>
                    <w:pStyle w:val="Compact"/>
                    <w:jc w:val="right"/>
                    <w:jc w:val="center"/>
                  </w:pPr>
                  <w:r>
                    <w:t xml:space="preserve">224</w:t>
                  </w:r>
                </w:p>
              </w:tc>
              <w:tc>
                <w:tcPr/>
                <w:p>
                  <w:pPr>
                    <w:pStyle w:val="Compact"/>
                    <w:jc w:val="right"/>
                    <w:jc w:val="center"/>
                  </w:pPr>
                  <w:r>
                    <w:t xml:space="preserve">-8.49</w:t>
                  </w:r>
                </w:p>
              </w:tc>
              <w:tc>
                <w:tcPr/>
                <w:p>
                  <w:pPr>
                    <w:pStyle w:val="Compact"/>
                    <w:jc w:val="right"/>
                    <w:jc w:val="center"/>
                  </w:pPr>
                  <w:r>
                    <w:t xml:space="preserve">1.16e-06</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-429.1</w:t>
                  </w:r>
                </w:p>
              </w:tc>
              <w:tc>
                <w:tcPr/>
                <w:p>
                  <w:pPr>
                    <w:pStyle w:val="Compact"/>
                    <w:jc w:val="right"/>
                    <w:jc w:val="center"/>
                  </w:pPr>
                  <w:r>
                    <w:t xml:space="preserve">224</w:t>
                  </w:r>
                </w:p>
              </w:tc>
              <w:tc>
                <w:tcPr/>
                <w:p>
                  <w:pPr>
                    <w:pStyle w:val="Compact"/>
                    <w:jc w:val="right"/>
                    <w:jc w:val="center"/>
                  </w:pPr>
                  <w:r>
                    <w:t xml:space="preserve">-1.92</w:t>
                  </w:r>
                </w:p>
              </w:tc>
              <w:tc>
                <w:tcPr/>
                <w:p>
                  <w:pPr>
                    <w:pStyle w:val="Compact"/>
                    <w:jc w:val="right"/>
                    <w:jc w:val="center"/>
                  </w:pPr>
                  <w:r>
                    <w:t xml:space="preserve">0.0774</w:t>
                  </w:r>
                </w:p>
              </w:tc>
              <w:tc>
                <w:tcPr/>
                <w:p>
                  <w:pPr>
                    <w:pStyle w:val="Compact"/>
                  </w:pPr>
                </w:p>
              </w:tc>
            </w:tr>
            <w:tr>
              <w:tc>
                <w:tcPr/>
                <w:p>
                  <w:pPr>
                    <w:pStyle w:val="Compact"/>
                    <w:jc w:val="left"/>
                    <w:jc w:val="center"/>
                  </w:pPr>
                  <w:r>
                    <w:t xml:space="preserve">AD</w:t>
                  </w:r>
                </w:p>
              </w:tc>
              <w:tc>
                <w:tcPr/>
                <w:p>
                  <w:pPr>
                    <w:pStyle w:val="Compact"/>
                    <w:jc w:val="right"/>
                    <w:jc w:val="center"/>
                  </w:pPr>
                  <w:r>
                    <w:t xml:space="preserve">-518.1</w:t>
                  </w:r>
                </w:p>
              </w:tc>
              <w:tc>
                <w:tcPr/>
                <w:p>
                  <w:pPr>
                    <w:pStyle w:val="Compact"/>
                    <w:jc w:val="right"/>
                    <w:jc w:val="center"/>
                  </w:pPr>
                  <w:r>
                    <w:t xml:space="preserve">224</w:t>
                  </w:r>
                </w:p>
              </w:tc>
              <w:tc>
                <w:tcPr/>
                <w:p>
                  <w:pPr>
                    <w:pStyle w:val="Compact"/>
                    <w:jc w:val="right"/>
                    <w:jc w:val="center"/>
                  </w:pPr>
                  <w:r>
                    <w:t xml:space="preserve">-2.32</w:t>
                  </w:r>
                </w:p>
              </w:tc>
              <w:tc>
                <w:tcPr/>
                <w:p>
                  <w:pPr>
                    <w:pStyle w:val="Compact"/>
                    <w:jc w:val="right"/>
                    <w:jc w:val="center"/>
                  </w:pPr>
                  <w:r>
                    <w:t xml:space="preserve">0.0376</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348.2</w:t>
                  </w:r>
                </w:p>
              </w:tc>
              <w:tc>
                <w:tcPr/>
                <w:p>
                  <w:pPr>
                    <w:pStyle w:val="Compact"/>
                    <w:jc w:val="right"/>
                    <w:jc w:val="center"/>
                  </w:pPr>
                  <w:r>
                    <w:t xml:space="preserve">224</w:t>
                  </w:r>
                </w:p>
              </w:tc>
              <w:tc>
                <w:tcPr/>
                <w:p>
                  <w:pPr>
                    <w:pStyle w:val="Compact"/>
                    <w:jc w:val="right"/>
                    <w:jc w:val="center"/>
                  </w:pPr>
                  <w:r>
                    <w:t xml:space="preserve">1.56</w:t>
                  </w:r>
                </w:p>
              </w:tc>
              <w:tc>
                <w:tcPr/>
                <w:p>
                  <w:pPr>
                    <w:pStyle w:val="Compact"/>
                    <w:jc w:val="right"/>
                    <w:jc w:val="center"/>
                  </w:pPr>
                  <w:r>
                    <w:t xml:space="preserve">0.144</w:t>
                  </w:r>
                </w:p>
              </w:tc>
              <w:tc>
                <w:tcPr/>
                <w:p>
                  <w:pPr>
                    <w:pStyle w:val="Compact"/>
                  </w:pPr>
                </w:p>
              </w:tc>
            </w:tr>
            <w:tr>
              <w:tc>
                <w:tcPr/>
                <w:p>
                  <w:pPr>
                    <w:pStyle w:val="Compact"/>
                    <w:jc w:val="left"/>
                    <w:jc w:val="center"/>
                  </w:pPr>
                  <w:r>
                    <w:t xml:space="preserve">BD</w:t>
                  </w:r>
                </w:p>
              </w:tc>
              <w:tc>
                <w:tcPr/>
                <w:p>
                  <w:pPr>
                    <w:pStyle w:val="Compact"/>
                    <w:jc w:val="right"/>
                    <w:jc w:val="center"/>
                  </w:pPr>
                  <w:r>
                    <w:t xml:space="preserve">727.4</w:t>
                  </w:r>
                </w:p>
              </w:tc>
              <w:tc>
                <w:tcPr/>
                <w:p>
                  <w:pPr>
                    <w:pStyle w:val="Compact"/>
                    <w:jc w:val="right"/>
                    <w:jc w:val="center"/>
                  </w:pPr>
                  <w:r>
                    <w:t xml:space="preserve">224</w:t>
                  </w:r>
                </w:p>
              </w:tc>
              <w:tc>
                <w:tcPr/>
                <w:p>
                  <w:pPr>
                    <w:pStyle w:val="Compact"/>
                    <w:jc w:val="right"/>
                    <w:jc w:val="center"/>
                  </w:pPr>
                  <w:r>
                    <w:t xml:space="preserve">3.25</w:t>
                  </w:r>
                </w:p>
              </w:tc>
              <w:tc>
                <w:tcPr/>
                <w:p>
                  <w:pPr>
                    <w:pStyle w:val="Compact"/>
                    <w:jc w:val="right"/>
                    <w:jc w:val="center"/>
                  </w:pPr>
                  <w:r>
                    <w:t xml:space="preserve">0.00632</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-128.7</w:t>
                  </w:r>
                </w:p>
              </w:tc>
              <w:tc>
                <w:tcPr/>
                <w:p>
                  <w:pPr>
                    <w:pStyle w:val="Compact"/>
                    <w:jc w:val="right"/>
                    <w:jc w:val="center"/>
                  </w:pPr>
                  <w:r>
                    <w:t xml:space="preserve">224</w:t>
                  </w:r>
                </w:p>
              </w:tc>
              <w:tc>
                <w:tcPr/>
                <w:p>
                  <w:pPr>
                    <w:pStyle w:val="Compact"/>
                    <w:jc w:val="right"/>
                    <w:jc w:val="center"/>
                  </w:pPr>
                  <w:r>
                    <w:t xml:space="preserve">-0.575</w:t>
                  </w:r>
                </w:p>
              </w:tc>
              <w:tc>
                <w:tcPr/>
                <w:p>
                  <w:pPr>
                    <w:pStyle w:val="Compact"/>
                    <w:jc w:val="right"/>
                    <w:jc w:val="center"/>
                  </w:pPr>
                  <w:r>
                    <w:t xml:space="preserve">0.575</w:t>
                  </w:r>
                </w:p>
              </w:tc>
              <w:tc>
                <w:tcPr/>
                <w:p>
                  <w:pPr>
                    <w:pStyle w:val="Compact"/>
                  </w:pPr>
                </w:p>
              </w:tc>
            </w:tr>
            <w:tr>
              <w:tc>
                <w:tcPr/>
                <w:p>
                  <w:pPr>
                    <w:pStyle w:val="Compact"/>
                    <w:jc w:val="left"/>
                    <w:jc w:val="center"/>
                  </w:pPr>
                  <w:r>
                    <w:t xml:space="preserve">A²</w:t>
                  </w:r>
                </w:p>
              </w:tc>
              <w:tc>
                <w:tcPr/>
                <w:p>
                  <w:pPr>
                    <w:pStyle w:val="Compact"/>
                    <w:jc w:val="right"/>
                    <w:jc w:val="center"/>
                  </w:pPr>
                  <w:r>
                    <w:t xml:space="preserve">-344.5</w:t>
                  </w:r>
                </w:p>
              </w:tc>
              <w:tc>
                <w:tcPr/>
                <w:p>
                  <w:pPr>
                    <w:pStyle w:val="Compact"/>
                    <w:jc w:val="right"/>
                    <w:jc w:val="center"/>
                  </w:pPr>
                  <w:r>
                    <w:t xml:space="preserve">557</w:t>
                  </w:r>
                </w:p>
              </w:tc>
              <w:tc>
                <w:tcPr/>
                <w:p>
                  <w:pPr>
                    <w:pStyle w:val="Compact"/>
                    <w:jc w:val="right"/>
                    <w:jc w:val="center"/>
                  </w:pPr>
                  <w:r>
                    <w:t xml:space="preserve">-0.618</w:t>
                  </w:r>
                </w:p>
              </w:tc>
              <w:tc>
                <w:tcPr/>
                <w:p>
                  <w:pPr>
                    <w:pStyle w:val="Compact"/>
                    <w:jc w:val="right"/>
                    <w:jc w:val="center"/>
                  </w:pPr>
                  <w:r>
                    <w:t xml:space="preserve">0.547</w:t>
                  </w:r>
                </w:p>
              </w:tc>
              <w:tc>
                <w:tcPr/>
                <w:p>
                  <w:pPr>
                    <w:pStyle w:val="Compact"/>
                  </w:pPr>
                </w:p>
              </w:tc>
            </w:tr>
            <w:tr>
              <w:tc>
                <w:tcPr/>
                <w:p>
                  <w:pPr>
                    <w:pStyle w:val="Compact"/>
                    <w:jc w:val="left"/>
                    <w:jc w:val="center"/>
                  </w:pPr>
                  <w:r>
                    <w:t xml:space="preserve">B²</w:t>
                  </w:r>
                </w:p>
              </w:tc>
              <w:tc>
                <w:tcPr/>
                <w:p>
                  <w:pPr>
                    <w:pStyle w:val="Compact"/>
                    <w:jc w:val="right"/>
                    <w:jc w:val="center"/>
                  </w:pPr>
                  <w:r>
                    <w:t xml:space="preserve">1,943.5</w:t>
                  </w:r>
                </w:p>
              </w:tc>
              <w:tc>
                <w:tcPr/>
                <w:p>
                  <w:pPr>
                    <w:pStyle w:val="Compact"/>
                    <w:jc w:val="right"/>
                    <w:jc w:val="center"/>
                  </w:pPr>
                  <w:r>
                    <w:t xml:space="preserve">557</w:t>
                  </w:r>
                </w:p>
              </w:tc>
              <w:tc>
                <w:tcPr/>
                <w:p>
                  <w:pPr>
                    <w:pStyle w:val="Compact"/>
                    <w:jc w:val="right"/>
                    <w:jc w:val="center"/>
                  </w:pPr>
                  <w:r>
                    <w:t xml:space="preserve">3.49</w:t>
                  </w:r>
                </w:p>
              </w:tc>
              <w:tc>
                <w:tcPr/>
                <w:p>
                  <w:pPr>
                    <w:pStyle w:val="Compact"/>
                    <w:jc w:val="right"/>
                    <w:jc w:val="center"/>
                  </w:pPr>
                  <w:r>
                    <w:t xml:space="preserve">0.00401</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851.3</w:t>
                  </w:r>
                </w:p>
              </w:tc>
              <w:tc>
                <w:tcPr/>
                <w:p>
                  <w:pPr>
                    <w:pStyle w:val="Compact"/>
                    <w:jc w:val="right"/>
                    <w:jc w:val="center"/>
                  </w:pPr>
                  <w:r>
                    <w:t xml:space="preserve">557</w:t>
                  </w:r>
                </w:p>
              </w:tc>
              <w:tc>
                <w:tcPr/>
                <w:p>
                  <w:pPr>
                    <w:pStyle w:val="Compact"/>
                    <w:jc w:val="right"/>
                    <w:jc w:val="center"/>
                  </w:pPr>
                  <w:r>
                    <w:t xml:space="preserve">1.53</w:t>
                  </w:r>
                </w:p>
              </w:tc>
              <w:tc>
                <w:tcPr/>
                <w:p>
                  <w:pPr>
                    <w:pStyle w:val="Compact"/>
                    <w:jc w:val="right"/>
                    <w:jc w:val="center"/>
                  </w:pPr>
                  <w:r>
                    <w:t xml:space="preserve">0.151</w:t>
                  </w:r>
                </w:p>
              </w:tc>
              <w:tc>
                <w:tcPr/>
                <w:p>
                  <w:pPr>
                    <w:pStyle w:val="Compact"/>
                  </w:pPr>
                </w:p>
              </w:tc>
            </w:tr>
            <w:tr>
              <w:tc>
                <w:tcPr/>
                <w:p>
                  <w:pPr>
                    <w:pStyle w:val="Compact"/>
                    <w:jc w:val="left"/>
                    <w:jc w:val="center"/>
                  </w:pPr>
                  <w:r>
                    <w:t xml:space="preserve">D²</w:t>
                  </w:r>
                </w:p>
              </w:tc>
              <w:tc>
                <w:tcPr/>
                <w:p>
                  <w:pPr>
                    <w:pStyle w:val="Compact"/>
                    <w:jc w:val="right"/>
                    <w:jc w:val="center"/>
                  </w:pPr>
                  <w:r>
                    <w:t xml:space="preserve">330.5</w:t>
                  </w:r>
                </w:p>
              </w:tc>
              <w:tc>
                <w:tcPr/>
                <w:p>
                  <w:pPr>
                    <w:pStyle w:val="Compact"/>
                    <w:jc w:val="right"/>
                    <w:jc w:val="center"/>
                  </w:pPr>
                  <w:r>
                    <w:t xml:space="preserve">557</w:t>
                  </w:r>
                </w:p>
              </w:tc>
              <w:tc>
                <w:tcPr/>
                <w:p>
                  <w:pPr>
                    <w:pStyle w:val="Compact"/>
                    <w:jc w:val="right"/>
                    <w:jc w:val="center"/>
                  </w:pPr>
                  <w:r>
                    <w:t xml:space="preserve">0.593</w:t>
                  </w:r>
                </w:p>
              </w:tc>
              <w:tc>
                <w:tcPr/>
                <w:p>
                  <w:pPr>
                    <w:pStyle w:val="Compact"/>
                    <w:jc w:val="right"/>
                    <w:jc w:val="center"/>
                  </w:pPr>
                  <w:r>
                    <w:t xml:space="preserve">0.563</w:t>
                  </w:r>
                </w:p>
              </w:tc>
              <w:tc>
                <w:tcPr/>
                <w:p>
                  <w:pPr>
                    <w:pStyle w:val="Compact"/>
                  </w:pP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tbl-anova-hcp"/>
          <w:p>
            <w:pPr>
              <w:jc w:val="center"/>
            </w:pPr>
            <w:pPr>
              <w:jc w:val="start"/>
              <w:spacing w:before="200"/>
              <w:pStyle w:val="ImageCaption"/>
            </w:pPr>
            <w:r>
              <w:t xml:space="preserve">Table 16: Analysis of variance with lack of fit for pool HCP (ng/mg).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9.08e+08</w:t>
                  </w:r>
                </w:p>
              </w:tc>
              <w:tc>
                <w:tcPr/>
                <w:p>
                  <w:pPr>
                    <w:pStyle w:val="Compact"/>
                    <w:jc w:val="right"/>
                    <w:jc w:val="center"/>
                  </w:pPr>
                  <w:r>
                    <w:t xml:space="preserve">14</w:t>
                  </w:r>
                </w:p>
              </w:tc>
              <w:tc>
                <w:tcPr/>
                <w:p>
                  <w:pPr>
                    <w:pStyle w:val="Compact"/>
                    <w:jc w:val="right"/>
                    <w:jc w:val="center"/>
                  </w:pPr>
                  <w:r>
                    <w:t xml:space="preserve">6.48e+07</w:t>
                  </w:r>
                </w:p>
              </w:tc>
              <w:tc>
                <w:tcPr/>
                <w:p>
                  <w:pPr>
                    <w:pStyle w:val="Compact"/>
                    <w:jc w:val="right"/>
                    <w:jc w:val="center"/>
                  </w:pPr>
                  <w:r>
                    <w:t xml:space="preserve">80.9</w:t>
                  </w:r>
                </w:p>
              </w:tc>
              <w:tc>
                <w:tcPr/>
                <w:p>
                  <w:pPr>
                    <w:pStyle w:val="Compact"/>
                    <w:jc w:val="right"/>
                    <w:jc w:val="center"/>
                  </w:pPr>
                  <w:r>
                    <w:t xml:space="preserve">2.71e-10</w:t>
                  </w:r>
                </w:p>
              </w:tc>
            </w:tr>
            <w:tr>
              <w:tc>
                <w:tcPr/>
                <w:p>
                  <w:pPr>
                    <w:pStyle w:val="Compact"/>
                    <w:jc w:val="left"/>
                    <w:jc w:val="center"/>
                  </w:pPr>
                  <w:r>
                    <w:t xml:space="preserve">Residual</w:t>
                  </w:r>
                </w:p>
              </w:tc>
              <w:tc>
                <w:tcPr/>
                <w:p>
                  <w:pPr>
                    <w:pStyle w:val="Compact"/>
                    <w:jc w:val="right"/>
                    <w:jc w:val="center"/>
                  </w:pPr>
                  <w:r>
                    <w:t xml:space="preserve">1.04e+07</w:t>
                  </w:r>
                </w:p>
              </w:tc>
              <w:tc>
                <w:tcPr/>
                <w:p>
                  <w:pPr>
                    <w:pStyle w:val="Compact"/>
                    <w:jc w:val="right"/>
                    <w:jc w:val="center"/>
                  </w:pPr>
                  <w:r>
                    <w:t xml:space="preserve">13</w:t>
                  </w:r>
                </w:p>
              </w:tc>
              <w:tc>
                <w:tcPr/>
                <w:p>
                  <w:pPr>
                    <w:pStyle w:val="Compact"/>
                    <w:jc w:val="right"/>
                    <w:jc w:val="center"/>
                  </w:pPr>
                  <w:r>
                    <w:t xml:space="preserve">8.01e+05</w:t>
                  </w:r>
                </w:p>
              </w:tc>
              <w:tc>
                <w:tcPr/>
                <w:p>
                  <w:pPr>
                    <w:pStyle w:val="Compact"/>
                  </w:pPr>
                </w:p>
              </w:tc>
              <w:tc>
                <w:tcPr/>
                <w:p>
                  <w:pPr>
                    <w:pStyle w:val="Compact"/>
                  </w:pPr>
                </w:p>
              </w:tc>
            </w:tr>
            <w:tr>
              <w:tc>
                <w:tcPr/>
                <w:p>
                  <w:pPr>
                    <w:pStyle w:val="Compact"/>
                    <w:jc w:val="left"/>
                    <w:jc w:val="center"/>
                  </w:pPr>
                  <w:r>
                    <w:t xml:space="preserve">Lack of fit</w:t>
                  </w:r>
                </w:p>
              </w:tc>
              <w:tc>
                <w:tcPr/>
                <w:p>
                  <w:pPr>
                    <w:pStyle w:val="Compact"/>
                    <w:jc w:val="right"/>
                    <w:jc w:val="center"/>
                  </w:pPr>
                  <w:r>
                    <w:t xml:space="preserve">1e+07</w:t>
                  </w:r>
                </w:p>
              </w:tc>
              <w:tc>
                <w:tcPr/>
                <w:p>
                  <w:pPr>
                    <w:pStyle w:val="Compact"/>
                    <w:jc w:val="right"/>
                    <w:jc w:val="center"/>
                  </w:pPr>
                  <w:r>
                    <w:t xml:space="preserve">10</w:t>
                  </w:r>
                </w:p>
              </w:tc>
              <w:tc>
                <w:tcPr/>
                <w:p>
                  <w:pPr>
                    <w:pStyle w:val="Compact"/>
                    <w:jc w:val="right"/>
                    <w:jc w:val="center"/>
                  </w:pPr>
                  <w:r>
                    <w:t xml:space="preserve">1e+06</w:t>
                  </w:r>
                </w:p>
              </w:tc>
              <w:tc>
                <w:tcPr/>
                <w:p>
                  <w:pPr>
                    <w:pStyle w:val="Compact"/>
                    <w:jc w:val="right"/>
                    <w:jc w:val="center"/>
                  </w:pPr>
                  <w:r>
                    <w:t xml:space="preserve">7.88</w:t>
                  </w:r>
                </w:p>
              </w:tc>
              <w:tc>
                <w:tcPr/>
                <w:p>
                  <w:pPr>
                    <w:pStyle w:val="Compact"/>
                    <w:jc w:val="right"/>
                    <w:jc w:val="center"/>
                  </w:pPr>
                  <w:r>
                    <w:t xml:space="preserve">0.058</w:t>
                  </w:r>
                </w:p>
              </w:tc>
            </w:tr>
            <w:tr>
              <w:tc>
                <w:tcPr/>
                <w:p>
                  <w:pPr>
                    <w:pStyle w:val="Compact"/>
                    <w:jc w:val="left"/>
                    <w:jc w:val="center"/>
                  </w:pPr>
                  <w:r>
                    <w:t xml:space="preserve">Pure error</w:t>
                  </w:r>
                </w:p>
              </w:tc>
              <w:tc>
                <w:tcPr/>
                <w:p>
                  <w:pPr>
                    <w:pStyle w:val="Compact"/>
                    <w:jc w:val="right"/>
                    <w:jc w:val="center"/>
                  </w:pPr>
                  <w:r>
                    <w:t xml:space="preserve">3.82e+05</w:t>
                  </w:r>
                </w:p>
              </w:tc>
              <w:tc>
                <w:tcPr/>
                <w:p>
                  <w:pPr>
                    <w:pStyle w:val="Compact"/>
                    <w:jc w:val="right"/>
                    <w:jc w:val="center"/>
                  </w:pPr>
                  <w:r>
                    <w:t xml:space="preserve">3</w:t>
                  </w:r>
                </w:p>
              </w:tc>
              <w:tc>
                <w:tcPr/>
                <w:p>
                  <w:pPr>
                    <w:pStyle w:val="Compact"/>
                    <w:jc w:val="right"/>
                    <w:jc w:val="center"/>
                  </w:pPr>
                  <w:r>
                    <w:t xml:space="preserve">1.27e+05</w:t>
                  </w:r>
                </w:p>
              </w:tc>
              <w:tc>
                <w:tcPr/>
                <w:p>
                  <w:pPr>
                    <w:pStyle w:val="Compact"/>
                  </w:pPr>
                </w:p>
              </w:tc>
              <w:tc>
                <w:tcPr/>
                <w:p>
                  <w:pPr>
                    <w:pStyle w:val="Compact"/>
                  </w:pPr>
                </w:p>
              </w:tc>
            </w:tr>
          </w:tbl>
          <w:bookmarkEnd w:id="62"/>
          <w:p/>
        </w:tc>
      </w:tr>
    </w:tbl>
    <w:p>
      <w:pPr>
        <w:pStyle w:val="BodyText"/>
      </w:pPr>
      <w:r>
        <w:t xml:space="preserve">The response-surface model confirms the screening result for protein load and elution buffer pH and refines it. Elution buffer pH (-5,245 ng/mg per half range) and protein load (3,872 ng/mg) carry the largest coefficients, and the AB interaction is significant (-1,900 ng/mg, p &lt; 0.001). At high load the pH coefficient is -7,144 ng/mg per half range, and at low load it is -3,345 ng/mg. The B² term is significant and positive (1,944 ng/mg), so pool host cell protein rises more steeply at the low end of the pH range. The lack of fit test (p = 0.058) is close to its limit.</w:t>
      </w:r>
    </w:p>
    <w:p>
      <w:pPr>
        <w:pStyle w:val="BodyText"/>
      </w:pPr>
      <w:r>
        <w:t xml:space="preserve">End of pool collect lowers pool host cell protein. Its coefficient is -1,055 ng/mg per half range (p &lt; 0.001), an effect of -2,111 ng/mg across the range studied. The AD interaction (-518 ng/mg) makes the fall steeper at high load, and the BD interaction (727 ng/mg) makes it shallower at high pH. Collecting further into the tail of the elution peak adds antibody with little host cell protein, because the weakly held impurity elutes early in the low-pH transition. The host cell protein per mass of antibody therefore falls, and it falls most where there is most impurity in the early part of the peak, at high load and low pH.</w:t>
      </w:r>
    </w:p>
    <w:p>
      <w:pPr>
        <w:pStyle w:val="BodyText"/>
      </w:pPr>
      <w:r>
        <w:t xml:space="preserve">These three terms reverse sign between the designs. In the screening design the effect of end of pool collect was 708 ng/mg, and the AD and BD effects were 1,133 and -433 ng/mg, against -2,111, -1,036 and 1,455 ng/mg in the response-surface design. None of the screening estimates is significant, and each has a standard error of 700 ng/mg. Noise alone does not explain the reversal, however. When the screening results are compared with the predictions of the response-surface model, the difference depends on end of pool collect by 2,819 ng/mg across its range (p = 0.020). Curvature does not explain it either, because in a full factorial design the quadratic terms are confounded with the intercept and not with the main effect of end of pool collect. The cause was not identified (finding F10). The two designs were run at different times (</w:t>
      </w:r>
      <w:hyperlink w:anchor="tbl-chronology">
        <w:r>
          <w:rPr>
            <w:rStyle w:val="Hyperlink"/>
          </w:rPr>
          <w:t xml:space="preserve">Table 8</w:t>
        </w:r>
      </w:hyperlink>
      <w:r>
        <w:t xml:space="preserve">), and a difference between their feeds or in how the end of collection was set could act in this way. The response-surface model is the predictive model, and the effect of end of pool collect is taken from it.</w:t>
      </w:r>
    </w:p>
    <w:p>
      <w:pPr>
        <w:pStyle w:val="BodyText"/>
      </w:pPr>
      <w:r>
        <w:t xml:space="preserve">Load flow rate has no significant effect on pool host cell protein (p = 0.060), and the AC interaction is not significant either (p = 0.077). Both point estimates are negative. The mechanism predicted a small rise in pool host cell protein with a faster load at high load, and the data do not support that prediction.</w:t>
      </w:r>
    </w:p>
    <w:p>
      <w:pPr>
        <w:pStyle w:val="BodyText"/>
      </w:pPr>
      <w:r>
        <w:t xml:space="preserve">Across the response-surface design pool host cell protein ranged from 2,149 to 25,114 ng/mg. In 8 runs of the two designs it exceeded the intermediate acceptance criterion of ≤ 16,000 ng/mg. Each of these runs was at the highest protein load and the lowest elution pH of the range studied, outside the NOR.</w:t>
      </w:r>
      <w:r>
        <w:t xml:space="preserve"> </w:t>
      </w:r>
      <w:hyperlink w:anchor="fig-contours">
        <w:r>
          <w:rPr>
            <w:rStyle w:val="Hyperlink"/>
          </w:rPr>
          <w:t xml:space="preserve">Figure 1</w:t>
        </w:r>
      </w:hyperlink>
      <w:r>
        <w:t xml:space="preserve"> </w:t>
      </w:r>
      <w:r>
        <w:t xml:space="preserve">shows the response surfaces over protein load and elution buffer pH, with load flow rate and end of pool collect at their set-points.</w:t>
      </w:r>
    </w:p>
    <w:tbl>
      <w:tblPr>
        <w:tblStyle w:val="Table"/>
        <w:tblW w:type="pct" w:w="5000"/>
        <w:tblLayout w:type="fixed"/>
        <w:tblLook w:firstRow="0" w:lastRow="0" w:firstColumn="0" w:lastColumn="0" w:noHBand="0" w:noVBand="0" w:val="0000"/>
      </w:tblPr>
      <w:tblGrid>
        <w:gridCol w:w="7920"/>
      </w:tblGrid>
      <w:tr>
        <w:tc>
          <w:tcPr/>
          <w:bookmarkStart w:id="66" w:name="fig-contours"/>
          <w:p>
            <w:pPr>
              <w:pStyle w:val="Compact"/>
              <w:jc w:val="center"/>
            </w:pPr>
            <w:r>
              <w:drawing>
                <wp:inline>
                  <wp:extent cx="5334000" cy="1617141"/>
                  <wp:effectExtent b="0" l="0" r="0" t="0"/>
                  <wp:docPr descr="" title="" id="64" name="Picture"/>
                  <a:graphic>
                    <a:graphicData uri="http://schemas.openxmlformats.org/drawingml/2006/picture">
                      <pic:pic>
                        <pic:nvPicPr>
                          <pic:cNvPr descr="PCR-005_protein_a_files/figure-docx/fig-contours-output-1.png" id="65" name="Picture"/>
                          <pic:cNvPicPr>
                            <a:picLocks noChangeArrowheads="1" noChangeAspect="1"/>
                          </pic:cNvPicPr>
                        </pic:nvPicPr>
                        <pic:blipFill>
                          <a:blip r:embed="rId63"/>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Response surfaces over protein load and elution buffer pH, with load flow rate and end of pool collect at their set-points (the design centre). Leached Protein A has no adequate model and is shown for information.</w:t>
            </w:r>
          </w:p>
          <w:bookmarkEnd w:id="66"/>
        </w:tc>
      </w:tr>
    </w:tbl>
    <w:p>
      <w:pPr>
        <w:pStyle w:val="BodyText"/>
      </w:pPr>
      <w:hyperlink w:anchor="fig-diag-hcp">
        <w:r>
          <w:rPr>
            <w:rStyle w:val="Hyperlink"/>
          </w:rPr>
          <w:t xml:space="preserve">Figure 2</w:t>
        </w:r>
      </w:hyperlink>
      <w:r>
        <w:t xml:space="preserve"> </w:t>
      </w:r>
      <w:r>
        <w:t xml:space="preserve">shows the diagnostics of the model. The residuals scatter evenly about zero across the predicted range, and they fall close to the line on the normal probability plot.</w:t>
      </w:r>
    </w:p>
    <w:tbl>
      <w:tblPr>
        <w:tblStyle w:val="Table"/>
        <w:tblW w:type="pct" w:w="5000"/>
        <w:tblLayout w:type="fixed"/>
        <w:tblLook w:firstRow="0" w:lastRow="0" w:firstColumn="0" w:lastColumn="0" w:noHBand="0" w:noVBand="0" w:val="0000"/>
      </w:tblPr>
      <w:tblGrid>
        <w:gridCol w:w="7920"/>
      </w:tblGrid>
      <w:tr>
        <w:tc>
          <w:tcPr/>
          <w:bookmarkStart w:id="70" w:name="fig-diag-hcp"/>
          <w:p>
            <w:pPr>
              <w:pStyle w:val="Compact"/>
              <w:jc w:val="center"/>
            </w:pPr>
            <w:r>
              <w:drawing>
                <wp:inline>
                  <wp:extent cx="5334000" cy="1653795"/>
                  <wp:effectExtent b="0" l="0" r="0" t="0"/>
                  <wp:docPr descr="" title="" id="68" name="Picture"/>
                  <a:graphic>
                    <a:graphicData uri="http://schemas.openxmlformats.org/drawingml/2006/picture">
                      <pic:pic>
                        <pic:nvPicPr>
                          <pic:cNvPr descr="PCR-005_protein_a_files/figure-docx/fig-diag-hcp-output-1.png" id="69" name="Picture"/>
                          <pic:cNvPicPr>
                            <a:picLocks noChangeArrowheads="1" noChangeAspect="1"/>
                          </pic:cNvPicPr>
                        </pic:nvPicPr>
                        <pic:blipFill>
                          <a:blip r:embed="rId67"/>
                          <a:stretch>
                            <a:fillRect/>
                          </a:stretch>
                        </pic:blipFill>
                        <pic:spPr bwMode="auto">
                          <a:xfrm>
                            <a:off x="0" y="0"/>
                            <a:ext cx="5334000" cy="1653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response-surface model for pool HCP (ng/mg).</w:t>
            </w:r>
          </w:p>
          <w:bookmarkEnd w:id="70"/>
        </w:tc>
      </w:tr>
    </w:tbl>
    <w:bookmarkEnd w:id="71"/>
    <w:bookmarkStart w:id="76" w:name="step-yield"/>
    <w:p>
      <w:pPr>
        <w:pStyle w:val="Heading3"/>
      </w:pPr>
      <w:r>
        <w:t xml:space="preserve">5.3.2 Step yield</w:t>
      </w:r>
    </w:p>
    <w:p>
      <w:pPr>
        <w:pStyle w:val="FirstParagraph"/>
      </w:pPr>
      <w:r>
        <w:t xml:space="preserve">The reduced model for step yield has an intercept of 94.0 %. Its coefficients per half range are 3.7 percentage points for end of pool collect, -1.6 for protein load, -0.9 for load flow rate and -0.9 for the AC interaction. At high load the coefficient of flow rate is -1.8 percentage points per half range. At low load it is 0.0, so flow rate has almost no effect on yield when the bed has capacity to spare. Across the response-surface design step yield ranged from 84.4 to 99.0 %. Step yield has no acceptance criterion, and its model is used for the classification of parameters only. The coefficients of the full quadratic model are given in Appendix C.</w:t>
      </w:r>
    </w:p>
    <w:tbl>
      <w:tblPr>
        <w:tblStyle w:val="Table"/>
        <w:tblW w:type="pct" w:w="5000"/>
        <w:tblLayout w:type="fixed"/>
        <w:tblLook w:firstRow="0" w:lastRow="0" w:firstColumn="0" w:lastColumn="0" w:noHBand="0" w:noVBand="0" w:val="0000"/>
      </w:tblPr>
      <w:tblGrid>
        <w:gridCol w:w="7920"/>
      </w:tblGrid>
      <w:tr>
        <w:tc>
          <w:tcPr/>
          <w:bookmarkStart w:id="75" w:name="fig-diag-yield"/>
          <w:p>
            <w:pPr>
              <w:pStyle w:val="Compact"/>
              <w:jc w:val="center"/>
            </w:pPr>
            <w:r>
              <w:drawing>
                <wp:inline>
                  <wp:extent cx="5334000" cy="1652214"/>
                  <wp:effectExtent b="0" l="0" r="0" t="0"/>
                  <wp:docPr descr="" title="" id="73" name="Picture"/>
                  <a:graphic>
                    <a:graphicData uri="http://schemas.openxmlformats.org/drawingml/2006/picture">
                      <pic:pic>
                        <pic:nvPicPr>
                          <pic:cNvPr descr="PCR-005_protein_a_files/figure-docx/fig-diag-yield-output-1.png" id="74" name="Picture"/>
                          <pic:cNvPicPr>
                            <a:picLocks noChangeArrowheads="1" noChangeAspect="1"/>
                          </pic:cNvPicPr>
                        </pic:nvPicPr>
                        <pic:blipFill>
                          <a:blip r:embed="rId7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Diagnostics of the reduced response-surface model for step yield (A, C, D and AC).</w:t>
            </w:r>
          </w:p>
          <w:bookmarkEnd w:id="75"/>
        </w:tc>
      </w:tr>
    </w:tbl>
    <w:bookmarkEnd w:id="76"/>
    <w:bookmarkStart w:id="77" w:name="leached-protein-a"/>
    <w:p>
      <w:pPr>
        <w:pStyle w:val="Heading3"/>
      </w:pPr>
      <w:r>
        <w:t xml:space="preserve">5.3.3 Leached Protein A</w:t>
      </w:r>
    </w:p>
    <w:p>
      <w:pPr>
        <w:pStyle w:val="FirstParagraph"/>
      </w:pPr>
      <w:r>
        <w:t xml:space="preserve">The leached Protein A model is not significant as a whole. One of its 14 terms, B², is significant, which is about what chance alone gives at α = 0.05, and the centre points vary by 34 %. A model this noisy cannot show that leached Protein A is independent of the parameters. It shows only that any dependence is too small to resolve against the variation of the runs. Leached Protein A ranged from 1.70 to 4.61 ppm across the runs of both designs, against an intermediate acceptance criterion of ≤ 158 ppm. Scaled by the factor of 1.47 between manufacturing and scale-down means (</w:t>
      </w:r>
      <w:hyperlink w:anchor="sec-sdm">
        <w:r>
          <w:rPr>
            <w:rStyle w:val="Hyperlink"/>
          </w:rPr>
          <w:t xml:space="preserve">Section 3.1</w:t>
        </w:r>
      </w:hyperlink>
      <w:r>
        <w:t xml:space="preserve">), the highest result corresponds to 6.77 ppm at manufacturing scale, which still meets the criterion (finding F4).</w:t>
      </w:r>
    </w:p>
    <w:bookmarkEnd w:id="77"/>
    <w:bookmarkStart w:id="78" w:name="fragments-by-nrce-sds"/>
    <w:p>
      <w:pPr>
        <w:pStyle w:val="Heading3"/>
      </w:pPr>
      <w:r>
        <w:t xml:space="preserve">5.3.4 Fragments by nrCE-SDS</w:t>
      </w:r>
    </w:p>
    <w:p>
      <w:pPr>
        <w:pStyle w:val="FirstParagraph"/>
      </w:pPr>
      <w:r>
        <w:t xml:space="preserve">Fragments by nrCE-SDS ranged from 0.77 to 1.09 % across the 28 retained pools of the response-surface design, against an intermediate acceptance criterion of ≤ 2.45 %. The model as a whole is not significant. Within it, elution buffer pH has a significant negative coefficient (-0.053 % per half range, p = 0.008), so fragments fall slightly as elution pH rises. The size of the effect is small against the criterion. Every pool met the criterion. No PAR is claimed from the model (finding F5).</w:t>
      </w:r>
    </w:p>
    <w:bookmarkEnd w:id="78"/>
    <w:bookmarkEnd w:id="79"/>
    <w:bookmarkStart w:id="80" w:name="attributes-measured-for-information"/>
    <w:p>
      <w:pPr>
        <w:pStyle w:val="Heading2"/>
      </w:pPr>
      <w:r>
        <w:t xml:space="preserve">5.4 Attributes measured for information</w:t>
      </w:r>
    </w:p>
    <w:p>
      <w:pPr>
        <w:pStyle w:val="FirstParagraph"/>
      </w:pPr>
      <w:r>
        <w:t xml:space="preserve">Aggregate by SEC was measured on every pool of both designs, for information. It ranged from 1.40 to 1.73 % HMW across the 47 pools, well below the ≤ 6.83 % that applies to the held eluate. This agrees with the expectation that Protein A capture does not separate aggregate from monomer and that the short time at elution pH in the column forms little.</w:t>
      </w:r>
    </w:p>
    <w:p>
      <w:pPr>
        <w:pStyle w:val="BodyText"/>
      </w:pPr>
      <w:r>
        <w:t xml:space="preserve">Residual DNA was measured on the load and the pool of the 7 centre-point runs of the two designs. The load carried 137,045 to 234,778 pg per mg antibody and the pool 498 to 1,372 pg/mg, a reduction of 2.2 to 2.5 log10 across the step. DNA was not measured away from the set-point, so its dependence on the parameters is not tested here, as PCP-005 planned.</w:t>
      </w:r>
    </w:p>
    <w:bookmarkEnd w:id="80"/>
    <w:bookmarkStart w:id="82" w:name="sec-resid"/>
    <w:p>
      <w:pPr>
        <w:pStyle w:val="Heading2"/>
      </w:pPr>
      <w:r>
        <w:t xml:space="preserve">5.5 Model residuals and influential runs</w:t>
      </w:r>
    </w:p>
    <w:p>
      <w:pPr>
        <w:pStyle w:val="FirstParagraph"/>
      </w:pPr>
      <w:hyperlink w:anchor="tbl-resid">
        <w:r>
          <w:rPr>
            <w:rStyle w:val="Hyperlink"/>
          </w:rPr>
          <w:t xml:space="preserve">Table 17</w:t>
        </w:r>
      </w:hyperlink>
      <w:r>
        <w:t xml:space="preserve"> </w:t>
      </w:r>
      <w:r>
        <w:t xml:space="preserve">gives the residual checks of criterion 5 of PCP-005 §7.</w:t>
      </w:r>
    </w:p>
    <w:tbl>
      <w:tblPr>
        <w:tblStyle w:val="Table"/>
        <w:tblW w:type="pct" w:w="5000"/>
        <w:tblLayout w:type="fixed"/>
        <w:tblLook w:firstRow="0" w:lastRow="0" w:firstColumn="0" w:lastColumn="0" w:noHBand="0" w:noVBand="0" w:val="0000"/>
      </w:tblPr>
      <w:tblGrid>
        <w:gridCol w:w="7920"/>
      </w:tblGrid>
      <w:tr>
        <w:tc>
          <w:tcPr/>
          <w:bookmarkStart w:id="81" w:name="tbl-resid"/>
          <w:p>
            <w:pPr>
              <w:jc w:val="center"/>
            </w:pPr>
            <w:pPr>
              <w:jc w:val="start"/>
              <w:spacing w:before="200"/>
              <w:pStyle w:val="ImageCaption"/>
            </w:pPr>
            <w:r>
              <w:t xml:space="preserve">Table 17: Residual checks of the response-surface models (PCP-005 §7, criterion 5).</w:t>
            </w:r>
          </w:p>
          <w:tbl>
            <w:tblPr>
              <w:tblStyle w:val="Table"/>
              <w:tblW w:type="pct" w:w="5000"/>
              <w:tblLayout w:type="fixed"/>
              <w:tblLook w:firstRow="1" w:lastRow="0" w:firstColumn="0" w:lastColumn="0" w:noHBand="0" w:noVBand="0" w:val="0020"/>
            </w:tblPr>
            <w:tblGrid>
              <w:gridCol w:w="1661"/>
              <w:gridCol w:w="1827"/>
              <w:gridCol w:w="1550"/>
              <w:gridCol w:w="1495"/>
              <w:gridCol w:w="387"/>
              <w:gridCol w:w="996"/>
            </w:tblGrid>
            <w:tr>
              <w:trPr>
                <w:tblHeader w:val="on"/>
              </w:trPr>
              <w:tc>
                <w:tcPr/>
                <w:p>
                  <w:pPr>
                    <w:pStyle w:val="Compact"/>
                    <w:jc w:val="left"/>
                    <w:jc w:val="center"/>
                  </w:pPr>
                  <w:r>
                    <w:t xml:space="preserve">Response</w:t>
                  </w:r>
                </w:p>
              </w:tc>
              <w:tc>
                <w:tcPr/>
                <w:p>
                  <w:pPr>
                    <w:pStyle w:val="Compact"/>
                    <w:jc w:val="left"/>
                    <w:jc w:val="center"/>
                  </w:pPr>
                  <w:r>
                    <w:t xml:space="preserve">p, abs. residual on predicted</w:t>
                  </w:r>
                </w:p>
              </w:tc>
              <w:tc>
                <w:tcPr/>
                <w:p>
                  <w:pPr>
                    <w:pStyle w:val="Compact"/>
                    <w:jc w:val="left"/>
                    <w:jc w:val="center"/>
                  </w:pPr>
                  <w:r>
                    <w:t xml:space="preserve">p, residual on run order</w:t>
                  </w:r>
                </w:p>
              </w:tc>
              <w:tc>
                <w:tcPr/>
                <w:p>
                  <w:pPr>
                    <w:pStyle w:val="Compact"/>
                    <w:jc w:val="left"/>
                    <w:jc w:val="center"/>
                  </w:pPr>
                  <w:r>
                    <w:t xml:space="preserve">Largest Cook’s distance</w:t>
                  </w:r>
                </w:p>
              </w:tc>
              <w:tc>
                <w:tcPr/>
                <w:p>
                  <w:pPr>
                    <w:pStyle w:val="Compact"/>
                    <w:jc w:val="left"/>
                    <w:jc w:val="center"/>
                  </w:pPr>
                  <w:r>
                    <w:t xml:space="preserve">Run</w:t>
                  </w:r>
                </w:p>
              </w:tc>
              <w:tc>
                <w:tcPr/>
                <w:p>
                  <w:pPr>
                    <w:pStyle w:val="Compact"/>
                    <w:jc w:val="left"/>
                    <w:jc w:val="center"/>
                  </w:pPr>
                  <w:r>
                    <w:t xml:space="preserve">Runs above 4/n</w:t>
                  </w:r>
                </w:p>
              </w:tc>
            </w:tr>
            <w:tr>
              <w:tc>
                <w:tcPr/>
                <w:p>
                  <w:pPr>
                    <w:pStyle w:val="Compact"/>
                    <w:jc w:val="left"/>
                    <w:jc w:val="center"/>
                  </w:pPr>
                  <w:r>
                    <w:t xml:space="preserve">Pool HCP (ng/mg)</w:t>
                  </w:r>
                </w:p>
              </w:tc>
              <w:tc>
                <w:tcPr/>
                <w:p>
                  <w:pPr>
                    <w:pStyle w:val="Compact"/>
                    <w:jc w:val="left"/>
                    <w:jc w:val="center"/>
                  </w:pPr>
                  <w:r>
                    <w:t xml:space="preserve">0.615</w:t>
                  </w:r>
                </w:p>
              </w:tc>
              <w:tc>
                <w:tcPr/>
                <w:p>
                  <w:pPr>
                    <w:pStyle w:val="Compact"/>
                    <w:jc w:val="left"/>
                    <w:jc w:val="center"/>
                  </w:pPr>
                  <w:r>
                    <w:t xml:space="preserve">0.499</w:t>
                  </w:r>
                </w:p>
              </w:tc>
              <w:tc>
                <w:tcPr/>
                <w:p>
                  <w:pPr>
                    <w:pStyle w:val="Compact"/>
                    <w:jc w:val="left"/>
                    <w:jc w:val="center"/>
                  </w:pPr>
                  <w:r>
                    <w:t xml:space="preserve">0.42</w:t>
                  </w:r>
                </w:p>
              </w:tc>
              <w:tc>
                <w:tcPr/>
                <w:p>
                  <w:pPr>
                    <w:pStyle w:val="Compact"/>
                    <w:jc w:val="left"/>
                    <w:jc w:val="center"/>
                  </w:pPr>
                  <w:r>
                    <w:t xml:space="preserve">1</w:t>
                  </w:r>
                </w:p>
              </w:tc>
              <w:tc>
                <w:tcPr/>
                <w:p>
                  <w:pPr>
                    <w:pStyle w:val="Compact"/>
                    <w:jc w:val="left"/>
                    <w:jc w:val="center"/>
                  </w:pPr>
                  <w:r>
                    <w:t xml:space="preserve">8</w:t>
                  </w:r>
                </w:p>
              </w:tc>
            </w:tr>
            <w:tr>
              <w:tc>
                <w:tcPr/>
                <w:p>
                  <w:pPr>
                    <w:pStyle w:val="Compact"/>
                    <w:jc w:val="left"/>
                    <w:jc w:val="center"/>
                  </w:pPr>
                  <w:r>
                    <w:t xml:space="preserve">Step yield</w:t>
                  </w:r>
                </w:p>
              </w:tc>
              <w:tc>
                <w:tcPr/>
                <w:p>
                  <w:pPr>
                    <w:pStyle w:val="Compact"/>
                    <w:jc w:val="left"/>
                    <w:jc w:val="center"/>
                  </w:pPr>
                  <w:r>
                    <w:t xml:space="preserve">0.562</w:t>
                  </w:r>
                </w:p>
              </w:tc>
              <w:tc>
                <w:tcPr/>
                <w:p>
                  <w:pPr>
                    <w:pStyle w:val="Compact"/>
                    <w:jc w:val="left"/>
                    <w:jc w:val="center"/>
                  </w:pPr>
                  <w:r>
                    <w:t xml:space="preserve">0.310</w:t>
                  </w:r>
                </w:p>
              </w:tc>
              <w:tc>
                <w:tcPr/>
                <w:p>
                  <w:pPr>
                    <w:pStyle w:val="Compact"/>
                    <w:jc w:val="left"/>
                    <w:jc w:val="center"/>
                  </w:pPr>
                  <w:r>
                    <w:t xml:space="preserve">0.38</w:t>
                  </w:r>
                </w:p>
              </w:tc>
              <w:tc>
                <w:tcPr/>
                <w:p>
                  <w:pPr>
                    <w:pStyle w:val="Compact"/>
                    <w:jc w:val="left"/>
                    <w:jc w:val="center"/>
                  </w:pPr>
                  <w:r>
                    <w:t xml:space="preserve">12</w:t>
                  </w:r>
                </w:p>
              </w:tc>
              <w:tc>
                <w:tcPr/>
                <w:p>
                  <w:pPr>
                    <w:pStyle w:val="Compact"/>
                    <w:jc w:val="left"/>
                    <w:jc w:val="center"/>
                  </w:pPr>
                  <w:r>
                    <w:t xml:space="preserve">6</w:t>
                  </w:r>
                </w:p>
              </w:tc>
            </w:tr>
            <w:tr>
              <w:tc>
                <w:tcPr/>
                <w:p>
                  <w:pPr>
                    <w:pStyle w:val="Compact"/>
                    <w:jc w:val="left"/>
                    <w:jc w:val="center"/>
                  </w:pPr>
                  <w:r>
                    <w:t xml:space="preserve">Leached Protein A (ppm)</w:t>
                  </w:r>
                </w:p>
              </w:tc>
              <w:tc>
                <w:tcPr/>
                <w:p>
                  <w:pPr>
                    <w:pStyle w:val="Compact"/>
                    <w:jc w:val="left"/>
                    <w:jc w:val="center"/>
                  </w:pPr>
                  <w:r>
                    <w:t xml:space="preserve">0.789</w:t>
                  </w:r>
                </w:p>
              </w:tc>
              <w:tc>
                <w:tcPr/>
                <w:p>
                  <w:pPr>
                    <w:pStyle w:val="Compact"/>
                    <w:jc w:val="left"/>
                    <w:jc w:val="center"/>
                  </w:pPr>
                  <w:r>
                    <w:t xml:space="preserve">0.340</w:t>
                  </w:r>
                </w:p>
              </w:tc>
              <w:tc>
                <w:tcPr/>
                <w:p>
                  <w:pPr>
                    <w:pStyle w:val="Compact"/>
                    <w:jc w:val="left"/>
                    <w:jc w:val="center"/>
                  </w:pPr>
                  <w:r>
                    <w:t xml:space="preserve">0.48</w:t>
                  </w:r>
                </w:p>
              </w:tc>
              <w:tc>
                <w:tcPr/>
                <w:p>
                  <w:pPr>
                    <w:pStyle w:val="Compact"/>
                    <w:jc w:val="left"/>
                    <w:jc w:val="center"/>
                  </w:pPr>
                  <w:r>
                    <w:t xml:space="preserve">10</w:t>
                  </w:r>
                </w:p>
              </w:tc>
              <w:tc>
                <w:tcPr/>
                <w:p>
                  <w:pPr>
                    <w:pStyle w:val="Compact"/>
                    <w:jc w:val="left"/>
                    <w:jc w:val="center"/>
                  </w:pPr>
                  <w:r>
                    <w:t xml:space="preserve">2</w:t>
                  </w:r>
                </w:p>
              </w:tc>
            </w:tr>
            <w:tr>
              <w:tc>
                <w:tcPr/>
                <w:p>
                  <w:pPr>
                    <w:pStyle w:val="Compact"/>
                    <w:jc w:val="left"/>
                    <w:jc w:val="center"/>
                  </w:pPr>
                  <w:r>
                    <w:t xml:space="preserve">Fragments (LMW, %, nrCE-SDS)</w:t>
                  </w:r>
                </w:p>
              </w:tc>
              <w:tc>
                <w:tcPr/>
                <w:p>
                  <w:pPr>
                    <w:pStyle w:val="Compact"/>
                    <w:jc w:val="left"/>
                    <w:jc w:val="center"/>
                  </w:pPr>
                  <w:r>
                    <w:t xml:space="preserve">0.579</w:t>
                  </w:r>
                </w:p>
              </w:tc>
              <w:tc>
                <w:tcPr/>
                <w:p>
                  <w:pPr>
                    <w:pStyle w:val="Compact"/>
                    <w:jc w:val="left"/>
                    <w:jc w:val="center"/>
                  </w:pPr>
                  <w:r>
                    <w:t xml:space="preserve">0.594</w:t>
                  </w:r>
                </w:p>
              </w:tc>
              <w:tc>
                <w:tcPr/>
                <w:p>
                  <w:pPr>
                    <w:pStyle w:val="Compact"/>
                    <w:jc w:val="left"/>
                    <w:jc w:val="center"/>
                  </w:pPr>
                  <w:r>
                    <w:t xml:space="preserve">0.56</w:t>
                  </w:r>
                </w:p>
              </w:tc>
              <w:tc>
                <w:tcPr/>
                <w:p>
                  <w:pPr>
                    <w:pStyle w:val="Compact"/>
                    <w:jc w:val="left"/>
                    <w:jc w:val="center"/>
                  </w:pPr>
                  <w:r>
                    <w:t xml:space="preserve">6</w:t>
                  </w:r>
                </w:p>
              </w:tc>
              <w:tc>
                <w:tcPr/>
                <w:p>
                  <w:pPr>
                    <w:pStyle w:val="Compact"/>
                    <w:jc w:val="left"/>
                    <w:jc w:val="center"/>
                  </w:pPr>
                  <w:r>
                    <w:t xml:space="preserve">7</w:t>
                  </w:r>
                </w:p>
              </w:tc>
            </w:tr>
          </w:tbl>
          <w:bookmarkEnd w:id="81"/>
          <w:p/>
        </w:tc>
      </w:tr>
    </w:tbl>
    <w:p>
      <w:pPr>
        <w:pStyle w:val="BodyText"/>
      </w:pPr>
      <w:r>
        <w:t xml:space="preserve">No model shows a slope of the absolute residuals on the predicted values (the smallest p is 0.562). No model shows a slope of the residuals on the run order of execution either (the smallest p is 0.310), so no drift over the course of the design is seen. Every model, however, has runs above the Cook’s distance limit of 4/n, between 2 and 8 per response. Criterion 5 is therefore not met for any response. A full quadratic model of 15 terms in 28 runs has a mean leverage of 0.54, and the factorial and axial runs of a face-centred design carry high leverage by construction. Cook’s distances above 4/n are therefore expected in this design, and the limit does not separate an influential run from a run at a corner.</w:t>
      </w:r>
    </w:p>
    <w:p>
      <w:pPr>
        <w:pStyle w:val="BodyText"/>
      </w:pPr>
      <w:r>
        <w:t xml:space="preserve">For pool host cell protein, which is the only model used to set a range, each run above the limit was deleted in turn and the model refitted. The coefficients of protein load and elution buffer pH changed by at most 4 %. The highest prediction over the NOR moved between 13,132 and 13,837 ng/mg, and it stayed below the criterion of 16,000 ng/mg in every case. No single run therefore decides the conclusion for pool host cell protein (finding F7). PCP-005 provides no alternative to the Cook’s distance limit, so resting the conclusion on this influence analysis is a departure from the plan, and it is listed in</w:t>
      </w:r>
      <w:r>
        <w:t xml:space="preserve"> </w:t>
      </w:r>
      <w:hyperlink w:anchor="sec-dev">
        <w:r>
          <w:rPr>
            <w:rStyle w:val="Hyperlink"/>
          </w:rPr>
          <w:t xml:space="preserve">Section 13</w:t>
        </w:r>
      </w:hyperlink>
      <w:r>
        <w:t xml:space="preserve">.</w:t>
      </w:r>
    </w:p>
    <w:bookmarkEnd w:id="82"/>
    <w:bookmarkStart w:id="85" w:name="sec-uni"/>
    <w:p>
      <w:pPr>
        <w:pStyle w:val="Heading2"/>
      </w:pPr>
      <w:r>
        <w:t xml:space="preserve">5.6 Univariate assessment</w:t>
      </w:r>
    </w:p>
    <w:p>
      <w:pPr>
        <w:pStyle w:val="FirstParagraph"/>
      </w:pPr>
      <w:hyperlink w:anchor="tbl-uni">
        <w:r>
          <w:rPr>
            <w:rStyle w:val="Hyperlink"/>
          </w:rPr>
          <w:t xml:space="preserve">Table 18</w:t>
        </w:r>
      </w:hyperlink>
      <w:r>
        <w:t xml:space="preserve"> </w:t>
      </w:r>
      <w:r>
        <w:t xml:space="preserve">gives the results of study S-PA-UNI. Each end of each range is the mean of 2 runs, and the difference is taken from the mean of the 3 set-point runs of S-PA-SDM, with its 95 % confidence interval (Student t, pooled variance).</w:t>
      </w:r>
    </w:p>
    <w:tbl>
      <w:tblPr>
        <w:tblStyle w:val="Table"/>
        <w:tblW w:type="pct" w:w="5000"/>
        <w:tblLayout w:type="fixed"/>
        <w:tblLook w:firstRow="0" w:lastRow="0" w:firstColumn="0" w:lastColumn="0" w:noHBand="0" w:noVBand="0" w:val="0000"/>
      </w:tblPr>
      <w:tblGrid>
        <w:gridCol w:w="7920"/>
      </w:tblGrid>
      <w:tr>
        <w:tc>
          <w:tcPr/>
          <w:bookmarkStart w:id="83" w:name="tbl-uni"/>
          <w:p>
            <w:pPr>
              <w:jc w:val="center"/>
            </w:pPr>
            <w:pPr>
              <w:jc w:val="start"/>
              <w:spacing w:before="200"/>
              <w:pStyle w:val="ImageCaption"/>
            </w:pPr>
            <w:r>
              <w:t xml:space="preserve">Table 18: Univariate study of operating temperature and bed height (S-PA-UNI). Δ, difference from the set-point runs of S-PA-SDM, with 95 % confidence interval.</w:t>
            </w:r>
          </w:p>
          <w:tbl>
            <w:tblPr>
              <w:tblStyle w:val="Table"/>
              <w:tblW w:type="pct" w:w="5000"/>
              <w:tblLayout w:type="fixed"/>
              <w:tblLook w:firstRow="1" w:lastRow="0" w:firstColumn="0" w:lastColumn="0" w:noHBand="0" w:noVBand="0" w:val="0020"/>
            </w:tblPr>
            <w:tblGrid>
              <w:gridCol w:w="1145"/>
              <w:gridCol w:w="547"/>
              <w:gridCol w:w="249"/>
              <w:gridCol w:w="747"/>
              <w:gridCol w:w="1145"/>
              <w:gridCol w:w="647"/>
              <w:gridCol w:w="1046"/>
              <w:gridCol w:w="1046"/>
              <w:gridCol w:w="1344"/>
            </w:tblGrid>
            <w:tr>
              <w:trPr>
                <w:tblHeader w:val="on"/>
              </w:trPr>
              <w:tc>
                <w:tcPr/>
                <w:p>
                  <w:pPr>
                    <w:pStyle w:val="Compact"/>
                    <w:jc w:val="left"/>
                    <w:jc w:val="center"/>
                  </w:pPr>
                  <w:r>
                    <w:t xml:space="preserve">Parameter</w:t>
                  </w:r>
                </w:p>
              </w:tc>
              <w:tc>
                <w:tcPr/>
                <w:p>
                  <w:pPr>
                    <w:pStyle w:val="Compact"/>
                    <w:jc w:val="left"/>
                    <w:jc w:val="center"/>
                  </w:pPr>
                  <w:r>
                    <w:t xml:space="preserve">Setting</w:t>
                  </w:r>
                </w:p>
              </w:tc>
              <w:tc>
                <w:tcPr/>
                <w:p>
                  <w:pPr>
                    <w:pStyle w:val="Compact"/>
                    <w:jc w:val="left"/>
                    <w:jc w:val="center"/>
                  </w:pPr>
                  <w:r>
                    <w:t xml:space="preserve">n</w:t>
                  </w:r>
                </w:p>
              </w:tc>
              <w:tc>
                <w:tcPr/>
                <w:p>
                  <w:pPr>
                    <w:pStyle w:val="Compact"/>
                    <w:jc w:val="left"/>
                    <w:jc w:val="center"/>
                  </w:pPr>
                  <w:r>
                    <w:t xml:space="preserve">HCP (ng/mg)</w:t>
                  </w:r>
                </w:p>
              </w:tc>
              <w:tc>
                <w:tcPr/>
                <w:p>
                  <w:pPr>
                    <w:pStyle w:val="Compact"/>
                    <w:jc w:val="left"/>
                    <w:jc w:val="center"/>
                  </w:pPr>
                  <w:r>
                    <w:t xml:space="preserve">Δ HCP (95 % CI)</w:t>
                  </w:r>
                </w:p>
              </w:tc>
              <w:tc>
                <w:tcPr/>
                <w:p>
                  <w:pPr>
                    <w:pStyle w:val="Compact"/>
                    <w:jc w:val="left"/>
                    <w:jc w:val="center"/>
                  </w:pPr>
                  <w:r>
                    <w:t xml:space="preserve">Yield (%)</w:t>
                  </w:r>
                </w:p>
              </w:tc>
              <w:tc>
                <w:tcPr/>
                <w:p>
                  <w:pPr>
                    <w:pStyle w:val="Compact"/>
                    <w:jc w:val="left"/>
                    <w:jc w:val="center"/>
                  </w:pPr>
                  <w:r>
                    <w:t xml:space="preserve">Δ yield (95 % CI)</w:t>
                  </w:r>
                </w:p>
              </w:tc>
              <w:tc>
                <w:tcPr/>
                <w:p>
                  <w:pPr>
                    <w:pStyle w:val="Compact"/>
                    <w:jc w:val="left"/>
                    <w:jc w:val="center"/>
                  </w:pPr>
                  <w:r>
                    <w:t xml:space="preserve">Leached PrA (ppm)</w:t>
                  </w:r>
                </w:p>
              </w:tc>
              <w:tc>
                <w:tcPr/>
                <w:p>
                  <w:pPr>
                    <w:pStyle w:val="Compact"/>
                    <w:jc w:val="left"/>
                    <w:jc w:val="center"/>
                  </w:pPr>
                  <w:r>
                    <w:t xml:space="preserve">Δ leached PrA (95 % CI)</w:t>
                  </w:r>
                </w:p>
              </w:tc>
            </w:tr>
            <w:tr>
              <w:tc>
                <w:tcPr/>
                <w:p>
                  <w:pPr>
                    <w:pStyle w:val="Compact"/>
                    <w:jc w:val="left"/>
                    <w:jc w:val="center"/>
                  </w:pPr>
                  <w:r>
                    <w:t xml:space="preserve">Operating temperature</w:t>
                  </w:r>
                </w:p>
              </w:tc>
              <w:tc>
                <w:tcPr/>
                <w:p>
                  <w:pPr>
                    <w:pStyle w:val="Compact"/>
                    <w:jc w:val="left"/>
                    <w:jc w:val="center"/>
                  </w:pPr>
                  <w:r>
                    <w:t xml:space="preserve">15 °C</w:t>
                  </w:r>
                </w:p>
              </w:tc>
              <w:tc>
                <w:tcPr/>
                <w:p>
                  <w:pPr>
                    <w:pStyle w:val="Compact"/>
                    <w:jc w:val="left"/>
                    <w:jc w:val="center"/>
                  </w:pPr>
                  <w:r>
                    <w:t xml:space="preserve">2</w:t>
                  </w:r>
                </w:p>
              </w:tc>
              <w:tc>
                <w:tcPr/>
                <w:p>
                  <w:pPr>
                    <w:pStyle w:val="Compact"/>
                    <w:jc w:val="left"/>
                    <w:jc w:val="center"/>
                  </w:pPr>
                  <w:r>
                    <w:t xml:space="preserve">9,419</w:t>
                  </w:r>
                </w:p>
              </w:tc>
              <w:tc>
                <w:tcPr/>
                <w:p>
                  <w:pPr>
                    <w:pStyle w:val="Compact"/>
                    <w:jc w:val="left"/>
                    <w:jc w:val="center"/>
                  </w:pPr>
                  <w:r>
                    <w:t xml:space="preserve">2,005 (-281 to 4,291)</w:t>
                  </w:r>
                </w:p>
              </w:tc>
              <w:tc>
                <w:tcPr/>
                <w:p>
                  <w:pPr>
                    <w:pStyle w:val="Compact"/>
                    <w:jc w:val="left"/>
                    <w:jc w:val="center"/>
                  </w:pPr>
                  <w:r>
                    <w:t xml:space="preserve">97.1</w:t>
                  </w:r>
                </w:p>
              </w:tc>
              <w:tc>
                <w:tcPr/>
                <w:p>
                  <w:pPr>
                    <w:pStyle w:val="Compact"/>
                    <w:jc w:val="left"/>
                    <w:jc w:val="center"/>
                  </w:pPr>
                  <w:r>
                    <w:t xml:space="preserve">3.6 (-4.9 to 12.0)</w:t>
                  </w:r>
                </w:p>
              </w:tc>
              <w:tc>
                <w:tcPr/>
                <w:p>
                  <w:pPr>
                    <w:pStyle w:val="Compact"/>
                    <w:jc w:val="left"/>
                    <w:jc w:val="center"/>
                  </w:pPr>
                  <w:r>
                    <w:t xml:space="preserve">2.37</w:t>
                  </w:r>
                </w:p>
              </w:tc>
              <w:tc>
                <w:tcPr/>
                <w:p>
                  <w:pPr>
                    <w:pStyle w:val="Compact"/>
                    <w:jc w:val="left"/>
                    <w:jc w:val="center"/>
                  </w:pPr>
                  <w:r>
                    <w:t xml:space="preserve">0.26 (-1.46 to 1.99)</w:t>
                  </w:r>
                </w:p>
              </w:tc>
            </w:tr>
            <w:tr>
              <w:tc>
                <w:tcPr/>
                <w:p>
                  <w:pPr>
                    <w:pStyle w:val="Compact"/>
                    <w:jc w:val="left"/>
                    <w:jc w:val="center"/>
                  </w:pPr>
                  <w:r>
                    <w:t xml:space="preserve">Operating temperature</w:t>
                  </w:r>
                </w:p>
              </w:tc>
              <w:tc>
                <w:tcPr/>
                <w:p>
                  <w:pPr>
                    <w:pStyle w:val="Compact"/>
                    <w:jc w:val="left"/>
                    <w:jc w:val="center"/>
                  </w:pPr>
                  <w:r>
                    <w:t xml:space="preserve">30 °C</w:t>
                  </w:r>
                </w:p>
              </w:tc>
              <w:tc>
                <w:tcPr/>
                <w:p>
                  <w:pPr>
                    <w:pStyle w:val="Compact"/>
                    <w:jc w:val="left"/>
                    <w:jc w:val="center"/>
                  </w:pPr>
                  <w:r>
                    <w:t xml:space="preserve">2</w:t>
                  </w:r>
                </w:p>
              </w:tc>
              <w:tc>
                <w:tcPr/>
                <w:p>
                  <w:pPr>
                    <w:pStyle w:val="Compact"/>
                    <w:jc w:val="left"/>
                    <w:jc w:val="center"/>
                  </w:pPr>
                  <w:r>
                    <w:t xml:space="preserve">7,831</w:t>
                  </w:r>
                </w:p>
              </w:tc>
              <w:tc>
                <w:tcPr/>
                <w:p>
                  <w:pPr>
                    <w:pStyle w:val="Compact"/>
                    <w:jc w:val="left"/>
                    <w:jc w:val="center"/>
                  </w:pPr>
                  <w:r>
                    <w:t xml:space="preserve">417 (-1,186 to 2,021)</w:t>
                  </w:r>
                </w:p>
              </w:tc>
              <w:tc>
                <w:tcPr/>
                <w:p>
                  <w:pPr>
                    <w:pStyle w:val="Compact"/>
                    <w:jc w:val="left"/>
                    <w:jc w:val="center"/>
                  </w:pPr>
                  <w:r>
                    <w:t xml:space="preserve">97.6</w:t>
                  </w:r>
                </w:p>
              </w:tc>
              <w:tc>
                <w:tcPr/>
                <w:p>
                  <w:pPr>
                    <w:pStyle w:val="Compact"/>
                    <w:jc w:val="left"/>
                    <w:jc w:val="center"/>
                  </w:pPr>
                  <w:r>
                    <w:t xml:space="preserve">4.1 (-4.4 to 12.5)</w:t>
                  </w:r>
                </w:p>
              </w:tc>
              <w:tc>
                <w:tcPr/>
                <w:p>
                  <w:pPr>
                    <w:pStyle w:val="Compact"/>
                    <w:jc w:val="left"/>
                    <w:jc w:val="center"/>
                  </w:pPr>
                  <w:r>
                    <w:t xml:space="preserve">3.62</w:t>
                  </w:r>
                </w:p>
              </w:tc>
              <w:tc>
                <w:tcPr/>
                <w:p>
                  <w:pPr>
                    <w:pStyle w:val="Compact"/>
                    <w:jc w:val="left"/>
                    <w:jc w:val="center"/>
                  </w:pPr>
                  <w:r>
                    <w:t xml:space="preserve">1.51 (-0.67 to 3.70)</w:t>
                  </w:r>
                </w:p>
              </w:tc>
            </w:tr>
            <w:tr>
              <w:tc>
                <w:tcPr/>
                <w:p>
                  <w:pPr>
                    <w:pStyle w:val="Compact"/>
                    <w:jc w:val="left"/>
                    <w:jc w:val="center"/>
                  </w:pPr>
                  <w:r>
                    <w:t xml:space="preserve">Bed height</w:t>
                  </w:r>
                </w:p>
              </w:tc>
              <w:tc>
                <w:tcPr/>
                <w:p>
                  <w:pPr>
                    <w:pStyle w:val="Compact"/>
                    <w:jc w:val="left"/>
                    <w:jc w:val="center"/>
                  </w:pPr>
                  <w:r>
                    <w:t xml:space="preserve">10 cm</w:t>
                  </w:r>
                </w:p>
              </w:tc>
              <w:tc>
                <w:tcPr/>
                <w:p>
                  <w:pPr>
                    <w:pStyle w:val="Compact"/>
                    <w:jc w:val="left"/>
                    <w:jc w:val="center"/>
                  </w:pPr>
                  <w:r>
                    <w:t xml:space="preserve">2</w:t>
                  </w:r>
                </w:p>
              </w:tc>
              <w:tc>
                <w:tcPr/>
                <w:p>
                  <w:pPr>
                    <w:pStyle w:val="Compact"/>
                    <w:jc w:val="left"/>
                    <w:jc w:val="center"/>
                  </w:pPr>
                  <w:r>
                    <w:t xml:space="preserve">7,427</w:t>
                  </w:r>
                </w:p>
              </w:tc>
              <w:tc>
                <w:tcPr/>
                <w:p>
                  <w:pPr>
                    <w:pStyle w:val="Compact"/>
                    <w:jc w:val="left"/>
                    <w:jc w:val="center"/>
                  </w:pPr>
                  <w:r>
                    <w:t xml:space="preserve">13 (-1,446 to 1,471)</w:t>
                  </w:r>
                </w:p>
              </w:tc>
              <w:tc>
                <w:tcPr/>
                <w:p>
                  <w:pPr>
                    <w:pStyle w:val="Compact"/>
                    <w:jc w:val="left"/>
                    <w:jc w:val="center"/>
                  </w:pPr>
                  <w:r>
                    <w:t xml:space="preserve">96.7</w:t>
                  </w:r>
                </w:p>
              </w:tc>
              <w:tc>
                <w:tcPr/>
                <w:p>
                  <w:pPr>
                    <w:pStyle w:val="Compact"/>
                    <w:jc w:val="left"/>
                    <w:jc w:val="center"/>
                  </w:pPr>
                  <w:r>
                    <w:t xml:space="preserve">3.1 (-6.9 to 13.0)</w:t>
                  </w:r>
                </w:p>
              </w:tc>
              <w:tc>
                <w:tcPr/>
                <w:p>
                  <w:pPr>
                    <w:pStyle w:val="Compact"/>
                    <w:jc w:val="left"/>
                    <w:jc w:val="center"/>
                  </w:pPr>
                  <w:r>
                    <w:t xml:space="preserve">2.87</w:t>
                  </w:r>
                </w:p>
              </w:tc>
              <w:tc>
                <w:tcPr/>
                <w:p>
                  <w:pPr>
                    <w:pStyle w:val="Compact"/>
                    <w:jc w:val="left"/>
                    <w:jc w:val="center"/>
                  </w:pPr>
                  <w:r>
                    <w:t xml:space="preserve">0.76 (-1.12 to 2.65)</w:t>
                  </w:r>
                </w:p>
              </w:tc>
            </w:tr>
            <w:tr>
              <w:tc>
                <w:tcPr/>
                <w:p>
                  <w:pPr>
                    <w:pStyle w:val="Compact"/>
                    <w:jc w:val="left"/>
                    <w:jc w:val="center"/>
                  </w:pPr>
                  <w:r>
                    <w:t xml:space="preserve">Bed height</w:t>
                  </w:r>
                </w:p>
              </w:tc>
              <w:tc>
                <w:tcPr/>
                <w:p>
                  <w:pPr>
                    <w:pStyle w:val="Compact"/>
                    <w:jc w:val="left"/>
                    <w:jc w:val="center"/>
                  </w:pPr>
                  <w:r>
                    <w:t xml:space="preserve">30 cm</w:t>
                  </w:r>
                </w:p>
              </w:tc>
              <w:tc>
                <w:tcPr/>
                <w:p>
                  <w:pPr>
                    <w:pStyle w:val="Compact"/>
                    <w:jc w:val="left"/>
                    <w:jc w:val="center"/>
                  </w:pPr>
                  <w:r>
                    <w:t xml:space="preserve">2</w:t>
                  </w:r>
                </w:p>
              </w:tc>
              <w:tc>
                <w:tcPr/>
                <w:p>
                  <w:pPr>
                    <w:pStyle w:val="Compact"/>
                    <w:jc w:val="left"/>
                    <w:jc w:val="center"/>
                  </w:pPr>
                  <w:r>
                    <w:t xml:space="preserve">7,900</w:t>
                  </w:r>
                </w:p>
              </w:tc>
              <w:tc>
                <w:tcPr/>
                <w:p>
                  <w:pPr>
                    <w:pStyle w:val="Compact"/>
                    <w:jc w:val="left"/>
                    <w:jc w:val="center"/>
                  </w:pPr>
                  <w:r>
                    <w:t xml:space="preserve">486 (-1,843 to 2,815)</w:t>
                  </w:r>
                </w:p>
              </w:tc>
              <w:tc>
                <w:tcPr/>
                <w:p>
                  <w:pPr>
                    <w:pStyle w:val="Compact"/>
                    <w:jc w:val="left"/>
                    <w:jc w:val="center"/>
                  </w:pPr>
                  <w:r>
                    <w:t xml:space="preserve">96.0</w:t>
                  </w:r>
                </w:p>
              </w:tc>
              <w:tc>
                <w:tcPr/>
                <w:p>
                  <w:pPr>
                    <w:pStyle w:val="Compact"/>
                    <w:jc w:val="left"/>
                    <w:jc w:val="center"/>
                  </w:pPr>
                  <w:r>
                    <w:t xml:space="preserve">2.4 (-7.8 to 12.6)</w:t>
                  </w:r>
                </w:p>
              </w:tc>
              <w:tc>
                <w:tcPr/>
                <w:p>
                  <w:pPr>
                    <w:pStyle w:val="Compact"/>
                    <w:jc w:val="left"/>
                    <w:jc w:val="center"/>
                  </w:pPr>
                  <w:r>
                    <w:t xml:space="preserve">2.69</w:t>
                  </w:r>
                </w:p>
              </w:tc>
              <w:tc>
                <w:tcPr/>
                <w:p>
                  <w:pPr>
                    <w:pStyle w:val="Compact"/>
                    <w:jc w:val="left"/>
                    <w:jc w:val="center"/>
                  </w:pPr>
                  <w:r>
                    <w:t xml:space="preserve">0.59 (-1.15 to 2.32)</w:t>
                  </w:r>
                </w:p>
              </w:tc>
            </w:tr>
          </w:tbl>
          <w:bookmarkEnd w:id="83"/>
          <w:p/>
        </w:tc>
      </w:tr>
    </w:tbl>
    <w:p>
      <w:pPr>
        <w:pStyle w:val="BodyText"/>
      </w:pPr>
      <w:hyperlink w:anchor="tbl-uni-ind">
        <w:r>
          <w:rPr>
            <w:rStyle w:val="Hyperlink"/>
          </w:rPr>
          <w:t xml:space="preserve">Table 19</w:t>
        </w:r>
      </w:hyperlink>
      <w:r>
        <w:t xml:space="preserve"> </w:t>
      </w:r>
      <w:r>
        <w:t xml:space="preserve">gives the individual results.</w:t>
      </w:r>
    </w:p>
    <w:tbl>
      <w:tblPr>
        <w:tblStyle w:val="Table"/>
        <w:tblW w:type="pct" w:w="5000"/>
        <w:tblLayout w:type="fixed"/>
        <w:tblLook w:firstRow="0" w:lastRow="0" w:firstColumn="0" w:lastColumn="0" w:noHBand="0" w:noVBand="0" w:val="0000"/>
      </w:tblPr>
      <w:tblGrid>
        <w:gridCol w:w="7920"/>
      </w:tblGrid>
      <w:tr>
        <w:tc>
          <w:tcPr/>
          <w:bookmarkStart w:id="84" w:name="tbl-uni-ind"/>
          <w:p>
            <w:pPr>
              <w:jc w:val="center"/>
            </w:pPr>
            <w:pPr>
              <w:jc w:val="start"/>
              <w:spacing w:before="200"/>
              <w:pStyle w:val="ImageCaption"/>
            </w:pPr>
            <w:r>
              <w:t xml:space="preserve">Table 19: Individual results of study S-PA-UNI.</w:t>
            </w:r>
          </w:p>
          <w:tbl>
            <w:tblPr>
              <w:tblStyle w:val="Table"/>
              <w:tblW w:type="pct" w:w="5000"/>
              <w:tblLayout w:type="fixed"/>
              <w:tblLook w:firstRow="1" w:lastRow="0" w:firstColumn="0" w:lastColumn="0" w:noHBand="0" w:noVBand="0" w:val="0020"/>
            </w:tblPr>
            <w:tblGrid>
              <w:gridCol w:w="2023"/>
              <w:gridCol w:w="968"/>
              <w:gridCol w:w="616"/>
              <w:gridCol w:w="1320"/>
              <w:gridCol w:w="1144"/>
              <w:gridCol w:w="1848"/>
            </w:tblGrid>
            <w:tr>
              <w:trPr>
                <w:tblHeader w:val="on"/>
              </w:trPr>
              <w:tc>
                <w:tcPr/>
                <w:p>
                  <w:pPr>
                    <w:pStyle w:val="Compact"/>
                    <w:jc w:val="left"/>
                    <w:jc w:val="center"/>
                  </w:pPr>
                  <w:r>
                    <w:t xml:space="preserve">Parameter</w:t>
                  </w:r>
                </w:p>
              </w:tc>
              <w:tc>
                <w:tcPr/>
                <w:p>
                  <w:pPr>
                    <w:pStyle w:val="Compact"/>
                    <w:jc w:val="left"/>
                    <w:jc w:val="center"/>
                  </w:pPr>
                  <w:r>
                    <w:t xml:space="preserve">Setting</w:t>
                  </w:r>
                </w:p>
              </w:tc>
              <w:tc>
                <w:tcPr/>
                <w:p>
                  <w:pPr>
                    <w:pStyle w:val="Compact"/>
                    <w:jc w:val="left"/>
                    <w:jc w:val="center"/>
                  </w:pPr>
                  <w:r>
                    <w:t xml:space="preserve">Run</w:t>
                  </w:r>
                </w:p>
              </w:tc>
              <w:tc>
                <w:tcPr/>
                <w:p>
                  <w:pPr>
                    <w:pStyle w:val="Compact"/>
                    <w:jc w:val="left"/>
                    <w:jc w:val="center"/>
                  </w:pPr>
                  <w:r>
                    <w:t xml:space="preserve">HCP (ng/mg)</w:t>
                  </w:r>
                </w:p>
              </w:tc>
              <w:tc>
                <w:tcPr/>
                <w:p>
                  <w:pPr>
                    <w:pStyle w:val="Compact"/>
                    <w:jc w:val="left"/>
                    <w:jc w:val="center"/>
                  </w:pPr>
                  <w:r>
                    <w:t xml:space="preserve">Yield (%)</w:t>
                  </w:r>
                </w:p>
              </w:tc>
              <w:tc>
                <w:tcPr/>
                <w:p>
                  <w:pPr>
                    <w:pStyle w:val="Compact"/>
                    <w:jc w:val="left"/>
                    <w:jc w:val="center"/>
                  </w:pPr>
                  <w:r>
                    <w:t xml:space="preserve">Leached PrA (ppm)</w:t>
                  </w:r>
                </w:p>
              </w:tc>
            </w:tr>
            <w:tr>
              <w:tc>
                <w:tcPr/>
                <w:p>
                  <w:pPr>
                    <w:pStyle w:val="Compact"/>
                    <w:jc w:val="left"/>
                    <w:jc w:val="center"/>
                  </w:pPr>
                  <w:r>
                    <w:t xml:space="preserve">Operating temperature</w:t>
                  </w:r>
                </w:p>
              </w:tc>
              <w:tc>
                <w:tcPr/>
                <w:p>
                  <w:pPr>
                    <w:pStyle w:val="Compact"/>
                    <w:jc w:val="left"/>
                    <w:jc w:val="center"/>
                  </w:pPr>
                  <w:r>
                    <w:t xml:space="preserve">15 °C</w:t>
                  </w:r>
                </w:p>
              </w:tc>
              <w:tc>
                <w:tcPr/>
                <w:p>
                  <w:pPr>
                    <w:pStyle w:val="Compact"/>
                    <w:jc w:val="left"/>
                    <w:jc w:val="center"/>
                  </w:pPr>
                  <w:r>
                    <w:t xml:space="preserve">1</w:t>
                  </w:r>
                </w:p>
              </w:tc>
              <w:tc>
                <w:tcPr/>
                <w:p>
                  <w:pPr>
                    <w:pStyle w:val="Compact"/>
                    <w:jc w:val="left"/>
                    <w:jc w:val="center"/>
                  </w:pPr>
                  <w:r>
                    <w:t xml:space="preserve">10,209</w:t>
                  </w:r>
                </w:p>
              </w:tc>
              <w:tc>
                <w:tcPr/>
                <w:p>
                  <w:pPr>
                    <w:pStyle w:val="Compact"/>
                    <w:jc w:val="left"/>
                    <w:jc w:val="center"/>
                  </w:pPr>
                  <w:r>
                    <w:t xml:space="preserve">96.5</w:t>
                  </w:r>
                </w:p>
              </w:tc>
              <w:tc>
                <w:tcPr/>
                <w:p>
                  <w:pPr>
                    <w:pStyle w:val="Compact"/>
                    <w:jc w:val="left"/>
                    <w:jc w:val="center"/>
                  </w:pPr>
                  <w:r>
                    <w:t xml:space="preserve">2.51</w:t>
                  </w:r>
                </w:p>
              </w:tc>
            </w:tr>
            <w:tr>
              <w:tc>
                <w:tcPr/>
                <w:p>
                  <w:pPr>
                    <w:pStyle w:val="Compact"/>
                    <w:jc w:val="left"/>
                    <w:jc w:val="center"/>
                  </w:pPr>
                  <w:r>
                    <w:t xml:space="preserve">Operating temperature</w:t>
                  </w:r>
                </w:p>
              </w:tc>
              <w:tc>
                <w:tcPr/>
                <w:p>
                  <w:pPr>
                    <w:pStyle w:val="Compact"/>
                    <w:jc w:val="left"/>
                    <w:jc w:val="center"/>
                  </w:pPr>
                  <w:r>
                    <w:t xml:space="preserve">15 °C</w:t>
                  </w:r>
                </w:p>
              </w:tc>
              <w:tc>
                <w:tcPr/>
                <w:p>
                  <w:pPr>
                    <w:pStyle w:val="Compact"/>
                    <w:jc w:val="left"/>
                    <w:jc w:val="center"/>
                  </w:pPr>
                  <w:r>
                    <w:t xml:space="preserve">2</w:t>
                  </w:r>
                </w:p>
              </w:tc>
              <w:tc>
                <w:tcPr/>
                <w:p>
                  <w:pPr>
                    <w:pStyle w:val="Compact"/>
                    <w:jc w:val="left"/>
                    <w:jc w:val="center"/>
                  </w:pPr>
                  <w:r>
                    <w:t xml:space="preserve">8,628</w:t>
                  </w:r>
                </w:p>
              </w:tc>
              <w:tc>
                <w:tcPr/>
                <w:p>
                  <w:pPr>
                    <w:pStyle w:val="Compact"/>
                    <w:jc w:val="left"/>
                    <w:jc w:val="center"/>
                  </w:pPr>
                  <w:r>
                    <w:t xml:space="preserve">97.8</w:t>
                  </w:r>
                </w:p>
              </w:tc>
              <w:tc>
                <w:tcPr/>
                <w:p>
                  <w:pPr>
                    <w:pStyle w:val="Compact"/>
                    <w:jc w:val="left"/>
                    <w:jc w:val="center"/>
                  </w:pPr>
                  <w:r>
                    <w:t xml:space="preserve">2.22</w:t>
                  </w:r>
                </w:p>
              </w:tc>
            </w:tr>
            <w:tr>
              <w:tc>
                <w:tcPr/>
                <w:p>
                  <w:pPr>
                    <w:pStyle w:val="Compact"/>
                    <w:jc w:val="left"/>
                    <w:jc w:val="center"/>
                  </w:pPr>
                  <w:r>
                    <w:t xml:space="preserve">Operating temperature</w:t>
                  </w:r>
                </w:p>
              </w:tc>
              <w:tc>
                <w:tcPr/>
                <w:p>
                  <w:pPr>
                    <w:pStyle w:val="Compact"/>
                    <w:jc w:val="left"/>
                    <w:jc w:val="center"/>
                  </w:pPr>
                  <w:r>
                    <w:t xml:space="preserve">30 °C</w:t>
                  </w:r>
                </w:p>
              </w:tc>
              <w:tc>
                <w:tcPr/>
                <w:p>
                  <w:pPr>
                    <w:pStyle w:val="Compact"/>
                    <w:jc w:val="left"/>
                    <w:jc w:val="center"/>
                  </w:pPr>
                  <w:r>
                    <w:t xml:space="preserve">1</w:t>
                  </w:r>
                </w:p>
              </w:tc>
              <w:tc>
                <w:tcPr/>
                <w:p>
                  <w:pPr>
                    <w:pStyle w:val="Compact"/>
                    <w:jc w:val="left"/>
                    <w:jc w:val="center"/>
                  </w:pPr>
                  <w:r>
                    <w:t xml:space="preserve">7,441</w:t>
                  </w:r>
                </w:p>
              </w:tc>
              <w:tc>
                <w:tcPr/>
                <w:p>
                  <w:pPr>
                    <w:pStyle w:val="Compact"/>
                    <w:jc w:val="left"/>
                    <w:jc w:val="center"/>
                  </w:pPr>
                  <w:r>
                    <w:t xml:space="preserve">98.4</w:t>
                  </w:r>
                </w:p>
              </w:tc>
              <w:tc>
                <w:tcPr/>
                <w:p>
                  <w:pPr>
                    <w:pStyle w:val="Compact"/>
                    <w:jc w:val="left"/>
                    <w:jc w:val="center"/>
                  </w:pPr>
                  <w:r>
                    <w:t xml:space="preserve">3.03</w:t>
                  </w:r>
                </w:p>
              </w:tc>
            </w:tr>
            <w:tr>
              <w:tc>
                <w:tcPr/>
                <w:p>
                  <w:pPr>
                    <w:pStyle w:val="Compact"/>
                    <w:jc w:val="left"/>
                    <w:jc w:val="center"/>
                  </w:pPr>
                  <w:r>
                    <w:t xml:space="preserve">Operating temperature</w:t>
                  </w:r>
                </w:p>
              </w:tc>
              <w:tc>
                <w:tcPr/>
                <w:p>
                  <w:pPr>
                    <w:pStyle w:val="Compact"/>
                    <w:jc w:val="left"/>
                    <w:jc w:val="center"/>
                  </w:pPr>
                  <w:r>
                    <w:t xml:space="preserve">30 °C</w:t>
                  </w:r>
                </w:p>
              </w:tc>
              <w:tc>
                <w:tcPr/>
                <w:p>
                  <w:pPr>
                    <w:pStyle w:val="Compact"/>
                    <w:jc w:val="left"/>
                    <w:jc w:val="center"/>
                  </w:pPr>
                  <w:r>
                    <w:t xml:space="preserve">2</w:t>
                  </w:r>
                </w:p>
              </w:tc>
              <w:tc>
                <w:tcPr/>
                <w:p>
                  <w:pPr>
                    <w:pStyle w:val="Compact"/>
                    <w:jc w:val="left"/>
                    <w:jc w:val="center"/>
                  </w:pPr>
                  <w:r>
                    <w:t xml:space="preserve">8,222</w:t>
                  </w:r>
                </w:p>
              </w:tc>
              <w:tc>
                <w:tcPr/>
                <w:p>
                  <w:pPr>
                    <w:pStyle w:val="Compact"/>
                    <w:jc w:val="left"/>
                    <w:jc w:val="center"/>
                  </w:pPr>
                  <w:r>
                    <w:t xml:space="preserve">96.9</w:t>
                  </w:r>
                </w:p>
              </w:tc>
              <w:tc>
                <w:tcPr/>
                <w:p>
                  <w:pPr>
                    <w:pStyle w:val="Compact"/>
                    <w:jc w:val="left"/>
                    <w:jc w:val="center"/>
                  </w:pPr>
                  <w:r>
                    <w:t xml:space="preserve">4.20</w:t>
                  </w:r>
                </w:p>
              </w:tc>
            </w:tr>
            <w:tr>
              <w:tc>
                <w:tcPr/>
                <w:p>
                  <w:pPr>
                    <w:pStyle w:val="Compact"/>
                    <w:jc w:val="left"/>
                    <w:jc w:val="center"/>
                  </w:pPr>
                  <w:r>
                    <w:t xml:space="preserve">Bed height</w:t>
                  </w:r>
                </w:p>
              </w:tc>
              <w:tc>
                <w:tcPr/>
                <w:p>
                  <w:pPr>
                    <w:pStyle w:val="Compact"/>
                    <w:jc w:val="left"/>
                    <w:jc w:val="center"/>
                  </w:pPr>
                  <w:r>
                    <w:t xml:space="preserve">10 cm</w:t>
                  </w:r>
                </w:p>
              </w:tc>
              <w:tc>
                <w:tcPr/>
                <w:p>
                  <w:pPr>
                    <w:pStyle w:val="Compact"/>
                    <w:jc w:val="left"/>
                    <w:jc w:val="center"/>
                  </w:pPr>
                  <w:r>
                    <w:t xml:space="preserve">1</w:t>
                  </w:r>
                </w:p>
              </w:tc>
              <w:tc>
                <w:tcPr/>
                <w:p>
                  <w:pPr>
                    <w:pStyle w:val="Compact"/>
                    <w:jc w:val="left"/>
                    <w:jc w:val="center"/>
                  </w:pPr>
                  <w:r>
                    <w:t xml:space="preserve">7,698</w:t>
                  </w:r>
                </w:p>
              </w:tc>
              <w:tc>
                <w:tcPr/>
                <w:p>
                  <w:pPr>
                    <w:pStyle w:val="Compact"/>
                    <w:jc w:val="left"/>
                    <w:jc w:val="center"/>
                  </w:pPr>
                  <w:r>
                    <w:t xml:space="preserve">94.4</w:t>
                  </w:r>
                </w:p>
              </w:tc>
              <w:tc>
                <w:tcPr/>
                <w:p>
                  <w:pPr>
                    <w:pStyle w:val="Compact"/>
                    <w:jc w:val="left"/>
                    <w:jc w:val="center"/>
                  </w:pPr>
                  <w:r>
                    <w:t xml:space="preserve">2.52</w:t>
                  </w:r>
                </w:p>
              </w:tc>
            </w:tr>
            <w:tr>
              <w:tc>
                <w:tcPr/>
                <w:p>
                  <w:pPr>
                    <w:pStyle w:val="Compact"/>
                    <w:jc w:val="left"/>
                    <w:jc w:val="center"/>
                  </w:pPr>
                  <w:r>
                    <w:t xml:space="preserve">Bed height</w:t>
                  </w:r>
                </w:p>
              </w:tc>
              <w:tc>
                <w:tcPr/>
                <w:p>
                  <w:pPr>
                    <w:pStyle w:val="Compact"/>
                    <w:jc w:val="left"/>
                    <w:jc w:val="center"/>
                  </w:pPr>
                  <w:r>
                    <w:t xml:space="preserve">10 cm</w:t>
                  </w:r>
                </w:p>
              </w:tc>
              <w:tc>
                <w:tcPr/>
                <w:p>
                  <w:pPr>
                    <w:pStyle w:val="Compact"/>
                    <w:jc w:val="left"/>
                    <w:jc w:val="center"/>
                  </w:pPr>
                  <w:r>
                    <w:t xml:space="preserve">2</w:t>
                  </w:r>
                </w:p>
              </w:tc>
              <w:tc>
                <w:tcPr/>
                <w:p>
                  <w:pPr>
                    <w:pStyle w:val="Compact"/>
                    <w:jc w:val="left"/>
                    <w:jc w:val="center"/>
                  </w:pPr>
                  <w:r>
                    <w:t xml:space="preserve">7,155</w:t>
                  </w:r>
                </w:p>
              </w:tc>
              <w:tc>
                <w:tcPr/>
                <w:p>
                  <w:pPr>
                    <w:pStyle w:val="Compact"/>
                    <w:jc w:val="left"/>
                    <w:jc w:val="center"/>
                  </w:pPr>
                  <w:r>
                    <w:t xml:space="preserve">99.0</w:t>
                  </w:r>
                </w:p>
              </w:tc>
              <w:tc>
                <w:tcPr/>
                <w:p>
                  <w:pPr>
                    <w:pStyle w:val="Compact"/>
                    <w:jc w:val="left"/>
                    <w:jc w:val="center"/>
                  </w:pPr>
                  <w:r>
                    <w:t xml:space="preserve">3.21</w:t>
                  </w:r>
                </w:p>
              </w:tc>
            </w:tr>
            <w:tr>
              <w:tc>
                <w:tcPr/>
                <w:p>
                  <w:pPr>
                    <w:pStyle w:val="Compact"/>
                    <w:jc w:val="left"/>
                    <w:jc w:val="center"/>
                  </w:pPr>
                  <w:r>
                    <w:t xml:space="preserve">Bed height</w:t>
                  </w:r>
                </w:p>
              </w:tc>
              <w:tc>
                <w:tcPr/>
                <w:p>
                  <w:pPr>
                    <w:pStyle w:val="Compact"/>
                    <w:jc w:val="left"/>
                    <w:jc w:val="center"/>
                  </w:pPr>
                  <w:r>
                    <w:t xml:space="preserve">30 cm</w:t>
                  </w:r>
                </w:p>
              </w:tc>
              <w:tc>
                <w:tcPr/>
                <w:p>
                  <w:pPr>
                    <w:pStyle w:val="Compact"/>
                    <w:jc w:val="left"/>
                    <w:jc w:val="center"/>
                  </w:pPr>
                  <w:r>
                    <w:t xml:space="preserve">1</w:t>
                  </w:r>
                </w:p>
              </w:tc>
              <w:tc>
                <w:tcPr/>
                <w:p>
                  <w:pPr>
                    <w:pStyle w:val="Compact"/>
                    <w:jc w:val="left"/>
                    <w:jc w:val="center"/>
                  </w:pPr>
                  <w:r>
                    <w:t xml:space="preserve">8,712</w:t>
                  </w:r>
                </w:p>
              </w:tc>
              <w:tc>
                <w:tcPr/>
                <w:p>
                  <w:pPr>
                    <w:pStyle w:val="Compact"/>
                    <w:jc w:val="left"/>
                    <w:jc w:val="center"/>
                  </w:pPr>
                  <w:r>
                    <w:t xml:space="preserve">93.5</w:t>
                  </w:r>
                </w:p>
              </w:tc>
              <w:tc>
                <w:tcPr/>
                <w:p>
                  <w:pPr>
                    <w:pStyle w:val="Compact"/>
                    <w:jc w:val="left"/>
                    <w:jc w:val="center"/>
                  </w:pPr>
                  <w:r>
                    <w:t xml:space="preserve">2.84</w:t>
                  </w:r>
                </w:p>
              </w:tc>
            </w:tr>
            <w:tr>
              <w:tc>
                <w:tcPr/>
                <w:p>
                  <w:pPr>
                    <w:pStyle w:val="Compact"/>
                    <w:jc w:val="left"/>
                    <w:jc w:val="center"/>
                  </w:pPr>
                  <w:r>
                    <w:t xml:space="preserve">Bed height</w:t>
                  </w:r>
                </w:p>
              </w:tc>
              <w:tc>
                <w:tcPr/>
                <w:p>
                  <w:pPr>
                    <w:pStyle w:val="Compact"/>
                    <w:jc w:val="left"/>
                    <w:jc w:val="center"/>
                  </w:pPr>
                  <w:r>
                    <w:t xml:space="preserve">30 cm</w:t>
                  </w:r>
                </w:p>
              </w:tc>
              <w:tc>
                <w:tcPr/>
                <w:p>
                  <w:pPr>
                    <w:pStyle w:val="Compact"/>
                    <w:jc w:val="left"/>
                    <w:jc w:val="center"/>
                  </w:pPr>
                  <w:r>
                    <w:t xml:space="preserve">2</w:t>
                  </w:r>
                </w:p>
              </w:tc>
              <w:tc>
                <w:tcPr/>
                <w:p>
                  <w:pPr>
                    <w:pStyle w:val="Compact"/>
                    <w:jc w:val="left"/>
                    <w:jc w:val="center"/>
                  </w:pPr>
                  <w:r>
                    <w:t xml:space="preserve">7,088</w:t>
                  </w:r>
                </w:p>
              </w:tc>
              <w:tc>
                <w:tcPr/>
                <w:p>
                  <w:pPr>
                    <w:pStyle w:val="Compact"/>
                    <w:jc w:val="left"/>
                    <w:jc w:val="center"/>
                  </w:pPr>
                  <w:r>
                    <w:t xml:space="preserve">98.5</w:t>
                  </w:r>
                </w:p>
              </w:tc>
              <w:tc>
                <w:tcPr/>
                <w:p>
                  <w:pPr>
                    <w:pStyle w:val="Compact"/>
                    <w:jc w:val="left"/>
                    <w:jc w:val="center"/>
                  </w:pPr>
                  <w:r>
                    <w:t xml:space="preserve">2.54</w:t>
                  </w:r>
                </w:p>
              </w:tc>
            </w:tr>
          </w:tbl>
          <w:bookmarkEnd w:id="84"/>
          <w:p/>
        </w:tc>
      </w:tr>
    </w:tbl>
    <w:p>
      <w:pPr>
        <w:pStyle w:val="BodyText"/>
      </w:pPr>
      <w:r>
        <w:t xml:space="preserve">Every individual result met its criterion. The highest pool host cell protein was 10,209 ng/mg against ≤ 16,000 ng/mg, and the highest leached Protein A was 4.20 ppm against ≤ 158 ppm. The range studied of each parameter is therefore supported with the other parameters at their set-points.</w:t>
      </w:r>
    </w:p>
    <w:p>
      <w:pPr>
        <w:pStyle w:val="BodyText"/>
      </w:pPr>
      <w:r>
        <w:t xml:space="preserve">Every confidence interval includes zero. The largest difference in pool host cell protein, 2,005 ng/mg at 15 °C of operating temperature, is not significant. With two runs at each end the intervals are wide, so the study excludes only effects larger than their upper bounds. Step yield was 2.4 to 4.1 percentage points higher than the reference at every end. Because the difference has the same sign at both ends of both parameters, it is more likely a difference between the reference runs and the univariate runs than an effect of either parameter. Neither study can detect an interaction, and a short bed at high load was not run.</w:t>
      </w:r>
    </w:p>
    <w:bookmarkEnd w:id="85"/>
    <w:bookmarkStart w:id="87" w:name="sec-hold"/>
    <w:p>
      <w:pPr>
        <w:pStyle w:val="Heading2"/>
      </w:pPr>
      <w:r>
        <w:t xml:space="preserve">5.7 Hold study of the Protein A eluate</w:t>
      </w:r>
    </w:p>
    <w:p>
      <w:pPr>
        <w:pStyle w:val="FirstParagraph"/>
      </w:pPr>
      <w:hyperlink w:anchor="tbl-hold-protein-a">
        <w:r>
          <w:rPr>
            <w:rStyle w:val="Hyperlink"/>
          </w:rPr>
          <w:t xml:space="preserve">Table 20</w:t>
        </w:r>
      </w:hyperlink>
      <w:r>
        <w:t xml:space="preserve"> </w:t>
      </w:r>
      <w:r>
        <w:t xml:space="preserve">gives the results of the hold study.</w:t>
      </w:r>
    </w:p>
    <w:tbl>
      <w:tblPr>
        <w:tblStyle w:val="Table"/>
        <w:tblW w:type="pct" w:w="5000"/>
        <w:tblLayout w:type="fixed"/>
        <w:tblLook w:firstRow="0" w:lastRow="0" w:firstColumn="0" w:lastColumn="0" w:noHBand="0" w:noVBand="0" w:val="0000"/>
      </w:tblPr>
      <w:tblGrid>
        <w:gridCol w:w="7920"/>
      </w:tblGrid>
      <w:tr>
        <w:tc>
          <w:tcPr/>
          <w:bookmarkStart w:id="86" w:name="tbl-hold-protein-a"/>
          <w:p>
            <w:pPr>
              <w:jc w:val="center"/>
            </w:pPr>
            <w:pPr>
              <w:jc w:val="start"/>
              <w:spacing w:before="200"/>
              <w:pStyle w:val="ImageCaption"/>
            </w:pPr>
            <w:r>
              <w:t xml:space="preserve">Table 20: Hold-time stability of the Protein A eluate (held at elution pH).</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Storage</w:t>
                  </w:r>
                </w:p>
              </w:tc>
              <w:tc>
                <w:tcPr>
                  <w:vMerge w:val="restart"/>
                </w:tcPr>
                <w:p>
                  <w:pPr>
                    <w:pStyle w:val="Compact"/>
                    <w:jc w:val="center"/>
                  </w:pPr>
                  <w:r>
                    <w:t xml:space="preserve">Day</w:t>
                  </w:r>
                </w:p>
              </w:tc>
              <w:tc>
                <w:tcPr>
                  <w:gridSpan w:val="3"/>
                </w:tcPr>
                <w:p>
                  <w:pPr>
                    <w:pStyle w:val="Compact"/>
                    <w:jc w:val="center"/>
                  </w:pPr>
                  <w:r>
                    <w:t xml:space="preserve">Size variants (%)</w:t>
                  </w:r>
                </w:p>
              </w:tc>
              <w:tc>
                <w:tcPr>
                  <w:vMerge w:val="restart"/>
                </w:tcPr>
                <w:p>
                  <w:pPr>
                    <w:pStyle w:val="Compact"/>
                    <w:jc w:val="center"/>
                  </w:pPr>
                  <w:r>
                    <w:t xml:space="preserve">Acidic variants (%)</w:t>
                  </w:r>
                </w:p>
              </w:tc>
            </w:tr>
            <w:tr>
              <w:trPr>
                <w:tblHeader w:val="on"/>
              </w:trPr>
              <w:tc>
                <w:tcPr>
                  <w:gridSpan w:val="1"/>
                  <w:vMerge w:val="continue"/>
                </w:tcPr>
                <w:p>
                  <w:pPr/>
                </w:p>
              </w:tc>
              <w:tc>
                <w:tcPr>
                  <w:gridSpan w:val="1"/>
                  <w:vMerge w:val="continue"/>
                </w:tcPr>
                <w:p>
                  <w:pPr/>
                </w:p>
              </w:tc>
              <w:tc>
                <w:tcPr/>
                <w:p>
                  <w:pPr>
                    <w:pStyle w:val="Compact"/>
                    <w:jc w:val="center"/>
                  </w:pPr>
                  <w:r>
                    <w:t xml:space="preserve">HMW (SEC)</w:t>
                  </w:r>
                </w:p>
              </w:tc>
              <w:tc>
                <w:tcPr/>
                <w:p>
                  <w:pPr>
                    <w:pStyle w:val="Compact"/>
                    <w:jc w:val="center"/>
                  </w:pPr>
                  <w:r>
                    <w:t xml:space="preserve">LMW (SEC)</w:t>
                  </w:r>
                </w:p>
              </w:tc>
              <w:tc>
                <w:tcPr/>
                <w:p>
                  <w:pPr>
                    <w:pStyle w:val="Compact"/>
                    <w:jc w:val="center"/>
                  </w:pPr>
                  <w:r>
                    <w:t xml:space="preserve">LMW (nrCE-SDS)</w:t>
                  </w:r>
                </w:p>
              </w:tc>
              <w:tc>
                <w:tcPr>
                  <w:gridSpan w:val="1"/>
                  <w:vMerge w:val="continue"/>
                </w:tcPr>
                <w:p>
                  <w:pPr/>
                </w:p>
              </w:tc>
            </w:tr>
            <w:tr>
              <w:tc>
                <w:tcPr>
                  <w:vMerge w:val="restart"/>
                </w:tcPr>
                <w:p>
                  <w:pPr>
                    <w:pStyle w:val="Compact"/>
                    <w:jc w:val="center"/>
                  </w:pPr>
                  <w:r>
                    <w:t xml:space="preserve">2-8 °C</w:t>
                  </w:r>
                </w:p>
              </w:tc>
              <w:tc>
                <w:tcPr/>
                <w:p>
                  <w:pPr>
                    <w:pStyle w:val="Compact"/>
                    <w:jc w:val="center"/>
                  </w:pPr>
                  <w:r>
                    <w:t xml:space="preserve">0</w:t>
                  </w:r>
                </w:p>
              </w:tc>
              <w:tc>
                <w:tcPr/>
                <w:p>
                  <w:pPr>
                    <w:pStyle w:val="Compact"/>
                    <w:jc w:val="center"/>
                  </w:pPr>
                  <w:r>
                    <w:t xml:space="preserve">1.61</w:t>
                  </w:r>
                </w:p>
              </w:tc>
              <w:tc>
                <w:tcPr/>
                <w:p>
                  <w:pPr>
                    <w:pStyle w:val="Compact"/>
                    <w:jc w:val="center"/>
                  </w:pPr>
                  <w:r>
                    <w:t xml:space="preserve">1.37</w:t>
                  </w:r>
                  <w:r>
                    <w:rPr>
                      <w:vertAlign w:val="superscript"/>
                    </w:rPr>
                    <w:t xml:space="preserve">a)</w:t>
                  </w:r>
                </w:p>
              </w:tc>
              <w:tc>
                <w:tcPr/>
                <w:p>
                  <w:pPr>
                    <w:pStyle w:val="Compact"/>
                    <w:jc w:val="center"/>
                  </w:pPr>
                  <w:r>
                    <w:t xml:space="preserve">0.86</w:t>
                  </w:r>
                </w:p>
              </w:tc>
              <w:tc>
                <w:tcPr/>
                <w:p>
                  <w:pPr>
                    <w:pStyle w:val="Compact"/>
                    <w:jc w:val="center"/>
                  </w:pPr>
                  <w:r>
                    <w:t xml:space="preserve">21.7</w:t>
                  </w:r>
                </w:p>
              </w:tc>
            </w:tr>
            <w:tr>
              <w:tc>
                <w:tcPr>
                  <w:gridSpan w:val="1"/>
                  <w:vMerge w:val="continue"/>
                </w:tcPr>
                <w:p>
                  <w:pPr/>
                </w:p>
              </w:tc>
              <w:tc>
                <w:tcPr/>
                <w:p>
                  <w:pPr>
                    <w:pStyle w:val="Compact"/>
                    <w:jc w:val="center"/>
                  </w:pPr>
                  <w:r>
                    <w:t xml:space="preserve">1</w:t>
                  </w:r>
                </w:p>
              </w:tc>
              <w:tc>
                <w:tcPr/>
                <w:p>
                  <w:pPr>
                    <w:pStyle w:val="Compact"/>
                    <w:jc w:val="center"/>
                  </w:pPr>
                  <w:r>
                    <w:t xml:space="preserve">1.64</w:t>
                  </w:r>
                </w:p>
              </w:tc>
              <w:tc>
                <w:tcPr/>
                <w:p>
                  <w:pPr>
                    <w:pStyle w:val="Compact"/>
                    <w:jc w:val="center"/>
                  </w:pPr>
                  <w:r>
                    <w:t xml:space="preserve">1.37</w:t>
                  </w:r>
                  <w:r>
                    <w:rPr>
                      <w:vertAlign w:val="superscript"/>
                    </w:rPr>
                    <w:t xml:space="preserve">a)</w:t>
                  </w:r>
                </w:p>
              </w:tc>
              <w:tc>
                <w:tcPr/>
                <w:p>
                  <w:pPr>
                    <w:pStyle w:val="Compact"/>
                    <w:jc w:val="center"/>
                  </w:pPr>
                  <w:r>
                    <w:t xml:space="preserve">n.t.</w:t>
                  </w:r>
                  <w:r>
                    <w:rPr>
                      <w:vertAlign w:val="superscript"/>
                    </w:rPr>
                    <w:t xml:space="preserve">b)</w:t>
                  </w:r>
                </w:p>
              </w:tc>
              <w:tc>
                <w:tcPr/>
                <w:p>
                  <w:pPr>
                    <w:pStyle w:val="Compact"/>
                    <w:jc w:val="center"/>
                  </w:pPr>
                  <w:r>
                    <w:t xml:space="preserve">21.6</w:t>
                  </w:r>
                </w:p>
              </w:tc>
            </w:tr>
            <w:tr>
              <w:tc>
                <w:tcPr>
                  <w:gridSpan w:val="1"/>
                  <w:vMerge w:val="continue"/>
                </w:tcPr>
                <w:p>
                  <w:pPr/>
                </w:p>
              </w:tc>
              <w:tc>
                <w:tcPr/>
                <w:p>
                  <w:pPr>
                    <w:pStyle w:val="Compact"/>
                    <w:jc w:val="center"/>
                  </w:pPr>
                  <w:r>
                    <w:t xml:space="preserve">3</w:t>
                  </w:r>
                </w:p>
              </w:tc>
              <w:tc>
                <w:tcPr/>
                <w:p>
                  <w:pPr>
                    <w:pStyle w:val="Compact"/>
                    <w:jc w:val="center"/>
                  </w:pPr>
                  <w:r>
                    <w:t xml:space="preserve">1.64</w:t>
                  </w:r>
                </w:p>
              </w:tc>
              <w:tc>
                <w:tcPr/>
                <w:p>
                  <w:pPr>
                    <w:pStyle w:val="Compact"/>
                    <w:jc w:val="center"/>
                  </w:pPr>
                  <w:r>
                    <w:t xml:space="preserve">1.40</w:t>
                  </w:r>
                  <w:r>
                    <w:rPr>
                      <w:vertAlign w:val="superscript"/>
                    </w:rPr>
                    <w:t xml:space="preserve">a)</w:t>
                  </w:r>
                </w:p>
              </w:tc>
              <w:tc>
                <w:tcPr/>
                <w:p>
                  <w:pPr>
                    <w:pStyle w:val="Compact"/>
                    <w:jc w:val="center"/>
                  </w:pPr>
                  <w:r>
                    <w:t xml:space="preserve">n.t.</w:t>
                  </w:r>
                  <w:r>
                    <w:rPr>
                      <w:vertAlign w:val="superscript"/>
                    </w:rPr>
                    <w:t xml:space="preserve">b)</w:t>
                  </w:r>
                </w:p>
              </w:tc>
              <w:tc>
                <w:tcPr/>
                <w:p>
                  <w:pPr>
                    <w:pStyle w:val="Compact"/>
                    <w:jc w:val="center"/>
                  </w:pPr>
                  <w:r>
                    <w:t xml:space="preserve">21.6</w:t>
                  </w:r>
                </w:p>
              </w:tc>
            </w:tr>
            <w:tr>
              <w:tc>
                <w:tcPr>
                  <w:gridSpan w:val="1"/>
                  <w:vMerge w:val="continue"/>
                </w:tcPr>
                <w:p>
                  <w:pPr/>
                </w:p>
              </w:tc>
              <w:tc>
                <w:tcPr/>
                <w:p>
                  <w:pPr>
                    <w:pStyle w:val="Compact"/>
                    <w:jc w:val="center"/>
                  </w:pPr>
                  <w:r>
                    <w:t xml:space="preserve">5</w:t>
                  </w:r>
                </w:p>
              </w:tc>
              <w:tc>
                <w:tcPr/>
                <w:p>
                  <w:pPr>
                    <w:pStyle w:val="Compact"/>
                    <w:jc w:val="center"/>
                  </w:pPr>
                  <w:r>
                    <w:t xml:space="preserve">1.62</w:t>
                  </w:r>
                </w:p>
              </w:tc>
              <w:tc>
                <w:tcPr/>
                <w:p>
                  <w:pPr>
                    <w:pStyle w:val="Compact"/>
                    <w:jc w:val="center"/>
                  </w:pPr>
                  <w:r>
                    <w:t xml:space="preserve">1.44</w:t>
                  </w:r>
                  <w:r>
                    <w:rPr>
                      <w:vertAlign w:val="superscript"/>
                    </w:rPr>
                    <w:t xml:space="preserve">a)</w:t>
                  </w:r>
                </w:p>
              </w:tc>
              <w:tc>
                <w:tcPr/>
                <w:p>
                  <w:pPr>
                    <w:pStyle w:val="Compact"/>
                    <w:jc w:val="center"/>
                  </w:pPr>
                  <w:r>
                    <w:t xml:space="preserve">n.t.</w:t>
                  </w:r>
                  <w:r>
                    <w:rPr>
                      <w:vertAlign w:val="superscript"/>
                    </w:rPr>
                    <w:t xml:space="preserve">b)</w:t>
                  </w:r>
                </w:p>
              </w:tc>
              <w:tc>
                <w:tcPr/>
                <w:p>
                  <w:pPr>
                    <w:pStyle w:val="Compact"/>
                    <w:jc w:val="center"/>
                  </w:pPr>
                  <w:r>
                    <w:t xml:space="preserve">21.8</w:t>
                  </w:r>
                </w:p>
              </w:tc>
            </w:tr>
            <w:tr>
              <w:tc>
                <w:tcPr>
                  <w:gridSpan w:val="1"/>
                  <w:vMerge w:val="continue"/>
                </w:tcPr>
                <w:p>
                  <w:pPr/>
                </w:p>
              </w:tc>
              <w:tc>
                <w:tcPr/>
                <w:p>
                  <w:pPr>
                    <w:pStyle w:val="Compact"/>
                    <w:jc w:val="center"/>
                  </w:pPr>
                  <w:r>
                    <w:t xml:space="preserve">7</w:t>
                  </w:r>
                </w:p>
              </w:tc>
              <w:tc>
                <w:tcPr/>
                <w:p>
                  <w:pPr>
                    <w:pStyle w:val="Compact"/>
                    <w:jc w:val="center"/>
                  </w:pPr>
                  <w:r>
                    <w:t xml:space="preserve">1.68</w:t>
                  </w:r>
                </w:p>
              </w:tc>
              <w:tc>
                <w:tcPr/>
                <w:p>
                  <w:pPr>
                    <w:pStyle w:val="Compact"/>
                    <w:jc w:val="center"/>
                  </w:pPr>
                  <w:r>
                    <w:t xml:space="preserve">1.36</w:t>
                  </w:r>
                  <w:r>
                    <w:rPr>
                      <w:vertAlign w:val="superscript"/>
                    </w:rPr>
                    <w:t xml:space="preserve">a)</w:t>
                  </w:r>
                </w:p>
              </w:tc>
              <w:tc>
                <w:tcPr/>
                <w:p>
                  <w:pPr>
                    <w:pStyle w:val="Compact"/>
                    <w:jc w:val="center"/>
                  </w:pPr>
                  <w:r>
                    <w:t xml:space="preserve">1.08</w:t>
                  </w:r>
                </w:p>
              </w:tc>
              <w:tc>
                <w:tcPr/>
                <w:p>
                  <w:pPr>
                    <w:pStyle w:val="Compact"/>
                    <w:jc w:val="center"/>
                  </w:pPr>
                  <w:r>
                    <w:t xml:space="preserve">22.1</w:t>
                  </w:r>
                </w:p>
              </w:tc>
            </w:tr>
            <w:tr>
              <w:tc>
                <w:tcPr>
                  <w:vMerge w:val="restart"/>
                </w:tcPr>
                <w:p>
                  <w:pPr>
                    <w:pStyle w:val="Compact"/>
                    <w:jc w:val="center"/>
                  </w:pPr>
                  <w:r>
                    <w:t xml:space="preserve">21 °C</w:t>
                  </w:r>
                </w:p>
              </w:tc>
              <w:tc>
                <w:tcPr/>
                <w:p>
                  <w:pPr>
                    <w:pStyle w:val="Compact"/>
                    <w:jc w:val="center"/>
                  </w:pPr>
                  <w:r>
                    <w:t xml:space="preserve">0</w:t>
                  </w:r>
                </w:p>
              </w:tc>
              <w:tc>
                <w:tcPr/>
                <w:p>
                  <w:pPr>
                    <w:pStyle w:val="Compact"/>
                    <w:jc w:val="center"/>
                  </w:pPr>
                  <w:r>
                    <w:t xml:space="preserve">1.53</w:t>
                  </w:r>
                </w:p>
              </w:tc>
              <w:tc>
                <w:tcPr/>
                <w:p>
                  <w:pPr>
                    <w:pStyle w:val="Compact"/>
                    <w:jc w:val="center"/>
                  </w:pPr>
                  <w:r>
                    <w:t xml:space="preserve">1.40</w:t>
                  </w:r>
                  <w:r>
                    <w:rPr>
                      <w:vertAlign w:val="superscript"/>
                    </w:rPr>
                    <w:t xml:space="preserve">a)</w:t>
                  </w:r>
                </w:p>
              </w:tc>
              <w:tc>
                <w:tcPr/>
                <w:p>
                  <w:pPr>
                    <w:pStyle w:val="Compact"/>
                    <w:jc w:val="center"/>
                  </w:pPr>
                  <w:r>
                    <w:t xml:space="preserve">0.76</w:t>
                  </w:r>
                </w:p>
              </w:tc>
              <w:tc>
                <w:tcPr/>
                <w:p>
                  <w:pPr>
                    <w:pStyle w:val="Compact"/>
                    <w:jc w:val="center"/>
                  </w:pPr>
                  <w:r>
                    <w:t xml:space="preserve">22.1</w:t>
                  </w:r>
                </w:p>
              </w:tc>
            </w:tr>
            <w:tr>
              <w:tc>
                <w:tcPr>
                  <w:gridSpan w:val="1"/>
                  <w:vMerge w:val="continue"/>
                </w:tcPr>
                <w:p>
                  <w:pPr/>
                </w:p>
              </w:tc>
              <w:tc>
                <w:tcPr/>
                <w:p>
                  <w:pPr>
                    <w:pStyle w:val="Compact"/>
                    <w:jc w:val="center"/>
                  </w:pPr>
                  <w:r>
                    <w:t xml:space="preserve">1</w:t>
                  </w:r>
                </w:p>
              </w:tc>
              <w:tc>
                <w:tcPr/>
                <w:p>
                  <w:pPr>
                    <w:pStyle w:val="Compact"/>
                    <w:jc w:val="center"/>
                  </w:pPr>
                  <w:r>
                    <w:t xml:space="preserve">1.71</w:t>
                  </w:r>
                </w:p>
              </w:tc>
              <w:tc>
                <w:tcPr/>
                <w:p>
                  <w:pPr>
                    <w:pStyle w:val="Compact"/>
                    <w:jc w:val="center"/>
                  </w:pPr>
                  <w:r>
                    <w:t xml:space="preserve">1.43</w:t>
                  </w:r>
                  <w:r>
                    <w:rPr>
                      <w:vertAlign w:val="superscript"/>
                    </w:rPr>
                    <w:t xml:space="preserve">a)</w:t>
                  </w:r>
                </w:p>
              </w:tc>
              <w:tc>
                <w:tcPr/>
                <w:p>
                  <w:pPr>
                    <w:pStyle w:val="Compact"/>
                    <w:jc w:val="center"/>
                  </w:pPr>
                  <w:r>
                    <w:t xml:space="preserve">n.t.</w:t>
                  </w:r>
                  <w:r>
                    <w:rPr>
                      <w:vertAlign w:val="superscript"/>
                    </w:rPr>
                    <w:t xml:space="preserve">b)</w:t>
                  </w:r>
                </w:p>
              </w:tc>
              <w:tc>
                <w:tcPr/>
                <w:p>
                  <w:pPr>
                    <w:pStyle w:val="Compact"/>
                    <w:jc w:val="center"/>
                  </w:pPr>
                  <w:r>
                    <w:t xml:space="preserve">22.1</w:t>
                  </w:r>
                </w:p>
              </w:tc>
            </w:tr>
            <w:tr>
              <w:tc>
                <w:tcPr>
                  <w:gridSpan w:val="1"/>
                  <w:vMerge w:val="continue"/>
                </w:tcPr>
                <w:p>
                  <w:pPr/>
                </w:p>
              </w:tc>
              <w:tc>
                <w:tcPr/>
                <w:p>
                  <w:pPr>
                    <w:pStyle w:val="Compact"/>
                    <w:jc w:val="center"/>
                  </w:pPr>
                  <w:r>
                    <w:t xml:space="preserve">3</w:t>
                  </w:r>
                </w:p>
              </w:tc>
              <w:tc>
                <w:tcPr/>
                <w:p>
                  <w:pPr>
                    <w:pStyle w:val="Compact"/>
                    <w:jc w:val="center"/>
                  </w:pPr>
                  <w:r>
                    <w:t xml:space="preserve">1.68</w:t>
                  </w:r>
                </w:p>
              </w:tc>
              <w:tc>
                <w:tcPr/>
                <w:p>
                  <w:pPr>
                    <w:pStyle w:val="Compact"/>
                    <w:jc w:val="center"/>
                  </w:pPr>
                  <w:r>
                    <w:t xml:space="preserve">1.41</w:t>
                  </w:r>
                  <w:r>
                    <w:rPr>
                      <w:vertAlign w:val="superscript"/>
                    </w:rPr>
                    <w:t xml:space="preserve">a)</w:t>
                  </w:r>
                </w:p>
              </w:tc>
              <w:tc>
                <w:tcPr/>
                <w:p>
                  <w:pPr>
                    <w:pStyle w:val="Compact"/>
                    <w:jc w:val="center"/>
                  </w:pPr>
                  <w:r>
                    <w:t xml:space="preserve">n.t.</w:t>
                  </w:r>
                  <w:r>
                    <w:rPr>
                      <w:vertAlign w:val="superscript"/>
                    </w:rPr>
                    <w:t xml:space="preserve">b)</w:t>
                  </w:r>
                </w:p>
              </w:tc>
              <w:tc>
                <w:tcPr/>
                <w:p>
                  <w:pPr>
                    <w:pStyle w:val="Compact"/>
                    <w:jc w:val="center"/>
                  </w:pPr>
                  <w:r>
                    <w:t xml:space="preserve">22.1</w:t>
                  </w:r>
                </w:p>
              </w:tc>
            </w:tr>
            <w:tr>
              <w:tc>
                <w:tcPr>
                  <w:gridSpan w:val="1"/>
                  <w:vMerge w:val="continue"/>
                </w:tcPr>
                <w:p>
                  <w:pPr/>
                </w:p>
              </w:tc>
              <w:tc>
                <w:tcPr/>
                <w:p>
                  <w:pPr>
                    <w:pStyle w:val="Compact"/>
                    <w:jc w:val="center"/>
                  </w:pPr>
                  <w:r>
                    <w:t xml:space="preserve">5</w:t>
                  </w:r>
                </w:p>
              </w:tc>
              <w:tc>
                <w:tcPr/>
                <w:p>
                  <w:pPr>
                    <w:pStyle w:val="Compact"/>
                    <w:jc w:val="center"/>
                  </w:pPr>
                  <w:r>
                    <w:t xml:space="preserve">1.86</w:t>
                  </w:r>
                </w:p>
              </w:tc>
              <w:tc>
                <w:tcPr/>
                <w:p>
                  <w:pPr>
                    <w:pStyle w:val="Compact"/>
                    <w:jc w:val="center"/>
                  </w:pPr>
                  <w:r>
                    <w:t xml:space="preserve">1.49</w:t>
                  </w:r>
                  <w:r>
                    <w:rPr>
                      <w:vertAlign w:val="superscript"/>
                    </w:rPr>
                    <w:t xml:space="preserve">a)</w:t>
                  </w:r>
                </w:p>
              </w:tc>
              <w:tc>
                <w:tcPr/>
                <w:p>
                  <w:pPr>
                    <w:pStyle w:val="Compact"/>
                    <w:jc w:val="center"/>
                  </w:pPr>
                  <w:r>
                    <w:t xml:space="preserve">n.t.</w:t>
                  </w:r>
                  <w:r>
                    <w:rPr>
                      <w:vertAlign w:val="superscript"/>
                    </w:rPr>
                    <w:t xml:space="preserve">b)</w:t>
                  </w:r>
                </w:p>
              </w:tc>
              <w:tc>
                <w:tcPr/>
                <w:p>
                  <w:pPr>
                    <w:pStyle w:val="Compact"/>
                    <w:jc w:val="center"/>
                  </w:pPr>
                  <w:r>
                    <w:t xml:space="preserve">22.3</w:t>
                  </w:r>
                </w:p>
              </w:tc>
            </w:tr>
            <w:tr>
              <w:tc>
                <w:tcPr>
                  <w:gridSpan w:val="1"/>
                  <w:vMerge w:val="continue"/>
                </w:tcPr>
                <w:p>
                  <w:pPr/>
                </w:p>
              </w:tc>
              <w:tc>
                <w:tcPr/>
                <w:p>
                  <w:pPr>
                    <w:pStyle w:val="Compact"/>
                    <w:jc w:val="center"/>
                  </w:pPr>
                  <w:r>
                    <w:t xml:space="preserve">7</w:t>
                  </w:r>
                </w:p>
              </w:tc>
              <w:tc>
                <w:tcPr/>
                <w:p>
                  <w:pPr>
                    <w:pStyle w:val="Compact"/>
                    <w:jc w:val="center"/>
                  </w:pPr>
                  <w:r>
                    <w:t xml:space="preserve">1.98</w:t>
                  </w:r>
                </w:p>
              </w:tc>
              <w:tc>
                <w:tcPr/>
                <w:p>
                  <w:pPr>
                    <w:pStyle w:val="Compact"/>
                    <w:jc w:val="center"/>
                  </w:pPr>
                  <w:r>
                    <w:t xml:space="preserve">1.61</w:t>
                  </w:r>
                  <w:r>
                    <w:rPr>
                      <w:vertAlign w:val="superscript"/>
                    </w:rPr>
                    <w:t xml:space="preserve">a)</w:t>
                  </w:r>
                </w:p>
              </w:tc>
              <w:tc>
                <w:tcPr/>
                <w:p>
                  <w:pPr>
                    <w:pStyle w:val="Compact"/>
                    <w:jc w:val="center"/>
                  </w:pPr>
                  <w:r>
                    <w:t xml:space="preserve">1.08</w:t>
                  </w:r>
                </w:p>
              </w:tc>
              <w:tc>
                <w:tcPr/>
                <w:p>
                  <w:pPr>
                    <w:pStyle w:val="Compact"/>
                    <w:jc w:val="center"/>
                  </w:pPr>
                  <w:r>
                    <w:t xml:space="preserve">23.0</w:t>
                  </w:r>
                </w:p>
              </w:tc>
            </w:tr>
            <w:tr>
              <w:tc>
                <w:tcPr>
                  <w:gridSpan w:val="6"/>
                </w:tcPr>
                <w:p>
                  <w:pPr>
                    <w:pStyle w:val="Compact"/>
                    <w:jc w:val="center"/>
                  </w:pPr>
                  <w:r>
                    <w:rPr>
                      <w:vertAlign w:val="superscript"/>
                    </w:rPr>
                    <w:t xml:space="preserve">a)</w:t>
                  </w:r>
                  <w:r>
                    <w:t xml:space="preserve"> </w:t>
                  </w:r>
                  <w:r>
                    <w:t xml:space="preserve">Includes host cell protein eluting in the low molecular weight window (AMD-001). Not used for evaluation.</w:t>
                  </w:r>
                  <w:r>
                    <w:t xml:space="preserve"> </w:t>
                  </w:r>
                  <w:r>
                    <w:rPr>
                      <w:vertAlign w:val="superscript"/>
                    </w:rPr>
                    <w:t xml:space="preserve">b)</w:t>
                  </w:r>
                  <w:r>
                    <w:t xml:space="preserve"> </w:t>
                  </w:r>
                  <w:r>
                    <w:t xml:space="preserve">Not tested. The first and last time points were retained and tested by nrCE-SDS after AMD-001, with the retained response-surface samples.</w:t>
                  </w:r>
                </w:p>
              </w:tc>
            </w:tr>
          </w:tbl>
          <w:bookmarkEnd w:id="86"/>
          <w:p/>
        </w:tc>
      </w:tr>
    </w:tbl>
    <w:p>
      <w:pPr>
        <w:pStyle w:val="BodyText"/>
      </w:pPr>
      <w:r>
        <w:t xml:space="preserve">The two temperatures started from aliquots of one pool, and on day 0 these already differed by 0.08 % in aggregate, 0.4 % in acidic variants and 0.10 % in fragments by nrCE-SDS (</w:t>
      </w:r>
      <w:hyperlink w:anchor="tbl-hold-protein-a">
        <w:r>
          <w:rPr>
            <w:rStyle w:val="Hyperlink"/>
          </w:rPr>
          <w:t xml:space="preserve">Table 20</w:t>
        </w:r>
      </w:hyperlink>
      <w:r>
        <w:t xml:space="preserve">). This is the variation of the methods and of the aliquots, and a change smaller than it is not resolved.</w:t>
      </w:r>
    </w:p>
    <w:p>
      <w:pPr>
        <w:pStyle w:val="BodyText"/>
      </w:pPr>
      <w:r>
        <w:t xml:space="preserve">At 2-8 °C the eluate changed little over 7 days. Aggregate went from 1.61 to 1.68 % and acidic variants from 21.7 to 22.1 %. At 21 °C aggregate and acidic variants rose more. Aggregate went from 1.53 to 1.98 % and acidic variants from 22.1 to 23.0 %. Fragments by nrCE-SDS rose from 0.86 to 1.08 % at 2-8 °C and from 0.76 to 1.08 % at 21 °C. Aggregate rose by 0.45 % at 21 °C against 0.07 % at 2-8 °C, which is consistent with partial unfolding at low pH that proceeds faster when warm. Fragments rose at both temperatures, by 0.22 and 0.32 %. The difference between these rises, 0.10 %, is equal to the difference between the day 0 aliquots, so the data do not show that fragmentation depends on temperature.</w:t>
      </w:r>
    </w:p>
    <w:p>
      <w:pPr>
        <w:pStyle w:val="BodyText"/>
      </w:pPr>
      <w:r>
        <w:t xml:space="preserve">Every sample met its criterion. The highest aggregate was 1.98 % against ≤ 6.83 %, acidic variants stayed within 21.6 to 23.0 % against 18–39 %, and the highest fragment result by nrCE-SDS was 1.08 % against ≤ 2.45 %. A hold of 7 days at elution pH is therefore supported at both 2-8 °C and 21 °C (finding F8). The intermediate time points have SEC fragment results only, and these were not used for the decision.</w:t>
      </w:r>
    </w:p>
    <w:bookmarkEnd w:id="87"/>
    <w:bookmarkStart w:id="88" w:name="sec-mech"/>
    <w:p>
      <w:pPr>
        <w:pStyle w:val="Heading2"/>
      </w:pPr>
      <w:r>
        <w:t xml:space="preserve">5.8 Mechanistic interpretation</w:t>
      </w:r>
    </w:p>
    <w:p>
      <w:pPr>
        <w:pStyle w:val="FirstParagraph"/>
      </w:pPr>
      <w:r>
        <w:t xml:space="preserve">Pool host cell protein rises as elution buffer pH falls, because a lower pH releases more of the host cell protein held weakly on the resin and on the antibody together with the product. A higher protein load puts more antibody on the bed, and with it more of the host cell protein associated with the antibody, so pool host cell protein rises with load. The negative AB interaction follows from the two effects acting on the same weakly bound impurity. At high load there is more of it on the bed, and a low elution pH releases more of it. The positive B² term shows that this release accelerates at the low end of the pH range.</w:t>
      </w:r>
    </w:p>
    <w:p>
      <w:pPr>
        <w:pStyle w:val="BodyText"/>
      </w:pPr>
      <w:r>
        <w:t xml:space="preserve">End of pool collect lowers pool host cell protein per mass of antibody in the response-surface design. Collecting further into the tail adds antibody and little host cell protein, so the ratio falls. The same extension raises yield, which is the largest single effect on yield in both designs. The opposite sign of this effect in the screening design is not explained by the mechanism (finding F10).</w:t>
      </w:r>
    </w:p>
    <w:p>
      <w:pPr>
        <w:pStyle w:val="BodyText"/>
      </w:pPr>
      <w:r>
        <w:t xml:space="preserve">A higher load flow rate shortens the residence time and lowers the dynamic binding capacity. This costs yield only when the bed is close to capacity, which is why the cost appears at high load and nearly vanishes at low load (the AC interaction). The mechanism also predicts a small rise in pool host cell protein at high load and high flow. The data show no such rise, and the point estimates point the other way.</w:t>
      </w:r>
    </w:p>
    <w:p>
      <w:pPr>
        <w:pStyle w:val="BodyText"/>
      </w:pPr>
      <w:r>
        <w:t xml:space="preserve">Leached Protein A could not be modelled, and the mechanism gives no reason for it to follow the settings of a single run. The scale effect found in the qualification (</w:t>
      </w:r>
      <w:hyperlink w:anchor="sec-sdm">
        <w:r>
          <w:rPr>
            <w:rStyle w:val="Hyperlink"/>
          </w:rPr>
          <w:t xml:space="preserve">Section 3.1</w:t>
        </w:r>
      </w:hyperlink>
      <w:r>
        <w:t xml:space="preserve">) is expected to have a different cause, the longer hold of the load before capture at manufacturing scale, which this study does not test. Fragments by nrCE-SDS fall slightly as elution pH rises, which is the direction expected from acid-catalysed hinge hydrolysis during elution. The effect is small because the antibody spends only the duration of the elution at low pH in the column.</w:t>
      </w:r>
    </w:p>
    <w:p>
      <w:pPr>
        <w:pStyle w:val="BodyText"/>
      </w:pPr>
      <w:r>
        <w:t xml:space="preserve">For operation, elution buffer pH and protein load have the largest effects on pool host cell protein, and the risk lies in the corner of low pH and high load. End of pool collect is also associated with pool host cell protein, but within its NOR it does not move the boundary of that corner far (</w:t>
      </w:r>
      <w:hyperlink w:anchor="sec-ds">
        <w:r>
          <w:rPr>
            <w:rStyle w:val="Hyperlink"/>
          </w:rPr>
          <w:t xml:space="preserve">Section 6</w:t>
        </w:r>
      </w:hyperlink>
      <w:r>
        <w:t xml:space="preserve">). Load flow rate is associated with lower yield at high load.</w:t>
      </w:r>
    </w:p>
    <w:bookmarkEnd w:id="88"/>
    <w:bookmarkEnd w:id="89"/>
    <w:bookmarkStart w:id="90" w:name="sec-ds"/>
    <w:p>
      <w:pPr>
        <w:pStyle w:val="Heading1"/>
      </w:pPr>
      <w:r>
        <w:t xml:space="preserve">6. Design space</w:t>
      </w:r>
    </w:p>
    <w:p>
      <w:pPr>
        <w:pStyle w:val="FirstParagraph"/>
      </w:pPr>
      <w:r>
        <w:t xml:space="preserve">The design space of this step is the region in protein load and elution buffer pH, the two WC-CPPs, over which pool host cell protein meets its intermediate acceptance criterion. Leached Protein A and fragments met their criteria in every run of the designs, and step yield has no criterion, so they do not constrain it. On the mean predictions of the response-surface model, with load flow rate and end of pool collect at their set-points, 96 % of the plane of protein load and elution buffer pH over the range studied meets the criterion. With load flow rate and end of pool collect at the corners of their NORs, the fraction lies between 92 and 98 %. The excluded region is the corner of high protein load and low elution buffer pH shown in</w:t>
      </w:r>
      <w:r>
        <w:t xml:space="preserve"> </w:t>
      </w:r>
      <w:hyperlink w:anchor="fig-contours">
        <w:r>
          <w:rPr>
            <w:rStyle w:val="Hyperlink"/>
          </w:rPr>
          <w:t xml:space="preserve">Figure 1</w:t>
        </w:r>
      </w:hyperlink>
      <w:r>
        <w:t xml:space="preserve">. At the boundary of a region defined on mean predictions, a single batch meets the criterion only about half the time</w:t>
      </w:r>
      <w:r>
        <w:t xml:space="preserve"> </w:t>
      </w:r>
      <w:r>
        <w:t xml:space="preserve">(CMC Biotech Working Group 2009)</w:t>
      </w:r>
      <w:r>
        <w:t xml:space="preserve">, so the claim is made through the PARs of</w:t>
      </w:r>
      <w:r>
        <w:t xml:space="preserve"> </w:t>
      </w:r>
      <w:hyperlink w:anchor="sec-par">
        <w:r>
          <w:rPr>
            <w:rStyle w:val="Hyperlink"/>
          </w:rPr>
          <w:t xml:space="preserve">Section 7</w:t>
        </w:r>
      </w:hyperlink>
      <w:r>
        <w:t xml:space="preserve">, which use the 95 % prediction interval of a single run.</w:t>
      </w:r>
    </w:p>
    <w:p>
      <w:pPr>
        <w:pStyle w:val="BodyText"/>
      </w:pPr>
      <w:r>
        <w:t xml:space="preserve">The ranges are nested. The NOR lies inside the characterized region, and the characterized region is the knowledge space within which a PAR can be claimed. Over the NOR the model predicts a mean pool host cell protein between 3,550 to 13,553 ng/mg (</w:t>
      </w:r>
      <w:hyperlink w:anchor="tbl-criteria-protein-a">
        <w:r>
          <w:rPr>
            <w:rStyle w:val="Hyperlink"/>
          </w:rPr>
          <w:t xml:space="preserve">Table 21</w:t>
        </w:r>
      </w:hyperlink>
      <w:r>
        <w:t xml:space="preserve">). The upper limit of the 95 % prediction interval of a single run reaches at most 15,621 ng/mg over the NOR, below the criterion. Movement outside the NOR and within a PAR would be assessed under change control. These statements rest on a model of the scale-down column, which is qualified for pool host cell protein (finding F1).</w:t>
      </w:r>
    </w:p>
    <w:bookmarkEnd w:id="90"/>
    <w:bookmarkStart w:id="100" w:name="sec-par"/>
    <w:p>
      <w:pPr>
        <w:pStyle w:val="Heading1"/>
      </w:pPr>
      <w:r>
        <w:t xml:space="preserve">7. Proven acceptable ranges</w:t>
      </w:r>
    </w:p>
    <w:bookmarkStart w:id="91" w:name="acceptance-basis"/>
    <w:p>
      <w:pPr>
        <w:pStyle w:val="Heading2"/>
      </w:pPr>
      <w:r>
        <w:t xml:space="preserve">7.1 Acceptance basis</w:t>
      </w:r>
    </w:p>
    <w:p>
      <w:pPr>
        <w:pStyle w:val="FirstParagraph"/>
      </w:pPr>
      <w:r>
        <w:t xml:space="preserve">Each output of the step is judged against the intermediate acceptance criterion that PCMP-001 §7.3 derives a priori. The drug substance criterion is carried backward through the train using the worst case that each downstream step showed on the platform with X-Mab, Y-Mab and Z-Mab, and no margin is applied. For pool host cell protein the drug substance limit of ≤ 100 ng/mg is carried back through the platform worst cases of anion exchange and cation exchange, which together remove host cell protein 160-fold. That gives ≤ 16,000 ng/mg. For leached Protein A the limit of ≤ 5 ppm is carried back through the same two steps, which together remove it 31.6-fold, and gives ≤ 158 ppm. For fragments the limit of ≤ 2.00 % is carried back through the lowest platform clearance of cation exchange, 1.3-fold, and the largest increase of low-pH viral inactivation, 0.15 percentage points. That gives ≤ 2.45 %. The basis of each criterion is recorded as back-calculated. PCMP-001 Table 7.1 gives the derivation for the whole train.</w:t>
      </w:r>
    </w:p>
    <w:p>
      <w:pPr>
        <w:pStyle w:val="BodyText"/>
      </w:pPr>
      <w:r>
        <w:t xml:space="preserve">These criteria rest on 6 platform worst cases of the downstream steps. Every one that could be checked against a response of the downstream designs was confirmed in PCR-006, PCR-007 and PCR-008. The other 2 concern leached Protein A, which is not a response of the cation exchange or anion exchange designs, so the platform values stand. No criterion of this step was tightened. No criterion upstream of this step relies on a worst case of the Protein A step, so this report carries no verification of its own.</w:t>
      </w:r>
    </w:p>
    <w:p>
      <w:pPr>
        <w:pStyle w:val="BodyText"/>
      </w:pPr>
      <w:r>
        <w:t xml:space="preserve">The decision statistic for a quality attribute is the 95 % prediction interval of a single run, because a single batch is what must meet a quality criterion (PCMP-001 §6.4). In the NOR-propagated analysis the model coefficients are drawn from their estimated covariance in every simulated run, together with the residual.</w:t>
      </w:r>
    </w:p>
    <w:bookmarkEnd w:id="91"/>
    <w:bookmarkStart w:id="93" w:name="Xeb9c77c0aebc2062364e6f7c18e00eecee4986c"/>
    <w:p>
      <w:pPr>
        <w:pStyle w:val="Heading2"/>
      </w:pPr>
      <w:r>
        <w:t xml:space="preserve">7.2 Outputs against their criteria over the NOR</w:t>
      </w:r>
    </w:p>
    <w:p>
      <w:pPr>
        <w:pStyle w:val="FirstParagraph"/>
      </w:pPr>
      <w:hyperlink w:anchor="tbl-criteria-protein-a">
        <w:r>
          <w:rPr>
            <w:rStyle w:val="Hyperlink"/>
          </w:rPr>
          <w:t xml:space="preserve">Table 21</w:t>
        </w:r>
      </w:hyperlink>
      <w:r>
        <w:t xml:space="preserve"> </w:t>
      </w:r>
      <w:r>
        <w:t xml:space="preserve">gives each output at the set-point and over the NOR, as predicted by the response-surface models.</w:t>
      </w:r>
    </w:p>
    <w:tbl>
      <w:tblPr>
        <w:tblStyle w:val="Table"/>
        <w:tblW w:type="pct" w:w="5000"/>
        <w:tblLayout w:type="fixed"/>
        <w:tblLook w:firstRow="0" w:lastRow="0" w:firstColumn="0" w:lastColumn="0" w:noHBand="0" w:noVBand="0" w:val="0000"/>
      </w:tblPr>
      <w:tblGrid>
        <w:gridCol w:w="7920"/>
      </w:tblGrid>
      <w:tr>
        <w:tc>
          <w:tcPr/>
          <w:bookmarkStart w:id="92" w:name="tbl-criteria-protein-a"/>
          <w:p>
            <w:pPr>
              <w:jc w:val="center"/>
            </w:pPr>
            <w:pPr>
              <w:jc w:val="start"/>
              <w:spacing w:before="200"/>
              <w:pStyle w:val="ImageCaption"/>
            </w:pPr>
            <w:r>
              <w:t xml:space="preserve">Table 21: Protein A outputs against their intermediate acceptance criteria.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 response-surface model</w:t>
                  </w:r>
                </w:p>
              </w:tc>
              <w:tc>
                <w:tcPr>
                  <w:vMerge w:val="restart"/>
                </w:tcPr>
                <w:p>
                  <w:pPr>
                    <w:pStyle w:val="Compact"/>
                    <w:jc w:val="center"/>
                  </w:pPr>
                  <w:r>
                    <w:t xml:space="preserve">Met across the NOR</w:t>
                  </w:r>
                  <w:r>
                    <w:rPr>
                      <w:vertAlign w:val="superscript"/>
                    </w:rPr>
                    <w:t xml:space="preserve">a)</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16,000</w:t>
                  </w:r>
                </w:p>
              </w:tc>
              <w:tc>
                <w:tcPr/>
                <w:p>
                  <w:pPr>
                    <w:pStyle w:val="Compact"/>
                    <w:jc w:val="center"/>
                  </w:pPr>
                  <w:r>
                    <w:t xml:space="preserve">7,216</w:t>
                  </w:r>
                </w:p>
              </w:tc>
              <w:tc>
                <w:tcPr/>
                <w:p>
                  <w:pPr>
                    <w:pStyle w:val="Compact"/>
                    <w:jc w:val="center"/>
                  </w:pPr>
                  <w:r>
                    <w:t xml:space="preserve">3,550 to 13,553</w:t>
                  </w:r>
                </w:p>
              </w:tc>
              <w:tc>
                <w:tcPr/>
                <w:p>
                  <w:pPr>
                    <w:pStyle w:val="Compact"/>
                    <w:jc w:val="center"/>
                  </w:pPr>
                  <w:r>
                    <w:t xml:space="preserve">Yes</w:t>
                  </w:r>
                </w:p>
              </w:tc>
            </w:tr>
            <w:tr>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2.87</w:t>
                  </w:r>
                </w:p>
              </w:tc>
              <w:tc>
                <w:tcPr/>
                <w:p>
                  <w:pPr>
                    <w:pStyle w:val="Compact"/>
                    <w:jc w:val="center"/>
                  </w:pPr>
                  <w:r>
                    <w:t xml:space="preserve">2.46 to 3.22</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0.86 to 0.97</w:t>
                  </w:r>
                </w:p>
              </w:tc>
              <w:tc>
                <w:tcPr/>
                <w:p>
                  <w:pPr>
                    <w:pStyle w:val="Compact"/>
                    <w:jc w:val="center"/>
                  </w:pPr>
                  <w:r>
                    <w:t xml:space="preserve">Yes</w:t>
                  </w:r>
                </w:p>
              </w:tc>
            </w:tr>
            <w:tr>
              <w:tc>
                <w:tcPr>
                  <w:gridSpan w:val="5"/>
                </w:tcPr>
                <w:p>
                  <w:pPr>
                    <w:pStyle w:val="Compact"/>
                    <w:jc w:val="center"/>
                  </w:pPr>
                  <w:r>
                    <w:rPr>
                      <w:vertAlign w:val="superscript"/>
                    </w:rPr>
                    <w:t xml:space="preserve">a)</w:t>
                  </w:r>
                  <w:r>
                    <w:t xml:space="preserve"> </w:t>
                  </w:r>
                  <w:r>
                    <w:t xml:space="preserve">Judged at every combination of NOR low, set-point and NOR high. Quality attributes: the 95 % prediction interval of a single run (t quantile, coefficient and residual uncertainty). Viral clearance: the mean prediction.</w:t>
                  </w:r>
                </w:p>
              </w:tc>
            </w:tr>
          </w:tbl>
          <w:bookmarkEnd w:id="92"/>
          <w:p/>
        </w:tc>
      </w:tr>
    </w:tbl>
    <w:p>
      <w:pPr>
        <w:pStyle w:val="BodyText"/>
      </w:pPr>
      <w:r>
        <w:t xml:space="preserve">All three outputs meet their criteria at the set-point and across the NOR. As the footnote to</w:t>
      </w:r>
      <w:r>
        <w:t xml:space="preserve"> </w:t>
      </w:r>
      <w:hyperlink w:anchor="tbl-criteria-protein-a">
        <w:r>
          <w:rPr>
            <w:rStyle w:val="Hyperlink"/>
          </w:rPr>
          <w:t xml:space="preserve">Table 21</w:t>
        </w:r>
      </w:hyperlink>
      <w:r>
        <w:t xml:space="preserve"> </w:t>
      </w:r>
      <w:r>
        <w:t xml:space="preserve">states, each is judged at every combination of NOR edges and set-point on the 95 % prediction interval of a single run, which includes the uncertainty of the model coefficients and of the residual (PCMP-001 §6.4). For leached Protein A and fragments the predictions come from models that are not adequate (</w:t>
      </w:r>
      <w:hyperlink w:anchor="sec-rsm">
        <w:r>
          <w:rPr>
            <w:rStyle w:val="Hyperlink"/>
          </w:rPr>
          <w:t xml:space="preserve">Section 5.3</w:t>
        </w:r>
      </w:hyperlink>
      <w:r>
        <w:t xml:space="preserve">). For these two outputs the decision rests on the measured results, every one of which met its criterion, and the predictions are shown for completeness.</w:t>
      </w:r>
    </w:p>
    <w:bookmarkEnd w:id="93"/>
    <w:bookmarkStart w:id="99" w:name="Xb95bb6e7e07563b389d400cd2a0a53c2b690ec8"/>
    <w:p>
      <w:pPr>
        <w:pStyle w:val="Heading2"/>
      </w:pPr>
      <w:r>
        <w:t xml:space="preserve">7.3 Proven acceptable ranges per attribute and parameter</w:t>
      </w:r>
    </w:p>
    <w:p>
      <w:pPr>
        <w:pStyle w:val="FirstParagraph"/>
      </w:pPr>
      <w:hyperlink w:anchor="tbl-par">
        <w:r>
          <w:rPr>
            <w:rStyle w:val="Hyperlink"/>
          </w:rPr>
          <w:t xml:space="preserve">Table 22</w:t>
        </w:r>
      </w:hyperlink>
      <w:r>
        <w:t xml:space="preserve"> </w:t>
      </w:r>
      <w:r>
        <w:t xml:space="preserve">gives the PAR of each multivariate parameter for each output with a criterion, by the set-point analysis and by the NOR-propagated analysis of PCMP-001 §6.4. The NOR-propagated range is the one that supports a claim.</w:t>
      </w:r>
    </w:p>
    <w:tbl>
      <w:tblPr>
        <w:tblStyle w:val="Table"/>
        <w:tblW w:type="pct" w:w="5000"/>
        <w:tblLayout w:type="fixed"/>
        <w:tblLook w:firstRow="0" w:lastRow="0" w:firstColumn="0" w:lastColumn="0" w:noHBand="0" w:noVBand="0" w:val="0000"/>
      </w:tblPr>
      <w:tblGrid>
        <w:gridCol w:w="7920"/>
      </w:tblGrid>
      <w:tr>
        <w:tc>
          <w:tcPr/>
          <w:bookmarkStart w:id="94" w:name="tbl-par"/>
          <w:p>
            <w:pPr>
              <w:jc w:val="center"/>
            </w:pPr>
            <w:pPr>
              <w:jc w:val="start"/>
              <w:spacing w:before="200"/>
              <w:pStyle w:val="ImageCaption"/>
            </w:pPr>
            <w:r>
              <w:t xml:space="preserve">Table 22: Proven acceptable ranges for each output and multivariate parameter. PAR (set-point), other factors at set-point, mean prediction. PAR (NOR), other factors varied within their NOR, 95 % prediction interval of a single run.</w:t>
            </w:r>
          </w:p>
          <w:tbl>
            <w:tblPr>
              <w:tblStyle w:val="Table"/>
              <w:tblW w:type="pct" w:w="5000"/>
              <w:tblLayout w:type="fixed"/>
              <w:tblLook w:firstRow="1" w:lastRow="0" w:firstColumn="0" w:lastColumn="0" w:noHBand="0" w:noVBand="0" w:val="0020"/>
            </w:tblPr>
            <w:tblGrid>
              <w:gridCol w:w="1947"/>
              <w:gridCol w:w="1363"/>
              <w:gridCol w:w="973"/>
              <w:gridCol w:w="714"/>
              <w:gridCol w:w="843"/>
              <w:gridCol w:w="1233"/>
              <w:gridCol w:w="843"/>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Pool HCP (ng/mg)</w:t>
                  </w:r>
                </w:p>
              </w:tc>
              <w:tc>
                <w:tcPr/>
                <w:p>
                  <w:pPr>
                    <w:pStyle w:val="Compact"/>
                    <w:jc w:val="left"/>
                    <w:jc w:val="center"/>
                  </w:pPr>
                  <w:r>
                    <w:t xml:space="preserve">Protein load</w:t>
                  </w:r>
                </w:p>
              </w:tc>
              <w:tc>
                <w:tcPr/>
                <w:p>
                  <w:pPr>
                    <w:pStyle w:val="Compact"/>
                    <w:jc w:val="left"/>
                    <w:jc w:val="center"/>
                  </w:pPr>
                  <w:r>
                    <w:t xml:space="preserve">10–50</w:t>
                  </w:r>
                </w:p>
              </w:tc>
              <w:tc>
                <w:tcPr/>
                <w:p>
                  <w:pPr>
                    <w:pStyle w:val="Compact"/>
                    <w:jc w:val="left"/>
                    <w:jc w:val="center"/>
                  </w:pPr>
                  <w:r>
                    <w:t xml:space="preserve">g/L resin</w:t>
                  </w:r>
                </w:p>
              </w:tc>
              <w:tc>
                <w:tcPr/>
                <w:p>
                  <w:pPr>
                    <w:pStyle w:val="Compact"/>
                    <w:jc w:val="left"/>
                    <w:jc w:val="center"/>
                  </w:pPr>
                  <w:r>
                    <w:t xml:space="preserve">≤ 16,000</w:t>
                  </w:r>
                </w:p>
              </w:tc>
              <w:tc>
                <w:tcPr/>
                <w:p>
                  <w:pPr>
                    <w:pStyle w:val="Compact"/>
                    <w:jc w:val="left"/>
                    <w:jc w:val="center"/>
                  </w:pPr>
                  <w:r>
                    <w:t xml:space="preserve">10–50</w:t>
                  </w:r>
                </w:p>
              </w:tc>
              <w:tc>
                <w:tcPr/>
                <w:p>
                  <w:pPr>
                    <w:pStyle w:val="Compact"/>
                    <w:jc w:val="left"/>
                    <w:jc w:val="center"/>
                  </w:pPr>
                  <w:r>
                    <w:t xml:space="preserve">10–50</w:t>
                  </w:r>
                </w:p>
              </w:tc>
            </w:tr>
            <w:tr>
              <w:tc>
                <w:tcPr/>
                <w:p>
                  <w:pPr>
                    <w:pStyle w:val="Compact"/>
                    <w:jc w:val="left"/>
                    <w:jc w:val="center"/>
                  </w:pPr>
                  <w:r>
                    <w:t xml:space="preserve">Pool HCP (ng/mg)</w:t>
                  </w:r>
                </w:p>
              </w:tc>
              <w:tc>
                <w:tcPr/>
                <w:p>
                  <w:pPr>
                    <w:pStyle w:val="Compact"/>
                    <w:jc w:val="left"/>
                    <w:jc w:val="center"/>
                  </w:pPr>
                  <w:r>
                    <w:t xml:space="preserve">Elution buffer pH</w:t>
                  </w:r>
                </w:p>
              </w:tc>
              <w:tc>
                <w:tcPr/>
                <w:p>
                  <w:pPr>
                    <w:pStyle w:val="Compact"/>
                    <w:jc w:val="left"/>
                    <w:jc w:val="center"/>
                  </w:pPr>
                  <w:r>
                    <w:t xml:space="preserve">3.2–3.9</w:t>
                  </w:r>
                </w:p>
              </w:tc>
              <w:tc>
                <w:tcPr/>
                <w:p>
                  <w:pPr>
                    <w:pStyle w:val="Compact"/>
                    <w:jc w:val="left"/>
                    <w:jc w:val="center"/>
                  </w:pPr>
                  <w:r>
                    <w:t xml:space="preserve">pH</w:t>
                  </w:r>
                </w:p>
              </w:tc>
              <w:tc>
                <w:tcPr/>
                <w:p>
                  <w:pPr>
                    <w:pStyle w:val="Compact"/>
                    <w:jc w:val="left"/>
                    <w:jc w:val="center"/>
                  </w:pPr>
                  <w:r>
                    <w:t xml:space="preserve">≤ 16,000</w:t>
                  </w:r>
                </w:p>
              </w:tc>
              <w:tc>
                <w:tcPr/>
                <w:p>
                  <w:pPr>
                    <w:pStyle w:val="Compact"/>
                    <w:jc w:val="left"/>
                    <w:jc w:val="center"/>
                  </w:pPr>
                  <w:r>
                    <w:t xml:space="preserve">3.2–3.9</w:t>
                  </w:r>
                </w:p>
              </w:tc>
              <w:tc>
                <w:tcPr/>
                <w:p>
                  <w:pPr>
                    <w:pStyle w:val="Compact"/>
                    <w:jc w:val="left"/>
                    <w:jc w:val="center"/>
                  </w:pPr>
                  <w:r>
                    <w:t xml:space="preserve">3.26–3.9</w:t>
                  </w:r>
                </w:p>
              </w:tc>
            </w:tr>
            <w:tr>
              <w:tc>
                <w:tcPr/>
                <w:p>
                  <w:pPr>
                    <w:pStyle w:val="Compact"/>
                    <w:jc w:val="left"/>
                    <w:jc w:val="center"/>
                  </w:pPr>
                  <w:r>
                    <w:t xml:space="preserve">Pool HCP (ng/mg)</w:t>
                  </w:r>
                </w:p>
              </w:tc>
              <w:tc>
                <w:tcPr/>
                <w:p>
                  <w:pPr>
                    <w:pStyle w:val="Compact"/>
                    <w:jc w:val="left"/>
                    <w:jc w:val="center"/>
                  </w:pPr>
                  <w:r>
                    <w:t xml:space="preserve">Load flow rate</w:t>
                  </w:r>
                </w:p>
              </w:tc>
              <w:tc>
                <w:tcPr/>
                <w:p>
                  <w:pPr>
                    <w:pStyle w:val="Compact"/>
                    <w:jc w:val="left"/>
                    <w:jc w:val="center"/>
                  </w:pPr>
                  <w:r>
                    <w:t xml:space="preserve">100–300</w:t>
                  </w:r>
                </w:p>
              </w:tc>
              <w:tc>
                <w:tcPr/>
                <w:p>
                  <w:pPr>
                    <w:pStyle w:val="Compact"/>
                    <w:jc w:val="left"/>
                    <w:jc w:val="center"/>
                  </w:pPr>
                  <w:r>
                    <w:t xml:space="preserve">cm/hr</w:t>
                  </w:r>
                </w:p>
              </w:tc>
              <w:tc>
                <w:tcPr/>
                <w:p>
                  <w:pPr>
                    <w:pStyle w:val="Compact"/>
                    <w:jc w:val="left"/>
                    <w:jc w:val="center"/>
                  </w:pPr>
                  <w:r>
                    <w:t xml:space="preserve">≤ 16,000</w:t>
                  </w:r>
                </w:p>
              </w:tc>
              <w:tc>
                <w:tcPr/>
                <w:p>
                  <w:pPr>
                    <w:pStyle w:val="Compact"/>
                    <w:jc w:val="left"/>
                    <w:jc w:val="center"/>
                  </w:pPr>
                  <w:r>
                    <w:t xml:space="preserve">100–300</w:t>
                  </w:r>
                </w:p>
              </w:tc>
              <w:tc>
                <w:tcPr/>
                <w:p>
                  <w:pPr>
                    <w:pStyle w:val="Compact"/>
                    <w:jc w:val="left"/>
                    <w:jc w:val="center"/>
                  </w:pPr>
                  <w:r>
                    <w:t xml:space="preserve">100–300</w:t>
                  </w:r>
                </w:p>
              </w:tc>
            </w:tr>
            <w:tr>
              <w:tc>
                <w:tcPr/>
                <w:p>
                  <w:pPr>
                    <w:pStyle w:val="Compact"/>
                    <w:jc w:val="left"/>
                    <w:jc w:val="center"/>
                  </w:pPr>
                  <w:r>
                    <w:t xml:space="preserve">Pool HCP (ng/mg)</w:t>
                  </w:r>
                </w:p>
              </w:tc>
              <w:tc>
                <w:tcPr/>
                <w:p>
                  <w:pPr>
                    <w:pStyle w:val="Compact"/>
                    <w:jc w:val="left"/>
                    <w:jc w:val="center"/>
                  </w:pPr>
                  <w:r>
                    <w:t xml:space="preserve">End of pool collect</w:t>
                  </w:r>
                </w:p>
              </w:tc>
              <w:tc>
                <w:tcPr/>
                <w:p>
                  <w:pPr>
                    <w:pStyle w:val="Compact"/>
                    <w:jc w:val="left"/>
                    <w:jc w:val="center"/>
                  </w:pPr>
                  <w:r>
                    <w:t xml:space="preserve">2–3.2</w:t>
                  </w:r>
                </w:p>
              </w:tc>
              <w:tc>
                <w:tcPr/>
                <w:p>
                  <w:pPr>
                    <w:pStyle w:val="Compact"/>
                    <w:jc w:val="left"/>
                    <w:jc w:val="center"/>
                  </w:pPr>
                  <w:r>
                    <w:t xml:space="preserve">CV</w:t>
                  </w:r>
                </w:p>
              </w:tc>
              <w:tc>
                <w:tcPr/>
                <w:p>
                  <w:pPr>
                    <w:pStyle w:val="Compact"/>
                    <w:jc w:val="left"/>
                    <w:jc w:val="center"/>
                  </w:pPr>
                  <w:r>
                    <w:t xml:space="preserve">≤ 16,000</w:t>
                  </w:r>
                </w:p>
              </w:tc>
              <w:tc>
                <w:tcPr/>
                <w:p>
                  <w:pPr>
                    <w:pStyle w:val="Compact"/>
                    <w:jc w:val="left"/>
                    <w:jc w:val="center"/>
                  </w:pPr>
                  <w:r>
                    <w:t xml:space="preserve">2–3.2</w:t>
                  </w:r>
                </w:p>
              </w:tc>
              <w:tc>
                <w:tcPr/>
                <w:p>
                  <w:pPr>
                    <w:pStyle w:val="Compact"/>
                    <w:jc w:val="left"/>
                    <w:jc w:val="center"/>
                  </w:pPr>
                  <w:r>
                    <w:t xml:space="preserve">2–3.2</w:t>
                  </w:r>
                </w:p>
              </w:tc>
            </w:tr>
            <w:tr>
              <w:tc>
                <w:tcPr/>
                <w:p>
                  <w:pPr>
                    <w:pStyle w:val="Compact"/>
                    <w:jc w:val="left"/>
                    <w:jc w:val="center"/>
                  </w:pPr>
                  <w:r>
                    <w:t xml:space="preserve">Leached Protein A (ppm)</w:t>
                  </w:r>
                </w:p>
              </w:tc>
              <w:tc>
                <w:tcPr/>
                <w:p>
                  <w:pPr>
                    <w:pStyle w:val="Compact"/>
                    <w:jc w:val="left"/>
                    <w:jc w:val="center"/>
                  </w:pPr>
                  <w:r>
                    <w:t xml:space="preserve">Protein load</w:t>
                  </w:r>
                </w:p>
              </w:tc>
              <w:tc>
                <w:tcPr/>
                <w:p>
                  <w:pPr>
                    <w:pStyle w:val="Compact"/>
                    <w:jc w:val="left"/>
                    <w:jc w:val="center"/>
                  </w:pPr>
                  <w:r>
                    <w:t xml:space="preserve">10–50</w:t>
                  </w:r>
                </w:p>
              </w:tc>
              <w:tc>
                <w:tcPr/>
                <w:p>
                  <w:pPr>
                    <w:pStyle w:val="Compact"/>
                    <w:jc w:val="left"/>
                    <w:jc w:val="center"/>
                  </w:pPr>
                  <w:r>
                    <w:t xml:space="preserve">g/L resin</w:t>
                  </w:r>
                </w:p>
              </w:tc>
              <w:tc>
                <w:tcPr/>
                <w:p>
                  <w:pPr>
                    <w:pStyle w:val="Compact"/>
                    <w:jc w:val="left"/>
                    <w:jc w:val="center"/>
                  </w:pPr>
                  <w:r>
                    <w:t xml:space="preserve">≤ 158</w:t>
                  </w:r>
                </w:p>
              </w:tc>
              <w:tc>
                <w:tcPr/>
                <w:p>
                  <w:pPr>
                    <w:pStyle w:val="Compact"/>
                    <w:jc w:val="left"/>
                    <w:jc w:val="center"/>
                  </w:pPr>
                  <w:r>
                    <w:t xml:space="preserve">10–50</w:t>
                  </w:r>
                </w:p>
              </w:tc>
              <w:tc>
                <w:tcPr/>
                <w:p>
                  <w:pPr>
                    <w:pStyle w:val="Compact"/>
                    <w:jc w:val="left"/>
                    <w:jc w:val="center"/>
                  </w:pPr>
                  <w:r>
                    <w:t xml:space="preserve">10–50</w:t>
                  </w:r>
                </w:p>
              </w:tc>
            </w:tr>
            <w:tr>
              <w:tc>
                <w:tcPr/>
                <w:p>
                  <w:pPr>
                    <w:pStyle w:val="Compact"/>
                    <w:jc w:val="left"/>
                    <w:jc w:val="center"/>
                  </w:pPr>
                  <w:r>
                    <w:t xml:space="preserve">Leached Protein A (ppm)</w:t>
                  </w:r>
                </w:p>
              </w:tc>
              <w:tc>
                <w:tcPr/>
                <w:p>
                  <w:pPr>
                    <w:pStyle w:val="Compact"/>
                    <w:jc w:val="left"/>
                    <w:jc w:val="center"/>
                  </w:pPr>
                  <w:r>
                    <w:t xml:space="preserve">Elution buffer pH</w:t>
                  </w:r>
                </w:p>
              </w:tc>
              <w:tc>
                <w:tcPr/>
                <w:p>
                  <w:pPr>
                    <w:pStyle w:val="Compact"/>
                    <w:jc w:val="left"/>
                    <w:jc w:val="center"/>
                  </w:pPr>
                  <w:r>
                    <w:t xml:space="preserve">3.2–3.9</w:t>
                  </w:r>
                </w:p>
              </w:tc>
              <w:tc>
                <w:tcPr/>
                <w:p>
                  <w:pPr>
                    <w:pStyle w:val="Compact"/>
                    <w:jc w:val="left"/>
                    <w:jc w:val="center"/>
                  </w:pPr>
                  <w:r>
                    <w:t xml:space="preserve">pH</w:t>
                  </w:r>
                </w:p>
              </w:tc>
              <w:tc>
                <w:tcPr/>
                <w:p>
                  <w:pPr>
                    <w:pStyle w:val="Compact"/>
                    <w:jc w:val="left"/>
                    <w:jc w:val="center"/>
                  </w:pPr>
                  <w:r>
                    <w:t xml:space="preserve">≤ 158</w:t>
                  </w:r>
                </w:p>
              </w:tc>
              <w:tc>
                <w:tcPr/>
                <w:p>
                  <w:pPr>
                    <w:pStyle w:val="Compact"/>
                    <w:jc w:val="left"/>
                    <w:jc w:val="center"/>
                  </w:pPr>
                  <w:r>
                    <w:t xml:space="preserve">3.2–3.9</w:t>
                  </w:r>
                </w:p>
              </w:tc>
              <w:tc>
                <w:tcPr/>
                <w:p>
                  <w:pPr>
                    <w:pStyle w:val="Compact"/>
                    <w:jc w:val="left"/>
                    <w:jc w:val="center"/>
                  </w:pPr>
                  <w:r>
                    <w:t xml:space="preserve">3.2–3.9</w:t>
                  </w:r>
                </w:p>
              </w:tc>
            </w:tr>
            <w:tr>
              <w:tc>
                <w:tcPr/>
                <w:p>
                  <w:pPr>
                    <w:pStyle w:val="Compact"/>
                    <w:jc w:val="left"/>
                    <w:jc w:val="center"/>
                  </w:pPr>
                  <w:r>
                    <w:t xml:space="preserve">Leached Protein A (ppm)</w:t>
                  </w:r>
                </w:p>
              </w:tc>
              <w:tc>
                <w:tcPr/>
                <w:p>
                  <w:pPr>
                    <w:pStyle w:val="Compact"/>
                    <w:jc w:val="left"/>
                    <w:jc w:val="center"/>
                  </w:pPr>
                  <w:r>
                    <w:t xml:space="preserve">Load flow rate</w:t>
                  </w:r>
                </w:p>
              </w:tc>
              <w:tc>
                <w:tcPr/>
                <w:p>
                  <w:pPr>
                    <w:pStyle w:val="Compact"/>
                    <w:jc w:val="left"/>
                    <w:jc w:val="center"/>
                  </w:pPr>
                  <w:r>
                    <w:t xml:space="preserve">100–300</w:t>
                  </w:r>
                </w:p>
              </w:tc>
              <w:tc>
                <w:tcPr/>
                <w:p>
                  <w:pPr>
                    <w:pStyle w:val="Compact"/>
                    <w:jc w:val="left"/>
                    <w:jc w:val="center"/>
                  </w:pPr>
                  <w:r>
                    <w:t xml:space="preserve">cm/hr</w:t>
                  </w:r>
                </w:p>
              </w:tc>
              <w:tc>
                <w:tcPr/>
                <w:p>
                  <w:pPr>
                    <w:pStyle w:val="Compact"/>
                    <w:jc w:val="left"/>
                    <w:jc w:val="center"/>
                  </w:pPr>
                  <w:r>
                    <w:t xml:space="preserve">≤ 158</w:t>
                  </w:r>
                </w:p>
              </w:tc>
              <w:tc>
                <w:tcPr/>
                <w:p>
                  <w:pPr>
                    <w:pStyle w:val="Compact"/>
                    <w:jc w:val="left"/>
                    <w:jc w:val="center"/>
                  </w:pPr>
                  <w:r>
                    <w:t xml:space="preserve">100–300</w:t>
                  </w:r>
                </w:p>
              </w:tc>
              <w:tc>
                <w:tcPr/>
                <w:p>
                  <w:pPr>
                    <w:pStyle w:val="Compact"/>
                    <w:jc w:val="left"/>
                    <w:jc w:val="center"/>
                  </w:pPr>
                  <w:r>
                    <w:t xml:space="preserve">100–300</w:t>
                  </w:r>
                </w:p>
              </w:tc>
            </w:tr>
            <w:tr>
              <w:tc>
                <w:tcPr/>
                <w:p>
                  <w:pPr>
                    <w:pStyle w:val="Compact"/>
                    <w:jc w:val="left"/>
                    <w:jc w:val="center"/>
                  </w:pPr>
                  <w:r>
                    <w:t xml:space="preserve">Leached Protein A (ppm)</w:t>
                  </w:r>
                </w:p>
              </w:tc>
              <w:tc>
                <w:tcPr/>
                <w:p>
                  <w:pPr>
                    <w:pStyle w:val="Compact"/>
                    <w:jc w:val="left"/>
                    <w:jc w:val="center"/>
                  </w:pPr>
                  <w:r>
                    <w:t xml:space="preserve">End of pool collect</w:t>
                  </w:r>
                </w:p>
              </w:tc>
              <w:tc>
                <w:tcPr/>
                <w:p>
                  <w:pPr>
                    <w:pStyle w:val="Compact"/>
                    <w:jc w:val="left"/>
                    <w:jc w:val="center"/>
                  </w:pPr>
                  <w:r>
                    <w:t xml:space="preserve">2–3.2</w:t>
                  </w:r>
                </w:p>
              </w:tc>
              <w:tc>
                <w:tcPr/>
                <w:p>
                  <w:pPr>
                    <w:pStyle w:val="Compact"/>
                    <w:jc w:val="left"/>
                    <w:jc w:val="center"/>
                  </w:pPr>
                  <w:r>
                    <w:t xml:space="preserve">CV</w:t>
                  </w:r>
                </w:p>
              </w:tc>
              <w:tc>
                <w:tcPr/>
                <w:p>
                  <w:pPr>
                    <w:pStyle w:val="Compact"/>
                    <w:jc w:val="left"/>
                    <w:jc w:val="center"/>
                  </w:pPr>
                  <w:r>
                    <w:t xml:space="preserve">≤ 158</w:t>
                  </w:r>
                </w:p>
              </w:tc>
              <w:tc>
                <w:tcPr/>
                <w:p>
                  <w:pPr>
                    <w:pStyle w:val="Compact"/>
                    <w:jc w:val="left"/>
                    <w:jc w:val="center"/>
                  </w:pPr>
                  <w:r>
                    <w:t xml:space="preserve">2–3.2</w:t>
                  </w:r>
                </w:p>
              </w:tc>
              <w:tc>
                <w:tcPr/>
                <w:p>
                  <w:pPr>
                    <w:pStyle w:val="Compact"/>
                    <w:jc w:val="left"/>
                    <w:jc w:val="center"/>
                  </w:pPr>
                  <w:r>
                    <w:t xml:space="preserve">2–3.2</w:t>
                  </w:r>
                </w:p>
              </w:tc>
            </w:tr>
            <w:tr>
              <w:tc>
                <w:tcPr/>
                <w:p>
                  <w:pPr>
                    <w:pStyle w:val="Compact"/>
                    <w:jc w:val="left"/>
                    <w:jc w:val="center"/>
                  </w:pPr>
                  <w:r>
                    <w:t xml:space="preserve">Fragments (LMW, %, nrCE-SDS)</w:t>
                  </w:r>
                </w:p>
              </w:tc>
              <w:tc>
                <w:tcPr/>
                <w:p>
                  <w:pPr>
                    <w:pStyle w:val="Compact"/>
                    <w:jc w:val="left"/>
                    <w:jc w:val="center"/>
                  </w:pPr>
                  <w:r>
                    <w:t xml:space="preserve">Protein load</w:t>
                  </w:r>
                </w:p>
              </w:tc>
              <w:tc>
                <w:tcPr/>
                <w:p>
                  <w:pPr>
                    <w:pStyle w:val="Compact"/>
                    <w:jc w:val="left"/>
                    <w:jc w:val="center"/>
                  </w:pPr>
                  <w:r>
                    <w:t xml:space="preserve">10–50</w:t>
                  </w:r>
                </w:p>
              </w:tc>
              <w:tc>
                <w:tcPr/>
                <w:p>
                  <w:pPr>
                    <w:pStyle w:val="Compact"/>
                    <w:jc w:val="left"/>
                    <w:jc w:val="center"/>
                  </w:pPr>
                  <w:r>
                    <w:t xml:space="preserve">g/L resin</w:t>
                  </w:r>
                </w:p>
              </w:tc>
              <w:tc>
                <w:tcPr/>
                <w:p>
                  <w:pPr>
                    <w:pStyle w:val="Compact"/>
                    <w:jc w:val="left"/>
                    <w:jc w:val="center"/>
                  </w:pPr>
                  <w:r>
                    <w:t xml:space="preserve">≤ 2.45</w:t>
                  </w:r>
                </w:p>
              </w:tc>
              <w:tc>
                <w:tcPr/>
                <w:p>
                  <w:pPr>
                    <w:pStyle w:val="Compact"/>
                    <w:jc w:val="left"/>
                    <w:jc w:val="center"/>
                  </w:pPr>
                  <w:r>
                    <w:t xml:space="preserve">10–50</w:t>
                  </w:r>
                </w:p>
              </w:tc>
              <w:tc>
                <w:tcPr/>
                <w:p>
                  <w:pPr>
                    <w:pStyle w:val="Compact"/>
                    <w:jc w:val="left"/>
                    <w:jc w:val="center"/>
                  </w:pPr>
                  <w:r>
                    <w:t xml:space="preserve">10–50</w:t>
                  </w:r>
                </w:p>
              </w:tc>
            </w:tr>
            <w:tr>
              <w:tc>
                <w:tcPr/>
                <w:p>
                  <w:pPr>
                    <w:pStyle w:val="Compact"/>
                    <w:jc w:val="left"/>
                    <w:jc w:val="center"/>
                  </w:pPr>
                  <w:r>
                    <w:t xml:space="preserve">Fragments (LMW, %, nrCE-SDS)</w:t>
                  </w:r>
                </w:p>
              </w:tc>
              <w:tc>
                <w:tcPr/>
                <w:p>
                  <w:pPr>
                    <w:pStyle w:val="Compact"/>
                    <w:jc w:val="left"/>
                    <w:jc w:val="center"/>
                  </w:pPr>
                  <w:r>
                    <w:t xml:space="preserve">Elution buffer pH</w:t>
                  </w:r>
                </w:p>
              </w:tc>
              <w:tc>
                <w:tcPr/>
                <w:p>
                  <w:pPr>
                    <w:pStyle w:val="Compact"/>
                    <w:jc w:val="left"/>
                    <w:jc w:val="center"/>
                  </w:pPr>
                  <w:r>
                    <w:t xml:space="preserve">3.2–3.9</w:t>
                  </w:r>
                </w:p>
              </w:tc>
              <w:tc>
                <w:tcPr/>
                <w:p>
                  <w:pPr>
                    <w:pStyle w:val="Compact"/>
                    <w:jc w:val="left"/>
                    <w:jc w:val="center"/>
                  </w:pPr>
                  <w:r>
                    <w:t xml:space="preserve">pH</w:t>
                  </w:r>
                </w:p>
              </w:tc>
              <w:tc>
                <w:tcPr/>
                <w:p>
                  <w:pPr>
                    <w:pStyle w:val="Compact"/>
                    <w:jc w:val="left"/>
                    <w:jc w:val="center"/>
                  </w:pPr>
                  <w:r>
                    <w:t xml:space="preserve">≤ 2.45</w:t>
                  </w:r>
                </w:p>
              </w:tc>
              <w:tc>
                <w:tcPr/>
                <w:p>
                  <w:pPr>
                    <w:pStyle w:val="Compact"/>
                    <w:jc w:val="left"/>
                    <w:jc w:val="center"/>
                  </w:pPr>
                  <w:r>
                    <w:t xml:space="preserve">3.2–3.9</w:t>
                  </w:r>
                </w:p>
              </w:tc>
              <w:tc>
                <w:tcPr/>
                <w:p>
                  <w:pPr>
                    <w:pStyle w:val="Compact"/>
                    <w:jc w:val="left"/>
                    <w:jc w:val="center"/>
                  </w:pPr>
                  <w:r>
                    <w:t xml:space="preserve">3.2–3.9</w:t>
                  </w:r>
                </w:p>
              </w:tc>
            </w:tr>
            <w:tr>
              <w:tc>
                <w:tcPr/>
                <w:p>
                  <w:pPr>
                    <w:pStyle w:val="Compact"/>
                    <w:jc w:val="left"/>
                    <w:jc w:val="center"/>
                  </w:pPr>
                  <w:r>
                    <w:t xml:space="preserve">Fragments (LMW, %, nrCE-SDS)</w:t>
                  </w:r>
                </w:p>
              </w:tc>
              <w:tc>
                <w:tcPr/>
                <w:p>
                  <w:pPr>
                    <w:pStyle w:val="Compact"/>
                    <w:jc w:val="left"/>
                    <w:jc w:val="center"/>
                  </w:pPr>
                  <w:r>
                    <w:t xml:space="preserve">Load flow rate</w:t>
                  </w:r>
                </w:p>
              </w:tc>
              <w:tc>
                <w:tcPr/>
                <w:p>
                  <w:pPr>
                    <w:pStyle w:val="Compact"/>
                    <w:jc w:val="left"/>
                    <w:jc w:val="center"/>
                  </w:pPr>
                  <w:r>
                    <w:t xml:space="preserve">100–300</w:t>
                  </w:r>
                </w:p>
              </w:tc>
              <w:tc>
                <w:tcPr/>
                <w:p>
                  <w:pPr>
                    <w:pStyle w:val="Compact"/>
                    <w:jc w:val="left"/>
                    <w:jc w:val="center"/>
                  </w:pPr>
                  <w:r>
                    <w:t xml:space="preserve">cm/hr</w:t>
                  </w:r>
                </w:p>
              </w:tc>
              <w:tc>
                <w:tcPr/>
                <w:p>
                  <w:pPr>
                    <w:pStyle w:val="Compact"/>
                    <w:jc w:val="left"/>
                    <w:jc w:val="center"/>
                  </w:pPr>
                  <w:r>
                    <w:t xml:space="preserve">≤ 2.45</w:t>
                  </w:r>
                </w:p>
              </w:tc>
              <w:tc>
                <w:tcPr/>
                <w:p>
                  <w:pPr>
                    <w:pStyle w:val="Compact"/>
                    <w:jc w:val="left"/>
                    <w:jc w:val="center"/>
                  </w:pPr>
                  <w:r>
                    <w:t xml:space="preserve">100–300</w:t>
                  </w:r>
                </w:p>
              </w:tc>
              <w:tc>
                <w:tcPr/>
                <w:p>
                  <w:pPr>
                    <w:pStyle w:val="Compact"/>
                    <w:jc w:val="left"/>
                    <w:jc w:val="center"/>
                  </w:pPr>
                  <w:r>
                    <w:t xml:space="preserve">100–300</w:t>
                  </w:r>
                </w:p>
              </w:tc>
            </w:tr>
            <w:tr>
              <w:tc>
                <w:tcPr/>
                <w:p>
                  <w:pPr>
                    <w:pStyle w:val="Compact"/>
                    <w:jc w:val="left"/>
                    <w:jc w:val="center"/>
                  </w:pPr>
                  <w:r>
                    <w:t xml:space="preserve">Fragments (LMW, %, nrCE-SDS)</w:t>
                  </w:r>
                </w:p>
              </w:tc>
              <w:tc>
                <w:tcPr/>
                <w:p>
                  <w:pPr>
                    <w:pStyle w:val="Compact"/>
                    <w:jc w:val="left"/>
                    <w:jc w:val="center"/>
                  </w:pPr>
                  <w:r>
                    <w:t xml:space="preserve">End of pool collect</w:t>
                  </w:r>
                </w:p>
              </w:tc>
              <w:tc>
                <w:tcPr/>
                <w:p>
                  <w:pPr>
                    <w:pStyle w:val="Compact"/>
                    <w:jc w:val="left"/>
                    <w:jc w:val="center"/>
                  </w:pPr>
                  <w:r>
                    <w:t xml:space="preserve">2–3.2</w:t>
                  </w:r>
                </w:p>
              </w:tc>
              <w:tc>
                <w:tcPr/>
                <w:p>
                  <w:pPr>
                    <w:pStyle w:val="Compact"/>
                    <w:jc w:val="left"/>
                    <w:jc w:val="center"/>
                  </w:pPr>
                  <w:r>
                    <w:t xml:space="preserve">CV</w:t>
                  </w:r>
                </w:p>
              </w:tc>
              <w:tc>
                <w:tcPr/>
                <w:p>
                  <w:pPr>
                    <w:pStyle w:val="Compact"/>
                    <w:jc w:val="left"/>
                    <w:jc w:val="center"/>
                  </w:pPr>
                  <w:r>
                    <w:t xml:space="preserve">≤ 2.45</w:t>
                  </w:r>
                </w:p>
              </w:tc>
              <w:tc>
                <w:tcPr/>
                <w:p>
                  <w:pPr>
                    <w:pStyle w:val="Compact"/>
                    <w:jc w:val="left"/>
                    <w:jc w:val="center"/>
                  </w:pPr>
                  <w:r>
                    <w:t xml:space="preserve">2–3.2</w:t>
                  </w:r>
                </w:p>
              </w:tc>
              <w:tc>
                <w:tcPr/>
                <w:p>
                  <w:pPr>
                    <w:pStyle w:val="Compact"/>
                    <w:jc w:val="left"/>
                    <w:jc w:val="center"/>
                  </w:pPr>
                  <w:r>
                    <w:t xml:space="preserve">2–3.2</w:t>
                  </w:r>
                </w:p>
              </w:tc>
            </w:tr>
          </w:tbl>
          <w:bookmarkEnd w:id="94"/>
          <w:p/>
        </w:tc>
      </w:tr>
    </w:tbl>
    <w:p>
      <w:pPr>
        <w:pStyle w:val="BodyText"/>
      </w:pPr>
      <w:r>
        <w:t xml:space="preserve">For pool host cell protein the NOR-propagated PAR reaches the edge of the range studied for protein load, load flow rate and end of pool collect, and no claim is made beyond it. For elution buffer pH it is 3.26–3.9, against 3.2–3.9 in the set-point analysis. The lowest elution pH of the range fails when the other parameters move within their NOR, because a single run at high load and low pH can then exceed the criterion. The PAR of elution buffer pH still contains its NOR of 3.4–3.7 with room on both sides. The lack of fit test for this model was close to its limit (</w:t>
      </w:r>
      <w:hyperlink w:anchor="sec-rsm">
        <w:r>
          <w:rPr>
            <w:rStyle w:val="Hyperlink"/>
          </w:rPr>
          <w:t xml:space="preserve">Section 5.3</w:t>
        </w:r>
      </w:hyperlink>
      <w:r>
        <w:t xml:space="preserve">).</w:t>
      </w:r>
    </w:p>
    <w:p>
      <w:pPr>
        <w:pStyle w:val="BodyText"/>
      </w:pPr>
      <w:r>
        <w:t xml:space="preserve">For leached Protein A and fragments the table rows come from models that are not adequate, and no PAR is claimed from them. Every run of the designs met these criteria at every corner of the range studied, so neither output constrains any parameter within it.</w:t>
      </w:r>
    </w:p>
    <w:p>
      <w:pPr>
        <w:pStyle w:val="BodyText"/>
      </w:pPr>
      <w:hyperlink w:anchor="fig-par-hcp">
        <w:r>
          <w:rPr>
            <w:rStyle w:val="Hyperlink"/>
          </w:rPr>
          <w:t xml:space="preserve">Figure 4</w:t>
        </w:r>
      </w:hyperlink>
      <w:r>
        <w:t xml:space="preserve"> </w:t>
      </w:r>
      <w:r>
        <w:t xml:space="preserve">shows the PAR of elution buffer pH for pool host cell protein, the parameter with the largest main effect on it. The left panel shows the set-point analysis and the right panel the NOR-propagated analysis, with the acceptable region shaded green. No PAR figure is shown for leached Protein A or fragments, because no adequate model results for them.</w:t>
      </w:r>
    </w:p>
    <w:tbl>
      <w:tblPr>
        <w:tblStyle w:val="Table"/>
        <w:tblW w:type="pct" w:w="5000"/>
        <w:tblLayout w:type="fixed"/>
        <w:tblLook w:firstRow="0" w:lastRow="0" w:firstColumn="0" w:lastColumn="0" w:noHBand="0" w:noVBand="0" w:val="0000"/>
      </w:tblPr>
      <w:tblGrid>
        <w:gridCol w:w="7920"/>
      </w:tblGrid>
      <w:tr>
        <w:tc>
          <w:tcPr/>
          <w:bookmarkStart w:id="98" w:name="fig-par-hcp"/>
          <w:p>
            <w:pPr>
              <w:pStyle w:val="Compact"/>
              <w:jc w:val="center"/>
            </w:pPr>
            <w:r>
              <w:drawing>
                <wp:inline>
                  <wp:extent cx="5334000" cy="1845992"/>
                  <wp:effectExtent b="0" l="0" r="0" t="0"/>
                  <wp:docPr descr="" title="" id="96" name="Picture"/>
                  <a:graphic>
                    <a:graphicData uri="http://schemas.openxmlformats.org/drawingml/2006/picture">
                      <pic:pic>
                        <pic:nvPicPr>
                          <pic:cNvPr descr="PCR-005_protein_a_files/figure-docx/fig-par-hcp-output-1.png" id="97" name="Picture"/>
                          <pic:cNvPicPr>
                            <a:picLocks noChangeArrowheads="1" noChangeAspect="1"/>
                          </pic:cNvPicPr>
                        </pic:nvPicPr>
                        <pic:blipFill>
                          <a:blip r:embed="rId9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PAR of elution buffer pH for pool HCP (ng/mg). Left, set-point analysis. Right, NOR-propagated analysis (95 % prediction interval of a single run). Green, the region that meets the criterion.</w:t>
            </w:r>
          </w:p>
          <w:bookmarkEnd w:id="98"/>
        </w:tc>
      </w:tr>
    </w:tbl>
    <w:p>
      <w:pPr>
        <w:pStyle w:val="BodyText"/>
      </w:pPr>
      <w:r>
        <w:t xml:space="preserve">Each PAR holds while the other parameters stay within their NOR, and the design space of</w:t>
      </w:r>
      <w:r>
        <w:t xml:space="preserve"> </w:t>
      </w:r>
      <w:hyperlink w:anchor="sec-ds">
        <w:r>
          <w:rPr>
            <w:rStyle w:val="Hyperlink"/>
          </w:rPr>
          <w:t xml:space="preserve">Section 6</w:t>
        </w:r>
      </w:hyperlink>
      <w:r>
        <w:t xml:space="preserve"> </w:t>
      </w:r>
      <w:r>
        <w:t xml:space="preserve">describes the joint region. The pool host cell protein PARs come from a scale-down model that is qualified for that output (finding F1), and they are claimed. Operating temperature and bed height have no model-based PAR. Their ranges rest on the measured responses at each end of the range studied, with the other parameters at their set-points (</w:t>
      </w:r>
      <w:hyperlink w:anchor="sec-uni">
        <w:r>
          <w:rPr>
            <w:rStyle w:val="Hyperlink"/>
          </w:rPr>
          <w:t xml:space="preserve">Section 5.6</w:t>
        </w:r>
      </w:hyperlink>
      <w:r>
        <w:t xml:space="preserve">).</w:t>
      </w:r>
    </w:p>
    <w:bookmarkEnd w:id="99"/>
    <w:bookmarkEnd w:id="100"/>
    <w:bookmarkStart w:id="102" w:name="process-capability-and-robustness"/>
    <w:p>
      <w:pPr>
        <w:pStyle w:val="Heading1"/>
      </w:pPr>
      <w:r>
        <w:t xml:space="preserve">8. Process capability and robustness</w:t>
      </w:r>
    </w:p>
    <w:p>
      <w:pPr>
        <w:pStyle w:val="FirstParagraph"/>
      </w:pPr>
      <w:r>
        <w:t xml:space="preserve">Capability at commercial scale was estimated from the integrated model of the train, with 2,000 simulated batches and each parameter drawn within its NOR.</w:t>
      </w:r>
      <w:r>
        <w:t xml:space="preserve"> </w:t>
      </w:r>
      <w:hyperlink w:anchor="tbl-cap">
        <w:r>
          <w:rPr>
            <w:rStyle w:val="Hyperlink"/>
          </w:rPr>
          <w:t xml:space="preserve">Table 23</w:t>
        </w:r>
      </w:hyperlink>
      <w:r>
        <w:t xml:space="preserve"> </w:t>
      </w:r>
      <w:r>
        <w:t xml:space="preserve">gives the drug substance capability of the attributes to which this step contributes.</w:t>
      </w:r>
    </w:p>
    <w:tbl>
      <w:tblPr>
        <w:tblStyle w:val="Table"/>
        <w:tblW w:type="pct" w:w="5000"/>
        <w:tblLayout w:type="fixed"/>
        <w:tblLook w:firstRow="0" w:lastRow="0" w:firstColumn="0" w:lastColumn="0" w:noHBand="0" w:noVBand="0" w:val="0000"/>
      </w:tblPr>
      <w:tblGrid>
        <w:gridCol w:w="7920"/>
      </w:tblGrid>
      <w:tr>
        <w:tc>
          <w:tcPr/>
          <w:bookmarkStart w:id="101" w:name="tbl-cap"/>
          <w:p>
            <w:pPr>
              <w:jc w:val="center"/>
            </w:pPr>
            <w:pPr>
              <w:jc w:val="start"/>
              <w:spacing w:before="200"/>
              <w:pStyle w:val="ImageCaption"/>
            </w:pPr>
            <w:r>
              <w:t xml:space="preserve">Table 23: Commercial-scale capability of the drug substance attributes to which the Protein A step contributes.</w:t>
            </w:r>
          </w:p>
          <w:tbl>
            <w:tblPr>
              <w:tblStyle w:val="Table"/>
              <w:tblW w:type="pct" w:w="5000"/>
              <w:tblLayout w:type="fixed"/>
              <w:tblLook w:firstRow="1" w:lastRow="0" w:firstColumn="0" w:lastColumn="0" w:noHBand="0" w:noVBand="0" w:val="0020"/>
            </w:tblPr>
            <w:tblGrid>
              <w:gridCol w:w="2992"/>
              <w:gridCol w:w="792"/>
              <w:gridCol w:w="704"/>
              <w:gridCol w:w="1232"/>
              <w:gridCol w:w="1408"/>
              <w:gridCol w:w="792"/>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 100</w:t>
                  </w:r>
                </w:p>
              </w:tc>
              <w:tc>
                <w:tcPr/>
                <w:p>
                  <w:pPr>
                    <w:pStyle w:val="Compact"/>
                    <w:jc w:val="left"/>
                    <w:jc w:val="center"/>
                  </w:pPr>
                  <w:r>
                    <w:t xml:space="preserve">15.2 ± 4.6</w:t>
                  </w:r>
                </w:p>
              </w:tc>
              <w:tc>
                <w:tcPr/>
                <w:p>
                  <w:pPr>
                    <w:pStyle w:val="Compact"/>
                    <w:jc w:val="right"/>
                    <w:jc w:val="center"/>
                  </w:pPr>
                  <w:r>
                    <w:t xml:space="preserve">6.1</w:t>
                  </w:r>
                </w:p>
              </w:tc>
            </w:tr>
            <w:tr>
              <w:tc>
                <w:tcPr/>
                <w:p>
                  <w:pPr>
                    <w:pStyle w:val="Compact"/>
                    <w:jc w:val="left"/>
                    <w:jc w:val="center"/>
                  </w:pPr>
                  <w:r>
                    <w:t xml:space="preserve">Leached Protein A</w:t>
                  </w:r>
                </w:p>
              </w:tc>
              <w:tc>
                <w:tcPr/>
                <w:p>
                  <w:pPr>
                    <w:pStyle w:val="Compact"/>
                    <w:jc w:val="left"/>
                    <w:jc w:val="center"/>
                  </w:pPr>
                  <w:r>
                    <w:t xml:space="preserve">L-M</w:t>
                  </w:r>
                </w:p>
              </w:tc>
              <w:tc>
                <w:tcPr/>
                <w:p>
                  <w:pPr>
                    <w:pStyle w:val="Compact"/>
                    <w:jc w:val="left"/>
                    <w:jc w:val="center"/>
                  </w:pPr>
                  <w:r>
                    <w:t xml:space="preserve">upper</w:t>
                  </w:r>
                </w:p>
              </w:tc>
              <w:tc>
                <w:tcPr/>
                <w:p>
                  <w:pPr>
                    <w:pStyle w:val="Compact"/>
                    <w:jc w:val="left"/>
                    <w:jc w:val="center"/>
                  </w:pPr>
                  <w:r>
                    <w:t xml:space="preserve">≤ 5</w:t>
                  </w:r>
                </w:p>
              </w:tc>
              <w:tc>
                <w:tcPr/>
                <w:p>
                  <w:pPr>
                    <w:pStyle w:val="Compact"/>
                    <w:jc w:val="left"/>
                    <w:jc w:val="center"/>
                  </w:pPr>
                  <w:r>
                    <w:t xml:space="preserve">0.003 ± 0.0006</w:t>
                  </w:r>
                </w:p>
              </w:tc>
              <w:tc>
                <w:tcPr/>
                <w:p>
                  <w:pPr>
                    <w:pStyle w:val="Compact"/>
                    <w:jc w:val="right"/>
                    <w:jc w:val="center"/>
                  </w:pPr>
                  <w:r>
                    <w:t xml:space="preserve">2,785.3</w:t>
                  </w:r>
                </w:p>
              </w:tc>
            </w:tr>
            <w:tr>
              <w:tc>
                <w:tcPr/>
                <w:p>
                  <w:pPr>
                    <w:pStyle w:val="Compact"/>
                    <w:jc w:val="left"/>
                    <w:jc w:val="center"/>
                  </w:pPr>
                  <w:r>
                    <w:t xml:space="preserve">Fragments (LMW, clipped species)</w:t>
                  </w:r>
                </w:p>
              </w:tc>
              <w:tc>
                <w:tcPr/>
                <w:p>
                  <w:pPr>
                    <w:pStyle w:val="Compact"/>
                    <w:jc w:val="left"/>
                    <w:jc w:val="center"/>
                  </w:pPr>
                  <w:r>
                    <w:t xml:space="preserve">L</w:t>
                  </w:r>
                </w:p>
              </w:tc>
              <w:tc>
                <w:tcPr/>
                <w:p>
                  <w:pPr>
                    <w:pStyle w:val="Compact"/>
                    <w:jc w:val="left"/>
                    <w:jc w:val="center"/>
                  </w:pPr>
                  <w:r>
                    <w:t xml:space="preserve">upper</w:t>
                  </w:r>
                </w:p>
              </w:tc>
              <w:tc>
                <w:tcPr/>
                <w:p>
                  <w:pPr>
                    <w:pStyle w:val="Compact"/>
                    <w:jc w:val="left"/>
                    <w:jc w:val="center"/>
                  </w:pPr>
                  <w:r>
                    <w:t xml:space="preserve">≤ 2</w:t>
                  </w:r>
                </w:p>
              </w:tc>
              <w:tc>
                <w:tcPr/>
                <w:p>
                  <w:pPr>
                    <w:pStyle w:val="Compact"/>
                    <w:jc w:val="left"/>
                    <w:jc w:val="center"/>
                  </w:pPr>
                  <w:r>
                    <w:t xml:space="preserve">0.634 ± 0.042</w:t>
                  </w:r>
                </w:p>
              </w:tc>
              <w:tc>
                <w:tcPr/>
                <w:p>
                  <w:pPr>
                    <w:pStyle w:val="Compact"/>
                    <w:jc w:val="right"/>
                    <w:jc w:val="center"/>
                  </w:pPr>
                  <w:r>
                    <w:t xml:space="preserve">10.8</w:t>
                  </w:r>
                </w:p>
              </w:tc>
            </w:tr>
          </w:tbl>
          <w:bookmarkEnd w:id="101"/>
          <w:p/>
        </w:tc>
      </w:tr>
    </w:tbl>
    <w:p>
      <w:pPr>
        <w:pStyle w:val="BodyText"/>
      </w:pPr>
      <w:r>
        <w:t xml:space="preserve">Host cell protein has the lowest Cpk of the three, 6.14. PCMP-001 §7.9 expects a Cpk of at least 1.33 of a CQA in routine manufacture, following common industry practice, and requires an action in the control strategy below 1.00. The target is met for host cell protein and fragments. Fragments reach 10.76. The Cpk of 2,785 for leached Protein A is not meaningful. The simulated drug substance values average 0.003 ppm, below the limit of quantitation of the ELISA (0.25 ppm, AMV-3016), so they cannot be measured and their spread is that of the model, not of a result. No simulated batch fell outside these criteria. These figures describe the drug substance after cation exchange and anion exchange have removed most of what the Protein A pool carries. The lowest Cpk of the drug substance, 1.03 for Acidic charge variants (deamidation), belongs to an attribute this step does not change and is discussed in PCMR-001.</w:t>
      </w:r>
    </w:p>
    <w:p>
      <w:pPr>
        <w:pStyle w:val="BodyText"/>
      </w:pPr>
      <w:r>
        <w:t xml:space="preserve">Every output met its criterion across the NOR. Load flow rate is associated with lower step yield. End of pool collect is associated with higher step yield and lower pool host cell protein, and within its NOR the design space changes by a few percent of the plane (</w:t>
      </w:r>
      <w:hyperlink w:anchor="sec-ds">
        <w:r>
          <w:rPr>
            <w:rStyle w:val="Hyperlink"/>
          </w:rPr>
          <w:t xml:space="preserve">Section 6</w:t>
        </w:r>
      </w:hyperlink>
      <w:r>
        <w:t xml:space="preserve">).</w:t>
      </w:r>
    </w:p>
    <w:bookmarkEnd w:id="102"/>
    <w:bookmarkStart w:id="103" w:name="sec-class"/>
    <w:p>
      <w:pPr>
        <w:pStyle w:val="Heading1"/>
      </w:pPr>
      <w:r>
        <w:t xml:space="preserve">9. Parameter classification</w:t>
      </w:r>
    </w:p>
    <w:p>
      <w:pPr>
        <w:pStyle w:val="FirstParagraph"/>
      </w:pPr>
      <w:r>
        <w:t xml:space="preserve">Parameters were classified under SOP-4001 by the decision logic of PCMP-001 §7.7. Criterion 8 of PCP-005 §7 adds that an effect is practically relevant for an attribute when the NOR-propagated PAR of the parameter is narrower than its range studied, and that a significant effect whose PAR spans the whole range studied does not by itself make the parameter critical. The classes and the reason for each are the following.</w:t>
      </w:r>
    </w:p>
    <w:p>
      <w:pPr>
        <w:pStyle w:val="Compact"/>
        <w:numPr>
          <w:ilvl w:val="0"/>
          <w:numId w:val="1005"/>
        </w:numPr>
      </w:pPr>
      <w:r>
        <w:t xml:space="preserve">Protein load was classified as a WC-CPP. It raises pool host cell protein (3,872 ng/mg per half range) and interacts with elution pH. It is set by the load volume and the titre, and it is readily controlled within its NOR of 20–40 g/L resin.</w:t>
      </w:r>
    </w:p>
    <w:p>
      <w:pPr>
        <w:pStyle w:val="Compact"/>
        <w:numPr>
          <w:ilvl w:val="0"/>
          <w:numId w:val="1005"/>
        </w:numPr>
      </w:pPr>
      <w:r>
        <w:t xml:space="preserve">Elution buffer pH was classified as a WC-CPP. It has the largest effect on pool host cell protein (-5,245 ng/mg per half range) and the only one whose NOR-propagated PAR is narrower than its range studied. Buffer pH is controlled at preparation and verified at release. DEV-005-01 shows that a buffer below the NOR can pass release when the pH meter is incorrectly calibrated.</w:t>
      </w:r>
    </w:p>
    <w:p>
      <w:pPr>
        <w:pStyle w:val="Compact"/>
        <w:numPr>
          <w:ilvl w:val="0"/>
          <w:numId w:val="1005"/>
        </w:numPr>
      </w:pPr>
      <w:r>
        <w:t xml:space="preserve">Load flow rate was classified as a KPP. It lowers step yield at high load (the AC interaction) and has no significant effect on pool host cell protein, leached Protein A or fragments.</w:t>
      </w:r>
    </w:p>
    <w:p>
      <w:pPr>
        <w:pStyle w:val="Compact"/>
        <w:numPr>
          <w:ilvl w:val="0"/>
          <w:numId w:val="1005"/>
        </w:numPr>
      </w:pPr>
      <w:r>
        <w:t xml:space="preserve">End of pool collect was classified as a KPP. It has the largest effect on step yield. It also has a significant effect on pool host cell protein, -2,111 ng/mg across the range studied, and the sign of that effect differs between the designs (finding F10). Its NOR-propagated PAR for pool host cell protein spans the whole range studied. Within its NOR, the design space changes from 94 % of the plane at the low edge to 98 % at the high edge (</w:t>
      </w:r>
      <w:hyperlink w:anchor="sec-ds">
        <w:r>
          <w:rPr>
            <w:rStyle w:val="Hyperlink"/>
          </w:rPr>
          <w:t xml:space="preserve">Section 6</w:t>
        </w:r>
      </w:hyperlink>
      <w:r>
        <w:t xml:space="preserve">). The class would be revisited if a later study confirmed the screening sign.</w:t>
      </w:r>
    </w:p>
    <w:p>
      <w:pPr>
        <w:pStyle w:val="Compact"/>
        <w:numPr>
          <w:ilvl w:val="0"/>
          <w:numId w:val="1005"/>
        </w:numPr>
      </w:pPr>
      <w:r>
        <w:t xml:space="preserve">Operating temperature was classified as a GPP. No difference from the set-point runs was detected at either end of its range. The intervals allow a rise in pool host cell protein of up to 4,291 ng/mg, which would still leave the highest result below the criterion, and every individual result met its criterion (</w:t>
      </w:r>
      <w:hyperlink w:anchor="sec-uni">
        <w:r>
          <w:rPr>
            <w:rStyle w:val="Hyperlink"/>
          </w:rPr>
          <w:t xml:space="preserve">Section 5.6</w:t>
        </w:r>
      </w:hyperlink>
      <w:r>
        <w:t xml:space="preserve">).</w:t>
      </w:r>
    </w:p>
    <w:p>
      <w:pPr>
        <w:pStyle w:val="Compact"/>
        <w:numPr>
          <w:ilvl w:val="0"/>
          <w:numId w:val="1005"/>
        </w:numPr>
      </w:pPr>
      <w:r>
        <w:t xml:space="preserve">Bed height was classified as a GPP. No difference from the set-point runs was detected at either end of its range. The intervals allow a rise in pool host cell protein of up to 2,815 ng/mg, and every individual result met its criterion (</w:t>
      </w:r>
      <w:hyperlink w:anchor="sec-uni">
        <w:r>
          <w:rPr>
            <w:rStyle w:val="Hyperlink"/>
          </w:rPr>
          <w:t xml:space="preserve">Section 5.6</w:t>
        </w:r>
      </w:hyperlink>
      <w:r>
        <w:t xml:space="preserve">). It is fixed by the packing specification of the commercial column and does not vary in operation. A short bed at the upper end of the load range was not characterized, and no claim is made for it.</w:t>
      </w:r>
    </w:p>
    <w:p>
      <w:pPr>
        <w:pStyle w:val="FirstParagraph"/>
      </w:pPr>
      <w:r>
        <w:t xml:space="preserve">In summary the step has 2 WC-CPPs, 2 KPPs and 2 GPPs, and no CPP. The classes of protein load and elution buffer pH rest on the direction and size of their effects, which agree with the platform history and the mechanism. The PAR of elution buffer pH for pool host cell protein is narrower than its range studied, and protein load and elution buffer pH together form the boundary of the design space. The KPP classes rest on the direction of the yield effects in both designs and on the mechanism of breakthrough and of peak collection. They do not rest on the step yield model, which is not used under criterion 1 because the scale-down model was not shown equivalent for step yield (finding F1).</w:t>
      </w:r>
    </w:p>
    <w:bookmarkEnd w:id="103"/>
    <w:bookmarkStart w:id="104" w:name="sec-cs"/>
    <w:p>
      <w:pPr>
        <w:pStyle w:val="Heading1"/>
      </w:pPr>
      <w:r>
        <w:t xml:space="preserve">10. Contribution to the control strategy</w:t>
      </w:r>
    </w:p>
    <w:p>
      <w:pPr>
        <w:pStyle w:val="FirstParagraph"/>
      </w:pPr>
      <w:r>
        <w:t xml:space="preserve">The Protein A step contributes to the control strategy in the following ways.</w:t>
      </w:r>
    </w:p>
    <w:p>
      <w:pPr>
        <w:pStyle w:val="Compact"/>
        <w:numPr>
          <w:ilvl w:val="0"/>
          <w:numId w:val="1006"/>
        </w:numPr>
      </w:pPr>
      <w:r>
        <w:t xml:space="preserve">Process parameters. Protein load and elution buffer pH are controlled within their NORs as WC-CPPs. Load flow rate and end of pool collect are controlled within their NORs as KPPs. Movement outside the NOR and within the PARs of</w:t>
      </w:r>
      <w:r>
        <w:t xml:space="preserve"> </w:t>
      </w:r>
      <w:hyperlink w:anchor="sec-par">
        <w:r>
          <w:rPr>
            <w:rStyle w:val="Hyperlink"/>
          </w:rPr>
          <w:t xml:space="preserve">Section 7</w:t>
        </w:r>
      </w:hyperlink>
      <w:r>
        <w:t xml:space="preserve"> </w:t>
      </w:r>
      <w:r>
        <w:t xml:space="preserve">is assessed under change control.</w:t>
      </w:r>
    </w:p>
    <w:p>
      <w:pPr>
        <w:pStyle w:val="Compact"/>
        <w:numPr>
          <w:ilvl w:val="0"/>
          <w:numId w:val="1006"/>
        </w:numPr>
      </w:pPr>
      <w:r>
        <w:t xml:space="preserve">Material controls. Elution buffer is released against its pH specification. DEV-005-01 showed that this release test depends on a correctly calibrated pH meter.</w:t>
      </w:r>
    </w:p>
    <w:p>
      <w:pPr>
        <w:pStyle w:val="Compact"/>
        <w:numPr>
          <w:ilvl w:val="0"/>
          <w:numId w:val="1006"/>
        </w:numPr>
      </w:pPr>
      <w:r>
        <w:t xml:space="preserve">Resin and load. Leached Protein A depends on the resin and is expected to depend on protease activity in the load, which rises with the hold of the clarified harvest before capture (</w:t>
      </w:r>
      <w:hyperlink w:anchor="sec-sdm">
        <w:r>
          <w:rPr>
            <w:rStyle w:val="Hyperlink"/>
          </w:rPr>
          <w:t xml:space="preserve">Section 3.1</w:t>
        </w:r>
      </w:hyperlink>
      <w:r>
        <w:t xml:space="preserve">). Resin use, cleaning and sanitization are controlled by SOP-2008, and the hold of the clarified harvest is characterized in PCR-004.</w:t>
      </w:r>
    </w:p>
    <w:p>
      <w:pPr>
        <w:pStyle w:val="Compact"/>
        <w:numPr>
          <w:ilvl w:val="0"/>
          <w:numId w:val="1006"/>
        </w:numPr>
      </w:pPr>
      <w:r>
        <w:t xml:space="preserve">Hold. The Protein A eluate may be held at elution pH for up to 7 days at 2-8 °C or 21 °C before viral inactivation.</w:t>
      </w:r>
    </w:p>
    <w:p>
      <w:pPr>
        <w:pStyle w:val="Compact"/>
        <w:numPr>
          <w:ilvl w:val="0"/>
          <w:numId w:val="1006"/>
        </w:numPr>
      </w:pPr>
      <w:r>
        <w:t xml:space="preserve">Downstream clearance and release. Host cell protein, leached Protein A and fragments are further cleared by cation exchange (PCR-007) and anion exchange (PCR-008), and they are tested at release of the drug substance. Viral clearance is claimed at low-pH viral inactivation (PCR-006), anion exchange and virus filtration (PCR-009), and not at this step.</w:t>
      </w:r>
    </w:p>
    <w:p>
      <w:pPr>
        <w:pStyle w:val="FirstParagraph"/>
      </w:pPr>
      <w:r>
        <w:t xml:space="preserve">The control strategy of the whole train is consolidated in PCMR-001.</w:t>
      </w:r>
    </w:p>
    <w:bookmarkEnd w:id="104"/>
    <w:bookmarkStart w:id="105" w:name="discussion"/>
    <w:p>
      <w:pPr>
        <w:pStyle w:val="Heading1"/>
      </w:pPr>
      <w:r>
        <w:t xml:space="preserve">11. Discussion</w:t>
      </w:r>
    </w:p>
    <w:p>
      <w:pPr>
        <w:pStyle w:val="FirstParagraph"/>
      </w:pPr>
      <w:r>
        <w:t xml:space="preserve">The characterization confirms the main effects that the platform history predicted for this step. Elution buffer pH and protein load have the largest effects on pool host cell protein, and they interact. End of pool collect, protein load and load flow rate have the largest effects on step yield. Two results do not follow the expectations. End of pool collect lowers pool host cell protein in the response-surface design and raised it, not significantly, in the screening design, for a reason that was not identified. Load flow rate did not raise pool host cell protein as the mechanism predicts.</w:t>
      </w:r>
    </w:p>
    <w:p>
      <w:pPr>
        <w:pStyle w:val="BodyText"/>
      </w:pPr>
      <w:r>
        <w:t xml:space="preserve">Confidence in the scale-down model is the weakest point of the study. For leached Protein A the qualification found a consistent difference, which is expected from the longer hold of the manufacturing load before capture and which was accepted. Even scaled by that difference the design results stay far below the criterion. The planned qualification could not demonstrate equivalence for pool host cell protein, step yield and leached Protein A, because 3 scale-down runs could not narrow the interval below the margin (DEV-005-03). A further 6 runs were made, and the margins were kept. With them the model is qualified for pool host cell protein, which is the output that sets the PARs of the step. Step yield misses equivalence by 1.4 % of its margin and column efficiency by 35 %, both on the low side. Neither sets a range, and the step yield model is not used for a range or a prediction.</w:t>
      </w:r>
    </w:p>
    <w:p>
      <w:pPr>
        <w:pStyle w:val="BodyText"/>
      </w:pPr>
      <w:r>
        <w:t xml:space="preserve">The response-surface model for pool host cell protein meets criteria 2 to 4 of PCP-005 §7, with a lack of fit test close to its limit. It does not meet criterion 5, and no model does. The conclusions on pool host cell protein rest instead on the deletion of single runs, which showed that no run decides them. The Cook’s distance limit of 4/n is better suited to a design with low leverage than to a face-centred design with 15 terms in 28 runs. A limit based on the leverage of each run would serve the purpose of the criterion better. The residuals show no trend with the run order of execution (</w:t>
      </w:r>
      <w:hyperlink w:anchor="tbl-resid">
        <w:r>
          <w:rPr>
            <w:rStyle w:val="Hyperlink"/>
          </w:rPr>
          <w:t xml:space="preserve">Table 17</w:t>
        </w:r>
      </w:hyperlink>
      <w:r>
        <w:t xml:space="preserve">).</w:t>
      </w:r>
    </w:p>
    <w:p>
      <w:pPr>
        <w:pStyle w:val="BodyText"/>
      </w:pPr>
      <w:r>
        <w:t xml:space="preserve">Leached Protein A and fragments gave no adequate model. For both, any effect of the parameters is small against the variation of the runs and the assay. Both met their criteria in every run, so the absence of a model limits what is known about their shape and not whether the step meets them.</w:t>
      </w:r>
    </w:p>
    <w:p>
      <w:pPr>
        <w:pStyle w:val="BodyText"/>
      </w:pPr>
      <w:r>
        <w:t xml:space="preserve">The three deviations of the study did not change its conclusions (</w:t>
      </w:r>
      <w:hyperlink w:anchor="sec-dev">
        <w:r>
          <w:rPr>
            <w:rStyle w:val="Hyperlink"/>
          </w:rPr>
          <w:t xml:space="preserve">Section 13</w:t>
        </w:r>
      </w:hyperlink>
      <w:r>
        <w:t xml:space="preserve">). The elution buffer of DEV-005-01 was below the NOR but inside the range studied, the leached Protein A result of DEV-005-02 was replaced by a valid re-assay, and DEV-005-03 was resolved by supplementary runs.</w:t>
      </w:r>
    </w:p>
    <w:p>
      <w:pPr>
        <w:pStyle w:val="BodyText"/>
      </w:pPr>
      <w:r>
        <w:t xml:space="preserve">The other limitations are those the plan named. Each design used one feed, so the effect of feed quality on the step was not estimated. The univariate studies cannot detect interactions, and a short bed at high load was not characterized. The laboratory column does not reproduce the hold of the manufacturing load, which raises leached Protein A at scale.</w:t>
      </w:r>
    </w:p>
    <w:bookmarkEnd w:id="105"/>
    <w:bookmarkStart w:id="106" w:name="conclusions"/>
    <w:p>
      <w:pPr>
        <w:pStyle w:val="Heading1"/>
      </w:pPr>
      <w:r>
        <w:t xml:space="preserve">12. Conclusions</w:t>
      </w:r>
    </w:p>
    <w:p>
      <w:pPr>
        <w:pStyle w:val="Compact"/>
        <w:numPr>
          <w:ilvl w:val="0"/>
          <w:numId w:val="1007"/>
        </w:numPr>
      </w:pPr>
      <w:r>
        <w:t xml:space="preserve">The step was characterized under PCP-005 in a screening design, a response-surface design, a univariate study and a hold study.</w:t>
      </w:r>
    </w:p>
    <w:p>
      <w:pPr>
        <w:pStyle w:val="Compact"/>
        <w:numPr>
          <w:ilvl w:val="0"/>
          <w:numId w:val="1007"/>
        </w:numPr>
      </w:pPr>
      <w:r>
        <w:t xml:space="preserve">Elution buffer pH and protein load have the largest effects on pool host cell protein, and it falls as the end of pool collect is extended. Its model meets criteria 2 to 4 of PCP-005 §7, and its conclusions rest on an influence analysis for criterion 5. End of pool collect, protein load and load flow rate have the largest effects on step yield. Leached Protein A and fragments met their criteria in every run, and no adequate model results for either.</w:t>
      </w:r>
    </w:p>
    <w:p>
      <w:pPr>
        <w:pStyle w:val="Compact"/>
        <w:numPr>
          <w:ilvl w:val="0"/>
          <w:numId w:val="1007"/>
        </w:numPr>
      </w:pPr>
      <w:r>
        <w:t xml:space="preserve">Every output met its intermediate acceptance criterion across the NOR. The NOR-propagated PAR for pool host cell protein spans the range studied for 3 parameters and is 3.26–3.9 for elution buffer pH.</w:t>
      </w:r>
    </w:p>
    <w:p>
      <w:pPr>
        <w:pStyle w:val="Compact"/>
        <w:numPr>
          <w:ilvl w:val="0"/>
          <w:numId w:val="1007"/>
        </w:numPr>
      </w:pPr>
      <w:r>
        <w:t xml:space="preserve">With the supplementary runs of DEV-005-03 the scale-down model is qualified for pool host cell protein and peak asymmetry, with an accepted scale effect for leached Protein A (finding F1). Step yield and column efficiency were not shown equivalent, and neither sets a range.</w:t>
      </w:r>
    </w:p>
    <w:p>
      <w:pPr>
        <w:pStyle w:val="Compact"/>
        <w:numPr>
          <w:ilvl w:val="0"/>
          <w:numId w:val="1007"/>
        </w:numPr>
      </w:pPr>
      <w:r>
        <w:t xml:space="preserve">Protein load and elution buffer pH are WC-CPPs, load flow rate and end of pool collect are KPPs, and operating temperature and bed height are GPPs. The step has no CPP.</w:t>
      </w:r>
    </w:p>
    <w:p>
      <w:pPr>
        <w:pStyle w:val="Compact"/>
        <w:numPr>
          <w:ilvl w:val="0"/>
          <w:numId w:val="1007"/>
        </w:numPr>
      </w:pPr>
      <w:r>
        <w:t xml:space="preserve">No difference from the set-point runs was detected for operating temperature or bed height, and their ranges studied are supported with the other parameters at their set-points.</w:t>
      </w:r>
    </w:p>
    <w:p>
      <w:pPr>
        <w:pStyle w:val="Compact"/>
        <w:numPr>
          <w:ilvl w:val="0"/>
          <w:numId w:val="1007"/>
        </w:numPr>
      </w:pPr>
      <w:r>
        <w:t xml:space="preserve">The eluate may be held at elution pH for 7 days at 2-8 °C or 21 °C.</w:t>
      </w:r>
    </w:p>
    <w:p>
      <w:pPr>
        <w:pStyle w:val="Compact"/>
        <w:numPr>
          <w:ilvl w:val="0"/>
          <w:numId w:val="1007"/>
        </w:numPr>
      </w:pPr>
      <w:r>
        <w:t xml:space="preserve">At commercial scale the lowest Cpk among the attributes of this step is 6.14, for host cell protein, against the target of 1.33 set in PCMP-001.</w:t>
      </w:r>
    </w:p>
    <w:p>
      <w:pPr>
        <w:pStyle w:val="Compact"/>
        <w:numPr>
          <w:ilvl w:val="0"/>
          <w:numId w:val="1007"/>
        </w:numPr>
      </w:pPr>
      <w:r>
        <w:t xml:space="preserve">The three deviations were resolved without changing the conclusions. The results roll up into PCMR-001.</w:t>
      </w:r>
    </w:p>
    <w:bookmarkEnd w:id="106"/>
    <w:bookmarkStart w:id="111" w:name="sec-dev"/>
    <w:p>
      <w:pPr>
        <w:pStyle w:val="Heading1"/>
      </w:pPr>
      <w:r>
        <w:t xml:space="preserve">13. Deviations from the plan</w:t>
      </w:r>
    </w:p>
    <w:p>
      <w:pPr>
        <w:pStyle w:val="FirstParagraph"/>
      </w:pPr>
      <w:r>
        <w:t xml:space="preserve">The register lists 3 deviations recorded for the studies of the step. All were investigated. Two were retained, and one was resolved by supplementary runs.</w:t>
      </w:r>
    </w:p>
    <w:tbl>
      <w:tblPr>
        <w:tblStyle w:val="Table"/>
        <w:tblW w:type="pct" w:w="5000"/>
        <w:tblLayout w:type="fixed"/>
        <w:tblLook w:firstRow="1" w:lastRow="0" w:firstColumn="0" w:lastColumn="0" w:noHBand="0" w:noVBand="0" w:val="0020"/>
      </w:tblPr>
      <w:tblGrid>
        <w:gridCol w:w="381"/>
        <w:gridCol w:w="3168"/>
        <w:gridCol w:w="3520"/>
        <w:gridCol w:w="850"/>
      </w:tblGrid>
      <w:tr>
        <w:trPr>
          <w:tblHeader w:val="on"/>
        </w:trPr>
        <w:tc>
          <w:tcPr/>
          <w:p>
            <w:pPr>
              <w:pStyle w:val="Compact"/>
              <w:jc w:val="left"/>
            </w:pPr>
            <w:r>
              <w:t xml:space="preserve">Deviation</w:t>
            </w:r>
          </w:p>
        </w:tc>
        <w:tc>
          <w:tcPr/>
          <w:p>
            <w:pPr>
              <w:pStyle w:val="Compact"/>
              <w:jc w:val="left"/>
            </w:pPr>
            <w:r>
              <w:t xml:space="preserve">Summary</w:t>
            </w:r>
          </w:p>
        </w:tc>
        <w:tc>
          <w:tcPr/>
          <w:p>
            <w:pPr>
              <w:pStyle w:val="Compact"/>
              <w:jc w:val="left"/>
            </w:pPr>
            <w:r>
              <w:t xml:space="preserve">Detected during</w:t>
            </w:r>
          </w:p>
        </w:tc>
        <w:tc>
          <w:tcPr/>
          <w:p>
            <w:pPr>
              <w:pStyle w:val="Compact"/>
              <w:jc w:val="left"/>
            </w:pPr>
            <w:r>
              <w:t xml:space="preserve">Disposition</w:t>
            </w:r>
          </w:p>
        </w:tc>
      </w:tr>
      <w:tr>
        <w:tc>
          <w:tcPr/>
          <w:p>
            <w:pPr>
              <w:pStyle w:val="Compact"/>
              <w:jc w:val="left"/>
            </w:pPr>
            <w:r>
              <w:t xml:space="preserve">DEV-005-01</w:t>
            </w:r>
          </w:p>
        </w:tc>
        <w:tc>
          <w:tcPr/>
          <w:p>
            <w:pPr>
              <w:pStyle w:val="Compact"/>
              <w:jc w:val="left"/>
            </w:pPr>
            <w:r>
              <w:t xml:space="preserve">Elution-buffer pH prepared below target on an RSM run</w:t>
            </w:r>
          </w:p>
        </w:tc>
        <w:tc>
          <w:tcPr/>
          <w:p>
            <w:pPr>
              <w:pStyle w:val="Compact"/>
              <w:jc w:val="left"/>
            </w:pPr>
            <w:r>
              <w:t xml:space="preserve">post-run review of the buffer preparation record (the buffer had passed release on an incorrectly calibrated pH meter)</w:t>
            </w:r>
          </w:p>
        </w:tc>
        <w:tc>
          <w:tcPr/>
          <w:p>
            <w:pPr>
              <w:pStyle w:val="Compact"/>
              <w:jc w:val="left"/>
            </w:pPr>
            <w:r>
              <w:t xml:space="preserve">retained</w:t>
            </w:r>
          </w:p>
        </w:tc>
      </w:tr>
      <w:tr>
        <w:tc>
          <w:tcPr/>
          <w:p>
            <w:pPr>
              <w:pStyle w:val="Compact"/>
              <w:jc w:val="left"/>
            </w:pPr>
            <w:r>
              <w:t xml:space="preserve">DEV-005-03</w:t>
            </w:r>
          </w:p>
        </w:tc>
        <w:tc>
          <w:tcPr/>
          <w:p>
            <w:pPr>
              <w:pStyle w:val="Compact"/>
              <w:jc w:val="left"/>
            </w:pPr>
            <w:r>
              <w:t xml:space="preserve">Scale-down equivalence not demonstrable with the planned three set-point runs; six supplementary runs made</w:t>
            </w:r>
          </w:p>
        </w:tc>
        <w:tc>
          <w:tcPr/>
          <w:p>
            <w:pPr>
              <w:pStyle w:val="Compact"/>
              <w:jc w:val="left"/>
            </w:pPr>
            <w:r>
              <w:t xml:space="preserve">Version 2.0 re-analysis of the scale-down qualification</w:t>
            </w:r>
          </w:p>
        </w:tc>
        <w:tc>
          <w:tcPr/>
          <w:p>
            <w:pPr>
              <w:pStyle w:val="Compact"/>
              <w:jc w:val="left"/>
            </w:pPr>
            <w:r>
              <w:t xml:space="preserve">supplementary runs executed</w:t>
            </w:r>
          </w:p>
        </w:tc>
      </w:tr>
      <w:tr>
        <w:tc>
          <w:tcPr/>
          <w:p>
            <w:pPr>
              <w:pStyle w:val="Compact"/>
              <w:jc w:val="left"/>
            </w:pPr>
            <w:r>
              <w:t xml:space="preserve">DEV-005-02</w:t>
            </w:r>
          </w:p>
        </w:tc>
        <w:tc>
          <w:tcPr/>
          <w:p>
            <w:pPr>
              <w:pStyle w:val="Compact"/>
              <w:jc w:val="left"/>
            </w:pPr>
            <w:r>
              <w:t xml:space="preserve">Leached Protein A result of RSM run 11 initially out of trend; re-assayed</w:t>
            </w:r>
          </w:p>
        </w:tc>
        <w:tc>
          <w:tcPr/>
          <w:p>
            <w:pPr>
              <w:pStyle w:val="Compact"/>
              <w:jc w:val="left"/>
            </w:pPr>
            <w:r>
              <w:t xml:space="preserve">analytical review</w:t>
            </w:r>
          </w:p>
        </w:tc>
        <w:tc>
          <w:tcPr/>
          <w:p>
            <w:pPr>
              <w:pStyle w:val="Compact"/>
              <w:jc w:val="left"/>
            </w:pPr>
            <w:r>
              <w:t xml:space="preserve">retained</w:t>
            </w:r>
          </w:p>
        </w:tc>
      </w:tr>
    </w:tbl>
    <w:p>
      <w:pPr>
        <w:pStyle w:val="BodyText"/>
      </w:pPr>
      <w:r>
        <w:t xml:space="preserve">Beside the recorded deviations, the analysis used two options that PCP-005 provides. The full quadratic model for step yield was replaced by a reduced model (PCP-005 §7,</w:t>
      </w:r>
      <w:r>
        <w:t xml:space="preserve"> </w:t>
      </w:r>
      <w:hyperlink w:anchor="sec-rsm">
        <w:r>
          <w:rPr>
            <w:rStyle w:val="Hyperlink"/>
          </w:rPr>
          <w:t xml:space="preserve">Section 5.3</w:t>
        </w:r>
      </w:hyperlink>
      <w:r>
        <w:t xml:space="preserve">), and leached Protein A and fragments were reported descriptively (PCP-005 §5.5). The analysis departed from the plan in one place. Criterion 5 of PCP-005 §7 was not met by any model, and the conclusions on pool host cell protein rest on an influence analysis that the plan does not provide for (</w:t>
      </w:r>
      <w:hyperlink w:anchor="sec-resid">
        <w:r>
          <w:rPr>
            <w:rStyle w:val="Hyperlink"/>
          </w:rPr>
          <w:t xml:space="preserve">Section 5.5</w:t>
        </w:r>
      </w:hyperlink>
      <w:r>
        <w:t xml:space="preserve">). No run was lost or invalidated, and no design was repaired or re-executed.</w:t>
      </w:r>
    </w:p>
    <w:bookmarkStart w:id="107" w:name="X837dd9295057b7097b7c0abff3dc60df6434405"/>
    <w:p>
      <w:pPr>
        <w:pStyle w:val="Heading2"/>
      </w:pPr>
      <w:r>
        <w:t xml:space="preserve">13.1 DEV-005-01. Elution buffer pH below target on a response-surface run</w:t>
      </w:r>
    </w:p>
    <w:p>
      <w:pPr>
        <w:pStyle w:val="FirstParagraph"/>
      </w:pPr>
      <w:r>
        <w:t xml:space="preserve">The elution buffer of lot LOT-BUF-5290 was prepared below its target pH and was used on run 23 of the response-surface design, whose design setting for elution buffer pH was 3.55. The buffer had passed release on an incorrectly calibrated pH meter. The error was found at a review of the buffer preparation record after the run, and the pH of the lot was 3.38. This is below the NOR of 3.4–3.7 and inside the range studied of 3.2–3.9. The investigation found an error at the titration end point during buffer preparation.</w:t>
      </w:r>
    </w:p>
    <w:p>
      <w:pPr>
        <w:pStyle w:val="BodyText"/>
      </w:pPr>
      <w:r>
        <w:t xml:space="preserve">At the design settings of run 23 the model predicts a pool host cell protein of 8,601 ng/mg. At the measured pH it predicts 11,961 ng/mg. The run gave 8,167 ng/mg, below the criterion of ≤ 16,000 ng/mg and closer to the prediction at the design setting than to that at the measured pH. The result therefore does not show the rise in pool host cell protein that the lower pH would cause, and the run does not distort the model in that direction. The run was analysed at its design setting, so the error in pH enters the model as part of the residual of this run. Its Cook’s distance for pool host cell protein is 0.03, below the limit of 4/n. The run does not influence the fit more than the other runs of the design (</w:t>
      </w:r>
      <w:hyperlink w:anchor="sec-resid">
        <w:r>
          <w:rPr>
            <w:rStyle w:val="Hyperlink"/>
          </w:rPr>
          <w:t xml:space="preserve">Section 5.5</w:t>
        </w:r>
      </w:hyperlink>
      <w:r>
        <w:t xml:space="preserve">). The run was retained. The release test is the control on which the WC-CPP class of elution buffer pH relies, and here it failed because the meter was incorrectly calibrated. Run 23 carries a footnote in Appendix B.</w:t>
      </w:r>
    </w:p>
    <w:bookmarkEnd w:id="107"/>
    <w:bookmarkStart w:id="109" w:name="Xd7fd25eb30430c01040e39b8174bed989c7e631"/>
    <w:p>
      <w:pPr>
        <w:pStyle w:val="Heading2"/>
      </w:pPr>
      <w:r>
        <w:t xml:space="preserve">13.2 DEV-005-03. Scale-down equivalence not demonstrable with the planned set-point runs</w:t>
      </w:r>
    </w:p>
    <w:p>
      <w:pPr>
        <w:pStyle w:val="FirstParagraph"/>
      </w:pPr>
      <w:r>
        <w:t xml:space="preserve">PCP-005 Version 2.0 sets an equivalence margin for each output of the scale-down model qualification and plans 3 set-point runs in the scale-down model. The Version 2.0 re-analysis of the qualification found that, with 3 runs, the half-width of the 90 % confidence interval alone was larger than the margin for pool host cell protein, step yield and leached Protein A. Equivalence could not have been shown for these outputs whatever the means were.</w:t>
      </w:r>
      <w:r>
        <w:t xml:space="preserve"> </w:t>
      </w:r>
      <w:hyperlink w:anchor="tbl-sdm0">
        <w:r>
          <w:rPr>
            <w:rStyle w:val="Hyperlink"/>
          </w:rPr>
          <w:t xml:space="preserve">Table 24</w:t>
        </w:r>
      </w:hyperlink>
      <w:r>
        <w:t xml:space="preserve"> </w:t>
      </w:r>
      <w:r>
        <w:t xml:space="preserve">gives the result on the planned runs alone, where 1 of the 5 outputs met the criterion. The root cause is a number of replicates too small for the margin the plan set.</w:t>
      </w:r>
    </w:p>
    <w:tbl>
      <w:tblPr>
        <w:tblStyle w:val="Table"/>
        <w:tblW w:type="pct" w:w="5000"/>
        <w:tblLayout w:type="fixed"/>
        <w:tblLook w:firstRow="0" w:lastRow="0" w:firstColumn="0" w:lastColumn="0" w:noHBand="0" w:noVBand="0" w:val="0000"/>
      </w:tblPr>
      <w:tblGrid>
        <w:gridCol w:w="7920"/>
      </w:tblGrid>
      <w:tr>
        <w:tc>
          <w:tcPr/>
          <w:bookmarkStart w:id="108" w:name="tbl-sdm0"/>
          <w:p>
            <w:pPr>
              <w:jc w:val="center"/>
            </w:pPr>
            <w:pPr>
              <w:jc w:val="start"/>
              <w:spacing w:before="200"/>
              <w:pStyle w:val="ImageCaption"/>
            </w:pPr>
            <w:r>
              <w:t xml:space="preserve">Table 24: Scale-down model qualification on the planned set-point runs of S-PA-SDM alone. Abbreviations as in the qualification table of the methods section.</w:t>
            </w:r>
          </w:p>
          <w:tbl>
            <w:tblPr>
              <w:tblStyle w:val="Table"/>
              <w:tblW w:type="pct" w:w="5000"/>
              <w:tblLayout w:type="fixed"/>
              <w:tblLook w:firstRow="1" w:lastRow="0" w:firstColumn="0" w:lastColumn="0" w:noHBand="0" w:noVBand="0" w:val="0020"/>
            </w:tblPr>
            <w:tblGrid>
              <w:gridCol w:w="1963"/>
              <w:gridCol w:w="916"/>
              <w:gridCol w:w="785"/>
              <w:gridCol w:w="720"/>
              <w:gridCol w:w="916"/>
              <w:gridCol w:w="1047"/>
              <w:gridCol w:w="654"/>
              <w:gridCol w:w="916"/>
            </w:tblGrid>
            <w:tr>
              <w:trPr>
                <w:tblHeader w:val="on"/>
              </w:trPr>
              <w:tc>
                <w:tcPr/>
                <w:p>
                  <w:pPr>
                    <w:pStyle w:val="Compact"/>
                    <w:jc w:val="left"/>
                    <w:jc w:val="center"/>
                  </w:pPr>
                  <w:r>
                    <w:t xml:space="preserve">Output</w:t>
                  </w:r>
                </w:p>
              </w:tc>
              <w:tc>
                <w:tcPr/>
                <w:p>
                  <w:pPr>
                    <w:pStyle w:val="Compact"/>
                    <w:jc w:val="right"/>
                    <w:jc w:val="center"/>
                  </w:pPr>
                  <w:r>
                    <w:t xml:space="preserve">n (SD / M)</w:t>
                  </w:r>
                </w:p>
              </w:tc>
              <w:tc>
                <w:tcPr/>
                <w:p>
                  <w:pPr>
                    <w:pStyle w:val="Compact"/>
                    <w:jc w:val="right"/>
                    <w:jc w:val="center"/>
                  </w:pPr>
                  <w:r>
                    <w:t xml:space="preserve">Mean, SD</w:t>
                  </w:r>
                </w:p>
              </w:tc>
              <w:tc>
                <w:tcPr/>
                <w:p>
                  <w:pPr>
                    <w:pStyle w:val="Compact"/>
                    <w:jc w:val="right"/>
                    <w:jc w:val="center"/>
                  </w:pPr>
                  <w:r>
                    <w:t xml:space="preserve">Mean, M</w:t>
                  </w:r>
                </w:p>
              </w:tc>
              <w:tc>
                <w:tcPr/>
                <w:p>
                  <w:pPr>
                    <w:pStyle w:val="Compact"/>
                    <w:jc w:val="right"/>
                    <w:jc w:val="center"/>
                  </w:pPr>
                  <w:r>
                    <w:t xml:space="preserve">Difference</w:t>
                  </w:r>
                </w:p>
              </w:tc>
              <w:tc>
                <w:tcPr/>
                <w:p>
                  <w:pPr>
                    <w:pStyle w:val="Compact"/>
                    <w:jc w:val="right"/>
                    <w:jc w:val="center"/>
                  </w:pPr>
                  <w:r>
                    <w:t xml:space="preserve">90 % CI</w:t>
                  </w:r>
                </w:p>
              </w:tc>
              <w:tc>
                <w:tcPr/>
                <w:p>
                  <w:pPr>
                    <w:pStyle w:val="Compact"/>
                    <w:jc w:val="right"/>
                    <w:jc w:val="center"/>
                  </w:pPr>
                  <w:r>
                    <w:t xml:space="preserve">Margin</w:t>
                  </w:r>
                </w:p>
              </w:tc>
              <w:tc>
                <w:tcPr/>
                <w:p>
                  <w:pPr>
                    <w:pStyle w:val="Compact"/>
                    <w:jc w:val="right"/>
                    <w:jc w:val="center"/>
                  </w:pPr>
                  <w:r>
                    <w:t xml:space="preserve">Equivalent</w:t>
                  </w:r>
                </w:p>
              </w:tc>
            </w:tr>
            <w:tr>
              <w:tc>
                <w:tcPr/>
                <w:p>
                  <w:pPr>
                    <w:pStyle w:val="Compact"/>
                    <w:jc w:val="left"/>
                    <w:jc w:val="center"/>
                  </w:pPr>
                  <w:r>
                    <w:t xml:space="preserve">Pool HCP (ng/mg)</w:t>
                  </w:r>
                </w:p>
              </w:tc>
              <w:tc>
                <w:tcPr/>
                <w:p>
                  <w:pPr>
                    <w:pStyle w:val="Compact"/>
                    <w:jc w:val="right"/>
                    <w:jc w:val="center"/>
                  </w:pPr>
                  <w:r>
                    <w:t xml:space="preserve">3 / 5</w:t>
                  </w:r>
                </w:p>
              </w:tc>
              <w:tc>
                <w:tcPr/>
                <w:p>
                  <w:pPr>
                    <w:pStyle w:val="Compact"/>
                    <w:jc w:val="right"/>
                    <w:jc w:val="center"/>
                  </w:pPr>
                  <w:r>
                    <w:t xml:space="preserve">7,414</w:t>
                  </w:r>
                </w:p>
              </w:tc>
              <w:tc>
                <w:tcPr/>
                <w:p>
                  <w:pPr>
                    <w:pStyle w:val="Compact"/>
                    <w:jc w:val="right"/>
                    <w:jc w:val="center"/>
                  </w:pPr>
                  <w:r>
                    <w:t xml:space="preserve">7,964</w:t>
                  </w:r>
                </w:p>
              </w:tc>
              <w:tc>
                <w:tcPr/>
                <w:p>
                  <w:pPr>
                    <w:pStyle w:val="Compact"/>
                    <w:jc w:val="right"/>
                    <w:jc w:val="center"/>
                  </w:pPr>
                  <w:r>
                    <w:t xml:space="preserve">-550</w:t>
                  </w:r>
                </w:p>
              </w:tc>
              <w:tc>
                <w:tcPr/>
                <w:p>
                  <w:pPr>
                    <w:pStyle w:val="Compact"/>
                    <w:jc w:val="right"/>
                    <w:jc w:val="center"/>
                  </w:pPr>
                  <w:r>
                    <w:t xml:space="preserve">-1,799 to 699</w:t>
                  </w:r>
                </w:p>
              </w:tc>
              <w:tc>
                <w:tcPr/>
                <w:p>
                  <w:pPr>
                    <w:pStyle w:val="Compact"/>
                    <w:jc w:val="right"/>
                    <w:jc w:val="center"/>
                  </w:pPr>
                  <w:r>
                    <w:t xml:space="preserve">± 1,026</w:t>
                  </w:r>
                </w:p>
              </w:tc>
              <w:tc>
                <w:tcPr/>
                <w:p>
                  <w:pPr>
                    <w:pStyle w:val="Compact"/>
                    <w:jc w:val="right"/>
                    <w:jc w:val="center"/>
                  </w:pPr>
                  <w:r>
                    <w:t xml:space="preserve">No</w:t>
                  </w:r>
                </w:p>
              </w:tc>
            </w:tr>
            <w:tr>
              <w:tc>
                <w:tcPr/>
                <w:p>
                  <w:pPr>
                    <w:pStyle w:val="Compact"/>
                    <w:jc w:val="left"/>
                    <w:jc w:val="center"/>
                  </w:pPr>
                  <w:r>
                    <w:t xml:space="preserve">Step yield (%)</w:t>
                  </w:r>
                </w:p>
              </w:tc>
              <w:tc>
                <w:tcPr/>
                <w:p>
                  <w:pPr>
                    <w:pStyle w:val="Compact"/>
                    <w:jc w:val="right"/>
                    <w:jc w:val="center"/>
                  </w:pPr>
                  <w:r>
                    <w:t xml:space="preserve">3 / 5</w:t>
                  </w:r>
                </w:p>
              </w:tc>
              <w:tc>
                <w:tcPr/>
                <w:p>
                  <w:pPr>
                    <w:pStyle w:val="Compact"/>
                    <w:jc w:val="right"/>
                    <w:jc w:val="center"/>
                  </w:pPr>
                  <w:r>
                    <w:t xml:space="preserve">93.59</w:t>
                  </w:r>
                </w:p>
              </w:tc>
              <w:tc>
                <w:tcPr/>
                <w:p>
                  <w:pPr>
                    <w:pStyle w:val="Compact"/>
                    <w:jc w:val="right"/>
                    <w:jc w:val="center"/>
                  </w:pPr>
                  <w:r>
                    <w:t xml:space="preserve">94.42</w:t>
                  </w:r>
                </w:p>
              </w:tc>
              <w:tc>
                <w:tcPr/>
                <w:p>
                  <w:pPr>
                    <w:pStyle w:val="Compact"/>
                    <w:jc w:val="right"/>
                    <w:jc w:val="center"/>
                  </w:pPr>
                  <w:r>
                    <w:t xml:space="preserve">-0.83</w:t>
                  </w:r>
                </w:p>
              </w:tc>
              <w:tc>
                <w:tcPr/>
                <w:p>
                  <w:pPr>
                    <w:pStyle w:val="Compact"/>
                    <w:jc w:val="right"/>
                    <w:jc w:val="center"/>
                  </w:pPr>
                  <w:r>
                    <w:t xml:space="preserve">-4.53 to 2.87</w:t>
                  </w:r>
                </w:p>
              </w:tc>
              <w:tc>
                <w:tcPr/>
                <w:p>
                  <w:pPr>
                    <w:pStyle w:val="Compact"/>
                    <w:jc w:val="right"/>
                    <w:jc w:val="center"/>
                  </w:pPr>
                  <w:r>
                    <w:t xml:space="preserve">± 2.11</w:t>
                  </w:r>
                </w:p>
              </w:tc>
              <w:tc>
                <w:tcPr/>
                <w:p>
                  <w:pPr>
                    <w:pStyle w:val="Compact"/>
                    <w:jc w:val="right"/>
                    <w:jc w:val="center"/>
                  </w:pPr>
                  <w:r>
                    <w:t xml:space="preserve">No</w:t>
                  </w:r>
                </w:p>
              </w:tc>
            </w:tr>
            <w:tr>
              <w:tc>
                <w:tcPr/>
                <w:p>
                  <w:pPr>
                    <w:pStyle w:val="Compact"/>
                    <w:jc w:val="left"/>
                    <w:jc w:val="center"/>
                  </w:pPr>
                  <w:r>
                    <w:t xml:space="preserve">Leached Protein A (ppm)</w:t>
                  </w:r>
                </w:p>
              </w:tc>
              <w:tc>
                <w:tcPr/>
                <w:p>
                  <w:pPr>
                    <w:pStyle w:val="Compact"/>
                    <w:jc w:val="right"/>
                    <w:jc w:val="center"/>
                  </w:pPr>
                  <w:r>
                    <w:t xml:space="preserve">3 / 5</w:t>
                  </w:r>
                </w:p>
              </w:tc>
              <w:tc>
                <w:tcPr/>
                <w:p>
                  <w:pPr>
                    <w:pStyle w:val="Compact"/>
                    <w:jc w:val="right"/>
                    <w:jc w:val="center"/>
                  </w:pPr>
                  <w:r>
                    <w:t xml:space="preserve">2.10</w:t>
                  </w:r>
                </w:p>
              </w:tc>
              <w:tc>
                <w:tcPr/>
                <w:p>
                  <w:pPr>
                    <w:pStyle w:val="Compact"/>
                    <w:jc w:val="right"/>
                    <w:jc w:val="center"/>
                  </w:pPr>
                  <w:r>
                    <w:t xml:space="preserve">3.70</w:t>
                  </w:r>
                </w:p>
              </w:tc>
              <w:tc>
                <w:tcPr/>
                <w:p>
                  <w:pPr>
                    <w:pStyle w:val="Compact"/>
                    <w:jc w:val="right"/>
                    <w:jc w:val="center"/>
                  </w:pPr>
                  <w:r>
                    <w:t xml:space="preserve">-1.60</w:t>
                  </w:r>
                </w:p>
              </w:tc>
              <w:tc>
                <w:tcPr/>
                <w:p>
                  <w:pPr>
                    <w:pStyle w:val="Compact"/>
                    <w:jc w:val="right"/>
                    <w:jc w:val="center"/>
                  </w:pPr>
                  <w:r>
                    <w:t xml:space="preserve">-2.76 to -0.43</w:t>
                  </w:r>
                </w:p>
              </w:tc>
              <w:tc>
                <w:tcPr/>
                <w:p>
                  <w:pPr>
                    <w:pStyle w:val="Compact"/>
                    <w:jc w:val="right"/>
                    <w:jc w:val="center"/>
                  </w:pPr>
                  <w:r>
                    <w:t xml:space="preserve">± 1.08</w:t>
                  </w:r>
                </w:p>
              </w:tc>
              <w:tc>
                <w:tcPr/>
                <w:p>
                  <w:pPr>
                    <w:pStyle w:val="Compact"/>
                    <w:jc w:val="right"/>
                    <w:jc w:val="center"/>
                  </w:pPr>
                  <w:r>
                    <w:t xml:space="preserve">No</w:t>
                  </w:r>
                </w:p>
              </w:tc>
            </w:tr>
            <w:tr>
              <w:tc>
                <w:tcPr/>
                <w:p>
                  <w:pPr>
                    <w:pStyle w:val="Compact"/>
                    <w:jc w:val="left"/>
                    <w:jc w:val="center"/>
                  </w:pPr>
                  <w:r>
                    <w:t xml:space="preserve">Column efficiency (plates/m)</w:t>
                  </w:r>
                </w:p>
              </w:tc>
              <w:tc>
                <w:tcPr/>
                <w:p>
                  <w:pPr>
                    <w:pStyle w:val="Compact"/>
                    <w:jc w:val="right"/>
                    <w:jc w:val="center"/>
                  </w:pPr>
                  <w:r>
                    <w:t xml:space="preserve">3 / 5</w:t>
                  </w:r>
                </w:p>
              </w:tc>
              <w:tc>
                <w:tcPr/>
                <w:p>
                  <w:pPr>
                    <w:pStyle w:val="Compact"/>
                    <w:jc w:val="right"/>
                    <w:jc w:val="center"/>
                  </w:pPr>
                  <w:r>
                    <w:t xml:space="preserve">2,460</w:t>
                  </w:r>
                </w:p>
              </w:tc>
              <w:tc>
                <w:tcPr/>
                <w:p>
                  <w:pPr>
                    <w:pStyle w:val="Compact"/>
                    <w:jc w:val="right"/>
                    <w:jc w:val="center"/>
                  </w:pPr>
                  <w:r>
                    <w:t xml:space="preserve">2,649</w:t>
                  </w:r>
                </w:p>
              </w:tc>
              <w:tc>
                <w:tcPr/>
                <w:p>
                  <w:pPr>
                    <w:pStyle w:val="Compact"/>
                    <w:jc w:val="right"/>
                    <w:jc w:val="center"/>
                  </w:pPr>
                  <w:r>
                    <w:t xml:space="preserve">-188</w:t>
                  </w:r>
                </w:p>
              </w:tc>
              <w:tc>
                <w:tcPr/>
                <w:p>
                  <w:pPr>
                    <w:pStyle w:val="Compact"/>
                    <w:jc w:val="right"/>
                    <w:jc w:val="center"/>
                  </w:pPr>
                  <w:r>
                    <w:t xml:space="preserve">-390 to 13</w:t>
                  </w:r>
                </w:p>
              </w:tc>
              <w:tc>
                <w:tcPr/>
                <w:p>
                  <w:pPr>
                    <w:pStyle w:val="Compact"/>
                    <w:jc w:val="right"/>
                    <w:jc w:val="center"/>
                  </w:pPr>
                  <w:r>
                    <w:t xml:space="preserve">± 237</w:t>
                  </w:r>
                </w:p>
              </w:tc>
              <w:tc>
                <w:tcPr/>
                <w:p>
                  <w:pPr>
                    <w:pStyle w:val="Compact"/>
                    <w:jc w:val="right"/>
                    <w:jc w:val="center"/>
                  </w:pPr>
                  <w:r>
                    <w:t xml:space="preserve">No</w:t>
                  </w:r>
                </w:p>
              </w:tc>
            </w:tr>
            <w:tr>
              <w:tc>
                <w:tcPr/>
                <w:p>
                  <w:pPr>
                    <w:pStyle w:val="Compact"/>
                    <w:jc w:val="left"/>
                    <w:jc w:val="center"/>
                  </w:pPr>
                  <w:r>
                    <w:t xml:space="preserve">Peak asymmetry</w:t>
                  </w:r>
                </w:p>
              </w:tc>
              <w:tc>
                <w:tcPr/>
                <w:p>
                  <w:pPr>
                    <w:pStyle w:val="Compact"/>
                    <w:jc w:val="right"/>
                    <w:jc w:val="center"/>
                  </w:pPr>
                  <w:r>
                    <w:t xml:space="preserve">3 / 5</w:t>
                  </w:r>
                </w:p>
              </w:tc>
              <w:tc>
                <w:tcPr/>
                <w:p>
                  <w:pPr>
                    <w:pStyle w:val="Compact"/>
                    <w:jc w:val="right"/>
                    <w:jc w:val="center"/>
                  </w:pPr>
                  <w:r>
                    <w:t xml:space="preserve">1.22</w:t>
                  </w:r>
                </w:p>
              </w:tc>
              <w:tc>
                <w:tcPr/>
                <w:p>
                  <w:pPr>
                    <w:pStyle w:val="Compact"/>
                    <w:jc w:val="right"/>
                    <w:jc w:val="center"/>
                  </w:pPr>
                  <w:r>
                    <w:t xml:space="preserve">1.22</w:t>
                  </w:r>
                </w:p>
              </w:tc>
              <w:tc>
                <w:tcPr/>
                <w:p>
                  <w:pPr>
                    <w:pStyle w:val="Compact"/>
                    <w:jc w:val="right"/>
                    <w:jc w:val="center"/>
                  </w:pPr>
                  <w:r>
                    <w:t xml:space="preserve">0.00</w:t>
                  </w:r>
                </w:p>
              </w:tc>
              <w:tc>
                <w:tcPr/>
                <w:p>
                  <w:pPr>
                    <w:pStyle w:val="Compact"/>
                    <w:jc w:val="right"/>
                    <w:jc w:val="center"/>
                  </w:pPr>
                  <w:r>
                    <w:t xml:space="preserve">-0.11 to 0.11</w:t>
                  </w:r>
                </w:p>
              </w:tc>
              <w:tc>
                <w:tcPr/>
                <w:p>
                  <w:pPr>
                    <w:pStyle w:val="Compact"/>
                    <w:jc w:val="right"/>
                    <w:jc w:val="center"/>
                  </w:pPr>
                  <w:r>
                    <w:t xml:space="preserve">± 0.12</w:t>
                  </w:r>
                </w:p>
              </w:tc>
              <w:tc>
                <w:tcPr/>
                <w:p>
                  <w:pPr>
                    <w:pStyle w:val="Compact"/>
                    <w:jc w:val="right"/>
                    <w:jc w:val="center"/>
                  </w:pPr>
                  <w:r>
                    <w:t xml:space="preserve">Yes</w:t>
                  </w:r>
                </w:p>
              </w:tc>
            </w:tr>
          </w:tbl>
          <w:bookmarkEnd w:id="108"/>
          <w:p/>
        </w:tc>
      </w:tr>
    </w:tbl>
    <w:p>
      <w:pPr>
        <w:pStyle w:val="BodyText"/>
      </w:pPr>
      <w:r>
        <w:t xml:space="preserve">In study S-PA-SDM2 (2026-09-07 to 2026-09-11), 6 supplementary set-point runs were made during INV-001. The margins were not changed, because a criterion changed after the data are seen is the failure that INV-001 investigated. The equivalence test was repeated over all 9 scale-down runs (</w:t>
      </w:r>
      <w:hyperlink w:anchor="sec-sdm">
        <w:r>
          <w:rPr>
            <w:rStyle w:val="Hyperlink"/>
          </w:rPr>
          <w:t xml:space="preserve">Section 3.1</w:t>
        </w:r>
      </w:hyperlink>
      <w:r>
        <w:t xml:space="preserve">). The model is now qualified for pool host cell protein and peak asymmetry. Leached Protein A differs by the accepted scale effect. Step yield and column efficiency were not shown equivalent, and neither sets a range. The supplementary runs were made after the characterization studies, so the qualification for pool host cell protein was completed after the data it supports were collected.</w:t>
      </w:r>
    </w:p>
    <w:bookmarkEnd w:id="109"/>
    <w:bookmarkStart w:id="110" w:name="Xeb9808b838fcc1828c75b2775a8897e1e595eb7"/>
    <w:p>
      <w:pPr>
        <w:pStyle w:val="Heading2"/>
      </w:pPr>
      <w:r>
        <w:t xml:space="preserve">13.3 DEV-005-02. Leached Protein A result of run 11 initially out of trend</w:t>
      </w:r>
    </w:p>
    <w:p>
      <w:pPr>
        <w:pStyle w:val="FirstParagraph"/>
      </w:pPr>
      <w:r>
        <w:t xml:space="preserve">The leached Protein A result of run 11 of the response-surface design was out of trend at analytical review. The sample was re-assayed under AMV-3016. The investigation attributed the first result to suspected carryover in the ELISA. The re-assay result, 2.12 ppm, is the one reported in Appendix B and used in the analysis, and the first result was kept in the record with its status marked. The re-assay result lies inside the range of the other runs of the design and far below the intermediate acceptance criterion of ≤ 158 ppm.</w:t>
      </w:r>
    </w:p>
    <w:bookmarkEnd w:id="110"/>
    <w:bookmarkEnd w:id="111"/>
    <w:bookmarkStart w:id="123" w:name="appendices"/>
    <w:p>
      <w:pPr>
        <w:pStyle w:val="Heading1"/>
      </w:pPr>
      <w:r>
        <w:t xml:space="preserve">Appendices</w:t>
      </w:r>
    </w:p>
    <w:bookmarkStart w:id="113" w:name="X3eb0dc32945a2e53c94598b2756dbf9ce86c7a7"/>
    <w:p>
      <w:pPr>
        <w:pStyle w:val="Heading2"/>
      </w:pPr>
      <w:r>
        <w:t xml:space="preserve">Appendix A. Screening design matrix and responses</w:t>
      </w:r>
    </w:p>
    <w:p>
      <w:pPr>
        <w:pStyle w:val="FirstParagraph"/>
      </w:pPr>
      <w:hyperlink w:anchor="tbl-doe-protein-a-screening">
        <w:r>
          <w:rPr>
            <w:rStyle w:val="Hyperlink"/>
          </w:rPr>
          <w:t xml:space="preserve">Table 25</w:t>
        </w:r>
      </w:hyperlink>
      <w:r>
        <w:t xml:space="preserve"> </w:t>
      </w:r>
      <w:r>
        <w:t xml:space="preserve">gives the screening design (study S-PA-SCR) in natural units, with the results.</w:t>
      </w:r>
    </w:p>
    <w:tbl>
      <w:tblPr>
        <w:tblStyle w:val="Table"/>
        <w:tblW w:type="pct" w:w="5000"/>
        <w:tblLayout w:type="fixed"/>
        <w:tblLook w:firstRow="0" w:lastRow="0" w:firstColumn="0" w:lastColumn="0" w:noHBand="0" w:noVBand="0" w:val="0000"/>
      </w:tblPr>
      <w:tblGrid>
        <w:gridCol w:w="7920"/>
      </w:tblGrid>
      <w:tr>
        <w:tc>
          <w:tcPr/>
          <w:bookmarkStart w:id="112" w:name="tbl-doe-protein-a-screening"/>
          <w:p>
            <w:pPr>
              <w:jc w:val="center"/>
            </w:pPr>
            <w:pPr>
              <w:jc w:val="start"/>
              <w:spacing w:before="200"/>
              <w:pStyle w:val="ImageCaption"/>
            </w:pPr>
            <w:r>
              <w:t xml:space="preserve">Table 25: Protein A screening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 (%)</w:t>
                  </w:r>
                </w:p>
              </w:tc>
            </w:tr>
            <w:tr>
              <w:trPr>
                <w:tblHeader w:val="on"/>
              </w:trPr>
              <w:tc>
                <w:tcPr>
                  <w:gridSpan w:val="1"/>
                  <w:vMerge w:val="continue"/>
                </w:tcPr>
                <w:p>
                  <w:pPr/>
                </w:p>
              </w:tc>
              <w:tc>
                <w:tcPr>
                  <w:gridSpan w:val="1"/>
                  <w:vMerge w:val="continue"/>
                </w:tcPr>
                <w:p>
                  <w:pPr/>
                </w:p>
              </w:tc>
              <w:tc>
                <w:tcPr/>
                <w:p>
                  <w:pPr>
                    <w:pStyle w:val="Compact"/>
                    <w:jc w:val="center"/>
                  </w:pPr>
                  <w:r>
                    <w:t xml:space="preserve">Protein load (g/L resin)</w:t>
                  </w:r>
                </w:p>
              </w:tc>
              <w:tc>
                <w:tcPr/>
                <w:p>
                  <w:pPr>
                    <w:pStyle w:val="Compact"/>
                    <w:jc w:val="center"/>
                  </w:pPr>
                  <w:r>
                    <w:t xml:space="preserve">Elution buffer pH (pH)</w:t>
                  </w:r>
                </w:p>
              </w:tc>
              <w:tc>
                <w:tcPr/>
                <w:p>
                  <w:pPr>
                    <w:pStyle w:val="Compact"/>
                    <w:jc w:val="center"/>
                  </w:pPr>
                  <w:r>
                    <w:t xml:space="preserve">Load flow rate (cm/hr)</w:t>
                  </w:r>
                </w:p>
              </w:tc>
              <w:tc>
                <w:tcPr/>
                <w:p>
                  <w:pPr>
                    <w:pStyle w:val="Compact"/>
                    <w:jc w:val="center"/>
                  </w:pPr>
                  <w:r>
                    <w:t xml:space="preserve">End of pool collect (CV)</w:t>
                  </w:r>
                </w:p>
              </w:tc>
              <w:tc>
                <w:tcPr/>
                <w:p>
                  <w:pPr>
                    <w:pStyle w:val="Compact"/>
                    <w:jc w:val="center"/>
                  </w:pPr>
                  <w:r>
                    <w:t xml:space="preserve">HCP (ng/mg)</w:t>
                  </w:r>
                </w:p>
              </w:tc>
              <w:tc>
                <w:tcPr/>
                <w:p>
                  <w:pPr>
                    <w:pStyle w:val="Compact"/>
                    <w:jc w:val="center"/>
                  </w:pPr>
                  <w:r>
                    <w:t xml:space="preserve">Yield (%)</w:t>
                  </w:r>
                </w:p>
              </w:tc>
              <w:tc>
                <w:tcPr/>
                <w:p>
                  <w:pPr>
                    <w:pStyle w:val="Compact"/>
                    <w:jc w:val="center"/>
                  </w:pPr>
                  <w:r>
                    <w:t xml:space="preserve">Leached PrA (ppm)</w:t>
                  </w:r>
                </w:p>
              </w:tc>
              <w:tc>
                <w:tcPr/>
                <w:p>
                  <w:pPr>
                    <w:pStyle w:val="Compact"/>
                    <w:jc w:val="center"/>
                  </w:pPr>
                  <w:r>
                    <w:t xml:space="preserve">SEC</w:t>
                  </w:r>
                </w:p>
              </w:tc>
              <w:tc>
                <w:tcPr/>
                <w:p>
                  <w:pPr>
                    <w:pStyle w:val="Compact"/>
                    <w:jc w:val="center"/>
                  </w:pPr>
                  <w:r>
                    <w:t xml:space="preserve">nrCE-SDS</w:t>
                  </w:r>
                </w:p>
              </w:tc>
            </w:tr>
            <w:tr>
              <w:tc>
                <w:tcPr/>
                <w:p>
                  <w:pPr>
                    <w:pStyle w:val="Compact"/>
                    <w:jc w:val="center"/>
                  </w:pPr>
                  <w:r>
                    <w:t xml:space="preserve">1</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9,966</w:t>
                  </w:r>
                </w:p>
              </w:tc>
              <w:tc>
                <w:tcPr/>
                <w:p>
                  <w:pPr>
                    <w:pStyle w:val="Compact"/>
                    <w:jc w:val="center"/>
                  </w:pPr>
                  <w:r>
                    <w:t xml:space="preserve">91.8</w:t>
                  </w:r>
                </w:p>
              </w:tc>
              <w:tc>
                <w:tcPr/>
                <w:p>
                  <w:pPr>
                    <w:pStyle w:val="Compact"/>
                    <w:jc w:val="center"/>
                  </w:pPr>
                  <w:r>
                    <w:t xml:space="preserve">2.64</w:t>
                  </w:r>
                </w:p>
              </w:tc>
              <w:tc>
                <w:tcPr/>
                <w:p>
                  <w:pPr>
                    <w:pStyle w:val="Compact"/>
                    <w:jc w:val="center"/>
                  </w:pPr>
                  <w:r>
                    <w:t xml:space="preserve">1.41</w:t>
                  </w:r>
                </w:p>
              </w:tc>
              <w:tc>
                <w:tcPr/>
                <w:p>
                  <w:pPr>
                    <w:pStyle w:val="Compact"/>
                    <w:jc w:val="center"/>
                  </w:pPr>
                  <w:r>
                    <w:t xml:space="preserve">n.t.</w:t>
                  </w:r>
                </w:p>
              </w:tc>
            </w:tr>
            <w:tr>
              <w:tc>
                <w:tcPr/>
                <w:p>
                  <w:pPr>
                    <w:pStyle w:val="Compact"/>
                    <w:jc w:val="center"/>
                  </w:pPr>
                  <w:r>
                    <w:t xml:space="preserve">2</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9,515</w:t>
                  </w:r>
                </w:p>
              </w:tc>
              <w:tc>
                <w:tcPr/>
                <w:p>
                  <w:pPr>
                    <w:pStyle w:val="Compact"/>
                    <w:jc w:val="center"/>
                  </w:pPr>
                  <w:r>
                    <w:t xml:space="preserve">99.0</w:t>
                  </w:r>
                </w:p>
              </w:tc>
              <w:tc>
                <w:tcPr/>
                <w:p>
                  <w:pPr>
                    <w:pStyle w:val="Compact"/>
                    <w:jc w:val="center"/>
                  </w:pPr>
                  <w:r>
                    <w:t xml:space="preserve">3.00</w:t>
                  </w:r>
                </w:p>
              </w:tc>
              <w:tc>
                <w:tcPr/>
                <w:p>
                  <w:pPr>
                    <w:pStyle w:val="Compact"/>
                    <w:jc w:val="center"/>
                  </w:pPr>
                  <w:r>
                    <w:t xml:space="preserve">1.46</w:t>
                  </w:r>
                </w:p>
              </w:tc>
              <w:tc>
                <w:tcPr/>
                <w:p>
                  <w:pPr>
                    <w:pStyle w:val="Compact"/>
                    <w:jc w:val="center"/>
                  </w:pPr>
                  <w:r>
                    <w:t xml:space="preserve">n.t.</w:t>
                  </w:r>
                </w:p>
              </w:tc>
            </w:tr>
            <w:tr>
              <w:tc>
                <w:tcPr/>
                <w:p>
                  <w:pPr>
                    <w:pStyle w:val="Compact"/>
                    <w:jc w:val="center"/>
                  </w:pPr>
                  <w:r>
                    <w:t xml:space="preserve">3</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9,023</w:t>
                  </w:r>
                </w:p>
              </w:tc>
              <w:tc>
                <w:tcPr/>
                <w:p>
                  <w:pPr>
                    <w:pStyle w:val="Compact"/>
                    <w:jc w:val="center"/>
                  </w:pPr>
                  <w:r>
                    <w:t xml:space="preserve">92.8</w:t>
                  </w:r>
                </w:p>
              </w:tc>
              <w:tc>
                <w:tcPr/>
                <w:p>
                  <w:pPr>
                    <w:pStyle w:val="Compact"/>
                    <w:jc w:val="center"/>
                  </w:pPr>
                  <w:r>
                    <w:t xml:space="preserve">3.03</w:t>
                  </w:r>
                </w:p>
              </w:tc>
              <w:tc>
                <w:tcPr/>
                <w:p>
                  <w:pPr>
                    <w:pStyle w:val="Compact"/>
                    <w:jc w:val="center"/>
                  </w:pPr>
                  <w:r>
                    <w:t xml:space="preserve">1.42</w:t>
                  </w:r>
                </w:p>
              </w:tc>
              <w:tc>
                <w:tcPr/>
                <w:p>
                  <w:pPr>
                    <w:pStyle w:val="Compact"/>
                    <w:jc w:val="center"/>
                  </w:pPr>
                  <w:r>
                    <w:t xml:space="preserve">n.t.</w:t>
                  </w:r>
                </w:p>
              </w:tc>
            </w:tr>
            <w:tr>
              <w:tc>
                <w:tcPr/>
                <w:p>
                  <w:pPr>
                    <w:pStyle w:val="Compact"/>
                    <w:jc w:val="center"/>
                  </w:pPr>
                  <w:r>
                    <w:t xml:space="preserve">4</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7,894</w:t>
                  </w:r>
                </w:p>
              </w:tc>
              <w:tc>
                <w:tcPr/>
                <w:p>
                  <w:pPr>
                    <w:pStyle w:val="Compact"/>
                    <w:jc w:val="center"/>
                  </w:pPr>
                  <w:r>
                    <w:t xml:space="preserve">98.0</w:t>
                  </w:r>
                </w:p>
              </w:tc>
              <w:tc>
                <w:tcPr/>
                <w:p>
                  <w:pPr>
                    <w:pStyle w:val="Compact"/>
                    <w:jc w:val="center"/>
                  </w:pPr>
                  <w:r>
                    <w:t xml:space="preserve">2.98</w:t>
                  </w:r>
                </w:p>
              </w:tc>
              <w:tc>
                <w:tcPr/>
                <w:p>
                  <w:pPr>
                    <w:pStyle w:val="Compact"/>
                    <w:jc w:val="center"/>
                  </w:pPr>
                  <w:r>
                    <w:t xml:space="preserve">1.47</w:t>
                  </w:r>
                </w:p>
              </w:tc>
              <w:tc>
                <w:tcPr/>
                <w:p>
                  <w:pPr>
                    <w:pStyle w:val="Compact"/>
                    <w:jc w:val="center"/>
                  </w:pPr>
                  <w:r>
                    <w:t xml:space="preserve">n.t.</w:t>
                  </w:r>
                </w:p>
              </w:tc>
            </w:tr>
            <w:tr>
              <w:tc>
                <w:tcPr/>
                <w:p>
                  <w:pPr>
                    <w:pStyle w:val="Compact"/>
                    <w:jc w:val="center"/>
                  </w:pPr>
                  <w:r>
                    <w:t xml:space="preserve">5</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3,212</w:t>
                  </w:r>
                </w:p>
              </w:tc>
              <w:tc>
                <w:tcPr/>
                <w:p>
                  <w:pPr>
                    <w:pStyle w:val="Compact"/>
                    <w:jc w:val="center"/>
                  </w:pPr>
                  <w:r>
                    <w:t xml:space="preserve">91.5</w:t>
                  </w:r>
                </w:p>
              </w:tc>
              <w:tc>
                <w:tcPr/>
                <w:p>
                  <w:pPr>
                    <w:pStyle w:val="Compact"/>
                    <w:jc w:val="center"/>
                  </w:pPr>
                  <w:r>
                    <w:t xml:space="preserve">2.88</w:t>
                  </w:r>
                </w:p>
              </w:tc>
              <w:tc>
                <w:tcPr/>
                <w:p>
                  <w:pPr>
                    <w:pStyle w:val="Compact"/>
                    <w:jc w:val="center"/>
                  </w:pPr>
                  <w:r>
                    <w:t xml:space="preserve">1.03</w:t>
                  </w:r>
                </w:p>
              </w:tc>
              <w:tc>
                <w:tcPr/>
                <w:p>
                  <w:pPr>
                    <w:pStyle w:val="Compact"/>
                    <w:jc w:val="center"/>
                  </w:pPr>
                  <w:r>
                    <w:t xml:space="preserve">n.t.</w:t>
                  </w:r>
                </w:p>
              </w:tc>
            </w:tr>
            <w:tr>
              <w:tc>
                <w:tcPr/>
                <w:p>
                  <w:pPr>
                    <w:pStyle w:val="Compact"/>
                    <w:jc w:val="center"/>
                  </w:pPr>
                  <w:r>
                    <w:t xml:space="preserve">6</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2,523</w:t>
                  </w:r>
                </w:p>
              </w:tc>
              <w:tc>
                <w:tcPr/>
                <w:p>
                  <w:pPr>
                    <w:pStyle w:val="Compact"/>
                    <w:jc w:val="center"/>
                  </w:pPr>
                  <w:r>
                    <w:t xml:space="preserve">98.6</w:t>
                  </w:r>
                </w:p>
              </w:tc>
              <w:tc>
                <w:tcPr/>
                <w:p>
                  <w:pPr>
                    <w:pStyle w:val="Compact"/>
                    <w:jc w:val="center"/>
                  </w:pPr>
                  <w:r>
                    <w:t xml:space="preserve">3.82</w:t>
                  </w:r>
                </w:p>
              </w:tc>
              <w:tc>
                <w:tcPr/>
                <w:p>
                  <w:pPr>
                    <w:pStyle w:val="Compact"/>
                    <w:jc w:val="center"/>
                  </w:pPr>
                  <w:r>
                    <w:t xml:space="preserve">1.03</w:t>
                  </w:r>
                </w:p>
              </w:tc>
              <w:tc>
                <w:tcPr/>
                <w:p>
                  <w:pPr>
                    <w:pStyle w:val="Compact"/>
                    <w:jc w:val="center"/>
                  </w:pPr>
                  <w:r>
                    <w:t xml:space="preserve">n.t.</w:t>
                  </w:r>
                </w:p>
              </w:tc>
            </w:tr>
            <w:tr>
              <w:tc>
                <w:tcPr/>
                <w:p>
                  <w:pPr>
                    <w:pStyle w:val="Compact"/>
                    <w:jc w:val="center"/>
                  </w:pPr>
                  <w:r>
                    <w:t xml:space="preserve">7</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2,540</w:t>
                  </w:r>
                </w:p>
              </w:tc>
              <w:tc>
                <w:tcPr/>
                <w:p>
                  <w:pPr>
                    <w:pStyle w:val="Compact"/>
                    <w:jc w:val="center"/>
                  </w:pPr>
                  <w:r>
                    <w:t xml:space="preserve">92.9</w:t>
                  </w:r>
                </w:p>
              </w:tc>
              <w:tc>
                <w:tcPr/>
                <w:p>
                  <w:pPr>
                    <w:pStyle w:val="Compact"/>
                    <w:jc w:val="center"/>
                  </w:pPr>
                  <w:r>
                    <w:t xml:space="preserve">3.30</w:t>
                  </w:r>
                </w:p>
              </w:tc>
              <w:tc>
                <w:tcPr/>
                <w:p>
                  <w:pPr>
                    <w:pStyle w:val="Compact"/>
                    <w:jc w:val="center"/>
                  </w:pPr>
                  <w:r>
                    <w:t xml:space="preserve">0.91</w:t>
                  </w:r>
                </w:p>
              </w:tc>
              <w:tc>
                <w:tcPr/>
                <w:p>
                  <w:pPr>
                    <w:pStyle w:val="Compact"/>
                    <w:jc w:val="center"/>
                  </w:pPr>
                  <w:r>
                    <w:t xml:space="preserve">n.t.</w:t>
                  </w:r>
                </w:p>
              </w:tc>
            </w:tr>
            <w:tr>
              <w:tc>
                <w:tcPr/>
                <w:p>
                  <w:pPr>
                    <w:pStyle w:val="Compact"/>
                    <w:jc w:val="center"/>
                  </w:pPr>
                  <w:r>
                    <w:t xml:space="preserve">8</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3,108</w:t>
                  </w:r>
                </w:p>
              </w:tc>
              <w:tc>
                <w:tcPr/>
                <w:p>
                  <w:pPr>
                    <w:pStyle w:val="Compact"/>
                    <w:jc w:val="center"/>
                  </w:pPr>
                  <w:r>
                    <w:t xml:space="preserve">96.0</w:t>
                  </w:r>
                </w:p>
              </w:tc>
              <w:tc>
                <w:tcPr/>
                <w:p>
                  <w:pPr>
                    <w:pStyle w:val="Compact"/>
                    <w:jc w:val="center"/>
                  </w:pPr>
                  <w:r>
                    <w:t xml:space="preserve">2.43</w:t>
                  </w:r>
                </w:p>
              </w:tc>
              <w:tc>
                <w:tcPr/>
                <w:p>
                  <w:pPr>
                    <w:pStyle w:val="Compact"/>
                    <w:jc w:val="center"/>
                  </w:pPr>
                  <w:r>
                    <w:t xml:space="preserve">0.97</w:t>
                  </w:r>
                </w:p>
              </w:tc>
              <w:tc>
                <w:tcPr/>
                <w:p>
                  <w:pPr>
                    <w:pStyle w:val="Compact"/>
                    <w:jc w:val="center"/>
                  </w:pPr>
                  <w:r>
                    <w:t xml:space="preserve">n.t.</w:t>
                  </w:r>
                </w:p>
              </w:tc>
            </w:tr>
            <w:tr>
              <w:tc>
                <w:tcPr/>
                <w:p>
                  <w:pPr>
                    <w:pStyle w:val="Compact"/>
                    <w:jc w:val="center"/>
                  </w:pPr>
                  <w:r>
                    <w:t xml:space="preserve">9</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16,568</w:t>
                  </w:r>
                </w:p>
              </w:tc>
              <w:tc>
                <w:tcPr/>
                <w:p>
                  <w:pPr>
                    <w:pStyle w:val="Compact"/>
                    <w:jc w:val="center"/>
                  </w:pPr>
                  <w:r>
                    <w:t xml:space="preserve">91.3</w:t>
                  </w:r>
                </w:p>
              </w:tc>
              <w:tc>
                <w:tcPr/>
                <w:p>
                  <w:pPr>
                    <w:pStyle w:val="Compact"/>
                    <w:jc w:val="center"/>
                  </w:pPr>
                  <w:r>
                    <w:t xml:space="preserve">2.47</w:t>
                  </w:r>
                </w:p>
              </w:tc>
              <w:tc>
                <w:tcPr/>
                <w:p>
                  <w:pPr>
                    <w:pStyle w:val="Compact"/>
                    <w:jc w:val="center"/>
                  </w:pPr>
                  <w:r>
                    <w:t xml:space="preserve">1.76</w:t>
                  </w:r>
                </w:p>
              </w:tc>
              <w:tc>
                <w:tcPr/>
                <w:p>
                  <w:pPr>
                    <w:pStyle w:val="Compact"/>
                    <w:jc w:val="center"/>
                  </w:pPr>
                  <w:r>
                    <w:t xml:space="preserve">n.t.</w:t>
                  </w:r>
                </w:p>
              </w:tc>
            </w:tr>
            <w:tr>
              <w:tc>
                <w:tcPr/>
                <w:p>
                  <w:pPr>
                    <w:pStyle w:val="Compact"/>
                    <w:jc w:val="center"/>
                  </w:pPr>
                  <w:r>
                    <w:t xml:space="preserve">10</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19,738</w:t>
                  </w:r>
                </w:p>
              </w:tc>
              <w:tc>
                <w:tcPr/>
                <w:p>
                  <w:pPr>
                    <w:pStyle w:val="Compact"/>
                    <w:jc w:val="center"/>
                  </w:pPr>
                  <w:r>
                    <w:t xml:space="preserve">99.0</w:t>
                  </w:r>
                </w:p>
              </w:tc>
              <w:tc>
                <w:tcPr/>
                <w:p>
                  <w:pPr>
                    <w:pStyle w:val="Compact"/>
                    <w:jc w:val="center"/>
                  </w:pPr>
                  <w:r>
                    <w:t xml:space="preserve">2.66</w:t>
                  </w:r>
                </w:p>
              </w:tc>
              <w:tc>
                <w:tcPr/>
                <w:p>
                  <w:pPr>
                    <w:pStyle w:val="Compact"/>
                    <w:jc w:val="center"/>
                  </w:pPr>
                  <w:r>
                    <w:t xml:space="preserve">1.97</w:t>
                  </w:r>
                </w:p>
              </w:tc>
              <w:tc>
                <w:tcPr/>
                <w:p>
                  <w:pPr>
                    <w:pStyle w:val="Compact"/>
                    <w:jc w:val="center"/>
                  </w:pPr>
                  <w:r>
                    <w:t xml:space="preserve">n.t.</w:t>
                  </w:r>
                </w:p>
              </w:tc>
            </w:tr>
            <w:tr>
              <w:tc>
                <w:tcPr/>
                <w:p>
                  <w:pPr>
                    <w:pStyle w:val="Compact"/>
                    <w:jc w:val="center"/>
                  </w:pPr>
                  <w:r>
                    <w:t xml:space="preserve">11</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18,271</w:t>
                  </w:r>
                </w:p>
              </w:tc>
              <w:tc>
                <w:tcPr/>
                <w:p>
                  <w:pPr>
                    <w:pStyle w:val="Compact"/>
                    <w:jc w:val="center"/>
                  </w:pPr>
                  <w:r>
                    <w:t xml:space="preserve">85.7</w:t>
                  </w:r>
                </w:p>
              </w:tc>
              <w:tc>
                <w:tcPr/>
                <w:p>
                  <w:pPr>
                    <w:pStyle w:val="Compact"/>
                    <w:jc w:val="center"/>
                  </w:pPr>
                  <w:r>
                    <w:t xml:space="preserve">2.67</w:t>
                  </w:r>
                </w:p>
              </w:tc>
              <w:tc>
                <w:tcPr/>
                <w:p>
                  <w:pPr>
                    <w:pStyle w:val="Compact"/>
                    <w:jc w:val="center"/>
                  </w:pPr>
                  <w:r>
                    <w:t xml:space="preserve">1.87</w:t>
                  </w:r>
                </w:p>
              </w:tc>
              <w:tc>
                <w:tcPr/>
                <w:p>
                  <w:pPr>
                    <w:pStyle w:val="Compact"/>
                    <w:jc w:val="center"/>
                  </w:pPr>
                  <w:r>
                    <w:t xml:space="preserve">n.t.</w:t>
                  </w:r>
                </w:p>
              </w:tc>
            </w:tr>
            <w:tr>
              <w:tc>
                <w:tcPr/>
                <w:p>
                  <w:pPr>
                    <w:pStyle w:val="Compact"/>
                    <w:jc w:val="center"/>
                  </w:pPr>
                  <w:r>
                    <w:t xml:space="preserve">12</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21,245</w:t>
                  </w:r>
                </w:p>
              </w:tc>
              <w:tc>
                <w:tcPr/>
                <w:p>
                  <w:pPr>
                    <w:pStyle w:val="Compact"/>
                    <w:jc w:val="center"/>
                  </w:pPr>
                  <w:r>
                    <w:t xml:space="preserve">93.6</w:t>
                  </w:r>
                </w:p>
              </w:tc>
              <w:tc>
                <w:tcPr/>
                <w:p>
                  <w:pPr>
                    <w:pStyle w:val="Compact"/>
                    <w:jc w:val="center"/>
                  </w:pPr>
                  <w:r>
                    <w:t xml:space="preserve">3.54</w:t>
                  </w:r>
                </w:p>
              </w:tc>
              <w:tc>
                <w:tcPr/>
                <w:p>
                  <w:pPr>
                    <w:pStyle w:val="Compact"/>
                    <w:jc w:val="center"/>
                  </w:pPr>
                  <w:r>
                    <w:t xml:space="preserve">1.98</w:t>
                  </w:r>
                </w:p>
              </w:tc>
              <w:tc>
                <w:tcPr/>
                <w:p>
                  <w:pPr>
                    <w:pStyle w:val="Compact"/>
                    <w:jc w:val="center"/>
                  </w:pPr>
                  <w:r>
                    <w:t xml:space="preserve">n.t.</w:t>
                  </w:r>
                </w:p>
              </w:tc>
            </w:tr>
            <w:tr>
              <w:tc>
                <w:tcPr/>
                <w:p>
                  <w:pPr>
                    <w:pStyle w:val="Compact"/>
                    <w:jc w:val="center"/>
                  </w:pPr>
                  <w:r>
                    <w:t xml:space="preserve">13</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6,792</w:t>
                  </w:r>
                </w:p>
              </w:tc>
              <w:tc>
                <w:tcPr/>
                <w:p>
                  <w:pPr>
                    <w:pStyle w:val="Compact"/>
                    <w:jc w:val="center"/>
                  </w:pPr>
                  <w:r>
                    <w:t xml:space="preserve">91.1</w:t>
                  </w:r>
                </w:p>
              </w:tc>
              <w:tc>
                <w:tcPr/>
                <w:p>
                  <w:pPr>
                    <w:pStyle w:val="Compact"/>
                    <w:jc w:val="center"/>
                  </w:pPr>
                  <w:r>
                    <w:t xml:space="preserve">2.77</w:t>
                  </w:r>
                </w:p>
              </w:tc>
              <w:tc>
                <w:tcPr/>
                <w:p>
                  <w:pPr>
                    <w:pStyle w:val="Compact"/>
                    <w:jc w:val="center"/>
                  </w:pPr>
                  <w:r>
                    <w:t xml:space="preserve">1.23</w:t>
                  </w:r>
                </w:p>
              </w:tc>
              <w:tc>
                <w:tcPr/>
                <w:p>
                  <w:pPr>
                    <w:pStyle w:val="Compact"/>
                    <w:jc w:val="center"/>
                  </w:pPr>
                  <w:r>
                    <w:t xml:space="preserve">n.t.</w:t>
                  </w:r>
                </w:p>
              </w:tc>
            </w:tr>
            <w:tr>
              <w:tc>
                <w:tcPr/>
                <w:p>
                  <w:pPr>
                    <w:pStyle w:val="Compact"/>
                    <w:jc w:val="center"/>
                  </w:pPr>
                  <w:r>
                    <w:t xml:space="preserve">14</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7,875</w:t>
                  </w:r>
                </w:p>
              </w:tc>
              <w:tc>
                <w:tcPr/>
                <w:p>
                  <w:pPr>
                    <w:pStyle w:val="Compact"/>
                    <w:jc w:val="center"/>
                  </w:pPr>
                  <w:r>
                    <w:t xml:space="preserve">97.6</w:t>
                  </w:r>
                </w:p>
              </w:tc>
              <w:tc>
                <w:tcPr/>
                <w:p>
                  <w:pPr>
                    <w:pStyle w:val="Compact"/>
                    <w:jc w:val="center"/>
                  </w:pPr>
                  <w:r>
                    <w:t xml:space="preserve">2.29</w:t>
                  </w:r>
                </w:p>
              </w:tc>
              <w:tc>
                <w:tcPr/>
                <w:p>
                  <w:pPr>
                    <w:pStyle w:val="Compact"/>
                    <w:jc w:val="center"/>
                  </w:pPr>
                  <w:r>
                    <w:t xml:space="preserve">1.22</w:t>
                  </w:r>
                </w:p>
              </w:tc>
              <w:tc>
                <w:tcPr/>
                <w:p>
                  <w:pPr>
                    <w:pStyle w:val="Compact"/>
                    <w:jc w:val="center"/>
                  </w:pPr>
                  <w:r>
                    <w:t xml:space="preserve">n.t.</w:t>
                  </w:r>
                </w:p>
              </w:tc>
            </w:tr>
            <w:tr>
              <w:tc>
                <w:tcPr/>
                <w:p>
                  <w:pPr>
                    <w:pStyle w:val="Compact"/>
                    <w:jc w:val="center"/>
                  </w:pPr>
                  <w:r>
                    <w:t xml:space="preserve">15</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7,655</w:t>
                  </w:r>
                </w:p>
              </w:tc>
              <w:tc>
                <w:tcPr/>
                <w:p>
                  <w:pPr>
                    <w:pStyle w:val="Compact"/>
                    <w:jc w:val="center"/>
                  </w:pPr>
                  <w:r>
                    <w:t xml:space="preserve">89.1</w:t>
                  </w:r>
                </w:p>
              </w:tc>
              <w:tc>
                <w:tcPr/>
                <w:p>
                  <w:pPr>
                    <w:pStyle w:val="Compact"/>
                    <w:jc w:val="center"/>
                  </w:pPr>
                  <w:r>
                    <w:t xml:space="preserve">2.88</w:t>
                  </w:r>
                </w:p>
              </w:tc>
              <w:tc>
                <w:tcPr/>
                <w:p>
                  <w:pPr>
                    <w:pStyle w:val="Compact"/>
                    <w:jc w:val="center"/>
                  </w:pPr>
                  <w:r>
                    <w:t xml:space="preserve">1.21</w:t>
                  </w:r>
                </w:p>
              </w:tc>
              <w:tc>
                <w:tcPr/>
                <w:p>
                  <w:pPr>
                    <w:pStyle w:val="Compact"/>
                    <w:jc w:val="center"/>
                  </w:pPr>
                  <w:r>
                    <w:t xml:space="preserve">n.t.</w:t>
                  </w:r>
                </w:p>
              </w:tc>
            </w:tr>
            <w:tr>
              <w:tc>
                <w:tcPr/>
                <w:p>
                  <w:pPr>
                    <w:pStyle w:val="Compact"/>
                    <w:jc w:val="center"/>
                  </w:pPr>
                  <w:r>
                    <w:t xml:space="preserve">16</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7,792</w:t>
                  </w:r>
                </w:p>
              </w:tc>
              <w:tc>
                <w:tcPr/>
                <w:p>
                  <w:pPr>
                    <w:pStyle w:val="Compact"/>
                    <w:jc w:val="center"/>
                  </w:pPr>
                  <w:r>
                    <w:t xml:space="preserve">92.7</w:t>
                  </w:r>
                </w:p>
              </w:tc>
              <w:tc>
                <w:tcPr/>
                <w:p>
                  <w:pPr>
                    <w:pStyle w:val="Compact"/>
                    <w:jc w:val="center"/>
                  </w:pPr>
                  <w:r>
                    <w:t xml:space="preserve">3.14</w:t>
                  </w:r>
                </w:p>
              </w:tc>
              <w:tc>
                <w:tcPr/>
                <w:p>
                  <w:pPr>
                    <w:pStyle w:val="Compact"/>
                    <w:jc w:val="center"/>
                  </w:pPr>
                  <w:r>
                    <w:t xml:space="preserve">1.23</w:t>
                  </w:r>
                </w:p>
              </w:tc>
              <w:tc>
                <w:tcPr/>
                <w:p>
                  <w:pPr>
                    <w:pStyle w:val="Compact"/>
                    <w:jc w:val="center"/>
                  </w:pPr>
                  <w:r>
                    <w:t xml:space="preserve">n.t.</w:t>
                  </w:r>
                </w:p>
              </w:tc>
            </w:tr>
            <w:tr>
              <w:tc>
                <w:tcPr/>
                <w:p>
                  <w:pPr>
                    <w:pStyle w:val="Compact"/>
                    <w:jc w:val="center"/>
                  </w:pPr>
                  <w:r>
                    <w:t xml:space="preserve">17</w:t>
                  </w:r>
                </w:p>
              </w:tc>
              <w:tc>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6,436</w:t>
                  </w:r>
                </w:p>
              </w:tc>
              <w:tc>
                <w:tcPr/>
                <w:p>
                  <w:pPr>
                    <w:pStyle w:val="Compact"/>
                    <w:jc w:val="center"/>
                  </w:pPr>
                  <w:r>
                    <w:t xml:space="preserve">93.1</w:t>
                  </w:r>
                </w:p>
              </w:tc>
              <w:tc>
                <w:tcPr/>
                <w:p>
                  <w:pPr>
                    <w:pStyle w:val="Compact"/>
                    <w:jc w:val="center"/>
                  </w:pPr>
                  <w:r>
                    <w:t xml:space="preserve">2.91</w:t>
                  </w:r>
                </w:p>
              </w:tc>
              <w:tc>
                <w:tcPr/>
                <w:p>
                  <w:pPr>
                    <w:pStyle w:val="Compact"/>
                    <w:jc w:val="center"/>
                  </w:pPr>
                  <w:r>
                    <w:t xml:space="preserve">1.23</w:t>
                  </w:r>
                </w:p>
              </w:tc>
              <w:tc>
                <w:tcPr/>
                <w:p>
                  <w:pPr>
                    <w:pStyle w:val="Compact"/>
                    <w:jc w:val="center"/>
                  </w:pPr>
                  <w:r>
                    <w:t xml:space="preserve">n.t.</w:t>
                  </w:r>
                </w:p>
              </w:tc>
            </w:tr>
            <w:tr>
              <w:tc>
                <w:tcPr/>
                <w:p>
                  <w:pPr>
                    <w:pStyle w:val="Compact"/>
                    <w:jc w:val="center"/>
                  </w:pPr>
                  <w:r>
                    <w:t xml:space="preserve">18</w:t>
                  </w:r>
                </w:p>
              </w:tc>
              <w:tc>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9,652</w:t>
                  </w:r>
                </w:p>
              </w:tc>
              <w:tc>
                <w:tcPr/>
                <w:p>
                  <w:pPr>
                    <w:pStyle w:val="Compact"/>
                    <w:jc w:val="center"/>
                  </w:pPr>
                  <w:r>
                    <w:t xml:space="preserve">93.3</w:t>
                  </w:r>
                </w:p>
              </w:tc>
              <w:tc>
                <w:tcPr/>
                <w:p>
                  <w:pPr>
                    <w:pStyle w:val="Compact"/>
                    <w:jc w:val="center"/>
                  </w:pPr>
                  <w:r>
                    <w:t xml:space="preserve">3.07</w:t>
                  </w:r>
                </w:p>
              </w:tc>
              <w:tc>
                <w:tcPr/>
                <w:p>
                  <w:pPr>
                    <w:pStyle w:val="Compact"/>
                    <w:jc w:val="center"/>
                  </w:pPr>
                  <w:r>
                    <w:t xml:space="preserve">1.36</w:t>
                  </w:r>
                </w:p>
              </w:tc>
              <w:tc>
                <w:tcPr/>
                <w:p>
                  <w:pPr>
                    <w:pStyle w:val="Compact"/>
                    <w:jc w:val="center"/>
                  </w:pPr>
                  <w:r>
                    <w:t xml:space="preserve">n.t.</w:t>
                  </w:r>
                </w:p>
              </w:tc>
            </w:tr>
            <w:tr>
              <w:tc>
                <w:tcPr/>
                <w:p>
                  <w:pPr>
                    <w:pStyle w:val="Compact"/>
                    <w:jc w:val="center"/>
                  </w:pPr>
                  <w:r>
                    <w:t xml:space="preserve">19</w:t>
                  </w:r>
                </w:p>
              </w:tc>
              <w:tc>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8,222</w:t>
                  </w:r>
                </w:p>
              </w:tc>
              <w:tc>
                <w:tcPr/>
                <w:p>
                  <w:pPr>
                    <w:pStyle w:val="Compact"/>
                    <w:jc w:val="center"/>
                  </w:pPr>
                  <w:r>
                    <w:t xml:space="preserve">94.2</w:t>
                  </w:r>
                </w:p>
              </w:tc>
              <w:tc>
                <w:tcPr/>
                <w:p>
                  <w:pPr>
                    <w:pStyle w:val="Compact"/>
                    <w:jc w:val="center"/>
                  </w:pPr>
                  <w:r>
                    <w:t xml:space="preserve">3.86</w:t>
                  </w:r>
                </w:p>
              </w:tc>
              <w:tc>
                <w:tcPr/>
                <w:p>
                  <w:pPr>
                    <w:pStyle w:val="Compact"/>
                    <w:jc w:val="center"/>
                  </w:pPr>
                  <w:r>
                    <w:t xml:space="preserve">1.30</w:t>
                  </w:r>
                </w:p>
              </w:tc>
              <w:tc>
                <w:tcPr/>
                <w:p>
                  <w:pPr>
                    <w:pStyle w:val="Compact"/>
                    <w:jc w:val="center"/>
                  </w:pPr>
                  <w:r>
                    <w:t xml:space="preserve">n.t.</w:t>
                  </w:r>
                </w:p>
              </w:tc>
            </w:tr>
            <w:tr>
              <w:tc>
                <w:tcPr>
                  <w:gridSpan w:val="11"/>
                </w:tcPr>
                <w:p>
                  <w:pPr>
                    <w:pStyle w:val="Compact"/>
                    <w:jc w:val="center"/>
                  </w:pPr>
                  <w:r>
                    <w:t xml:space="preserve">LMW by SEC is biased in this matrix and is not used for evaluation (AMD-001). n.t. = not tested.</w:t>
                  </w:r>
                </w:p>
              </w:tc>
            </w:tr>
          </w:tbl>
          <w:bookmarkEnd w:id="112"/>
          <w:p/>
        </w:tc>
      </w:tr>
    </w:tbl>
    <w:bookmarkEnd w:id="113"/>
    <w:bookmarkStart w:id="115" w:name="X4125de861a1edaf509f699b4c84c2434921439f"/>
    <w:p>
      <w:pPr>
        <w:pStyle w:val="Heading2"/>
      </w:pPr>
      <w:r>
        <w:t xml:space="preserve">Appendix B. Response-surface design matrix and responses</w:t>
      </w:r>
    </w:p>
    <w:p>
      <w:pPr>
        <w:pStyle w:val="FirstParagraph"/>
      </w:pPr>
      <w:hyperlink w:anchor="tbl-doe-protein-a-rsm">
        <w:r>
          <w:rPr>
            <w:rStyle w:val="Hyperlink"/>
          </w:rPr>
          <w:t xml:space="preserve">Table 26</w:t>
        </w:r>
      </w:hyperlink>
      <w:r>
        <w:t xml:space="preserve"> </w:t>
      </w:r>
      <w:r>
        <w:t xml:space="preserve">gives the response-surface design (study S-PA-RSM) in natural units, with the results and the fragment results of study S-PA-RET.</w:t>
      </w:r>
    </w:p>
    <w:tbl>
      <w:tblPr>
        <w:tblStyle w:val="Table"/>
        <w:tblW w:type="pct" w:w="5000"/>
        <w:tblLayout w:type="fixed"/>
        <w:tblLook w:firstRow="0" w:lastRow="0" w:firstColumn="0" w:lastColumn="0" w:noHBand="0" w:noVBand="0" w:val="0000"/>
      </w:tblPr>
      <w:tblGrid>
        <w:gridCol w:w="7920"/>
      </w:tblGrid>
      <w:tr>
        <w:tc>
          <w:tcPr/>
          <w:bookmarkStart w:id="114" w:name="tbl-doe-protein-a-rsm"/>
          <w:p>
            <w:pPr>
              <w:jc w:val="center"/>
            </w:pPr>
            <w:pPr>
              <w:jc w:val="start"/>
              <w:spacing w:before="200"/>
              <w:pStyle w:val="ImageCaption"/>
            </w:pPr>
            <w:r>
              <w:t xml:space="preserve">Table 26: Protein A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 (%)</w:t>
                  </w:r>
                </w:p>
              </w:tc>
            </w:tr>
            <w:tr>
              <w:trPr>
                <w:tblHeader w:val="on"/>
              </w:trPr>
              <w:tc>
                <w:tcPr>
                  <w:gridSpan w:val="1"/>
                  <w:vMerge w:val="continue"/>
                </w:tcPr>
                <w:p>
                  <w:pPr/>
                </w:p>
              </w:tc>
              <w:tc>
                <w:tcPr>
                  <w:gridSpan w:val="1"/>
                  <w:vMerge w:val="continue"/>
                </w:tcPr>
                <w:p>
                  <w:pPr/>
                </w:p>
              </w:tc>
              <w:tc>
                <w:tcPr/>
                <w:p>
                  <w:pPr>
                    <w:pStyle w:val="Compact"/>
                    <w:jc w:val="center"/>
                  </w:pPr>
                  <w:r>
                    <w:t xml:space="preserve">Protein load (g/L resin)</w:t>
                  </w:r>
                </w:p>
              </w:tc>
              <w:tc>
                <w:tcPr/>
                <w:p>
                  <w:pPr>
                    <w:pStyle w:val="Compact"/>
                    <w:jc w:val="center"/>
                  </w:pPr>
                  <w:r>
                    <w:t xml:space="preserve">Elution buffer pH (pH)</w:t>
                  </w:r>
                </w:p>
              </w:tc>
              <w:tc>
                <w:tcPr/>
                <w:p>
                  <w:pPr>
                    <w:pStyle w:val="Compact"/>
                    <w:jc w:val="center"/>
                  </w:pPr>
                  <w:r>
                    <w:t xml:space="preserve">Load flow rate (cm/hr)</w:t>
                  </w:r>
                </w:p>
              </w:tc>
              <w:tc>
                <w:tcPr/>
                <w:p>
                  <w:pPr>
                    <w:pStyle w:val="Compact"/>
                    <w:jc w:val="center"/>
                  </w:pPr>
                  <w:r>
                    <w:t xml:space="preserve">End of pool collect (CV)</w:t>
                  </w:r>
                </w:p>
              </w:tc>
              <w:tc>
                <w:tcPr/>
                <w:p>
                  <w:pPr>
                    <w:pStyle w:val="Compact"/>
                    <w:jc w:val="center"/>
                  </w:pPr>
                  <w:r>
                    <w:t xml:space="preserve">HCP (ng/mg)</w:t>
                  </w:r>
                </w:p>
              </w:tc>
              <w:tc>
                <w:tcPr/>
                <w:p>
                  <w:pPr>
                    <w:pStyle w:val="Compact"/>
                    <w:jc w:val="center"/>
                  </w:pPr>
                  <w:r>
                    <w:t xml:space="preserve">Yield (%)</w:t>
                  </w:r>
                </w:p>
              </w:tc>
              <w:tc>
                <w:tcPr/>
                <w:p>
                  <w:pPr>
                    <w:pStyle w:val="Compact"/>
                    <w:jc w:val="center"/>
                  </w:pPr>
                  <w:r>
                    <w:t xml:space="preserve">Leached PrA (ppm)</w:t>
                  </w:r>
                </w:p>
              </w:tc>
              <w:tc>
                <w:tcPr/>
                <w:p>
                  <w:pPr>
                    <w:pStyle w:val="Compact"/>
                    <w:jc w:val="center"/>
                  </w:pPr>
                  <w:r>
                    <w:t xml:space="preserve">SEC</w:t>
                  </w:r>
                </w:p>
              </w:tc>
              <w:tc>
                <w:tcPr/>
                <w:p>
                  <w:pPr>
                    <w:pStyle w:val="Compact"/>
                    <w:jc w:val="center"/>
                  </w:pPr>
                  <w:r>
                    <w:t xml:space="preserve">nrCE-SDS</w:t>
                  </w:r>
                </w:p>
              </w:tc>
            </w:tr>
            <w:tr>
              <w:tc>
                <w:tcPr/>
                <w:p>
                  <w:pPr>
                    <w:pStyle w:val="Compact"/>
                    <w:jc w:val="center"/>
                  </w:pPr>
                  <w:r>
                    <w:t xml:space="preserve">1</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10,011</w:t>
                  </w:r>
                </w:p>
              </w:tc>
              <w:tc>
                <w:tcPr/>
                <w:p>
                  <w:pPr>
                    <w:pStyle w:val="Compact"/>
                    <w:jc w:val="center"/>
                  </w:pPr>
                  <w:r>
                    <w:t xml:space="preserve">93.0</w:t>
                  </w:r>
                </w:p>
              </w:tc>
              <w:tc>
                <w:tcPr/>
                <w:p>
                  <w:pPr>
                    <w:pStyle w:val="Compact"/>
                    <w:jc w:val="center"/>
                  </w:pPr>
                  <w:r>
                    <w:t xml:space="preserve">3.42</w:t>
                  </w:r>
                </w:p>
              </w:tc>
              <w:tc>
                <w:tcPr/>
                <w:p>
                  <w:pPr>
                    <w:pStyle w:val="Compact"/>
                    <w:jc w:val="center"/>
                  </w:pPr>
                  <w:r>
                    <w:t xml:space="preserve">1.41</w:t>
                  </w:r>
                </w:p>
              </w:tc>
              <w:tc>
                <w:tcPr/>
                <w:p>
                  <w:pPr>
                    <w:pStyle w:val="Compact"/>
                    <w:jc w:val="center"/>
                  </w:pPr>
                  <w:r>
                    <w:t xml:space="preserve">0.90</w:t>
                  </w:r>
                </w:p>
              </w:tc>
            </w:tr>
            <w:tr>
              <w:tc>
                <w:tcPr/>
                <w:p>
                  <w:pPr>
                    <w:pStyle w:val="Compact"/>
                    <w:jc w:val="center"/>
                  </w:pPr>
                  <w:r>
                    <w:t xml:space="preserve">2</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9,269</w:t>
                  </w:r>
                </w:p>
              </w:tc>
              <w:tc>
                <w:tcPr/>
                <w:p>
                  <w:pPr>
                    <w:pStyle w:val="Compact"/>
                    <w:jc w:val="center"/>
                  </w:pPr>
                  <w:r>
                    <w:t xml:space="preserve">99.0</w:t>
                  </w:r>
                </w:p>
              </w:tc>
              <w:tc>
                <w:tcPr/>
                <w:p>
                  <w:pPr>
                    <w:pStyle w:val="Compact"/>
                    <w:jc w:val="center"/>
                  </w:pPr>
                  <w:r>
                    <w:t xml:space="preserve">3.06</w:t>
                  </w:r>
                </w:p>
              </w:tc>
              <w:tc>
                <w:tcPr/>
                <w:p>
                  <w:pPr>
                    <w:pStyle w:val="Compact"/>
                    <w:jc w:val="center"/>
                  </w:pPr>
                  <w:r>
                    <w:t xml:space="preserve">1.43</w:t>
                  </w:r>
                </w:p>
              </w:tc>
              <w:tc>
                <w:tcPr/>
                <w:p>
                  <w:pPr>
                    <w:pStyle w:val="Compact"/>
                    <w:jc w:val="center"/>
                  </w:pPr>
                  <w:r>
                    <w:t xml:space="preserve">1.08</w:t>
                  </w:r>
                </w:p>
              </w:tc>
            </w:tr>
            <w:tr>
              <w:tc>
                <w:tcPr/>
                <w:p>
                  <w:pPr>
                    <w:pStyle w:val="Compact"/>
                    <w:jc w:val="center"/>
                  </w:pPr>
                  <w:r>
                    <w:t xml:space="preserve">3</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10,651</w:t>
                  </w:r>
                </w:p>
              </w:tc>
              <w:tc>
                <w:tcPr/>
                <w:p>
                  <w:pPr>
                    <w:pStyle w:val="Compact"/>
                    <w:jc w:val="center"/>
                  </w:pPr>
                  <w:r>
                    <w:t xml:space="preserve">92.8</w:t>
                  </w:r>
                </w:p>
              </w:tc>
              <w:tc>
                <w:tcPr/>
                <w:p>
                  <w:pPr>
                    <w:pStyle w:val="Compact"/>
                    <w:jc w:val="center"/>
                  </w:pPr>
                  <w:r>
                    <w:t xml:space="preserve">2.53</w:t>
                  </w:r>
                </w:p>
              </w:tc>
              <w:tc>
                <w:tcPr/>
                <w:p>
                  <w:pPr>
                    <w:pStyle w:val="Compact"/>
                    <w:jc w:val="center"/>
                  </w:pPr>
                  <w:r>
                    <w:t xml:space="preserve">1.45</w:t>
                  </w:r>
                </w:p>
              </w:tc>
              <w:tc>
                <w:tcPr/>
                <w:p>
                  <w:pPr>
                    <w:pStyle w:val="Compact"/>
                    <w:jc w:val="center"/>
                  </w:pPr>
                  <w:r>
                    <w:t xml:space="preserve">1.09</w:t>
                  </w:r>
                </w:p>
              </w:tc>
            </w:tr>
            <w:tr>
              <w:tc>
                <w:tcPr/>
                <w:p>
                  <w:pPr>
                    <w:pStyle w:val="Compact"/>
                    <w:jc w:val="center"/>
                  </w:pPr>
                  <w:r>
                    <w:t xml:space="preserve">4</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7,715</w:t>
                  </w:r>
                </w:p>
              </w:tc>
              <w:tc>
                <w:tcPr/>
                <w:p>
                  <w:pPr>
                    <w:pStyle w:val="Compact"/>
                    <w:jc w:val="center"/>
                  </w:pPr>
                  <w:r>
                    <w:t xml:space="preserve">98.8</w:t>
                  </w:r>
                </w:p>
              </w:tc>
              <w:tc>
                <w:tcPr/>
                <w:p>
                  <w:pPr>
                    <w:pStyle w:val="Compact"/>
                    <w:jc w:val="center"/>
                  </w:pPr>
                  <w:r>
                    <w:t xml:space="preserve">2.48</w:t>
                  </w:r>
                </w:p>
              </w:tc>
              <w:tc>
                <w:tcPr/>
                <w:p>
                  <w:pPr>
                    <w:pStyle w:val="Compact"/>
                    <w:jc w:val="center"/>
                  </w:pPr>
                  <w:r>
                    <w:t xml:space="preserve">1.36</w:t>
                  </w:r>
                </w:p>
              </w:tc>
              <w:tc>
                <w:tcPr/>
                <w:p>
                  <w:pPr>
                    <w:pStyle w:val="Compact"/>
                    <w:jc w:val="center"/>
                  </w:pPr>
                  <w:r>
                    <w:t xml:space="preserve">0.94</w:t>
                  </w:r>
                </w:p>
              </w:tc>
            </w:tr>
            <w:tr>
              <w:tc>
                <w:tcPr/>
                <w:p>
                  <w:pPr>
                    <w:pStyle w:val="Compact"/>
                    <w:jc w:val="center"/>
                  </w:pPr>
                  <w:r>
                    <w:t xml:space="preserve">5</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2,993</w:t>
                  </w:r>
                </w:p>
              </w:tc>
              <w:tc>
                <w:tcPr/>
                <w:p>
                  <w:pPr>
                    <w:pStyle w:val="Compact"/>
                    <w:jc w:val="center"/>
                  </w:pPr>
                  <w:r>
                    <w:t xml:space="preserve">92.3</w:t>
                  </w:r>
                </w:p>
              </w:tc>
              <w:tc>
                <w:tcPr/>
                <w:p>
                  <w:pPr>
                    <w:pStyle w:val="Compact"/>
                    <w:jc w:val="center"/>
                  </w:pPr>
                  <w:r>
                    <w:t xml:space="preserve">3.27</w:t>
                  </w:r>
                </w:p>
              </w:tc>
              <w:tc>
                <w:tcPr/>
                <w:p>
                  <w:pPr>
                    <w:pStyle w:val="Compact"/>
                    <w:jc w:val="center"/>
                  </w:pPr>
                  <w:r>
                    <w:t xml:space="preserve">1.05</w:t>
                  </w:r>
                </w:p>
              </w:tc>
              <w:tc>
                <w:tcPr/>
                <w:p>
                  <w:pPr>
                    <w:pStyle w:val="Compact"/>
                    <w:jc w:val="center"/>
                  </w:pPr>
                  <w:r>
                    <w:t xml:space="preserve">0.93</w:t>
                  </w:r>
                </w:p>
              </w:tc>
            </w:tr>
            <w:tr>
              <w:tc>
                <w:tcPr/>
                <w:p>
                  <w:pPr>
                    <w:pStyle w:val="Compact"/>
                    <w:jc w:val="center"/>
                  </w:pPr>
                  <w:r>
                    <w:t xml:space="preserve">6</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2,149</w:t>
                  </w:r>
                </w:p>
              </w:tc>
              <w:tc>
                <w:tcPr/>
                <w:p>
                  <w:pPr>
                    <w:pStyle w:val="Compact"/>
                    <w:jc w:val="center"/>
                  </w:pPr>
                  <w:r>
                    <w:t xml:space="preserve">97.7</w:t>
                  </w:r>
                </w:p>
              </w:tc>
              <w:tc>
                <w:tcPr/>
                <w:p>
                  <w:pPr>
                    <w:pStyle w:val="Compact"/>
                    <w:jc w:val="center"/>
                  </w:pPr>
                  <w:r>
                    <w:t xml:space="preserve">1.89</w:t>
                  </w:r>
                </w:p>
              </w:tc>
              <w:tc>
                <w:tcPr/>
                <w:p>
                  <w:pPr>
                    <w:pStyle w:val="Compact"/>
                    <w:jc w:val="center"/>
                  </w:pPr>
                  <w:r>
                    <w:t xml:space="preserve">0.95</w:t>
                  </w:r>
                </w:p>
              </w:tc>
              <w:tc>
                <w:tcPr/>
                <w:p>
                  <w:pPr>
                    <w:pStyle w:val="Compact"/>
                    <w:jc w:val="center"/>
                  </w:pPr>
                  <w:r>
                    <w:t xml:space="preserve">0.83</w:t>
                  </w:r>
                </w:p>
              </w:tc>
            </w:tr>
            <w:tr>
              <w:tc>
                <w:tcPr/>
                <w:p>
                  <w:pPr>
                    <w:pStyle w:val="Compact"/>
                    <w:jc w:val="center"/>
                  </w:pPr>
                  <w:r>
                    <w:t xml:space="preserve">7</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2,643</w:t>
                  </w:r>
                </w:p>
              </w:tc>
              <w:tc>
                <w:tcPr/>
                <w:p>
                  <w:pPr>
                    <w:pStyle w:val="Compact"/>
                    <w:jc w:val="center"/>
                  </w:pPr>
                  <w:r>
                    <w:t xml:space="preserve">90.8</w:t>
                  </w:r>
                </w:p>
              </w:tc>
              <w:tc>
                <w:tcPr/>
                <w:p>
                  <w:pPr>
                    <w:pStyle w:val="Compact"/>
                    <w:jc w:val="center"/>
                  </w:pPr>
                  <w:r>
                    <w:t xml:space="preserve">4.61</w:t>
                  </w:r>
                </w:p>
              </w:tc>
              <w:tc>
                <w:tcPr/>
                <w:p>
                  <w:pPr>
                    <w:pStyle w:val="Compact"/>
                    <w:jc w:val="center"/>
                  </w:pPr>
                  <w:r>
                    <w:t xml:space="preserve">1.04</w:t>
                  </w:r>
                </w:p>
              </w:tc>
              <w:tc>
                <w:tcPr/>
                <w:p>
                  <w:pPr>
                    <w:pStyle w:val="Compact"/>
                    <w:jc w:val="center"/>
                  </w:pPr>
                  <w:r>
                    <w:t xml:space="preserve">0.91</w:t>
                  </w:r>
                </w:p>
              </w:tc>
            </w:tr>
            <w:tr>
              <w:tc>
                <w:tcPr/>
                <w:p>
                  <w:pPr>
                    <w:pStyle w:val="Compact"/>
                    <w:jc w:val="center"/>
                  </w:pPr>
                  <w:r>
                    <w:t xml:space="preserve">8</w:t>
                  </w:r>
                </w:p>
              </w:tc>
              <w:tc>
                <w:tcPr/>
                <w:p>
                  <w:pPr>
                    <w:pStyle w:val="Compact"/>
                    <w:jc w:val="center"/>
                  </w:pPr>
                  <w:r>
                    <w:t xml:space="preserve">factorial</w:t>
                  </w:r>
                </w:p>
              </w:tc>
              <w:tc>
                <w:tcPr/>
                <w:p>
                  <w:pPr>
                    <w:pStyle w:val="Compact"/>
                    <w:jc w:val="center"/>
                  </w:pPr>
                  <w:r>
                    <w:t xml:space="preserve">10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2,663</w:t>
                  </w:r>
                </w:p>
              </w:tc>
              <w:tc>
                <w:tcPr/>
                <w:p>
                  <w:pPr>
                    <w:pStyle w:val="Compact"/>
                    <w:jc w:val="center"/>
                  </w:pPr>
                  <w:r>
                    <w:t xml:space="preserve">99.0</w:t>
                  </w:r>
                </w:p>
              </w:tc>
              <w:tc>
                <w:tcPr/>
                <w:p>
                  <w:pPr>
                    <w:pStyle w:val="Compact"/>
                    <w:jc w:val="center"/>
                  </w:pPr>
                  <w:r>
                    <w:t xml:space="preserve">3.13</w:t>
                  </w:r>
                </w:p>
              </w:tc>
              <w:tc>
                <w:tcPr/>
                <w:p>
                  <w:pPr>
                    <w:pStyle w:val="Compact"/>
                    <w:jc w:val="center"/>
                  </w:pPr>
                  <w:r>
                    <w:t xml:space="preserve">1.07</w:t>
                  </w:r>
                </w:p>
              </w:tc>
              <w:tc>
                <w:tcPr/>
                <w:p>
                  <w:pPr>
                    <w:pStyle w:val="Compact"/>
                    <w:jc w:val="center"/>
                  </w:pPr>
                  <w:r>
                    <w:t xml:space="preserve">0.93</w:t>
                  </w:r>
                </w:p>
              </w:tc>
            </w:tr>
            <w:tr>
              <w:tc>
                <w:tcPr/>
                <w:p>
                  <w:pPr>
                    <w:pStyle w:val="Compact"/>
                    <w:jc w:val="center"/>
                  </w:pPr>
                  <w:r>
                    <w:t xml:space="preserve">9</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25,114</w:t>
                  </w:r>
                </w:p>
              </w:tc>
              <w:tc>
                <w:tcPr/>
                <w:p>
                  <w:pPr>
                    <w:pStyle w:val="Compact"/>
                    <w:jc w:val="center"/>
                  </w:pPr>
                  <w:r>
                    <w:t xml:space="preserve">89.0</w:t>
                  </w:r>
                </w:p>
              </w:tc>
              <w:tc>
                <w:tcPr/>
                <w:p>
                  <w:pPr>
                    <w:pStyle w:val="Compact"/>
                    <w:jc w:val="center"/>
                  </w:pPr>
                  <w:r>
                    <w:t xml:space="preserve">3.38</w:t>
                  </w:r>
                </w:p>
              </w:tc>
              <w:tc>
                <w:tcPr/>
                <w:p>
                  <w:pPr>
                    <w:pStyle w:val="Compact"/>
                    <w:jc w:val="center"/>
                  </w:pPr>
                  <w:r>
                    <w:t xml:space="preserve">2.28</w:t>
                  </w:r>
                </w:p>
              </w:tc>
              <w:tc>
                <w:tcPr/>
                <w:p>
                  <w:pPr>
                    <w:pStyle w:val="Compact"/>
                    <w:jc w:val="center"/>
                  </w:pPr>
                  <w:r>
                    <w:t xml:space="preserve">0.90</w:t>
                  </w:r>
                </w:p>
              </w:tc>
            </w:tr>
            <w:tr>
              <w:tc>
                <w:tcPr/>
                <w:p>
                  <w:pPr>
                    <w:pStyle w:val="Compact"/>
                    <w:jc w:val="center"/>
                  </w:pPr>
                  <w:r>
                    <w:t xml:space="preserve">10</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20,388</w:t>
                  </w:r>
                </w:p>
              </w:tc>
              <w:tc>
                <w:tcPr/>
                <w:p>
                  <w:pPr>
                    <w:pStyle w:val="Compact"/>
                    <w:jc w:val="center"/>
                  </w:pPr>
                  <w:r>
                    <w:t xml:space="preserve">99.0</w:t>
                  </w:r>
                </w:p>
              </w:tc>
              <w:tc>
                <w:tcPr/>
                <w:p>
                  <w:pPr>
                    <w:pStyle w:val="Compact"/>
                    <w:jc w:val="center"/>
                  </w:pPr>
                  <w:r>
                    <w:t xml:space="preserve">2.49</w:t>
                  </w:r>
                </w:p>
              </w:tc>
              <w:tc>
                <w:tcPr/>
                <w:p>
                  <w:pPr>
                    <w:pStyle w:val="Compact"/>
                    <w:jc w:val="center"/>
                  </w:pPr>
                  <w:r>
                    <w:t xml:space="preserve">1.95</w:t>
                  </w:r>
                </w:p>
              </w:tc>
              <w:tc>
                <w:tcPr/>
                <w:p>
                  <w:pPr>
                    <w:pStyle w:val="Compact"/>
                    <w:jc w:val="center"/>
                  </w:pPr>
                  <w:r>
                    <w:t xml:space="preserve">1.01</w:t>
                  </w:r>
                </w:p>
              </w:tc>
            </w:tr>
            <w:tr>
              <w:tc>
                <w:tcPr/>
                <w:p>
                  <w:pPr>
                    <w:pStyle w:val="Compact"/>
                    <w:jc w:val="center"/>
                  </w:pPr>
                  <w:r>
                    <w:t xml:space="preserve">11</w:t>
                  </w:r>
                  <w:r>
                    <w:rPr>
                      <w:vertAlign w:val="superscript"/>
                    </w:rPr>
                    <w:t xml:space="preserve">a)</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22,756</w:t>
                  </w:r>
                </w:p>
              </w:tc>
              <w:tc>
                <w:tcPr/>
                <w:p>
                  <w:pPr>
                    <w:pStyle w:val="Compact"/>
                    <w:jc w:val="center"/>
                  </w:pPr>
                  <w:r>
                    <w:t xml:space="preserve">86.1</w:t>
                  </w:r>
                </w:p>
              </w:tc>
              <w:tc>
                <w:tcPr/>
                <w:p>
                  <w:pPr>
                    <w:pStyle w:val="Compact"/>
                    <w:jc w:val="center"/>
                  </w:pPr>
                  <w:r>
                    <w:t xml:space="preserve">2.12</w:t>
                  </w:r>
                </w:p>
              </w:tc>
              <w:tc>
                <w:tcPr/>
                <w:p>
                  <w:pPr>
                    <w:pStyle w:val="Compact"/>
                    <w:jc w:val="center"/>
                  </w:pPr>
                  <w:r>
                    <w:t xml:space="preserve">2.14</w:t>
                  </w:r>
                </w:p>
              </w:tc>
              <w:tc>
                <w:tcPr/>
                <w:p>
                  <w:pPr>
                    <w:pStyle w:val="Compact"/>
                    <w:jc w:val="center"/>
                  </w:pPr>
                  <w:r>
                    <w:t xml:space="preserve">1.04</w:t>
                  </w:r>
                </w:p>
              </w:tc>
            </w:tr>
            <w:tr>
              <w:tc>
                <w:tcPr/>
                <w:p>
                  <w:pPr>
                    <w:pStyle w:val="Compact"/>
                    <w:jc w:val="center"/>
                  </w:pPr>
                  <w:r>
                    <w:t xml:space="preserve">12</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3.2</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16,694</w:t>
                  </w:r>
                </w:p>
              </w:tc>
              <w:tc>
                <w:tcPr/>
                <w:p>
                  <w:pPr>
                    <w:pStyle w:val="Compact"/>
                    <w:jc w:val="center"/>
                  </w:pPr>
                  <w:r>
                    <w:t xml:space="preserve">92.4</w:t>
                  </w:r>
                </w:p>
              </w:tc>
              <w:tc>
                <w:tcPr/>
                <w:p>
                  <w:pPr>
                    <w:pStyle w:val="Compact"/>
                    <w:jc w:val="center"/>
                  </w:pPr>
                  <w:r>
                    <w:t xml:space="preserve">3.03</w:t>
                  </w:r>
                </w:p>
              </w:tc>
              <w:tc>
                <w:tcPr/>
                <w:p>
                  <w:pPr>
                    <w:pStyle w:val="Compact"/>
                    <w:jc w:val="center"/>
                  </w:pPr>
                  <w:r>
                    <w:t xml:space="preserve">1.84</w:t>
                  </w:r>
                </w:p>
              </w:tc>
              <w:tc>
                <w:tcPr/>
                <w:p>
                  <w:pPr>
                    <w:pStyle w:val="Compact"/>
                    <w:jc w:val="center"/>
                  </w:pPr>
                  <w:r>
                    <w:t xml:space="preserve">0.90</w:t>
                  </w:r>
                </w:p>
              </w:tc>
            </w:tr>
            <w:tr>
              <w:tc>
                <w:tcPr/>
                <w:p>
                  <w:pPr>
                    <w:pStyle w:val="Compact"/>
                    <w:jc w:val="center"/>
                  </w:pPr>
                  <w:r>
                    <w:t xml:space="preserve">13</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2</w:t>
                  </w:r>
                </w:p>
              </w:tc>
              <w:tc>
                <w:tcPr/>
                <w:p>
                  <w:pPr>
                    <w:pStyle w:val="Compact"/>
                    <w:jc w:val="center"/>
                  </w:pPr>
                  <w:r>
                    <w:t xml:space="preserve">7,882</w:t>
                  </w:r>
                </w:p>
              </w:tc>
              <w:tc>
                <w:tcPr/>
                <w:p>
                  <w:pPr>
                    <w:pStyle w:val="Compact"/>
                    <w:jc w:val="center"/>
                  </w:pPr>
                  <w:r>
                    <w:t xml:space="preserve">89.5</w:t>
                  </w:r>
                </w:p>
              </w:tc>
              <w:tc>
                <w:tcPr/>
                <w:p>
                  <w:pPr>
                    <w:pStyle w:val="Compact"/>
                    <w:jc w:val="center"/>
                  </w:pPr>
                  <w:r>
                    <w:t xml:space="preserve">3.63</w:t>
                  </w:r>
                </w:p>
              </w:tc>
              <w:tc>
                <w:tcPr/>
                <w:p>
                  <w:pPr>
                    <w:pStyle w:val="Compact"/>
                    <w:jc w:val="center"/>
                  </w:pPr>
                  <w:r>
                    <w:t xml:space="preserve">1.24</w:t>
                  </w:r>
                </w:p>
              </w:tc>
              <w:tc>
                <w:tcPr/>
                <w:p>
                  <w:pPr>
                    <w:pStyle w:val="Compact"/>
                    <w:jc w:val="center"/>
                  </w:pPr>
                  <w:r>
                    <w:t xml:space="preserve">0.77</w:t>
                  </w:r>
                </w:p>
              </w:tc>
            </w:tr>
            <w:tr>
              <w:tc>
                <w:tcPr/>
                <w:p>
                  <w:pPr>
                    <w:pStyle w:val="Compact"/>
                    <w:jc w:val="center"/>
                  </w:pPr>
                  <w:r>
                    <w:t xml:space="preserve">14</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100</w:t>
                  </w:r>
                </w:p>
              </w:tc>
              <w:tc>
                <w:tcPr/>
                <w:p>
                  <w:pPr>
                    <w:pStyle w:val="Compact"/>
                    <w:jc w:val="center"/>
                  </w:pPr>
                  <w:r>
                    <w:t xml:space="preserve">3.2</w:t>
                  </w:r>
                </w:p>
              </w:tc>
              <w:tc>
                <w:tcPr/>
                <w:p>
                  <w:pPr>
                    <w:pStyle w:val="Compact"/>
                    <w:jc w:val="center"/>
                  </w:pPr>
                  <w:r>
                    <w:t xml:space="preserve">6,578</w:t>
                  </w:r>
                </w:p>
              </w:tc>
              <w:tc>
                <w:tcPr/>
                <w:p>
                  <w:pPr>
                    <w:pStyle w:val="Compact"/>
                    <w:jc w:val="center"/>
                  </w:pPr>
                  <w:r>
                    <w:t xml:space="preserve">97.0</w:t>
                  </w:r>
                </w:p>
              </w:tc>
              <w:tc>
                <w:tcPr/>
                <w:p>
                  <w:pPr>
                    <w:pStyle w:val="Compact"/>
                    <w:jc w:val="center"/>
                  </w:pPr>
                  <w:r>
                    <w:t xml:space="preserve">2.72</w:t>
                  </w:r>
                </w:p>
              </w:tc>
              <w:tc>
                <w:tcPr/>
                <w:p>
                  <w:pPr>
                    <w:pStyle w:val="Compact"/>
                    <w:jc w:val="center"/>
                  </w:pPr>
                  <w:r>
                    <w:t xml:space="preserve">1.17</w:t>
                  </w:r>
                </w:p>
              </w:tc>
              <w:tc>
                <w:tcPr/>
                <w:p>
                  <w:pPr>
                    <w:pStyle w:val="Compact"/>
                    <w:jc w:val="center"/>
                  </w:pPr>
                  <w:r>
                    <w:t xml:space="preserve">0.91</w:t>
                  </w:r>
                </w:p>
              </w:tc>
            </w:tr>
            <w:tr>
              <w:tc>
                <w:tcPr/>
                <w:p>
                  <w:pPr>
                    <w:pStyle w:val="Compact"/>
                    <w:jc w:val="center"/>
                  </w:pPr>
                  <w:r>
                    <w:t xml:space="preserve">15</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2</w:t>
                  </w:r>
                </w:p>
              </w:tc>
              <w:tc>
                <w:tcPr/>
                <w:p>
                  <w:pPr>
                    <w:pStyle w:val="Compact"/>
                    <w:jc w:val="center"/>
                  </w:pPr>
                  <w:r>
                    <w:t xml:space="preserve">6,799</w:t>
                  </w:r>
                </w:p>
              </w:tc>
              <w:tc>
                <w:tcPr/>
                <w:p>
                  <w:pPr>
                    <w:pStyle w:val="Compact"/>
                    <w:jc w:val="center"/>
                  </w:pPr>
                  <w:r>
                    <w:t xml:space="preserve">84.4</w:t>
                  </w:r>
                </w:p>
              </w:tc>
              <w:tc>
                <w:tcPr/>
                <w:p>
                  <w:pPr>
                    <w:pStyle w:val="Compact"/>
                    <w:jc w:val="center"/>
                  </w:pPr>
                  <w:r>
                    <w:t xml:space="preserve">3.06</w:t>
                  </w:r>
                </w:p>
              </w:tc>
              <w:tc>
                <w:tcPr/>
                <w:p>
                  <w:pPr>
                    <w:pStyle w:val="Compact"/>
                    <w:jc w:val="center"/>
                  </w:pPr>
                  <w:r>
                    <w:t xml:space="preserve">1.17</w:t>
                  </w:r>
                </w:p>
              </w:tc>
              <w:tc>
                <w:tcPr/>
                <w:p>
                  <w:pPr>
                    <w:pStyle w:val="Compact"/>
                    <w:jc w:val="center"/>
                  </w:pPr>
                  <w:r>
                    <w:t xml:space="preserve">0.82</w:t>
                  </w:r>
                </w:p>
              </w:tc>
            </w:tr>
            <w:tr>
              <w:tc>
                <w:tcPr/>
                <w:p>
                  <w:pPr>
                    <w:pStyle w:val="Compact"/>
                    <w:jc w:val="center"/>
                  </w:pPr>
                  <w:r>
                    <w:t xml:space="preserve">16</w:t>
                  </w:r>
                </w:p>
              </w:tc>
              <w:tc>
                <w:tcPr/>
                <w:p>
                  <w:pPr>
                    <w:pStyle w:val="Compact"/>
                    <w:jc w:val="center"/>
                  </w:pPr>
                  <w:r>
                    <w:t xml:space="preserve">factorial</w:t>
                  </w:r>
                </w:p>
              </w:tc>
              <w:tc>
                <w:tcPr/>
                <w:p>
                  <w:pPr>
                    <w:pStyle w:val="Compact"/>
                    <w:jc w:val="center"/>
                  </w:pPr>
                  <w:r>
                    <w:t xml:space="preserve">50</w:t>
                  </w:r>
                </w:p>
              </w:tc>
              <w:tc>
                <w:tcPr/>
                <w:p>
                  <w:pPr>
                    <w:pStyle w:val="Compact"/>
                    <w:jc w:val="center"/>
                  </w:pPr>
                  <w:r>
                    <w:t xml:space="preserve">3.9</w:t>
                  </w:r>
                </w:p>
              </w:tc>
              <w:tc>
                <w:tcPr/>
                <w:p>
                  <w:pPr>
                    <w:pStyle w:val="Compact"/>
                    <w:jc w:val="center"/>
                  </w:pPr>
                  <w:r>
                    <w:t xml:space="preserve">300</w:t>
                  </w:r>
                </w:p>
              </w:tc>
              <w:tc>
                <w:tcPr/>
                <w:p>
                  <w:pPr>
                    <w:pStyle w:val="Compact"/>
                    <w:jc w:val="center"/>
                  </w:pPr>
                  <w:r>
                    <w:t xml:space="preserve">3.2</w:t>
                  </w:r>
                </w:p>
              </w:tc>
              <w:tc>
                <w:tcPr/>
                <w:p>
                  <w:pPr>
                    <w:pStyle w:val="Compact"/>
                    <w:jc w:val="center"/>
                  </w:pPr>
                  <w:r>
                    <w:t xml:space="preserve">6,100</w:t>
                  </w:r>
                </w:p>
              </w:tc>
              <w:tc>
                <w:tcPr/>
                <w:p>
                  <w:pPr>
                    <w:pStyle w:val="Compact"/>
                    <w:jc w:val="center"/>
                  </w:pPr>
                  <w:r>
                    <w:t xml:space="preserve">96.2</w:t>
                  </w:r>
                </w:p>
              </w:tc>
              <w:tc>
                <w:tcPr/>
                <w:p>
                  <w:pPr>
                    <w:pStyle w:val="Compact"/>
                    <w:jc w:val="center"/>
                  </w:pPr>
                  <w:r>
                    <w:t xml:space="preserve">2.82</w:t>
                  </w:r>
                </w:p>
              </w:tc>
              <w:tc>
                <w:tcPr/>
                <w:p>
                  <w:pPr>
                    <w:pStyle w:val="Compact"/>
                    <w:jc w:val="center"/>
                  </w:pPr>
                  <w:r>
                    <w:t xml:space="preserve">1.20</w:t>
                  </w:r>
                </w:p>
              </w:tc>
              <w:tc>
                <w:tcPr/>
                <w:p>
                  <w:pPr>
                    <w:pStyle w:val="Compact"/>
                    <w:jc w:val="center"/>
                  </w:pPr>
                  <w:r>
                    <w:t xml:space="preserve">0.89</w:t>
                  </w:r>
                </w:p>
              </w:tc>
            </w:tr>
            <w:tr>
              <w:tc>
                <w:tcPr/>
                <w:p>
                  <w:pPr>
                    <w:pStyle w:val="Compact"/>
                    <w:jc w:val="center"/>
                  </w:pPr>
                  <w:r>
                    <w:t xml:space="preserve">17</w:t>
                  </w:r>
                </w:p>
              </w:tc>
              <w:tc>
                <w:tcPr/>
                <w:p>
                  <w:pPr>
                    <w:pStyle w:val="Compact"/>
                    <w:jc w:val="center"/>
                  </w:pPr>
                  <w:r>
                    <w:t xml:space="preserve">axial</w:t>
                  </w:r>
                </w:p>
              </w:tc>
              <w:tc>
                <w:tcPr/>
                <w:p>
                  <w:pPr>
                    <w:pStyle w:val="Compact"/>
                    <w:jc w:val="center"/>
                  </w:pPr>
                  <w:r>
                    <w:t xml:space="preserve">10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3,900</w:t>
                  </w:r>
                </w:p>
              </w:tc>
              <w:tc>
                <w:tcPr/>
                <w:p>
                  <w:pPr>
                    <w:pStyle w:val="Compact"/>
                    <w:jc w:val="center"/>
                  </w:pPr>
                  <w:r>
                    <w:t xml:space="preserve">93.5</w:t>
                  </w:r>
                </w:p>
              </w:tc>
              <w:tc>
                <w:tcPr/>
                <w:p>
                  <w:pPr>
                    <w:pStyle w:val="Compact"/>
                    <w:jc w:val="center"/>
                  </w:pPr>
                  <w:r>
                    <w:t xml:space="preserve">2.71</w:t>
                  </w:r>
                </w:p>
              </w:tc>
              <w:tc>
                <w:tcPr/>
                <w:p>
                  <w:pPr>
                    <w:pStyle w:val="Compact"/>
                    <w:jc w:val="center"/>
                  </w:pPr>
                  <w:r>
                    <w:t xml:space="preserve">1.14</w:t>
                  </w:r>
                </w:p>
              </w:tc>
              <w:tc>
                <w:tcPr/>
                <w:p>
                  <w:pPr>
                    <w:pStyle w:val="Compact"/>
                    <w:jc w:val="center"/>
                  </w:pPr>
                  <w:r>
                    <w:t xml:space="preserve">1.00</w:t>
                  </w:r>
                </w:p>
              </w:tc>
            </w:tr>
            <w:tr>
              <w:tc>
                <w:tcPr/>
                <w:p>
                  <w:pPr>
                    <w:pStyle w:val="Compact"/>
                    <w:jc w:val="center"/>
                  </w:pPr>
                  <w:r>
                    <w:t xml:space="preserve">18</w:t>
                  </w:r>
                </w:p>
              </w:tc>
              <w:tc>
                <w:tcPr/>
                <w:p>
                  <w:pPr>
                    <w:pStyle w:val="Compact"/>
                    <w:jc w:val="center"/>
                  </w:pPr>
                  <w:r>
                    <w:t xml:space="preserve">axial</w:t>
                  </w:r>
                </w:p>
              </w:tc>
              <w:tc>
                <w:tcPr/>
                <w:p>
                  <w:pPr>
                    <w:pStyle w:val="Compact"/>
                    <w:jc w:val="center"/>
                  </w:pPr>
                  <w:r>
                    <w:t xml:space="preserve">50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9,377</w:t>
                  </w:r>
                </w:p>
              </w:tc>
              <w:tc>
                <w:tcPr/>
                <w:p>
                  <w:pPr>
                    <w:pStyle w:val="Compact"/>
                    <w:jc w:val="center"/>
                  </w:pPr>
                  <w:r>
                    <w:t xml:space="preserve">93.5</w:t>
                  </w:r>
                </w:p>
              </w:tc>
              <w:tc>
                <w:tcPr/>
                <w:p>
                  <w:pPr>
                    <w:pStyle w:val="Compact"/>
                    <w:jc w:val="center"/>
                  </w:pPr>
                  <w:r>
                    <w:t xml:space="preserve">3.37</w:t>
                  </w:r>
                </w:p>
              </w:tc>
              <w:tc>
                <w:tcPr/>
                <w:p>
                  <w:pPr>
                    <w:pStyle w:val="Compact"/>
                    <w:jc w:val="center"/>
                  </w:pPr>
                  <w:r>
                    <w:t xml:space="preserve">1.36</w:t>
                  </w:r>
                </w:p>
              </w:tc>
              <w:tc>
                <w:tcPr/>
                <w:p>
                  <w:pPr>
                    <w:pStyle w:val="Compact"/>
                    <w:jc w:val="center"/>
                  </w:pPr>
                  <w:r>
                    <w:t xml:space="preserve">0.87</w:t>
                  </w:r>
                </w:p>
              </w:tc>
            </w:tr>
            <w:tr>
              <w:tc>
                <w:tcPr/>
                <w:p>
                  <w:pPr>
                    <w:pStyle w:val="Compact"/>
                    <w:jc w:val="center"/>
                  </w:pPr>
                  <w:r>
                    <w:t xml:space="preserve">19</w:t>
                  </w:r>
                </w:p>
              </w:tc>
              <w:tc>
                <w:tcPr/>
                <w:p>
                  <w:pPr>
                    <w:pStyle w:val="Compact"/>
                    <w:jc w:val="center"/>
                  </w:pPr>
                  <w:r>
                    <w:t xml:space="preserve">axial</w:t>
                  </w:r>
                </w:p>
              </w:tc>
              <w:tc>
                <w:tcPr/>
                <w:p>
                  <w:pPr>
                    <w:pStyle w:val="Compact"/>
                    <w:jc w:val="center"/>
                  </w:pPr>
                  <w:r>
                    <w:t xml:space="preserve">30</w:t>
                  </w:r>
                </w:p>
              </w:tc>
              <w:tc>
                <w:tcPr/>
                <w:p>
                  <w:pPr>
                    <w:pStyle w:val="Compact"/>
                    <w:jc w:val="center"/>
                  </w:pPr>
                  <w:r>
                    <w:t xml:space="preserve">3.2</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13,732</w:t>
                  </w:r>
                </w:p>
              </w:tc>
              <w:tc>
                <w:tcPr/>
                <w:p>
                  <w:pPr>
                    <w:pStyle w:val="Compact"/>
                    <w:jc w:val="center"/>
                  </w:pPr>
                  <w:r>
                    <w:t xml:space="preserve">96.6</w:t>
                  </w:r>
                </w:p>
              </w:tc>
              <w:tc>
                <w:tcPr/>
                <w:p>
                  <w:pPr>
                    <w:pStyle w:val="Compact"/>
                    <w:jc w:val="center"/>
                  </w:pPr>
                  <w:r>
                    <w:t xml:space="preserve">3.77</w:t>
                  </w:r>
                </w:p>
              </w:tc>
              <w:tc>
                <w:tcPr/>
                <w:p>
                  <w:pPr>
                    <w:pStyle w:val="Compact"/>
                    <w:jc w:val="center"/>
                  </w:pPr>
                  <w:r>
                    <w:t xml:space="preserve">1.64</w:t>
                  </w:r>
                </w:p>
              </w:tc>
              <w:tc>
                <w:tcPr/>
                <w:p>
                  <w:pPr>
                    <w:pStyle w:val="Compact"/>
                    <w:jc w:val="center"/>
                  </w:pPr>
                  <w:r>
                    <w:t xml:space="preserve">0.92</w:t>
                  </w:r>
                </w:p>
              </w:tc>
            </w:tr>
            <w:tr>
              <w:tc>
                <w:tcPr/>
                <w:p>
                  <w:pPr>
                    <w:pStyle w:val="Compact"/>
                    <w:jc w:val="center"/>
                  </w:pPr>
                  <w:r>
                    <w:t xml:space="preserve">20</w:t>
                  </w:r>
                </w:p>
              </w:tc>
              <w:tc>
                <w:tcPr/>
                <w:p>
                  <w:pPr>
                    <w:pStyle w:val="Compact"/>
                    <w:jc w:val="center"/>
                  </w:pPr>
                  <w:r>
                    <w:t xml:space="preserve">axial</w:t>
                  </w:r>
                </w:p>
              </w:tc>
              <w:tc>
                <w:tcPr/>
                <w:p>
                  <w:pPr>
                    <w:pStyle w:val="Compact"/>
                    <w:jc w:val="center"/>
                  </w:pPr>
                  <w:r>
                    <w:t xml:space="preserve">30</w:t>
                  </w:r>
                </w:p>
              </w:tc>
              <w:tc>
                <w:tcPr/>
                <w:p>
                  <w:pPr>
                    <w:pStyle w:val="Compact"/>
                    <w:jc w:val="center"/>
                  </w:pPr>
                  <w:r>
                    <w:t xml:space="preserve">3.9</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4,122</w:t>
                  </w:r>
                </w:p>
              </w:tc>
              <w:tc>
                <w:tcPr/>
                <w:p>
                  <w:pPr>
                    <w:pStyle w:val="Compact"/>
                    <w:jc w:val="center"/>
                  </w:pPr>
                  <w:r>
                    <w:t xml:space="preserve">95.5</w:t>
                  </w:r>
                </w:p>
              </w:tc>
              <w:tc>
                <w:tcPr/>
                <w:p>
                  <w:pPr>
                    <w:pStyle w:val="Compact"/>
                    <w:jc w:val="center"/>
                  </w:pPr>
                  <w:r>
                    <w:t xml:space="preserve">3.80</w:t>
                  </w:r>
                </w:p>
              </w:tc>
              <w:tc>
                <w:tcPr/>
                <w:p>
                  <w:pPr>
                    <w:pStyle w:val="Compact"/>
                    <w:jc w:val="center"/>
                  </w:pPr>
                  <w:r>
                    <w:t xml:space="preserve">1.08</w:t>
                  </w:r>
                </w:p>
              </w:tc>
              <w:tc>
                <w:tcPr/>
                <w:p>
                  <w:pPr>
                    <w:pStyle w:val="Compact"/>
                    <w:jc w:val="center"/>
                  </w:pPr>
                  <w:r>
                    <w:t xml:space="preserve">0.85</w:t>
                  </w:r>
                </w:p>
              </w:tc>
            </w:tr>
            <w:tr>
              <w:tc>
                <w:tcPr/>
                <w:p>
                  <w:pPr>
                    <w:pStyle w:val="Compact"/>
                    <w:jc w:val="center"/>
                  </w:pPr>
                  <w:r>
                    <w:t xml:space="preserve">21</w:t>
                  </w:r>
                </w:p>
              </w:tc>
              <w:tc>
                <w:tcPr/>
                <w:p>
                  <w:pPr>
                    <w:pStyle w:val="Compact"/>
                    <w:jc w:val="center"/>
                  </w:pPr>
                  <w:r>
                    <w:t xml:space="preserve">axial</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100</w:t>
                  </w:r>
                </w:p>
              </w:tc>
              <w:tc>
                <w:tcPr/>
                <w:p>
                  <w:pPr>
                    <w:pStyle w:val="Compact"/>
                    <w:jc w:val="center"/>
                  </w:pPr>
                  <w:r>
                    <w:t xml:space="preserve">2.6</w:t>
                  </w:r>
                </w:p>
              </w:tc>
              <w:tc>
                <w:tcPr/>
                <w:p>
                  <w:pPr>
                    <w:pStyle w:val="Compact"/>
                    <w:jc w:val="center"/>
                  </w:pPr>
                  <w:r>
                    <w:t xml:space="preserve">7,571</w:t>
                  </w:r>
                </w:p>
              </w:tc>
              <w:tc>
                <w:tcPr/>
                <w:p>
                  <w:pPr>
                    <w:pStyle w:val="Compact"/>
                    <w:jc w:val="center"/>
                  </w:pPr>
                  <w:r>
                    <w:t xml:space="preserve">95.5</w:t>
                  </w:r>
                </w:p>
              </w:tc>
              <w:tc>
                <w:tcPr/>
                <w:p>
                  <w:pPr>
                    <w:pStyle w:val="Compact"/>
                    <w:jc w:val="center"/>
                  </w:pPr>
                  <w:r>
                    <w:t xml:space="preserve">2.30</w:t>
                  </w:r>
                </w:p>
              </w:tc>
              <w:tc>
                <w:tcPr/>
                <w:p>
                  <w:pPr>
                    <w:pStyle w:val="Compact"/>
                    <w:jc w:val="center"/>
                  </w:pPr>
                  <w:r>
                    <w:t xml:space="preserve">1.32</w:t>
                  </w:r>
                </w:p>
              </w:tc>
              <w:tc>
                <w:tcPr/>
                <w:p>
                  <w:pPr>
                    <w:pStyle w:val="Compact"/>
                    <w:jc w:val="center"/>
                  </w:pPr>
                  <w:r>
                    <w:t xml:space="preserve">0.87</w:t>
                  </w:r>
                </w:p>
              </w:tc>
            </w:tr>
            <w:tr>
              <w:tc>
                <w:tcPr/>
                <w:p>
                  <w:pPr>
                    <w:pStyle w:val="Compact"/>
                    <w:jc w:val="center"/>
                  </w:pPr>
                  <w:r>
                    <w:t xml:space="preserve">22</w:t>
                  </w:r>
                </w:p>
              </w:tc>
              <w:tc>
                <w:tcPr/>
                <w:p>
                  <w:pPr>
                    <w:pStyle w:val="Compact"/>
                    <w:jc w:val="center"/>
                  </w:pPr>
                  <w:r>
                    <w:t xml:space="preserve">axial</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300</w:t>
                  </w:r>
                </w:p>
              </w:tc>
              <w:tc>
                <w:tcPr/>
                <w:p>
                  <w:pPr>
                    <w:pStyle w:val="Compact"/>
                    <w:jc w:val="center"/>
                  </w:pPr>
                  <w:r>
                    <w:t xml:space="preserve">2.6</w:t>
                  </w:r>
                </w:p>
              </w:tc>
              <w:tc>
                <w:tcPr/>
                <w:p>
                  <w:pPr>
                    <w:pStyle w:val="Compact"/>
                    <w:jc w:val="center"/>
                  </w:pPr>
                  <w:r>
                    <w:t xml:space="preserve">8,098</w:t>
                  </w:r>
                </w:p>
              </w:tc>
              <w:tc>
                <w:tcPr/>
                <w:p>
                  <w:pPr>
                    <w:pStyle w:val="Compact"/>
                    <w:jc w:val="center"/>
                  </w:pPr>
                  <w:r>
                    <w:t xml:space="preserve">95.5</w:t>
                  </w:r>
                </w:p>
              </w:tc>
              <w:tc>
                <w:tcPr/>
                <w:p>
                  <w:pPr>
                    <w:pStyle w:val="Compact"/>
                    <w:jc w:val="center"/>
                  </w:pPr>
                  <w:r>
                    <w:t xml:space="preserve">2.54</w:t>
                  </w:r>
                </w:p>
              </w:tc>
              <w:tc>
                <w:tcPr/>
                <w:p>
                  <w:pPr>
                    <w:pStyle w:val="Compact"/>
                    <w:jc w:val="center"/>
                  </w:pPr>
                  <w:r>
                    <w:t xml:space="preserve">1.29</w:t>
                  </w:r>
                </w:p>
              </w:tc>
              <w:tc>
                <w:tcPr/>
                <w:p>
                  <w:pPr>
                    <w:pStyle w:val="Compact"/>
                    <w:jc w:val="center"/>
                  </w:pPr>
                  <w:r>
                    <w:t xml:space="preserve">0.98</w:t>
                  </w:r>
                </w:p>
              </w:tc>
            </w:tr>
            <w:tr>
              <w:tc>
                <w:tcPr/>
                <w:p>
                  <w:pPr>
                    <w:pStyle w:val="Compact"/>
                    <w:jc w:val="center"/>
                  </w:pPr>
                  <w:r>
                    <w:t xml:space="preserve">23</w:t>
                  </w:r>
                  <w:r>
                    <w:rPr>
                      <w:vertAlign w:val="superscript"/>
                    </w:rPr>
                    <w:t xml:space="preserve">b)</w:t>
                  </w:r>
                </w:p>
              </w:tc>
              <w:tc>
                <w:tcPr/>
                <w:p>
                  <w:pPr>
                    <w:pStyle w:val="Compact"/>
                    <w:jc w:val="center"/>
                  </w:pPr>
                  <w:r>
                    <w:t xml:space="preserve">axial</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w:t>
                  </w:r>
                </w:p>
              </w:tc>
              <w:tc>
                <w:tcPr/>
                <w:p>
                  <w:pPr>
                    <w:pStyle w:val="Compact"/>
                    <w:jc w:val="center"/>
                  </w:pPr>
                  <w:r>
                    <w:t xml:space="preserve">8,167</w:t>
                  </w:r>
                </w:p>
              </w:tc>
              <w:tc>
                <w:tcPr/>
                <w:p>
                  <w:pPr>
                    <w:pStyle w:val="Compact"/>
                    <w:jc w:val="center"/>
                  </w:pPr>
                  <w:r>
                    <w:t xml:space="preserve">90.8</w:t>
                  </w:r>
                </w:p>
              </w:tc>
              <w:tc>
                <w:tcPr/>
                <w:p>
                  <w:pPr>
                    <w:pStyle w:val="Compact"/>
                    <w:jc w:val="center"/>
                  </w:pPr>
                  <w:r>
                    <w:t xml:space="preserve">2.07</w:t>
                  </w:r>
                </w:p>
              </w:tc>
              <w:tc>
                <w:tcPr/>
                <w:p>
                  <w:pPr>
                    <w:pStyle w:val="Compact"/>
                    <w:jc w:val="center"/>
                  </w:pPr>
                  <w:r>
                    <w:t xml:space="preserve">1.36</w:t>
                  </w:r>
                </w:p>
              </w:tc>
              <w:tc>
                <w:tcPr/>
                <w:p>
                  <w:pPr>
                    <w:pStyle w:val="Compact"/>
                    <w:jc w:val="center"/>
                  </w:pPr>
                  <w:r>
                    <w:t xml:space="preserve">1.00</w:t>
                  </w:r>
                </w:p>
              </w:tc>
            </w:tr>
            <w:tr>
              <w:tc>
                <w:tcPr/>
                <w:p>
                  <w:pPr>
                    <w:pStyle w:val="Compact"/>
                    <w:jc w:val="center"/>
                  </w:pPr>
                  <w:r>
                    <w:t xml:space="preserve">24</w:t>
                  </w:r>
                </w:p>
              </w:tc>
              <w:tc>
                <w:tcPr/>
                <w:p>
                  <w:pPr>
                    <w:pStyle w:val="Compact"/>
                    <w:jc w:val="center"/>
                  </w:pPr>
                  <w:r>
                    <w:t xml:space="preserve">axial</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3.2</w:t>
                  </w:r>
                </w:p>
              </w:tc>
              <w:tc>
                <w:tcPr/>
                <w:p>
                  <w:pPr>
                    <w:pStyle w:val="Compact"/>
                    <w:jc w:val="center"/>
                  </w:pPr>
                  <w:r>
                    <w:t xml:space="preserve">6,461</w:t>
                  </w:r>
                </w:p>
              </w:tc>
              <w:tc>
                <w:tcPr/>
                <w:p>
                  <w:pPr>
                    <w:pStyle w:val="Compact"/>
                    <w:jc w:val="center"/>
                  </w:pPr>
                  <w:r>
                    <w:t xml:space="preserve">95.3</w:t>
                  </w:r>
                </w:p>
              </w:tc>
              <w:tc>
                <w:tcPr/>
                <w:p>
                  <w:pPr>
                    <w:pStyle w:val="Compact"/>
                    <w:jc w:val="center"/>
                  </w:pPr>
                  <w:r>
                    <w:t xml:space="preserve">2.69</w:t>
                  </w:r>
                </w:p>
              </w:tc>
              <w:tc>
                <w:tcPr/>
                <w:p>
                  <w:pPr>
                    <w:pStyle w:val="Compact"/>
                    <w:jc w:val="center"/>
                  </w:pPr>
                  <w:r>
                    <w:t xml:space="preserve">1.22</w:t>
                  </w:r>
                </w:p>
              </w:tc>
              <w:tc>
                <w:tcPr/>
                <w:p>
                  <w:pPr>
                    <w:pStyle w:val="Compact"/>
                    <w:jc w:val="center"/>
                  </w:pPr>
                  <w:r>
                    <w:t xml:space="preserve">0.96</w:t>
                  </w:r>
                </w:p>
              </w:tc>
            </w:tr>
            <w:tr>
              <w:tc>
                <w:tcPr/>
                <w:p>
                  <w:pPr>
                    <w:pStyle w:val="Compact"/>
                    <w:jc w:val="center"/>
                  </w:pPr>
                  <w:r>
                    <w:t xml:space="preserve">25</w:t>
                  </w:r>
                </w:p>
              </w:tc>
              <w:tc>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8,036</w:t>
                  </w:r>
                </w:p>
              </w:tc>
              <w:tc>
                <w:tcPr/>
                <w:p>
                  <w:pPr>
                    <w:pStyle w:val="Compact"/>
                    <w:jc w:val="center"/>
                  </w:pPr>
                  <w:r>
                    <w:t xml:space="preserve">94.0</w:t>
                  </w:r>
                </w:p>
              </w:tc>
              <w:tc>
                <w:tcPr/>
                <w:p>
                  <w:pPr>
                    <w:pStyle w:val="Compact"/>
                    <w:jc w:val="center"/>
                  </w:pPr>
                  <w:r>
                    <w:t xml:space="preserve">2.75</w:t>
                  </w:r>
                </w:p>
              </w:tc>
              <w:tc>
                <w:tcPr/>
                <w:p>
                  <w:pPr>
                    <w:pStyle w:val="Compact"/>
                    <w:jc w:val="center"/>
                  </w:pPr>
                  <w:r>
                    <w:t xml:space="preserve">1.39</w:t>
                  </w:r>
                </w:p>
              </w:tc>
              <w:tc>
                <w:tcPr/>
                <w:p>
                  <w:pPr>
                    <w:pStyle w:val="Compact"/>
                    <w:jc w:val="center"/>
                  </w:pPr>
                  <w:r>
                    <w:t xml:space="preserve">0.97</w:t>
                  </w:r>
                </w:p>
              </w:tc>
            </w:tr>
            <w:tr>
              <w:tc>
                <w:tcPr/>
                <w:p>
                  <w:pPr>
                    <w:pStyle w:val="Compact"/>
                    <w:jc w:val="center"/>
                  </w:pPr>
                  <w:r>
                    <w:t xml:space="preserve">26</w:t>
                  </w:r>
                </w:p>
              </w:tc>
              <w:tc>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7,617</w:t>
                  </w:r>
                </w:p>
              </w:tc>
              <w:tc>
                <w:tcPr/>
                <w:p>
                  <w:pPr>
                    <w:pStyle w:val="Compact"/>
                    <w:jc w:val="center"/>
                  </w:pPr>
                  <w:r>
                    <w:t xml:space="preserve">96.7</w:t>
                  </w:r>
                </w:p>
              </w:tc>
              <w:tc>
                <w:tcPr/>
                <w:p>
                  <w:pPr>
                    <w:pStyle w:val="Compact"/>
                    <w:jc w:val="center"/>
                  </w:pPr>
                  <w:r>
                    <w:t xml:space="preserve">1.70</w:t>
                  </w:r>
                </w:p>
              </w:tc>
              <w:tc>
                <w:tcPr/>
                <w:p>
                  <w:pPr>
                    <w:pStyle w:val="Compact"/>
                    <w:jc w:val="center"/>
                  </w:pPr>
                  <w:r>
                    <w:t xml:space="preserve">1.29</w:t>
                  </w:r>
                </w:p>
              </w:tc>
              <w:tc>
                <w:tcPr/>
                <w:p>
                  <w:pPr>
                    <w:pStyle w:val="Compact"/>
                    <w:jc w:val="center"/>
                  </w:pPr>
                  <w:r>
                    <w:t xml:space="preserve">0.85</w:t>
                  </w:r>
                </w:p>
              </w:tc>
            </w:tr>
            <w:tr>
              <w:tc>
                <w:tcPr/>
                <w:p>
                  <w:pPr>
                    <w:pStyle w:val="Compact"/>
                    <w:jc w:val="center"/>
                  </w:pPr>
                  <w:r>
                    <w:t xml:space="preserve">27</w:t>
                  </w:r>
                </w:p>
              </w:tc>
              <w:tc>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7,206</w:t>
                  </w:r>
                </w:p>
              </w:tc>
              <w:tc>
                <w:tcPr/>
                <w:p>
                  <w:pPr>
                    <w:pStyle w:val="Compact"/>
                    <w:jc w:val="center"/>
                  </w:pPr>
                  <w:r>
                    <w:t xml:space="preserve">92.4</w:t>
                  </w:r>
                </w:p>
              </w:tc>
              <w:tc>
                <w:tcPr/>
                <w:p>
                  <w:pPr>
                    <w:pStyle w:val="Compact"/>
                    <w:jc w:val="center"/>
                  </w:pPr>
                  <w:r>
                    <w:t xml:space="preserve">4.06</w:t>
                  </w:r>
                </w:p>
              </w:tc>
              <w:tc>
                <w:tcPr/>
                <w:p>
                  <w:pPr>
                    <w:pStyle w:val="Compact"/>
                    <w:jc w:val="center"/>
                  </w:pPr>
                  <w:r>
                    <w:t xml:space="preserve">1.24</w:t>
                  </w:r>
                </w:p>
              </w:tc>
              <w:tc>
                <w:tcPr/>
                <w:p>
                  <w:pPr>
                    <w:pStyle w:val="Compact"/>
                    <w:jc w:val="center"/>
                  </w:pPr>
                  <w:r>
                    <w:t xml:space="preserve">0.93</w:t>
                  </w:r>
                </w:p>
              </w:tc>
            </w:tr>
            <w:tr>
              <w:tc>
                <w:tcPr/>
                <w:p>
                  <w:pPr>
                    <w:pStyle w:val="Compact"/>
                    <w:jc w:val="center"/>
                  </w:pPr>
                  <w:r>
                    <w:t xml:space="preserve">28</w:t>
                  </w:r>
                </w:p>
              </w:tc>
              <w:tc>
                <w:tcPr/>
                <w:p>
                  <w:pPr>
                    <w:pStyle w:val="Compact"/>
                    <w:jc w:val="center"/>
                  </w:pPr>
                  <w:r>
                    <w:t xml:space="preserve">center</w:t>
                  </w:r>
                </w:p>
              </w:tc>
              <w:tc>
                <w:tcPr/>
                <w:p>
                  <w:pPr>
                    <w:pStyle w:val="Compact"/>
                    <w:jc w:val="center"/>
                  </w:pPr>
                  <w:r>
                    <w:t xml:space="preserve">30</w:t>
                  </w:r>
                </w:p>
              </w:tc>
              <w:tc>
                <w:tcPr/>
                <w:p>
                  <w:pPr>
                    <w:pStyle w:val="Compact"/>
                    <w:jc w:val="center"/>
                  </w:pPr>
                  <w:r>
                    <w:t xml:space="preserve">3.55</w:t>
                  </w:r>
                </w:p>
              </w:tc>
              <w:tc>
                <w:tcPr/>
                <w:p>
                  <w:pPr>
                    <w:pStyle w:val="Compact"/>
                    <w:jc w:val="center"/>
                  </w:pPr>
                  <w:r>
                    <w:t xml:space="preserve">200</w:t>
                  </w:r>
                </w:p>
              </w:tc>
              <w:tc>
                <w:tcPr/>
                <w:p>
                  <w:pPr>
                    <w:pStyle w:val="Compact"/>
                    <w:jc w:val="center"/>
                  </w:pPr>
                  <w:r>
                    <w:t xml:space="preserve">2.6</w:t>
                  </w:r>
                </w:p>
              </w:tc>
              <w:tc>
                <w:tcPr/>
                <w:p>
                  <w:pPr>
                    <w:pStyle w:val="Compact"/>
                    <w:jc w:val="center"/>
                  </w:pPr>
                  <w:r>
                    <w:t xml:space="preserve">7,396</w:t>
                  </w:r>
                </w:p>
              </w:tc>
              <w:tc>
                <w:tcPr/>
                <w:p>
                  <w:pPr>
                    <w:pStyle w:val="Compact"/>
                    <w:jc w:val="center"/>
                  </w:pPr>
                  <w:r>
                    <w:t xml:space="preserve">95.4</w:t>
                  </w:r>
                </w:p>
              </w:tc>
              <w:tc>
                <w:tcPr/>
                <w:p>
                  <w:pPr>
                    <w:pStyle w:val="Compact"/>
                    <w:jc w:val="center"/>
                  </w:pPr>
                  <w:r>
                    <w:t xml:space="preserve">2.91</w:t>
                  </w:r>
                </w:p>
              </w:tc>
              <w:tc>
                <w:tcPr/>
                <w:p>
                  <w:pPr>
                    <w:pStyle w:val="Compact"/>
                    <w:jc w:val="center"/>
                  </w:pPr>
                  <w:r>
                    <w:t xml:space="preserve">1.37</w:t>
                  </w:r>
                </w:p>
              </w:tc>
              <w:tc>
                <w:tcPr/>
                <w:p>
                  <w:pPr>
                    <w:pStyle w:val="Compact"/>
                    <w:jc w:val="center"/>
                  </w:pPr>
                  <w:r>
                    <w:t xml:space="preserve">0.80</w:t>
                  </w:r>
                </w:p>
              </w:tc>
            </w:tr>
            <w:tr>
              <w:tc>
                <w:tcPr>
                  <w:gridSpan w:val="11"/>
                </w:tcPr>
                <w:p>
                  <w:pPr>
                    <w:pStyle w:val="Compact"/>
                    <w:jc w:val="center"/>
                  </w:pPr>
                  <w:r>
                    <w:rPr>
                      <w:vertAlign w:val="superscript"/>
                    </w:rPr>
                    <w:t xml:space="preserve">a)</w:t>
                  </w:r>
                  <w:r>
                    <w:t xml:space="preserve"> </w:t>
                  </w:r>
                  <w:r>
                    <w:t xml:space="preserve">DEV-005-02: Leached Protein A result of RSM run 11 initially out of trend; re-assayed. Run retained.</w:t>
                  </w:r>
                </w:p>
              </w:tc>
            </w:tr>
            <w:tr>
              <w:tc>
                <w:tcPr>
                  <w:gridSpan w:val="11"/>
                </w:tcPr>
                <w:p>
                  <w:pPr>
                    <w:pStyle w:val="Compact"/>
                    <w:jc w:val="center"/>
                  </w:pPr>
                  <w:r>
                    <w:rPr>
                      <w:vertAlign w:val="superscript"/>
                    </w:rPr>
                    <w:t xml:space="preserve">b)</w:t>
                  </w:r>
                  <w:r>
                    <w:t xml:space="preserve"> </w:t>
                  </w:r>
                  <w:r>
                    <w:t xml:space="preserve">DEV-005-01: Elution-buffer pH prepared below target on an RSM run. Run retained.</w:t>
                  </w:r>
                </w:p>
              </w:tc>
            </w:tr>
            <w:tr>
              <w:tc>
                <w:tcPr>
                  <w:gridSpan w:val="11"/>
                </w:tcPr>
                <w:p>
                  <w:pPr>
                    <w:pStyle w:val="Compact"/>
                    <w:jc w:val="center"/>
                  </w:pPr>
                  <w:r>
                    <w:t xml:space="preserve">LMW by SEC is biased in this matrix and is not used for evaluation (AMD-001). n.t. = not tested.</w:t>
                  </w:r>
                </w:p>
              </w:tc>
            </w:tr>
          </w:tbl>
          <w:bookmarkEnd w:id="114"/>
          <w:p/>
        </w:tc>
      </w:tr>
    </w:tbl>
    <w:bookmarkEnd w:id="115"/>
    <w:bookmarkStart w:id="120" w:name="X36bf6f5778a70498f998897bcaba6cd1608671a"/>
    <w:p>
      <w:pPr>
        <w:pStyle w:val="Heading2"/>
      </w:pPr>
      <w:r>
        <w:t xml:space="preserve">Appendix C. Full effect and coefficient tables</w:t>
      </w:r>
    </w:p>
    <w:p>
      <w:pPr>
        <w:pStyle w:val="FirstParagraph"/>
      </w:pPr>
      <w:hyperlink w:anchor="tbl-scr-lpa">
        <w:r>
          <w:rPr>
            <w:rStyle w:val="Hyperlink"/>
          </w:rPr>
          <w:t xml:space="preserve">Table 27</w:t>
        </w:r>
      </w:hyperlink>
      <w:r>
        <w:t xml:space="preserve"> </w:t>
      </w:r>
      <w:r>
        <w:t xml:space="preserve">gives the screening effects on leached Protein A. The screening effects on pool host cell protein and step yield are in</w:t>
      </w:r>
      <w:r>
        <w:t xml:space="preserve"> </w:t>
      </w:r>
      <w:hyperlink w:anchor="tbl-scr-hcp">
        <w:r>
          <w:rPr>
            <w:rStyle w:val="Hyperlink"/>
          </w:rPr>
          <w:t xml:space="preserve">Table 12</w:t>
        </w:r>
      </w:hyperlink>
      <w:r>
        <w:t xml:space="preserve"> </w:t>
      </w:r>
      <w:r>
        <w:t xml:space="preserve">and</w:t>
      </w:r>
      <w:r>
        <w:t xml:space="preserve"> </w:t>
      </w:r>
      <w:hyperlink w:anchor="tbl-scr-yield">
        <w:r>
          <w:rPr>
            <w:rStyle w:val="Hyperlink"/>
          </w:rPr>
          <w:t xml:space="preserve">Table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6" w:name="tbl-scr-lpa"/>
          <w:p>
            <w:pPr>
              <w:jc w:val="center"/>
            </w:pPr>
            <w:pPr>
              <w:jc w:val="start"/>
              <w:spacing w:before="200"/>
              <w:pStyle w:val="ImageCaption"/>
            </w:pPr>
            <w:r>
              <w:t xml:space="preserve">Table 27: Screening effects on leached Protein A (ppm), sorted by size.</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AC</w:t>
                  </w:r>
                </w:p>
              </w:tc>
              <w:tc>
                <w:tcPr/>
                <w:p>
                  <w:pPr>
                    <w:pStyle w:val="Compact"/>
                    <w:jc w:val="right"/>
                    <w:jc w:val="center"/>
                  </w:pPr>
                  <w:r>
                    <w:t xml:space="preserve">0.329</w:t>
                  </w:r>
                </w:p>
              </w:tc>
              <w:tc>
                <w:tcPr/>
                <w:p>
                  <w:pPr>
                    <w:pStyle w:val="Compact"/>
                    <w:jc w:val="right"/>
                    <w:jc w:val="center"/>
                  </w:pPr>
                  <w:r>
                    <w:t xml:space="preserve">0.165</w:t>
                  </w:r>
                </w:p>
              </w:tc>
              <w:tc>
                <w:tcPr/>
                <w:p>
                  <w:pPr>
                    <w:pStyle w:val="Compact"/>
                    <w:jc w:val="right"/>
                    <w:jc w:val="center"/>
                  </w:pPr>
                  <w:r>
                    <w:t xml:space="preserve">0.128</w:t>
                  </w:r>
                </w:p>
              </w:tc>
              <w:tc>
                <w:tcPr/>
                <w:p>
                  <w:pPr>
                    <w:pStyle w:val="Compact"/>
                    <w:jc w:val="right"/>
                    <w:jc w:val="center"/>
                  </w:pPr>
                  <w:r>
                    <w:t xml:space="preserve">1.28</w:t>
                  </w:r>
                </w:p>
              </w:tc>
              <w:tc>
                <w:tcPr/>
                <w:p>
                  <w:pPr>
                    <w:pStyle w:val="Compact"/>
                    <w:jc w:val="right"/>
                    <w:jc w:val="center"/>
                  </w:pPr>
                  <w:r>
                    <w:t xml:space="preserve">0.235</w:t>
                  </w:r>
                </w:p>
              </w:tc>
              <w:tc>
                <w:tcPr/>
                <w:p>
                  <w:pPr>
                    <w:pStyle w:val="Compact"/>
                  </w:pPr>
                </w:p>
              </w:tc>
            </w:tr>
            <w:tr>
              <w:tc>
                <w:tcPr/>
                <w:p>
                  <w:pPr>
                    <w:pStyle w:val="Compact"/>
                    <w:jc w:val="left"/>
                    <w:jc w:val="center"/>
                  </w:pPr>
                  <w:r>
                    <w:t xml:space="preserve">A</w:t>
                  </w:r>
                </w:p>
              </w:tc>
              <w:tc>
                <w:tcPr/>
                <w:p>
                  <w:pPr>
                    <w:pStyle w:val="Compact"/>
                    <w:jc w:val="right"/>
                    <w:jc w:val="center"/>
                  </w:pPr>
                  <w:r>
                    <w:t xml:space="preserve">-0.208</w:t>
                  </w:r>
                </w:p>
              </w:tc>
              <w:tc>
                <w:tcPr/>
                <w:p>
                  <w:pPr>
                    <w:pStyle w:val="Compact"/>
                    <w:jc w:val="right"/>
                    <w:jc w:val="center"/>
                  </w:pPr>
                  <w:r>
                    <w:t xml:space="preserve">-0.104</w:t>
                  </w:r>
                </w:p>
              </w:tc>
              <w:tc>
                <w:tcPr/>
                <w:p>
                  <w:pPr>
                    <w:pStyle w:val="Compact"/>
                    <w:jc w:val="right"/>
                    <w:jc w:val="center"/>
                  </w:pPr>
                  <w:r>
                    <w:t xml:space="preserve">0.128</w:t>
                  </w:r>
                </w:p>
              </w:tc>
              <w:tc>
                <w:tcPr/>
                <w:p>
                  <w:pPr>
                    <w:pStyle w:val="Compact"/>
                    <w:jc w:val="right"/>
                    <w:jc w:val="center"/>
                  </w:pPr>
                  <w:r>
                    <w:t xml:space="preserve">-0.811</w:t>
                  </w:r>
                </w:p>
              </w:tc>
              <w:tc>
                <w:tcPr/>
                <w:p>
                  <w:pPr>
                    <w:pStyle w:val="Compact"/>
                    <w:jc w:val="right"/>
                    <w:jc w:val="center"/>
                  </w:pPr>
                  <w:r>
                    <w:t xml:space="preserve">0.441</w:t>
                  </w:r>
                </w:p>
              </w:tc>
              <w:tc>
                <w:tcPr/>
                <w:p>
                  <w:pPr>
                    <w:pStyle w:val="Compact"/>
                  </w:pPr>
                </w:p>
              </w:tc>
            </w:tr>
            <w:tr>
              <w:tc>
                <w:tcPr/>
                <w:p>
                  <w:pPr>
                    <w:pStyle w:val="Compact"/>
                    <w:jc w:val="left"/>
                    <w:jc w:val="center"/>
                  </w:pPr>
                  <w:r>
                    <w:t xml:space="preserve">BD</w:t>
                  </w:r>
                </w:p>
              </w:tc>
              <w:tc>
                <w:tcPr/>
                <w:p>
                  <w:pPr>
                    <w:pStyle w:val="Compact"/>
                    <w:jc w:val="right"/>
                    <w:jc w:val="center"/>
                  </w:pPr>
                  <w:r>
                    <w:t xml:space="preserve">-0.189</w:t>
                  </w:r>
                </w:p>
              </w:tc>
              <w:tc>
                <w:tcPr/>
                <w:p>
                  <w:pPr>
                    <w:pStyle w:val="Compact"/>
                    <w:jc w:val="right"/>
                    <w:jc w:val="center"/>
                  </w:pPr>
                  <w:r>
                    <w:t xml:space="preserve">-0.0944</w:t>
                  </w:r>
                </w:p>
              </w:tc>
              <w:tc>
                <w:tcPr/>
                <w:p>
                  <w:pPr>
                    <w:pStyle w:val="Compact"/>
                    <w:jc w:val="right"/>
                    <w:jc w:val="center"/>
                  </w:pPr>
                  <w:r>
                    <w:t xml:space="preserve">0.128</w:t>
                  </w:r>
                </w:p>
              </w:tc>
              <w:tc>
                <w:tcPr/>
                <w:p>
                  <w:pPr>
                    <w:pStyle w:val="Compact"/>
                    <w:jc w:val="right"/>
                    <w:jc w:val="center"/>
                  </w:pPr>
                  <w:r>
                    <w:t xml:space="preserve">-0.736</w:t>
                  </w:r>
                </w:p>
              </w:tc>
              <w:tc>
                <w:tcPr/>
                <w:p>
                  <w:pPr>
                    <w:pStyle w:val="Compact"/>
                    <w:jc w:val="right"/>
                    <w:jc w:val="center"/>
                  </w:pPr>
                  <w:r>
                    <w:t xml:space="preserve">0.482</w:t>
                  </w:r>
                </w:p>
              </w:tc>
              <w:tc>
                <w:tcPr/>
                <w:p>
                  <w:pPr>
                    <w:pStyle w:val="Compact"/>
                  </w:pPr>
                </w:p>
              </w:tc>
            </w:tr>
            <w:tr>
              <w:tc>
                <w:tcPr/>
                <w:p>
                  <w:pPr>
                    <w:pStyle w:val="Compact"/>
                    <w:jc w:val="left"/>
                    <w:jc w:val="center"/>
                  </w:pPr>
                  <w:r>
                    <w:t xml:space="preserve">BC</w:t>
                  </w:r>
                </w:p>
              </w:tc>
              <w:tc>
                <w:tcPr/>
                <w:p>
                  <w:pPr>
                    <w:pStyle w:val="Compact"/>
                    <w:jc w:val="right"/>
                    <w:jc w:val="center"/>
                  </w:pPr>
                  <w:r>
                    <w:t xml:space="preserve">-0.182</w:t>
                  </w:r>
                </w:p>
              </w:tc>
              <w:tc>
                <w:tcPr/>
                <w:p>
                  <w:pPr>
                    <w:pStyle w:val="Compact"/>
                    <w:jc w:val="right"/>
                    <w:jc w:val="center"/>
                  </w:pPr>
                  <w:r>
                    <w:t xml:space="preserve">-0.0912</w:t>
                  </w:r>
                </w:p>
              </w:tc>
              <w:tc>
                <w:tcPr/>
                <w:p>
                  <w:pPr>
                    <w:pStyle w:val="Compact"/>
                    <w:jc w:val="right"/>
                    <w:jc w:val="center"/>
                  </w:pPr>
                  <w:r>
                    <w:t xml:space="preserve">0.128</w:t>
                  </w:r>
                </w:p>
              </w:tc>
              <w:tc>
                <w:tcPr/>
                <w:p>
                  <w:pPr>
                    <w:pStyle w:val="Compact"/>
                    <w:jc w:val="right"/>
                    <w:jc w:val="center"/>
                  </w:pPr>
                  <w:r>
                    <w:t xml:space="preserve">-0.712</w:t>
                  </w:r>
                </w:p>
              </w:tc>
              <w:tc>
                <w:tcPr/>
                <w:p>
                  <w:pPr>
                    <w:pStyle w:val="Compact"/>
                    <w:jc w:val="right"/>
                    <w:jc w:val="center"/>
                  </w:pPr>
                  <w:r>
                    <w:t xml:space="preserve">0.497</w:t>
                  </w:r>
                </w:p>
              </w:tc>
              <w:tc>
                <w:tcPr/>
                <w:p>
                  <w:pPr>
                    <w:pStyle w:val="Compact"/>
                  </w:pPr>
                </w:p>
              </w:tc>
            </w:tr>
            <w:tr>
              <w:tc>
                <w:tcPr/>
                <w:p>
                  <w:pPr>
                    <w:pStyle w:val="Compact"/>
                    <w:jc w:val="left"/>
                    <w:jc w:val="center"/>
                  </w:pPr>
                  <w:r>
                    <w:t xml:space="preserve">C</w:t>
                  </w:r>
                </w:p>
              </w:tc>
              <w:tc>
                <w:tcPr/>
                <w:p>
                  <w:pPr>
                    <w:pStyle w:val="Compact"/>
                    <w:jc w:val="right"/>
                    <w:jc w:val="center"/>
                  </w:pPr>
                  <w:r>
                    <w:t xml:space="preserve">0.18</w:t>
                  </w:r>
                </w:p>
              </w:tc>
              <w:tc>
                <w:tcPr/>
                <w:p>
                  <w:pPr>
                    <w:pStyle w:val="Compact"/>
                    <w:jc w:val="right"/>
                    <w:jc w:val="center"/>
                  </w:pPr>
                  <w:r>
                    <w:t xml:space="preserve">0.0898</w:t>
                  </w:r>
                </w:p>
              </w:tc>
              <w:tc>
                <w:tcPr/>
                <w:p>
                  <w:pPr>
                    <w:pStyle w:val="Compact"/>
                    <w:jc w:val="right"/>
                    <w:jc w:val="center"/>
                  </w:pPr>
                  <w:r>
                    <w:t xml:space="preserve">0.128</w:t>
                  </w:r>
                </w:p>
              </w:tc>
              <w:tc>
                <w:tcPr/>
                <w:p>
                  <w:pPr>
                    <w:pStyle w:val="Compact"/>
                    <w:jc w:val="right"/>
                    <w:jc w:val="center"/>
                  </w:pPr>
                  <w:r>
                    <w:t xml:space="preserve">0.701</w:t>
                  </w:r>
                </w:p>
              </w:tc>
              <w:tc>
                <w:tcPr/>
                <w:p>
                  <w:pPr>
                    <w:pStyle w:val="Compact"/>
                    <w:jc w:val="right"/>
                    <w:jc w:val="center"/>
                  </w:pPr>
                  <w:r>
                    <w:t xml:space="preserve">0.503</w:t>
                  </w:r>
                </w:p>
              </w:tc>
              <w:tc>
                <w:tcPr/>
                <w:p>
                  <w:pPr>
                    <w:pStyle w:val="Compact"/>
                  </w:pPr>
                </w:p>
              </w:tc>
            </w:tr>
            <w:tr>
              <w:tc>
                <w:tcPr/>
                <w:p>
                  <w:pPr>
                    <w:pStyle w:val="Compact"/>
                    <w:jc w:val="left"/>
                    <w:jc w:val="center"/>
                  </w:pPr>
                  <w:r>
                    <w:t xml:space="preserve">D</w:t>
                  </w:r>
                </w:p>
              </w:tc>
              <w:tc>
                <w:tcPr/>
                <w:p>
                  <w:pPr>
                    <w:pStyle w:val="Compact"/>
                    <w:jc w:val="right"/>
                    <w:jc w:val="center"/>
                  </w:pPr>
                  <w:r>
                    <w:t xml:space="preserve">0.152</w:t>
                  </w:r>
                </w:p>
              </w:tc>
              <w:tc>
                <w:tcPr/>
                <w:p>
                  <w:pPr>
                    <w:pStyle w:val="Compact"/>
                    <w:jc w:val="right"/>
                    <w:jc w:val="center"/>
                  </w:pPr>
                  <w:r>
                    <w:t xml:space="preserve">0.0758</w:t>
                  </w:r>
                </w:p>
              </w:tc>
              <w:tc>
                <w:tcPr/>
                <w:p>
                  <w:pPr>
                    <w:pStyle w:val="Compact"/>
                    <w:jc w:val="right"/>
                    <w:jc w:val="center"/>
                  </w:pPr>
                  <w:r>
                    <w:t xml:space="preserve">0.128</w:t>
                  </w:r>
                </w:p>
              </w:tc>
              <w:tc>
                <w:tcPr/>
                <w:p>
                  <w:pPr>
                    <w:pStyle w:val="Compact"/>
                    <w:jc w:val="right"/>
                    <w:jc w:val="center"/>
                  </w:pPr>
                  <w:r>
                    <w:t xml:space="preserve">0.591</w:t>
                  </w:r>
                </w:p>
              </w:tc>
              <w:tc>
                <w:tcPr/>
                <w:p>
                  <w:pPr>
                    <w:pStyle w:val="Compact"/>
                    <w:jc w:val="right"/>
                    <w:jc w:val="center"/>
                  </w:pPr>
                  <w:r>
                    <w:t xml:space="preserve">0.571</w:t>
                  </w:r>
                </w:p>
              </w:tc>
              <w:tc>
                <w:tcPr/>
                <w:p>
                  <w:pPr>
                    <w:pStyle w:val="Compact"/>
                  </w:pPr>
                </w:p>
              </w:tc>
            </w:tr>
            <w:tr>
              <w:tc>
                <w:tcPr/>
                <w:p>
                  <w:pPr>
                    <w:pStyle w:val="Compact"/>
                    <w:jc w:val="left"/>
                    <w:jc w:val="center"/>
                  </w:pPr>
                  <w:r>
                    <w:t xml:space="preserve">AB</w:t>
                  </w:r>
                </w:p>
              </w:tc>
              <w:tc>
                <w:tcPr/>
                <w:p>
                  <w:pPr>
                    <w:pStyle w:val="Compact"/>
                    <w:jc w:val="right"/>
                    <w:jc w:val="center"/>
                  </w:pPr>
                  <w:r>
                    <w:t xml:space="preserve">-0.133</w:t>
                  </w:r>
                </w:p>
              </w:tc>
              <w:tc>
                <w:tcPr/>
                <w:p>
                  <w:pPr>
                    <w:pStyle w:val="Compact"/>
                    <w:jc w:val="right"/>
                    <w:jc w:val="center"/>
                  </w:pPr>
                  <w:r>
                    <w:t xml:space="preserve">-0.0664</w:t>
                  </w:r>
                </w:p>
              </w:tc>
              <w:tc>
                <w:tcPr/>
                <w:p>
                  <w:pPr>
                    <w:pStyle w:val="Compact"/>
                    <w:jc w:val="right"/>
                    <w:jc w:val="center"/>
                  </w:pPr>
                  <w:r>
                    <w:t xml:space="preserve">0.128</w:t>
                  </w:r>
                </w:p>
              </w:tc>
              <w:tc>
                <w:tcPr/>
                <w:p>
                  <w:pPr>
                    <w:pStyle w:val="Compact"/>
                    <w:jc w:val="right"/>
                    <w:jc w:val="center"/>
                  </w:pPr>
                  <w:r>
                    <w:t xml:space="preserve">-0.518</w:t>
                  </w:r>
                </w:p>
              </w:tc>
              <w:tc>
                <w:tcPr/>
                <w:p>
                  <w:pPr>
                    <w:pStyle w:val="Compact"/>
                    <w:jc w:val="right"/>
                    <w:jc w:val="center"/>
                  </w:pPr>
                  <w:r>
                    <w:t xml:space="preserve">0.618</w:t>
                  </w:r>
                </w:p>
              </w:tc>
              <w:tc>
                <w:tcPr/>
                <w:p>
                  <w:pPr>
                    <w:pStyle w:val="Compact"/>
                  </w:pPr>
                </w:p>
              </w:tc>
            </w:tr>
            <w:tr>
              <w:tc>
                <w:tcPr/>
                <w:p>
                  <w:pPr>
                    <w:pStyle w:val="Compact"/>
                    <w:jc w:val="left"/>
                    <w:jc w:val="center"/>
                  </w:pPr>
                  <w:r>
                    <w:t xml:space="preserve">CD</w:t>
                  </w:r>
                </w:p>
              </w:tc>
              <w:tc>
                <w:tcPr/>
                <w:p>
                  <w:pPr>
                    <w:pStyle w:val="Compact"/>
                    <w:jc w:val="right"/>
                    <w:jc w:val="center"/>
                  </w:pPr>
                  <w:r>
                    <w:t xml:space="preserve">-0.0987</w:t>
                  </w:r>
                </w:p>
              </w:tc>
              <w:tc>
                <w:tcPr/>
                <w:p>
                  <w:pPr>
                    <w:pStyle w:val="Compact"/>
                    <w:jc w:val="right"/>
                    <w:jc w:val="center"/>
                  </w:pPr>
                  <w:r>
                    <w:t xml:space="preserve">-0.0494</w:t>
                  </w:r>
                </w:p>
              </w:tc>
              <w:tc>
                <w:tcPr/>
                <w:p>
                  <w:pPr>
                    <w:pStyle w:val="Compact"/>
                    <w:jc w:val="right"/>
                    <w:jc w:val="center"/>
                  </w:pPr>
                  <w:r>
                    <w:t xml:space="preserve">0.128</w:t>
                  </w:r>
                </w:p>
              </w:tc>
              <w:tc>
                <w:tcPr/>
                <w:p>
                  <w:pPr>
                    <w:pStyle w:val="Compact"/>
                    <w:jc w:val="right"/>
                    <w:jc w:val="center"/>
                  </w:pPr>
                  <w:r>
                    <w:t xml:space="preserve">-0.385</w:t>
                  </w:r>
                </w:p>
              </w:tc>
              <w:tc>
                <w:tcPr/>
                <w:p>
                  <w:pPr>
                    <w:pStyle w:val="Compact"/>
                    <w:jc w:val="right"/>
                    <w:jc w:val="center"/>
                  </w:pPr>
                  <w:r>
                    <w:t xml:space="preserve">0.71</w:t>
                  </w:r>
                </w:p>
              </w:tc>
              <w:tc>
                <w:tcPr/>
                <w:p>
                  <w:pPr>
                    <w:pStyle w:val="Compact"/>
                  </w:pPr>
                </w:p>
              </w:tc>
            </w:tr>
            <w:tr>
              <w:tc>
                <w:tcPr/>
                <w:p>
                  <w:pPr>
                    <w:pStyle w:val="Compact"/>
                    <w:jc w:val="left"/>
                    <w:jc w:val="center"/>
                  </w:pPr>
                  <w:r>
                    <w:t xml:space="preserve">B</w:t>
                  </w:r>
                </w:p>
              </w:tc>
              <w:tc>
                <w:tcPr/>
                <w:p>
                  <w:pPr>
                    <w:pStyle w:val="Compact"/>
                    <w:jc w:val="right"/>
                    <w:jc w:val="center"/>
                  </w:pPr>
                  <w:r>
                    <w:t xml:space="preserve">0.0652</w:t>
                  </w:r>
                </w:p>
              </w:tc>
              <w:tc>
                <w:tcPr/>
                <w:p>
                  <w:pPr>
                    <w:pStyle w:val="Compact"/>
                    <w:jc w:val="right"/>
                    <w:jc w:val="center"/>
                  </w:pPr>
                  <w:r>
                    <w:t xml:space="preserve">0.0326</w:t>
                  </w:r>
                </w:p>
              </w:tc>
              <w:tc>
                <w:tcPr/>
                <w:p>
                  <w:pPr>
                    <w:pStyle w:val="Compact"/>
                    <w:jc w:val="right"/>
                    <w:jc w:val="center"/>
                  </w:pPr>
                  <w:r>
                    <w:t xml:space="preserve">0.128</w:t>
                  </w:r>
                </w:p>
              </w:tc>
              <w:tc>
                <w:tcPr/>
                <w:p>
                  <w:pPr>
                    <w:pStyle w:val="Compact"/>
                    <w:jc w:val="right"/>
                    <w:jc w:val="center"/>
                  </w:pPr>
                  <w:r>
                    <w:t xml:space="preserve">0.254</w:t>
                  </w:r>
                </w:p>
              </w:tc>
              <w:tc>
                <w:tcPr/>
                <w:p>
                  <w:pPr>
                    <w:pStyle w:val="Compact"/>
                    <w:jc w:val="right"/>
                    <w:jc w:val="center"/>
                  </w:pPr>
                  <w:r>
                    <w:t xml:space="preserve">0.806</w:t>
                  </w:r>
                </w:p>
              </w:tc>
              <w:tc>
                <w:tcPr/>
                <w:p>
                  <w:pPr>
                    <w:pStyle w:val="Compact"/>
                  </w:pPr>
                </w:p>
              </w:tc>
            </w:tr>
            <w:tr>
              <w:tc>
                <w:tcPr/>
                <w:p>
                  <w:pPr>
                    <w:pStyle w:val="Compact"/>
                    <w:jc w:val="left"/>
                    <w:jc w:val="center"/>
                  </w:pPr>
                  <w:r>
                    <w:t xml:space="preserve">AD</w:t>
                  </w:r>
                </w:p>
              </w:tc>
              <w:tc>
                <w:tcPr/>
                <w:p>
                  <w:pPr>
                    <w:pStyle w:val="Compact"/>
                    <w:jc w:val="right"/>
                    <w:jc w:val="center"/>
                  </w:pPr>
                  <w:r>
                    <w:t xml:space="preserve">0.0567</w:t>
                  </w:r>
                </w:p>
              </w:tc>
              <w:tc>
                <w:tcPr/>
                <w:p>
                  <w:pPr>
                    <w:pStyle w:val="Compact"/>
                    <w:jc w:val="right"/>
                    <w:jc w:val="center"/>
                  </w:pPr>
                  <w:r>
                    <w:t xml:space="preserve">0.0284</w:t>
                  </w:r>
                </w:p>
              </w:tc>
              <w:tc>
                <w:tcPr/>
                <w:p>
                  <w:pPr>
                    <w:pStyle w:val="Compact"/>
                    <w:jc w:val="right"/>
                    <w:jc w:val="center"/>
                  </w:pPr>
                  <w:r>
                    <w:t xml:space="preserve">0.128</w:t>
                  </w:r>
                </w:p>
              </w:tc>
              <w:tc>
                <w:tcPr/>
                <w:p>
                  <w:pPr>
                    <w:pStyle w:val="Compact"/>
                    <w:jc w:val="right"/>
                    <w:jc w:val="center"/>
                  </w:pPr>
                  <w:r>
                    <w:t xml:space="preserve">0.221</w:t>
                  </w:r>
                </w:p>
              </w:tc>
              <w:tc>
                <w:tcPr/>
                <w:p>
                  <w:pPr>
                    <w:pStyle w:val="Compact"/>
                    <w:jc w:val="right"/>
                    <w:jc w:val="center"/>
                  </w:pPr>
                  <w:r>
                    <w:t xml:space="preserve">0.83</w:t>
                  </w:r>
                </w:p>
              </w:tc>
              <w:tc>
                <w:tcPr/>
                <w:p>
                  <w:pPr>
                    <w:pStyle w:val="Compact"/>
                  </w:pPr>
                </w:p>
              </w:tc>
            </w:tr>
          </w:tbl>
          <w:bookmarkEnd w:id="116"/>
          <w:p/>
        </w:tc>
      </w:tr>
    </w:tbl>
    <w:p>
      <w:pPr>
        <w:pStyle w:val="BodyText"/>
      </w:pPr>
      <w:hyperlink w:anchor="tbl-coef-yield">
        <w:r>
          <w:rPr>
            <w:rStyle w:val="Hyperlink"/>
          </w:rPr>
          <w:t xml:space="preserve">Table 28</w:t>
        </w:r>
      </w:hyperlink>
      <w:r>
        <w:t xml:space="preserve">,</w:t>
      </w:r>
      <w:r>
        <w:t xml:space="preserve"> </w:t>
      </w:r>
      <w:hyperlink w:anchor="tbl-coef-lpa">
        <w:r>
          <w:rPr>
            <w:rStyle w:val="Hyperlink"/>
          </w:rPr>
          <w:t xml:space="preserve">Table 29</w:t>
        </w:r>
      </w:hyperlink>
      <w:r>
        <w:t xml:space="preserve"> </w:t>
      </w:r>
      <w:r>
        <w:t xml:space="preserve">and</w:t>
      </w:r>
      <w:r>
        <w:t xml:space="preserve"> </w:t>
      </w:r>
      <w:hyperlink w:anchor="tbl-coef-frag">
        <w:r>
          <w:rPr>
            <w:rStyle w:val="Hyperlink"/>
          </w:rPr>
          <w:t xml:space="preserve">Table 30</w:t>
        </w:r>
      </w:hyperlink>
      <w:r>
        <w:t xml:space="preserve"> </w:t>
      </w:r>
      <w:r>
        <w:t xml:space="preserve">give the full quadratic coefficients for the responses not shown in Results. The coefficients for fragments by SEC are not given, because those results are not used.</w:t>
      </w:r>
    </w:p>
    <w:tbl>
      <w:tblPr>
        <w:tblStyle w:val="Table"/>
        <w:tblW w:type="pct" w:w="5000"/>
        <w:tblLayout w:type="fixed"/>
        <w:tblLook w:firstRow="0" w:lastRow="0" w:firstColumn="0" w:lastColumn="0" w:noHBand="0" w:noVBand="0" w:val="0000"/>
      </w:tblPr>
      <w:tblGrid>
        <w:gridCol w:w="7920"/>
      </w:tblGrid>
      <w:tr>
        <w:tc>
          <w:tcPr/>
          <w:bookmarkStart w:id="117" w:name="tbl-coef-yield"/>
          <w:p>
            <w:pPr>
              <w:jc w:val="center"/>
            </w:pPr>
            <w:pPr>
              <w:jc w:val="start"/>
              <w:spacing w:before="200"/>
              <w:pStyle w:val="ImageCaption"/>
            </w:pPr>
            <w:r>
              <w:t xml:space="preserve">Table 28: Full quadratic coefficients for step yield (fraction),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0.947</w:t>
                  </w:r>
                </w:p>
              </w:tc>
              <w:tc>
                <w:tcPr/>
                <w:p>
                  <w:pPr>
                    <w:pStyle w:val="Compact"/>
                    <w:jc w:val="right"/>
                    <w:jc w:val="center"/>
                  </w:pPr>
                  <w:r>
                    <w:t xml:space="preserve">0.00554</w:t>
                  </w:r>
                </w:p>
              </w:tc>
              <w:tc>
                <w:tcPr/>
                <w:p>
                  <w:pPr>
                    <w:pStyle w:val="Compact"/>
                    <w:jc w:val="right"/>
                    <w:jc w:val="center"/>
                  </w:pPr>
                  <w:r>
                    <w:t xml:space="preserve">171</w:t>
                  </w:r>
                </w:p>
              </w:tc>
              <w:tc>
                <w:tcPr/>
                <w:p>
                  <w:pPr>
                    <w:pStyle w:val="Compact"/>
                    <w:jc w:val="right"/>
                    <w:jc w:val="center"/>
                  </w:pPr>
                  <w:r>
                    <w:t xml:space="preserve">3.5e-23</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-0.0165</w:t>
                  </w:r>
                </w:p>
              </w:tc>
              <w:tc>
                <w:tcPr/>
                <w:p>
                  <w:pPr>
                    <w:pStyle w:val="Compact"/>
                    <w:jc w:val="right"/>
                    <w:jc w:val="center"/>
                  </w:pPr>
                  <w:r>
                    <w:t xml:space="preserve">0.00377</w:t>
                  </w:r>
                </w:p>
              </w:tc>
              <w:tc>
                <w:tcPr/>
                <w:p>
                  <w:pPr>
                    <w:pStyle w:val="Compact"/>
                    <w:jc w:val="right"/>
                    <w:jc w:val="center"/>
                  </w:pPr>
                  <w:r>
                    <w:t xml:space="preserve">-4.36</w:t>
                  </w:r>
                </w:p>
              </w:tc>
              <w:tc>
                <w:tcPr/>
                <w:p>
                  <w:pPr>
                    <w:pStyle w:val="Compact"/>
                    <w:jc w:val="right"/>
                    <w:jc w:val="center"/>
                  </w:pPr>
                  <w:r>
                    <w:t xml:space="preserve">0.000767</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-0.00243</w:t>
                  </w:r>
                </w:p>
              </w:tc>
              <w:tc>
                <w:tcPr/>
                <w:p>
                  <w:pPr>
                    <w:pStyle w:val="Compact"/>
                    <w:jc w:val="right"/>
                    <w:jc w:val="center"/>
                  </w:pPr>
                  <w:r>
                    <w:t xml:space="preserve">0.00377</w:t>
                  </w:r>
                </w:p>
              </w:tc>
              <w:tc>
                <w:tcPr/>
                <w:p>
                  <w:pPr>
                    <w:pStyle w:val="Compact"/>
                    <w:jc w:val="right"/>
                    <w:jc w:val="center"/>
                  </w:pPr>
                  <w:r>
                    <w:t xml:space="preserve">-0.643</w:t>
                  </w:r>
                </w:p>
              </w:tc>
              <w:tc>
                <w:tcPr/>
                <w:p>
                  <w:pPr>
                    <w:pStyle w:val="Compact"/>
                    <w:jc w:val="right"/>
                    <w:jc w:val="center"/>
                  </w:pPr>
                  <w:r>
                    <w:t xml:space="preserve">0.531</w:t>
                  </w:r>
                </w:p>
              </w:tc>
              <w:tc>
                <w:tcPr/>
                <w:p>
                  <w:pPr>
                    <w:pStyle w:val="Compact"/>
                  </w:pPr>
                </w:p>
              </w:tc>
            </w:tr>
            <w:tr>
              <w:tc>
                <w:tcPr/>
                <w:p>
                  <w:pPr>
                    <w:pStyle w:val="Compact"/>
                    <w:jc w:val="left"/>
                    <w:jc w:val="center"/>
                  </w:pPr>
                  <w:r>
                    <w:t xml:space="preserve">C</w:t>
                  </w:r>
                </w:p>
              </w:tc>
              <w:tc>
                <w:tcPr/>
                <w:p>
                  <w:pPr>
                    <w:pStyle w:val="Compact"/>
                    <w:jc w:val="right"/>
                    <w:jc w:val="center"/>
                  </w:pPr>
                  <w:r>
                    <w:t xml:space="preserve">-0.00891</w:t>
                  </w:r>
                </w:p>
              </w:tc>
              <w:tc>
                <w:tcPr/>
                <w:p>
                  <w:pPr>
                    <w:pStyle w:val="Compact"/>
                    <w:jc w:val="right"/>
                    <w:jc w:val="center"/>
                  </w:pPr>
                  <w:r>
                    <w:t xml:space="preserve">0.00377</w:t>
                  </w:r>
                </w:p>
              </w:tc>
              <w:tc>
                <w:tcPr/>
                <w:p>
                  <w:pPr>
                    <w:pStyle w:val="Compact"/>
                    <w:jc w:val="right"/>
                    <w:jc w:val="center"/>
                  </w:pPr>
                  <w:r>
                    <w:t xml:space="preserve">-2.36</w:t>
                  </w:r>
                </w:p>
              </w:tc>
              <w:tc>
                <w:tcPr/>
                <w:p>
                  <w:pPr>
                    <w:pStyle w:val="Compact"/>
                    <w:jc w:val="right"/>
                    <w:jc w:val="center"/>
                  </w:pPr>
                  <w:r>
                    <w:t xml:space="preserve">0.0346</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0.0365</w:t>
                  </w:r>
                </w:p>
              </w:tc>
              <w:tc>
                <w:tcPr/>
                <w:p>
                  <w:pPr>
                    <w:pStyle w:val="Compact"/>
                    <w:jc w:val="right"/>
                    <w:jc w:val="center"/>
                  </w:pPr>
                  <w:r>
                    <w:t xml:space="preserve">0.00377</w:t>
                  </w:r>
                </w:p>
              </w:tc>
              <w:tc>
                <w:tcPr/>
                <w:p>
                  <w:pPr>
                    <w:pStyle w:val="Compact"/>
                    <w:jc w:val="right"/>
                    <w:jc w:val="center"/>
                  </w:pPr>
                  <w:r>
                    <w:t xml:space="preserve">9.68</w:t>
                  </w:r>
                </w:p>
              </w:tc>
              <w:tc>
                <w:tcPr/>
                <w:p>
                  <w:pPr>
                    <w:pStyle w:val="Compact"/>
                    <w:jc w:val="right"/>
                    <w:jc w:val="center"/>
                  </w:pPr>
                  <w:r>
                    <w:t xml:space="preserve">2.62e-07</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0.00266</w:t>
                  </w:r>
                </w:p>
              </w:tc>
              <w:tc>
                <w:tcPr/>
                <w:p>
                  <w:pPr>
                    <w:pStyle w:val="Compact"/>
                    <w:jc w:val="right"/>
                    <w:jc w:val="center"/>
                  </w:pPr>
                  <w:r>
                    <w:t xml:space="preserve">0.004</w:t>
                  </w:r>
                </w:p>
              </w:tc>
              <w:tc>
                <w:tcPr/>
                <w:p>
                  <w:pPr>
                    <w:pStyle w:val="Compact"/>
                    <w:jc w:val="right"/>
                    <w:jc w:val="center"/>
                  </w:pPr>
                  <w:r>
                    <w:t xml:space="preserve">0.665</w:t>
                  </w:r>
                </w:p>
              </w:tc>
              <w:tc>
                <w:tcPr/>
                <w:p>
                  <w:pPr>
                    <w:pStyle w:val="Compact"/>
                    <w:jc w:val="right"/>
                    <w:jc w:val="center"/>
                  </w:pPr>
                  <w:r>
                    <w:t xml:space="preserve">0.517</w:t>
                  </w:r>
                </w:p>
              </w:tc>
              <w:tc>
                <w:tcPr/>
                <w:p>
                  <w:pPr>
                    <w:pStyle w:val="Compact"/>
                  </w:pPr>
                </w:p>
              </w:tc>
            </w:tr>
            <w:tr>
              <w:tc>
                <w:tcPr/>
                <w:p>
                  <w:pPr>
                    <w:pStyle w:val="Compact"/>
                    <w:jc w:val="left"/>
                    <w:jc w:val="center"/>
                  </w:pPr>
                  <w:r>
                    <w:t xml:space="preserve">AC</w:t>
                  </w:r>
                </w:p>
              </w:tc>
              <w:tc>
                <w:tcPr/>
                <w:p>
                  <w:pPr>
                    <w:pStyle w:val="Compact"/>
                    <w:jc w:val="right"/>
                    <w:jc w:val="center"/>
                  </w:pPr>
                  <w:r>
                    <w:t xml:space="preserve">-0.00914</w:t>
                  </w:r>
                </w:p>
              </w:tc>
              <w:tc>
                <w:tcPr/>
                <w:p>
                  <w:pPr>
                    <w:pStyle w:val="Compact"/>
                    <w:jc w:val="right"/>
                    <w:jc w:val="center"/>
                  </w:pPr>
                  <w:r>
                    <w:t xml:space="preserve">0.004</w:t>
                  </w:r>
                </w:p>
              </w:tc>
              <w:tc>
                <w:tcPr/>
                <w:p>
                  <w:pPr>
                    <w:pStyle w:val="Compact"/>
                    <w:jc w:val="right"/>
                    <w:jc w:val="center"/>
                  </w:pPr>
                  <w:r>
                    <w:t xml:space="preserve">-2.28</w:t>
                  </w:r>
                </w:p>
              </w:tc>
              <w:tc>
                <w:tcPr/>
                <w:p>
                  <w:pPr>
                    <w:pStyle w:val="Compact"/>
                    <w:jc w:val="right"/>
                    <w:jc w:val="center"/>
                  </w:pPr>
                  <w:r>
                    <w:t xml:space="preserve">0.0399</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0.00629</w:t>
                  </w:r>
                </w:p>
              </w:tc>
              <w:tc>
                <w:tcPr/>
                <w:p>
                  <w:pPr>
                    <w:pStyle w:val="Compact"/>
                    <w:jc w:val="right"/>
                    <w:jc w:val="center"/>
                  </w:pPr>
                  <w:r>
                    <w:t xml:space="preserve">0.004</w:t>
                  </w:r>
                </w:p>
              </w:tc>
              <w:tc>
                <w:tcPr/>
                <w:p>
                  <w:pPr>
                    <w:pStyle w:val="Compact"/>
                    <w:jc w:val="right"/>
                    <w:jc w:val="center"/>
                  </w:pPr>
                  <w:r>
                    <w:t xml:space="preserve">1.57</w:t>
                  </w:r>
                </w:p>
              </w:tc>
              <w:tc>
                <w:tcPr/>
                <w:p>
                  <w:pPr>
                    <w:pStyle w:val="Compact"/>
                    <w:jc w:val="right"/>
                    <w:jc w:val="center"/>
                  </w:pPr>
                  <w:r>
                    <w:t xml:space="preserve">0.14</w:t>
                  </w:r>
                </w:p>
              </w:tc>
              <w:tc>
                <w:tcPr/>
                <w:p>
                  <w:pPr>
                    <w:pStyle w:val="Compact"/>
                  </w:pPr>
                </w:p>
              </w:tc>
            </w:tr>
            <w:tr>
              <w:tc>
                <w:tcPr/>
                <w:p>
                  <w:pPr>
                    <w:pStyle w:val="Compact"/>
                    <w:jc w:val="left"/>
                    <w:jc w:val="center"/>
                  </w:pPr>
                  <w:r>
                    <w:t xml:space="preserve">BC</w:t>
                  </w:r>
                </w:p>
              </w:tc>
              <w:tc>
                <w:tcPr/>
                <w:p>
                  <w:pPr>
                    <w:pStyle w:val="Compact"/>
                    <w:jc w:val="right"/>
                    <w:jc w:val="center"/>
                  </w:pPr>
                  <w:r>
                    <w:t xml:space="preserve">0.00243</w:t>
                  </w:r>
                </w:p>
              </w:tc>
              <w:tc>
                <w:tcPr/>
                <w:p>
                  <w:pPr>
                    <w:pStyle w:val="Compact"/>
                    <w:jc w:val="right"/>
                    <w:jc w:val="center"/>
                  </w:pPr>
                  <w:r>
                    <w:t xml:space="preserve">0.004</w:t>
                  </w:r>
                </w:p>
              </w:tc>
              <w:tc>
                <w:tcPr/>
                <w:p>
                  <w:pPr>
                    <w:pStyle w:val="Compact"/>
                    <w:jc w:val="right"/>
                    <w:jc w:val="center"/>
                  </w:pPr>
                  <w:r>
                    <w:t xml:space="preserve">0.606</w:t>
                  </w:r>
                </w:p>
              </w:tc>
              <w:tc>
                <w:tcPr/>
                <w:p>
                  <w:pPr>
                    <w:pStyle w:val="Compact"/>
                    <w:jc w:val="right"/>
                    <w:jc w:val="center"/>
                  </w:pPr>
                  <w:r>
                    <w:t xml:space="preserve">0.555</w:t>
                  </w:r>
                </w:p>
              </w:tc>
              <w:tc>
                <w:tcPr/>
                <w:p>
                  <w:pPr>
                    <w:pStyle w:val="Compact"/>
                  </w:pPr>
                </w:p>
              </w:tc>
            </w:tr>
            <w:tr>
              <w:tc>
                <w:tcPr/>
                <w:p>
                  <w:pPr>
                    <w:pStyle w:val="Compact"/>
                    <w:jc w:val="left"/>
                    <w:jc w:val="center"/>
                  </w:pPr>
                  <w:r>
                    <w:t xml:space="preserve">BD</w:t>
                  </w:r>
                </w:p>
              </w:tc>
              <w:tc>
                <w:tcPr/>
                <w:p>
                  <w:pPr>
                    <w:pStyle w:val="Compact"/>
                    <w:jc w:val="right"/>
                    <w:jc w:val="center"/>
                  </w:pPr>
                  <w:r>
                    <w:t xml:space="preserve">0.00291</w:t>
                  </w:r>
                </w:p>
              </w:tc>
              <w:tc>
                <w:tcPr/>
                <w:p>
                  <w:pPr>
                    <w:pStyle w:val="Compact"/>
                    <w:jc w:val="right"/>
                    <w:jc w:val="center"/>
                  </w:pPr>
                  <w:r>
                    <w:t xml:space="preserve">0.004</w:t>
                  </w:r>
                </w:p>
              </w:tc>
              <w:tc>
                <w:tcPr/>
                <w:p>
                  <w:pPr>
                    <w:pStyle w:val="Compact"/>
                    <w:jc w:val="right"/>
                    <w:jc w:val="center"/>
                  </w:pPr>
                  <w:r>
                    <w:t xml:space="preserve">0.727</w:t>
                  </w:r>
                </w:p>
              </w:tc>
              <w:tc>
                <w:tcPr/>
                <w:p>
                  <w:pPr>
                    <w:pStyle w:val="Compact"/>
                    <w:jc w:val="right"/>
                    <w:jc w:val="center"/>
                  </w:pPr>
                  <w:r>
                    <w:t xml:space="preserve">0.48</w:t>
                  </w:r>
                </w:p>
              </w:tc>
              <w:tc>
                <w:tcPr/>
                <w:p>
                  <w:pPr>
                    <w:pStyle w:val="Compact"/>
                  </w:pPr>
                </w:p>
              </w:tc>
            </w:tr>
            <w:tr>
              <w:tc>
                <w:tcPr/>
                <w:p>
                  <w:pPr>
                    <w:pStyle w:val="Compact"/>
                    <w:jc w:val="left"/>
                    <w:jc w:val="center"/>
                  </w:pPr>
                  <w:r>
                    <w:t xml:space="preserve">CD</w:t>
                  </w:r>
                </w:p>
              </w:tc>
              <w:tc>
                <w:tcPr/>
                <w:p>
                  <w:pPr>
                    <w:pStyle w:val="Compact"/>
                    <w:jc w:val="right"/>
                    <w:jc w:val="center"/>
                  </w:pPr>
                  <w:r>
                    <w:t xml:space="preserve">0.00219</w:t>
                  </w:r>
                </w:p>
              </w:tc>
              <w:tc>
                <w:tcPr/>
                <w:p>
                  <w:pPr>
                    <w:pStyle w:val="Compact"/>
                    <w:jc w:val="right"/>
                    <w:jc w:val="center"/>
                  </w:pPr>
                  <w:r>
                    <w:t xml:space="preserve">0.004</w:t>
                  </w:r>
                </w:p>
              </w:tc>
              <w:tc>
                <w:tcPr/>
                <w:p>
                  <w:pPr>
                    <w:pStyle w:val="Compact"/>
                    <w:jc w:val="right"/>
                    <w:jc w:val="center"/>
                  </w:pPr>
                  <w:r>
                    <w:t xml:space="preserve">0.547</w:t>
                  </w:r>
                </w:p>
              </w:tc>
              <w:tc>
                <w:tcPr/>
                <w:p>
                  <w:pPr>
                    <w:pStyle w:val="Compact"/>
                    <w:jc w:val="right"/>
                    <w:jc w:val="center"/>
                  </w:pPr>
                  <w:r>
                    <w:t xml:space="preserve">0.594</w:t>
                  </w:r>
                </w:p>
              </w:tc>
              <w:tc>
                <w:tcPr/>
                <w:p>
                  <w:pPr>
                    <w:pStyle w:val="Compact"/>
                  </w:pPr>
                </w:p>
              </w:tc>
            </w:tr>
            <w:tr>
              <w:tc>
                <w:tcPr/>
                <w:p>
                  <w:pPr>
                    <w:pStyle w:val="Compact"/>
                    <w:jc w:val="left"/>
                    <w:jc w:val="center"/>
                  </w:pPr>
                  <w:r>
                    <w:t xml:space="preserve">A²</w:t>
                  </w:r>
                </w:p>
              </w:tc>
              <w:tc>
                <w:tcPr/>
                <w:p>
                  <w:pPr>
                    <w:pStyle w:val="Compact"/>
                    <w:jc w:val="right"/>
                    <w:jc w:val="center"/>
                  </w:pPr>
                  <w:r>
                    <w:t xml:space="preserve">-0.0128</w:t>
                  </w:r>
                </w:p>
              </w:tc>
              <w:tc>
                <w:tcPr/>
                <w:p>
                  <w:pPr>
                    <w:pStyle w:val="Compact"/>
                    <w:jc w:val="right"/>
                    <w:jc w:val="center"/>
                  </w:pPr>
                  <w:r>
                    <w:t xml:space="preserve">0.00997</w:t>
                  </w:r>
                </w:p>
              </w:tc>
              <w:tc>
                <w:tcPr/>
                <w:p>
                  <w:pPr>
                    <w:pStyle w:val="Compact"/>
                    <w:jc w:val="right"/>
                    <w:jc w:val="center"/>
                  </w:pPr>
                  <w:r>
                    <w:t xml:space="preserve">-1.29</w:t>
                  </w:r>
                </w:p>
              </w:tc>
              <w:tc>
                <w:tcPr/>
                <w:p>
                  <w:pPr>
                    <w:pStyle w:val="Compact"/>
                    <w:jc w:val="right"/>
                    <w:jc w:val="center"/>
                  </w:pPr>
                  <w:r>
                    <w:t xml:space="preserve">0.221</w:t>
                  </w:r>
                </w:p>
              </w:tc>
              <w:tc>
                <w:tcPr/>
                <w:p>
                  <w:pPr>
                    <w:pStyle w:val="Compact"/>
                  </w:pPr>
                </w:p>
              </w:tc>
            </w:tr>
            <w:tr>
              <w:tc>
                <w:tcPr/>
                <w:p>
                  <w:pPr>
                    <w:pStyle w:val="Compact"/>
                    <w:jc w:val="left"/>
                    <w:jc w:val="center"/>
                  </w:pPr>
                  <w:r>
                    <w:t xml:space="preserve">B²</w:t>
                  </w:r>
                </w:p>
              </w:tc>
              <w:tc>
                <w:tcPr/>
                <w:p>
                  <w:pPr>
                    <w:pStyle w:val="Compact"/>
                    <w:jc w:val="right"/>
                    <w:jc w:val="center"/>
                  </w:pPr>
                  <w:r>
                    <w:t xml:space="preserve">0.012</w:t>
                  </w:r>
                </w:p>
              </w:tc>
              <w:tc>
                <w:tcPr/>
                <w:p>
                  <w:pPr>
                    <w:pStyle w:val="Compact"/>
                    <w:jc w:val="right"/>
                    <w:jc w:val="center"/>
                  </w:pPr>
                  <w:r>
                    <w:t xml:space="preserve">0.00997</w:t>
                  </w:r>
                </w:p>
              </w:tc>
              <w:tc>
                <w:tcPr/>
                <w:p>
                  <w:pPr>
                    <w:pStyle w:val="Compact"/>
                    <w:jc w:val="right"/>
                    <w:jc w:val="center"/>
                  </w:pPr>
                  <w:r>
                    <w:t xml:space="preserve">1.2</w:t>
                  </w:r>
                </w:p>
              </w:tc>
              <w:tc>
                <w:tcPr/>
                <w:p>
                  <w:pPr>
                    <w:pStyle w:val="Compact"/>
                    <w:jc w:val="right"/>
                    <w:jc w:val="center"/>
                  </w:pPr>
                  <w:r>
                    <w:t xml:space="preserve">0.252</w:t>
                  </w:r>
                </w:p>
              </w:tc>
              <w:tc>
                <w:tcPr/>
                <w:p>
                  <w:pPr>
                    <w:pStyle w:val="Compact"/>
                  </w:pPr>
                </w:p>
              </w:tc>
            </w:tr>
            <w:tr>
              <w:tc>
                <w:tcPr/>
                <w:p>
                  <w:pPr>
                    <w:pStyle w:val="Compact"/>
                    <w:jc w:val="left"/>
                    <w:jc w:val="center"/>
                  </w:pPr>
                  <w:r>
                    <w:t xml:space="preserve">C²</w:t>
                  </w:r>
                </w:p>
              </w:tc>
              <w:tc>
                <w:tcPr/>
                <w:p>
                  <w:pPr>
                    <w:pStyle w:val="Compact"/>
                    <w:jc w:val="right"/>
                    <w:jc w:val="center"/>
                  </w:pPr>
                  <w:r>
                    <w:t xml:space="preserve">0.00681</w:t>
                  </w:r>
                </w:p>
              </w:tc>
              <w:tc>
                <w:tcPr/>
                <w:p>
                  <w:pPr>
                    <w:pStyle w:val="Compact"/>
                    <w:jc w:val="right"/>
                    <w:jc w:val="center"/>
                  </w:pPr>
                  <w:r>
                    <w:t xml:space="preserve">0.00997</w:t>
                  </w:r>
                </w:p>
              </w:tc>
              <w:tc>
                <w:tcPr/>
                <w:p>
                  <w:pPr>
                    <w:pStyle w:val="Compact"/>
                    <w:jc w:val="right"/>
                    <w:jc w:val="center"/>
                  </w:pPr>
                  <w:r>
                    <w:t xml:space="preserve">0.683</w:t>
                  </w:r>
                </w:p>
              </w:tc>
              <w:tc>
                <w:tcPr/>
                <w:p>
                  <w:pPr>
                    <w:pStyle w:val="Compact"/>
                    <w:jc w:val="right"/>
                    <w:jc w:val="center"/>
                  </w:pPr>
                  <w:r>
                    <w:t xml:space="preserve">0.507</w:t>
                  </w:r>
                </w:p>
              </w:tc>
              <w:tc>
                <w:tcPr/>
                <w:p>
                  <w:pPr>
                    <w:pStyle w:val="Compact"/>
                  </w:pPr>
                </w:p>
              </w:tc>
            </w:tr>
            <w:tr>
              <w:tc>
                <w:tcPr/>
                <w:p>
                  <w:pPr>
                    <w:pStyle w:val="Compact"/>
                    <w:jc w:val="left"/>
                    <w:jc w:val="center"/>
                  </w:pPr>
                  <w:r>
                    <w:t xml:space="preserve">D²</w:t>
                  </w:r>
                </w:p>
              </w:tc>
              <w:tc>
                <w:tcPr/>
                <w:p>
                  <w:pPr>
                    <w:pStyle w:val="Compact"/>
                    <w:jc w:val="right"/>
                    <w:jc w:val="center"/>
                  </w:pPr>
                  <w:r>
                    <w:t xml:space="preserve">-0.0178</w:t>
                  </w:r>
                </w:p>
              </w:tc>
              <w:tc>
                <w:tcPr/>
                <w:p>
                  <w:pPr>
                    <w:pStyle w:val="Compact"/>
                    <w:jc w:val="right"/>
                    <w:jc w:val="center"/>
                  </w:pPr>
                  <w:r>
                    <w:t xml:space="preserve">0.00997</w:t>
                  </w:r>
                </w:p>
              </w:tc>
              <w:tc>
                <w:tcPr/>
                <w:p>
                  <w:pPr>
                    <w:pStyle w:val="Compact"/>
                    <w:jc w:val="right"/>
                    <w:jc w:val="center"/>
                  </w:pPr>
                  <w:r>
                    <w:t xml:space="preserve">-1.78</w:t>
                  </w:r>
                </w:p>
              </w:tc>
              <w:tc>
                <w:tcPr/>
                <w:p>
                  <w:pPr>
                    <w:pStyle w:val="Compact"/>
                    <w:jc w:val="right"/>
                    <w:jc w:val="center"/>
                  </w:pPr>
                  <w:r>
                    <w:t xml:space="preserve">0.0976</w:t>
                  </w:r>
                </w:p>
              </w:tc>
              <w:tc>
                <w:tcPr/>
                <w:p>
                  <w:pPr>
                    <w:pStyle w:val="Compact"/>
                  </w:pPr>
                </w:p>
              </w:tc>
            </w:tr>
          </w:tbl>
          <w:bookmarkEnd w:id="1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tbl-coef-lpa"/>
          <w:p>
            <w:pPr>
              <w:jc w:val="center"/>
            </w:pPr>
            <w:pPr>
              <w:jc w:val="start"/>
              <w:spacing w:before="200"/>
              <w:pStyle w:val="ImageCaption"/>
            </w:pPr>
            <w:r>
              <w:t xml:space="preserve">Table 29: Full quadratic coefficients for leached Protein A (ppm),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2.87</w:t>
                  </w:r>
                </w:p>
              </w:tc>
              <w:tc>
                <w:tcPr/>
                <w:p>
                  <w:pPr>
                    <w:pStyle w:val="Compact"/>
                    <w:jc w:val="right"/>
                    <w:jc w:val="center"/>
                  </w:pPr>
                  <w:r>
                    <w:t xml:space="preserve">0.22</w:t>
                  </w:r>
                </w:p>
              </w:tc>
              <w:tc>
                <w:tcPr/>
                <w:p>
                  <w:pPr>
                    <w:pStyle w:val="Compact"/>
                    <w:jc w:val="right"/>
                    <w:jc w:val="center"/>
                  </w:pPr>
                  <w:r>
                    <w:t xml:space="preserve">13</w:t>
                  </w:r>
                </w:p>
              </w:tc>
              <w:tc>
                <w:tcPr/>
                <w:p>
                  <w:pPr>
                    <w:pStyle w:val="Compact"/>
                    <w:jc w:val="right"/>
                    <w:jc w:val="center"/>
                  </w:pPr>
                  <w:r>
                    <w:t xml:space="preserve">7.67e-09</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-0.027</w:t>
                  </w:r>
                </w:p>
              </w:tc>
              <w:tc>
                <w:tcPr/>
                <w:p>
                  <w:pPr>
                    <w:pStyle w:val="Compact"/>
                    <w:jc w:val="right"/>
                    <w:jc w:val="center"/>
                  </w:pPr>
                  <w:r>
                    <w:t xml:space="preserve">0.15</w:t>
                  </w:r>
                </w:p>
              </w:tc>
              <w:tc>
                <w:tcPr/>
                <w:p>
                  <w:pPr>
                    <w:pStyle w:val="Compact"/>
                    <w:jc w:val="right"/>
                    <w:jc w:val="center"/>
                  </w:pPr>
                  <w:r>
                    <w:t xml:space="preserve">-0.18</w:t>
                  </w:r>
                </w:p>
              </w:tc>
              <w:tc>
                <w:tcPr/>
                <w:p>
                  <w:pPr>
                    <w:pStyle w:val="Compact"/>
                    <w:jc w:val="right"/>
                    <w:jc w:val="center"/>
                  </w:pPr>
                  <w:r>
                    <w:t xml:space="preserve">0.86</w:t>
                  </w:r>
                </w:p>
              </w:tc>
              <w:tc>
                <w:tcPr/>
                <w:p>
                  <w:pPr>
                    <w:pStyle w:val="Compact"/>
                  </w:pPr>
                </w:p>
              </w:tc>
            </w:tr>
            <w:tr>
              <w:tc>
                <w:tcPr/>
                <w:p>
                  <w:pPr>
                    <w:pStyle w:val="Compact"/>
                    <w:jc w:val="left"/>
                    <w:jc w:val="center"/>
                  </w:pPr>
                  <w:r>
                    <w:t xml:space="preserve">B</w:t>
                  </w:r>
                </w:p>
              </w:tc>
              <w:tc>
                <w:tcPr/>
                <w:p>
                  <w:pPr>
                    <w:pStyle w:val="Compact"/>
                    <w:jc w:val="right"/>
                    <w:jc w:val="center"/>
                  </w:pPr>
                  <w:r>
                    <w:t xml:space="preserve">0.148</w:t>
                  </w:r>
                </w:p>
              </w:tc>
              <w:tc>
                <w:tcPr/>
                <w:p>
                  <w:pPr>
                    <w:pStyle w:val="Compact"/>
                    <w:jc w:val="right"/>
                    <w:jc w:val="center"/>
                  </w:pPr>
                  <w:r>
                    <w:t xml:space="preserve">0.15</w:t>
                  </w:r>
                </w:p>
              </w:tc>
              <w:tc>
                <w:tcPr/>
                <w:p>
                  <w:pPr>
                    <w:pStyle w:val="Compact"/>
                    <w:jc w:val="right"/>
                    <w:jc w:val="center"/>
                  </w:pPr>
                  <w:r>
                    <w:t xml:space="preserve">0.989</w:t>
                  </w:r>
                </w:p>
              </w:tc>
              <w:tc>
                <w:tcPr/>
                <w:p>
                  <w:pPr>
                    <w:pStyle w:val="Compact"/>
                    <w:jc w:val="right"/>
                    <w:jc w:val="center"/>
                  </w:pPr>
                  <w:r>
                    <w:t xml:space="preserve">0.341</w:t>
                  </w:r>
                </w:p>
              </w:tc>
              <w:tc>
                <w:tcPr/>
                <w:p>
                  <w:pPr>
                    <w:pStyle w:val="Compact"/>
                  </w:pPr>
                </w:p>
              </w:tc>
            </w:tr>
            <w:tr>
              <w:tc>
                <w:tcPr/>
                <w:p>
                  <w:pPr>
                    <w:pStyle w:val="Compact"/>
                    <w:jc w:val="left"/>
                    <w:jc w:val="center"/>
                  </w:pPr>
                  <w:r>
                    <w:t xml:space="preserve">C</w:t>
                  </w:r>
                </w:p>
              </w:tc>
              <w:tc>
                <w:tcPr/>
                <w:p>
                  <w:pPr>
                    <w:pStyle w:val="Compact"/>
                    <w:jc w:val="right"/>
                    <w:jc w:val="center"/>
                  </w:pPr>
                  <w:r>
                    <w:t xml:space="preserve">0.00918</w:t>
                  </w:r>
                </w:p>
              </w:tc>
              <w:tc>
                <w:tcPr/>
                <w:p>
                  <w:pPr>
                    <w:pStyle w:val="Compact"/>
                    <w:jc w:val="right"/>
                    <w:jc w:val="center"/>
                  </w:pPr>
                  <w:r>
                    <w:t xml:space="preserve">0.15</w:t>
                  </w:r>
                </w:p>
              </w:tc>
              <w:tc>
                <w:tcPr/>
                <w:p>
                  <w:pPr>
                    <w:pStyle w:val="Compact"/>
                    <w:jc w:val="right"/>
                    <w:jc w:val="center"/>
                  </w:pPr>
                  <w:r>
                    <w:t xml:space="preserve">0.0612</w:t>
                  </w:r>
                </w:p>
              </w:tc>
              <w:tc>
                <w:tcPr/>
                <w:p>
                  <w:pPr>
                    <w:pStyle w:val="Compact"/>
                    <w:jc w:val="right"/>
                    <w:jc w:val="center"/>
                  </w:pPr>
                  <w:r>
                    <w:t xml:space="preserve">0.952</w:t>
                  </w:r>
                </w:p>
              </w:tc>
              <w:tc>
                <w:tcPr/>
                <w:p>
                  <w:pPr>
                    <w:pStyle w:val="Compact"/>
                  </w:pPr>
                </w:p>
              </w:tc>
            </w:tr>
            <w:tr>
              <w:tc>
                <w:tcPr/>
                <w:p>
                  <w:pPr>
                    <w:pStyle w:val="Compact"/>
                    <w:jc w:val="left"/>
                    <w:jc w:val="center"/>
                  </w:pPr>
                  <w:r>
                    <w:t xml:space="preserve">D</w:t>
                  </w:r>
                </w:p>
              </w:tc>
              <w:tc>
                <w:tcPr/>
                <w:p>
                  <w:pPr>
                    <w:pStyle w:val="Compact"/>
                    <w:jc w:val="right"/>
                    <w:jc w:val="center"/>
                  </w:pPr>
                  <w:r>
                    <w:t xml:space="preserve">-0.21</w:t>
                  </w:r>
                </w:p>
              </w:tc>
              <w:tc>
                <w:tcPr/>
                <w:p>
                  <w:pPr>
                    <w:pStyle w:val="Compact"/>
                    <w:jc w:val="right"/>
                    <w:jc w:val="center"/>
                  </w:pPr>
                  <w:r>
                    <w:t xml:space="preserve">0.15</w:t>
                  </w:r>
                </w:p>
              </w:tc>
              <w:tc>
                <w:tcPr/>
                <w:p>
                  <w:pPr>
                    <w:pStyle w:val="Compact"/>
                    <w:jc w:val="right"/>
                    <w:jc w:val="center"/>
                  </w:pPr>
                  <w:r>
                    <w:t xml:space="preserve">-1.4</w:t>
                  </w:r>
                </w:p>
              </w:tc>
              <w:tc>
                <w:tcPr/>
                <w:p>
                  <w:pPr>
                    <w:pStyle w:val="Compact"/>
                    <w:jc w:val="right"/>
                    <w:jc w:val="center"/>
                  </w:pPr>
                  <w:r>
                    <w:t xml:space="preserve">0.185</w:t>
                  </w:r>
                </w:p>
              </w:tc>
              <w:tc>
                <w:tcPr/>
                <w:p>
                  <w:pPr>
                    <w:pStyle w:val="Compact"/>
                  </w:pPr>
                </w:p>
              </w:tc>
            </w:tr>
            <w:tr>
              <w:tc>
                <w:tcPr/>
                <w:p>
                  <w:pPr>
                    <w:pStyle w:val="Compact"/>
                    <w:jc w:val="left"/>
                    <w:jc w:val="center"/>
                  </w:pPr>
                  <w:r>
                    <w:t xml:space="preserve">AB</w:t>
                  </w:r>
                </w:p>
              </w:tc>
              <w:tc>
                <w:tcPr/>
                <w:p>
                  <w:pPr>
                    <w:pStyle w:val="Compact"/>
                    <w:jc w:val="right"/>
                    <w:jc w:val="center"/>
                  </w:pPr>
                  <w:r>
                    <w:t xml:space="preserve">-0.0127</w:t>
                  </w:r>
                </w:p>
              </w:tc>
              <w:tc>
                <w:tcPr/>
                <w:p>
                  <w:pPr>
                    <w:pStyle w:val="Compact"/>
                    <w:jc w:val="right"/>
                    <w:jc w:val="center"/>
                  </w:pPr>
                  <w:r>
                    <w:t xml:space="preserve">0.159</w:t>
                  </w:r>
                </w:p>
              </w:tc>
              <w:tc>
                <w:tcPr/>
                <w:p>
                  <w:pPr>
                    <w:pStyle w:val="Compact"/>
                    <w:jc w:val="right"/>
                    <w:jc w:val="center"/>
                  </w:pPr>
                  <w:r>
                    <w:t xml:space="preserve">-0.0796</w:t>
                  </w:r>
                </w:p>
              </w:tc>
              <w:tc>
                <w:tcPr/>
                <w:p>
                  <w:pPr>
                    <w:pStyle w:val="Compact"/>
                    <w:jc w:val="right"/>
                    <w:jc w:val="center"/>
                  </w:pPr>
                  <w:r>
                    <w:t xml:space="preserve">0.938</w:t>
                  </w:r>
                </w:p>
              </w:tc>
              <w:tc>
                <w:tcPr/>
                <w:p>
                  <w:pPr>
                    <w:pStyle w:val="Compact"/>
                  </w:pPr>
                </w:p>
              </w:tc>
            </w:tr>
            <w:tr>
              <w:tc>
                <w:tcPr/>
                <w:p>
                  <w:pPr>
                    <w:pStyle w:val="Compact"/>
                    <w:jc w:val="left"/>
                    <w:jc w:val="center"/>
                  </w:pPr>
                  <w:r>
                    <w:t xml:space="preserve">AC</w:t>
                  </w:r>
                </w:p>
              </w:tc>
              <w:tc>
                <w:tcPr/>
                <w:p>
                  <w:pPr>
                    <w:pStyle w:val="Compact"/>
                    <w:jc w:val="right"/>
                    <w:jc w:val="center"/>
                  </w:pPr>
                  <w:r>
                    <w:t xml:space="preserve">-0.143</w:t>
                  </w:r>
                </w:p>
              </w:tc>
              <w:tc>
                <w:tcPr/>
                <w:p>
                  <w:pPr>
                    <w:pStyle w:val="Compact"/>
                    <w:jc w:val="right"/>
                    <w:jc w:val="center"/>
                  </w:pPr>
                  <w:r>
                    <w:t xml:space="preserve">0.159</w:t>
                  </w:r>
                </w:p>
              </w:tc>
              <w:tc>
                <w:tcPr/>
                <w:p>
                  <w:pPr>
                    <w:pStyle w:val="Compact"/>
                    <w:jc w:val="right"/>
                    <w:jc w:val="center"/>
                  </w:pPr>
                  <w:r>
                    <w:t xml:space="preserve">-0.899</w:t>
                  </w:r>
                </w:p>
              </w:tc>
              <w:tc>
                <w:tcPr/>
                <w:p>
                  <w:pPr>
                    <w:pStyle w:val="Compact"/>
                    <w:jc w:val="right"/>
                    <w:jc w:val="center"/>
                  </w:pPr>
                  <w:r>
                    <w:t xml:space="preserve">0.385</w:t>
                  </w:r>
                </w:p>
              </w:tc>
              <w:tc>
                <w:tcPr/>
                <w:p>
                  <w:pPr>
                    <w:pStyle w:val="Compact"/>
                  </w:pPr>
                </w:p>
              </w:tc>
            </w:tr>
            <w:tr>
              <w:tc>
                <w:tcPr/>
                <w:p>
                  <w:pPr>
                    <w:pStyle w:val="Compact"/>
                    <w:jc w:val="left"/>
                    <w:jc w:val="center"/>
                  </w:pPr>
                  <w:r>
                    <w:t xml:space="preserve">AD</w:t>
                  </w:r>
                </w:p>
              </w:tc>
              <w:tc>
                <w:tcPr/>
                <w:p>
                  <w:pPr>
                    <w:pStyle w:val="Compact"/>
                    <w:jc w:val="right"/>
                    <w:jc w:val="center"/>
                  </w:pPr>
                  <w:r>
                    <w:t xml:space="preserve">0.132</w:t>
                  </w:r>
                </w:p>
              </w:tc>
              <w:tc>
                <w:tcPr/>
                <w:p>
                  <w:pPr>
                    <w:pStyle w:val="Compact"/>
                    <w:jc w:val="right"/>
                    <w:jc w:val="center"/>
                  </w:pPr>
                  <w:r>
                    <w:t xml:space="preserve">0.159</w:t>
                  </w:r>
                </w:p>
              </w:tc>
              <w:tc>
                <w:tcPr/>
                <w:p>
                  <w:pPr>
                    <w:pStyle w:val="Compact"/>
                    <w:jc w:val="right"/>
                    <w:jc w:val="center"/>
                  </w:pPr>
                  <w:r>
                    <w:t xml:space="preserve">0.831</w:t>
                  </w:r>
                </w:p>
              </w:tc>
              <w:tc>
                <w:tcPr/>
                <w:p>
                  <w:pPr>
                    <w:pStyle w:val="Compact"/>
                    <w:jc w:val="right"/>
                    <w:jc w:val="center"/>
                  </w:pPr>
                  <w:r>
                    <w:t xml:space="preserve">0.421</w:t>
                  </w:r>
                </w:p>
              </w:tc>
              <w:tc>
                <w:tcPr/>
                <w:p>
                  <w:pPr>
                    <w:pStyle w:val="Compact"/>
                  </w:pPr>
                </w:p>
              </w:tc>
            </w:tr>
            <w:tr>
              <w:tc>
                <w:tcPr/>
                <w:p>
                  <w:pPr>
                    <w:pStyle w:val="Compact"/>
                    <w:jc w:val="left"/>
                    <w:jc w:val="center"/>
                  </w:pPr>
                  <w:r>
                    <w:t xml:space="preserve">BC</w:t>
                  </w:r>
                </w:p>
              </w:tc>
              <w:tc>
                <w:tcPr/>
                <w:p>
                  <w:pPr>
                    <w:pStyle w:val="Compact"/>
                    <w:jc w:val="right"/>
                    <w:jc w:val="center"/>
                  </w:pPr>
                  <w:r>
                    <w:t xml:space="preserve">0.269</w:t>
                  </w:r>
                </w:p>
              </w:tc>
              <w:tc>
                <w:tcPr/>
                <w:p>
                  <w:pPr>
                    <w:pStyle w:val="Compact"/>
                    <w:jc w:val="right"/>
                    <w:jc w:val="center"/>
                  </w:pPr>
                  <w:r>
                    <w:t xml:space="preserve">0.159</w:t>
                  </w:r>
                </w:p>
              </w:tc>
              <w:tc>
                <w:tcPr/>
                <w:p>
                  <w:pPr>
                    <w:pStyle w:val="Compact"/>
                    <w:jc w:val="right"/>
                    <w:jc w:val="center"/>
                  </w:pPr>
                  <w:r>
                    <w:t xml:space="preserve">1.69</w:t>
                  </w:r>
                </w:p>
              </w:tc>
              <w:tc>
                <w:tcPr/>
                <w:p>
                  <w:pPr>
                    <w:pStyle w:val="Compact"/>
                    <w:jc w:val="right"/>
                    <w:jc w:val="center"/>
                  </w:pPr>
                  <w:r>
                    <w:t xml:space="preserve">0.115</w:t>
                  </w:r>
                </w:p>
              </w:tc>
              <w:tc>
                <w:tcPr/>
                <w:p>
                  <w:pPr>
                    <w:pStyle w:val="Compact"/>
                  </w:pPr>
                </w:p>
              </w:tc>
            </w:tr>
            <w:tr>
              <w:tc>
                <w:tcPr/>
                <w:p>
                  <w:pPr>
                    <w:pStyle w:val="Compact"/>
                    <w:jc w:val="left"/>
                    <w:jc w:val="center"/>
                  </w:pPr>
                  <w:r>
                    <w:t xml:space="preserve">BD</w:t>
                  </w:r>
                </w:p>
              </w:tc>
              <w:tc>
                <w:tcPr/>
                <w:p>
                  <w:pPr>
                    <w:pStyle w:val="Compact"/>
                    <w:jc w:val="right"/>
                    <w:jc w:val="center"/>
                  </w:pPr>
                  <w:r>
                    <w:t xml:space="preserve">-0.226</w:t>
                  </w:r>
                </w:p>
              </w:tc>
              <w:tc>
                <w:tcPr/>
                <w:p>
                  <w:pPr>
                    <w:pStyle w:val="Compact"/>
                    <w:jc w:val="right"/>
                    <w:jc w:val="center"/>
                  </w:pPr>
                  <w:r>
                    <w:t xml:space="preserve">0.159</w:t>
                  </w:r>
                </w:p>
              </w:tc>
              <w:tc>
                <w:tcPr/>
                <w:p>
                  <w:pPr>
                    <w:pStyle w:val="Compact"/>
                    <w:jc w:val="right"/>
                    <w:jc w:val="center"/>
                  </w:pPr>
                  <w:r>
                    <w:t xml:space="preserve">-1.42</w:t>
                  </w:r>
                </w:p>
              </w:tc>
              <w:tc>
                <w:tcPr/>
                <w:p>
                  <w:pPr>
                    <w:pStyle w:val="Compact"/>
                    <w:jc w:val="right"/>
                    <w:jc w:val="center"/>
                  </w:pPr>
                  <w:r>
                    <w:t xml:space="preserve">0.179</w:t>
                  </w:r>
                </w:p>
              </w:tc>
              <w:tc>
                <w:tcPr/>
                <w:p>
                  <w:pPr>
                    <w:pStyle w:val="Compact"/>
                  </w:pPr>
                </w:p>
              </w:tc>
            </w:tr>
            <w:tr>
              <w:tc>
                <w:tcPr/>
                <w:p>
                  <w:pPr>
                    <w:pStyle w:val="Compact"/>
                    <w:jc w:val="left"/>
                    <w:jc w:val="center"/>
                  </w:pPr>
                  <w:r>
                    <w:t xml:space="preserve">CD</w:t>
                  </w:r>
                </w:p>
              </w:tc>
              <w:tc>
                <w:tcPr/>
                <w:p>
                  <w:pPr>
                    <w:pStyle w:val="Compact"/>
                    <w:jc w:val="right"/>
                    <w:jc w:val="center"/>
                  </w:pPr>
                  <w:r>
                    <w:t xml:space="preserve">0.167</w:t>
                  </w:r>
                </w:p>
              </w:tc>
              <w:tc>
                <w:tcPr/>
                <w:p>
                  <w:pPr>
                    <w:pStyle w:val="Compact"/>
                    <w:jc w:val="right"/>
                    <w:jc w:val="center"/>
                  </w:pPr>
                  <w:r>
                    <w:t xml:space="preserve">0.159</w:t>
                  </w:r>
                </w:p>
              </w:tc>
              <w:tc>
                <w:tcPr/>
                <w:p>
                  <w:pPr>
                    <w:pStyle w:val="Compact"/>
                    <w:jc w:val="right"/>
                    <w:jc w:val="center"/>
                  </w:pPr>
                  <w:r>
                    <w:t xml:space="preserve">1.05</w:t>
                  </w:r>
                </w:p>
              </w:tc>
              <w:tc>
                <w:tcPr/>
                <w:p>
                  <w:pPr>
                    <w:pStyle w:val="Compact"/>
                    <w:jc w:val="right"/>
                    <w:jc w:val="center"/>
                  </w:pPr>
                  <w:r>
                    <w:t xml:space="preserve">0.314</w:t>
                  </w:r>
                </w:p>
              </w:tc>
              <w:tc>
                <w:tcPr/>
                <w:p>
                  <w:pPr>
                    <w:pStyle w:val="Compact"/>
                  </w:pPr>
                </w:p>
              </w:tc>
            </w:tr>
            <w:tr>
              <w:tc>
                <w:tcPr/>
                <w:p>
                  <w:pPr>
                    <w:pStyle w:val="Compact"/>
                    <w:jc w:val="left"/>
                    <w:jc w:val="center"/>
                  </w:pPr>
                  <w:r>
                    <w:t xml:space="preserve">A²</w:t>
                  </w:r>
                </w:p>
              </w:tc>
              <w:tc>
                <w:tcPr/>
                <w:p>
                  <w:pPr>
                    <w:pStyle w:val="Compact"/>
                    <w:jc w:val="right"/>
                    <w:jc w:val="center"/>
                  </w:pPr>
                  <w:r>
                    <w:t xml:space="preserve">0.162</w:t>
                  </w:r>
                </w:p>
              </w:tc>
              <w:tc>
                <w:tcPr/>
                <w:p>
                  <w:pPr>
                    <w:pStyle w:val="Compact"/>
                    <w:jc w:val="right"/>
                    <w:jc w:val="center"/>
                  </w:pPr>
                  <w:r>
                    <w:t xml:space="preserve">0.397</w:t>
                  </w:r>
                </w:p>
              </w:tc>
              <w:tc>
                <w:tcPr/>
                <w:p>
                  <w:pPr>
                    <w:pStyle w:val="Compact"/>
                    <w:jc w:val="right"/>
                    <w:jc w:val="center"/>
                  </w:pPr>
                  <w:r>
                    <w:t xml:space="preserve">0.408</w:t>
                  </w:r>
                </w:p>
              </w:tc>
              <w:tc>
                <w:tcPr/>
                <w:p>
                  <w:pPr>
                    <w:pStyle w:val="Compact"/>
                    <w:jc w:val="right"/>
                    <w:jc w:val="center"/>
                  </w:pPr>
                  <w:r>
                    <w:t xml:space="preserve">0.69</w:t>
                  </w:r>
                </w:p>
              </w:tc>
              <w:tc>
                <w:tcPr/>
                <w:p>
                  <w:pPr>
                    <w:pStyle w:val="Compact"/>
                  </w:pPr>
                </w:p>
              </w:tc>
            </w:tr>
            <w:tr>
              <w:tc>
                <w:tcPr/>
                <w:p>
                  <w:pPr>
                    <w:pStyle w:val="Compact"/>
                    <w:jc w:val="left"/>
                    <w:jc w:val="center"/>
                  </w:pPr>
                  <w:r>
                    <w:t xml:space="preserve">B²</w:t>
                  </w:r>
                </w:p>
              </w:tc>
              <w:tc>
                <w:tcPr/>
                <w:p>
                  <w:pPr>
                    <w:pStyle w:val="Compact"/>
                    <w:jc w:val="right"/>
                    <w:jc w:val="center"/>
                  </w:pPr>
                  <w:r>
                    <w:t xml:space="preserve">0.906</w:t>
                  </w:r>
                </w:p>
              </w:tc>
              <w:tc>
                <w:tcPr/>
                <w:p>
                  <w:pPr>
                    <w:pStyle w:val="Compact"/>
                    <w:jc w:val="right"/>
                    <w:jc w:val="center"/>
                  </w:pPr>
                  <w:r>
                    <w:t xml:space="preserve">0.397</w:t>
                  </w:r>
                </w:p>
              </w:tc>
              <w:tc>
                <w:tcPr/>
                <w:p>
                  <w:pPr>
                    <w:pStyle w:val="Compact"/>
                    <w:jc w:val="right"/>
                    <w:jc w:val="center"/>
                  </w:pPr>
                  <w:r>
                    <w:t xml:space="preserve">2.29</w:t>
                  </w:r>
                </w:p>
              </w:tc>
              <w:tc>
                <w:tcPr/>
                <w:p>
                  <w:pPr>
                    <w:pStyle w:val="Compact"/>
                    <w:jc w:val="right"/>
                    <w:jc w:val="center"/>
                  </w:pPr>
                  <w:r>
                    <w:t xml:space="preserve">0.0397</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-0.458</w:t>
                  </w:r>
                </w:p>
              </w:tc>
              <w:tc>
                <w:tcPr/>
                <w:p>
                  <w:pPr>
                    <w:pStyle w:val="Compact"/>
                    <w:jc w:val="right"/>
                    <w:jc w:val="center"/>
                  </w:pPr>
                  <w:r>
                    <w:t xml:space="preserve">0.397</w:t>
                  </w:r>
                </w:p>
              </w:tc>
              <w:tc>
                <w:tcPr/>
                <w:p>
                  <w:pPr>
                    <w:pStyle w:val="Compact"/>
                    <w:jc w:val="right"/>
                    <w:jc w:val="center"/>
                  </w:pPr>
                  <w:r>
                    <w:t xml:space="preserve">-1.15</w:t>
                  </w:r>
                </w:p>
              </w:tc>
              <w:tc>
                <w:tcPr/>
                <w:p>
                  <w:pPr>
                    <w:pStyle w:val="Compact"/>
                    <w:jc w:val="right"/>
                    <w:jc w:val="center"/>
                  </w:pPr>
                  <w:r>
                    <w:t xml:space="preserve">0.269</w:t>
                  </w:r>
                </w:p>
              </w:tc>
              <w:tc>
                <w:tcPr/>
                <w:p>
                  <w:pPr>
                    <w:pStyle w:val="Compact"/>
                  </w:pPr>
                </w:p>
              </w:tc>
            </w:tr>
            <w:tr>
              <w:tc>
                <w:tcPr/>
                <w:p>
                  <w:pPr>
                    <w:pStyle w:val="Compact"/>
                    <w:jc w:val="left"/>
                    <w:jc w:val="center"/>
                  </w:pPr>
                  <w:r>
                    <w:t xml:space="preserve">D²</w:t>
                  </w:r>
                </w:p>
              </w:tc>
              <w:tc>
                <w:tcPr/>
                <w:p>
                  <w:pPr>
                    <w:pStyle w:val="Compact"/>
                    <w:jc w:val="right"/>
                    <w:jc w:val="center"/>
                  </w:pPr>
                  <w:r>
                    <w:t xml:space="preserve">-0.502</w:t>
                  </w:r>
                </w:p>
              </w:tc>
              <w:tc>
                <w:tcPr/>
                <w:p>
                  <w:pPr>
                    <w:pStyle w:val="Compact"/>
                    <w:jc w:val="right"/>
                    <w:jc w:val="center"/>
                  </w:pPr>
                  <w:r>
                    <w:t xml:space="preserve">0.397</w:t>
                  </w:r>
                </w:p>
              </w:tc>
              <w:tc>
                <w:tcPr/>
                <w:p>
                  <w:pPr>
                    <w:pStyle w:val="Compact"/>
                    <w:jc w:val="right"/>
                    <w:jc w:val="center"/>
                  </w:pPr>
                  <w:r>
                    <w:t xml:space="preserve">-1.27</w:t>
                  </w:r>
                </w:p>
              </w:tc>
              <w:tc>
                <w:tcPr/>
                <w:p>
                  <w:pPr>
                    <w:pStyle w:val="Compact"/>
                    <w:jc w:val="right"/>
                    <w:jc w:val="center"/>
                  </w:pPr>
                  <w:r>
                    <w:t xml:space="preserve">0.228</w:t>
                  </w:r>
                </w:p>
              </w:tc>
              <w:tc>
                <w:tcPr/>
                <w:p>
                  <w:pPr>
                    <w:pStyle w:val="Compact"/>
                  </w:pPr>
                </w:p>
              </w:tc>
            </w:tr>
          </w:tbl>
          <w:bookmarkEnd w:id="1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tbl-coef-frag"/>
          <w:p>
            <w:pPr>
              <w:jc w:val="center"/>
            </w:pPr>
            <w:pPr>
              <w:jc w:val="start"/>
              <w:spacing w:before="200"/>
              <w:pStyle w:val="ImageCaption"/>
            </w:pPr>
            <w:r>
              <w:t xml:space="preserve">Table 30: Full quadratic coefficients for fragments by nrCE-SDS (%),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0.911</w:t>
                  </w:r>
                </w:p>
              </w:tc>
              <w:tc>
                <w:tcPr/>
                <w:p>
                  <w:pPr>
                    <w:pStyle w:val="Compact"/>
                    <w:jc w:val="right"/>
                    <w:jc w:val="center"/>
                  </w:pPr>
                  <w:r>
                    <w:t xml:space="preserve">0.0249</w:t>
                  </w:r>
                </w:p>
              </w:tc>
              <w:tc>
                <w:tcPr/>
                <w:p>
                  <w:pPr>
                    <w:pStyle w:val="Compact"/>
                    <w:jc w:val="right"/>
                    <w:jc w:val="center"/>
                  </w:pPr>
                  <w:r>
                    <w:t xml:space="preserve">36.6</w:t>
                  </w:r>
                </w:p>
              </w:tc>
              <w:tc>
                <w:tcPr/>
                <w:p>
                  <w:pPr>
                    <w:pStyle w:val="Compact"/>
                    <w:jc w:val="right"/>
                    <w:jc w:val="center"/>
                  </w:pPr>
                  <w:r>
                    <w:t xml:space="preserve">1.71e-14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-0.0275</w:t>
                  </w:r>
                </w:p>
              </w:tc>
              <w:tc>
                <w:tcPr/>
                <w:p>
                  <w:pPr>
                    <w:pStyle w:val="Compact"/>
                    <w:jc w:val="right"/>
                    <w:jc w:val="center"/>
                  </w:pPr>
                  <w:r>
                    <w:t xml:space="preserve">0.017</w:t>
                  </w:r>
                </w:p>
              </w:tc>
              <w:tc>
                <w:tcPr/>
                <w:p>
                  <w:pPr>
                    <w:pStyle w:val="Compact"/>
                    <w:jc w:val="right"/>
                    <w:jc w:val="center"/>
                  </w:pPr>
                  <w:r>
                    <w:t xml:space="preserve">-1.62</w:t>
                  </w:r>
                </w:p>
              </w:tc>
              <w:tc>
                <w:tcPr/>
                <w:p>
                  <w:pPr>
                    <w:pStyle w:val="Compact"/>
                    <w:jc w:val="right"/>
                    <w:jc w:val="center"/>
                  </w:pPr>
                  <w:r>
                    <w:t xml:space="preserve">0.129</w:t>
                  </w:r>
                </w:p>
              </w:tc>
              <w:tc>
                <w:tcPr/>
                <w:p>
                  <w:pPr>
                    <w:pStyle w:val="Compact"/>
                  </w:pPr>
                </w:p>
              </w:tc>
            </w:tr>
            <w:tr>
              <w:tc>
                <w:tcPr/>
                <w:p>
                  <w:pPr>
                    <w:pStyle w:val="Compact"/>
                    <w:jc w:val="left"/>
                    <w:jc w:val="center"/>
                  </w:pPr>
                  <w:r>
                    <w:t xml:space="preserve">B</w:t>
                  </w:r>
                </w:p>
              </w:tc>
              <w:tc>
                <w:tcPr/>
                <w:p>
                  <w:pPr>
                    <w:pStyle w:val="Compact"/>
                    <w:jc w:val="right"/>
                    <w:jc w:val="center"/>
                  </w:pPr>
                  <w:r>
                    <w:t xml:space="preserve">-0.0527</w:t>
                  </w:r>
                </w:p>
              </w:tc>
              <w:tc>
                <w:tcPr/>
                <w:p>
                  <w:pPr>
                    <w:pStyle w:val="Compact"/>
                    <w:jc w:val="right"/>
                    <w:jc w:val="center"/>
                  </w:pPr>
                  <w:r>
                    <w:t xml:space="preserve">0.017</w:t>
                  </w:r>
                </w:p>
              </w:tc>
              <w:tc>
                <w:tcPr/>
                <w:p>
                  <w:pPr>
                    <w:pStyle w:val="Compact"/>
                    <w:jc w:val="right"/>
                    <w:jc w:val="center"/>
                  </w:pPr>
                  <w:r>
                    <w:t xml:space="preserve">-3.1</w:t>
                  </w:r>
                </w:p>
              </w:tc>
              <w:tc>
                <w:tcPr/>
                <w:p>
                  <w:pPr>
                    <w:pStyle w:val="Compact"/>
                    <w:jc w:val="right"/>
                    <w:jc w:val="center"/>
                  </w:pPr>
                  <w:r>
                    <w:t xml:space="preserve">0.0084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0.0161</w:t>
                  </w:r>
                </w:p>
              </w:tc>
              <w:tc>
                <w:tcPr/>
                <w:p>
                  <w:pPr>
                    <w:pStyle w:val="Compact"/>
                    <w:jc w:val="right"/>
                    <w:jc w:val="center"/>
                  </w:pPr>
                  <w:r>
                    <w:t xml:space="preserve">0.017</w:t>
                  </w:r>
                </w:p>
              </w:tc>
              <w:tc>
                <w:tcPr/>
                <w:p>
                  <w:pPr>
                    <w:pStyle w:val="Compact"/>
                    <w:jc w:val="right"/>
                    <w:jc w:val="center"/>
                  </w:pPr>
                  <w:r>
                    <w:t xml:space="preserve">0.949</w:t>
                  </w:r>
                </w:p>
              </w:tc>
              <w:tc>
                <w:tcPr/>
                <w:p>
                  <w:pPr>
                    <w:pStyle w:val="Compact"/>
                    <w:jc w:val="right"/>
                    <w:jc w:val="center"/>
                  </w:pPr>
                  <w:r>
                    <w:t xml:space="preserve">0.36</w:t>
                  </w:r>
                </w:p>
              </w:tc>
              <w:tc>
                <w:tcPr/>
                <w:p>
                  <w:pPr>
                    <w:pStyle w:val="Compact"/>
                  </w:pPr>
                </w:p>
              </w:tc>
            </w:tr>
            <w:tr>
              <w:tc>
                <w:tcPr/>
                <w:p>
                  <w:pPr>
                    <w:pStyle w:val="Compact"/>
                    <w:jc w:val="left"/>
                    <w:jc w:val="center"/>
                  </w:pPr>
                  <w:r>
                    <w:t xml:space="preserve">D</w:t>
                  </w:r>
                </w:p>
              </w:tc>
              <w:tc>
                <w:tcPr/>
                <w:p>
                  <w:pPr>
                    <w:pStyle w:val="Compact"/>
                    <w:jc w:val="right"/>
                    <w:jc w:val="center"/>
                  </w:pPr>
                  <w:r>
                    <w:t xml:space="preserve">0.00523</w:t>
                  </w:r>
                </w:p>
              </w:tc>
              <w:tc>
                <w:tcPr/>
                <w:p>
                  <w:pPr>
                    <w:pStyle w:val="Compact"/>
                    <w:jc w:val="right"/>
                    <w:jc w:val="center"/>
                  </w:pPr>
                  <w:r>
                    <w:t xml:space="preserve">0.017</w:t>
                  </w:r>
                </w:p>
              </w:tc>
              <w:tc>
                <w:tcPr/>
                <w:p>
                  <w:pPr>
                    <w:pStyle w:val="Compact"/>
                    <w:jc w:val="right"/>
                    <w:jc w:val="center"/>
                  </w:pPr>
                  <w:r>
                    <w:t xml:space="preserve">0.308</w:t>
                  </w:r>
                </w:p>
              </w:tc>
              <w:tc>
                <w:tcPr/>
                <w:p>
                  <w:pPr>
                    <w:pStyle w:val="Compact"/>
                    <w:jc w:val="right"/>
                    <w:jc w:val="center"/>
                  </w:pPr>
                  <w:r>
                    <w:t xml:space="preserve">0.763</w:t>
                  </w:r>
                </w:p>
              </w:tc>
              <w:tc>
                <w:tcPr/>
                <w:p>
                  <w:pPr>
                    <w:pStyle w:val="Compact"/>
                  </w:pPr>
                </w:p>
              </w:tc>
            </w:tr>
            <w:tr>
              <w:tc>
                <w:tcPr/>
                <w:p>
                  <w:pPr>
                    <w:pStyle w:val="Compact"/>
                    <w:jc w:val="left"/>
                    <w:jc w:val="center"/>
                  </w:pPr>
                  <w:r>
                    <w:t xml:space="preserve">AB</w:t>
                  </w:r>
                </w:p>
              </w:tc>
              <w:tc>
                <w:tcPr/>
                <w:p>
                  <w:pPr>
                    <w:pStyle w:val="Compact"/>
                    <w:jc w:val="right"/>
                    <w:jc w:val="center"/>
                  </w:pPr>
                  <w:r>
                    <w:t xml:space="preserve">-0.00454</w:t>
                  </w:r>
                </w:p>
              </w:tc>
              <w:tc>
                <w:tcPr/>
                <w:p>
                  <w:pPr>
                    <w:pStyle w:val="Compact"/>
                    <w:jc w:val="right"/>
                    <w:jc w:val="center"/>
                  </w:pPr>
                  <w:r>
                    <w:t xml:space="preserve">0.018</w:t>
                  </w:r>
                </w:p>
              </w:tc>
              <w:tc>
                <w:tcPr/>
                <w:p>
                  <w:pPr>
                    <w:pStyle w:val="Compact"/>
                    <w:jc w:val="right"/>
                    <w:jc w:val="center"/>
                  </w:pPr>
                  <w:r>
                    <w:t xml:space="preserve">-0.252</w:t>
                  </w:r>
                </w:p>
              </w:tc>
              <w:tc>
                <w:tcPr/>
                <w:p>
                  <w:pPr>
                    <w:pStyle w:val="Compact"/>
                    <w:jc w:val="right"/>
                    <w:jc w:val="center"/>
                  </w:pPr>
                  <w:r>
                    <w:t xml:space="preserve">0.805</w:t>
                  </w:r>
                </w:p>
              </w:tc>
              <w:tc>
                <w:tcPr/>
                <w:p>
                  <w:pPr>
                    <w:pStyle w:val="Compact"/>
                  </w:pPr>
                </w:p>
              </w:tc>
            </w:tr>
            <w:tr>
              <w:tc>
                <w:tcPr/>
                <w:p>
                  <w:pPr>
                    <w:pStyle w:val="Compact"/>
                    <w:jc w:val="left"/>
                    <w:jc w:val="center"/>
                  </w:pPr>
                  <w:r>
                    <w:t xml:space="preserve">AC</w:t>
                  </w:r>
                </w:p>
              </w:tc>
              <w:tc>
                <w:tcPr/>
                <w:p>
                  <w:pPr>
                    <w:pStyle w:val="Compact"/>
                    <w:jc w:val="right"/>
                    <w:jc w:val="center"/>
                  </w:pPr>
                  <w:r>
                    <w:t xml:space="preserve">-0.00476</w:t>
                  </w:r>
                </w:p>
              </w:tc>
              <w:tc>
                <w:tcPr/>
                <w:p>
                  <w:pPr>
                    <w:pStyle w:val="Compact"/>
                    <w:jc w:val="right"/>
                    <w:jc w:val="center"/>
                  </w:pPr>
                  <w:r>
                    <w:t xml:space="preserve">0.018</w:t>
                  </w:r>
                </w:p>
              </w:tc>
              <w:tc>
                <w:tcPr/>
                <w:p>
                  <w:pPr>
                    <w:pStyle w:val="Compact"/>
                    <w:jc w:val="right"/>
                    <w:jc w:val="center"/>
                  </w:pPr>
                  <w:r>
                    <w:t xml:space="preserve">-0.264</w:t>
                  </w:r>
                </w:p>
              </w:tc>
              <w:tc>
                <w:tcPr/>
                <w:p>
                  <w:pPr>
                    <w:pStyle w:val="Compact"/>
                    <w:jc w:val="right"/>
                    <w:jc w:val="center"/>
                  </w:pPr>
                  <w:r>
                    <w:t xml:space="preserve">0.796</w:t>
                  </w:r>
                </w:p>
              </w:tc>
              <w:tc>
                <w:tcPr/>
                <w:p>
                  <w:pPr>
                    <w:pStyle w:val="Compact"/>
                  </w:pPr>
                </w:p>
              </w:tc>
            </w:tr>
            <w:tr>
              <w:tc>
                <w:tcPr/>
                <w:p>
                  <w:pPr>
                    <w:pStyle w:val="Compact"/>
                    <w:jc w:val="left"/>
                    <w:jc w:val="center"/>
                  </w:pPr>
                  <w:r>
                    <w:t xml:space="preserve">AD</w:t>
                  </w:r>
                </w:p>
              </w:tc>
              <w:tc>
                <w:tcPr/>
                <w:p>
                  <w:pPr>
                    <w:pStyle w:val="Compact"/>
                    <w:jc w:val="right"/>
                    <w:jc w:val="center"/>
                  </w:pPr>
                  <w:r>
                    <w:t xml:space="preserve">0.0146</w:t>
                  </w:r>
                </w:p>
              </w:tc>
              <w:tc>
                <w:tcPr/>
                <w:p>
                  <w:pPr>
                    <w:pStyle w:val="Compact"/>
                    <w:jc w:val="right"/>
                    <w:jc w:val="center"/>
                  </w:pPr>
                  <w:r>
                    <w:t xml:space="preserve">0.018</w:t>
                  </w:r>
                </w:p>
              </w:tc>
              <w:tc>
                <w:tcPr/>
                <w:p>
                  <w:pPr>
                    <w:pStyle w:val="Compact"/>
                    <w:jc w:val="right"/>
                    <w:jc w:val="center"/>
                  </w:pPr>
                  <w:r>
                    <w:t xml:space="preserve">0.81</w:t>
                  </w:r>
                </w:p>
              </w:tc>
              <w:tc>
                <w:tcPr/>
                <w:p>
                  <w:pPr>
                    <w:pStyle w:val="Compact"/>
                    <w:jc w:val="right"/>
                    <w:jc w:val="center"/>
                  </w:pPr>
                  <w:r>
                    <w:t xml:space="preserve">0.433</w:t>
                  </w:r>
                </w:p>
              </w:tc>
              <w:tc>
                <w:tcPr/>
                <w:p>
                  <w:pPr>
                    <w:pStyle w:val="Compact"/>
                  </w:pPr>
                </w:p>
              </w:tc>
            </w:tr>
            <w:tr>
              <w:tc>
                <w:tcPr/>
                <w:p>
                  <w:pPr>
                    <w:pStyle w:val="Compact"/>
                    <w:jc w:val="left"/>
                    <w:jc w:val="center"/>
                  </w:pPr>
                  <w:r>
                    <w:t xml:space="preserve">BC</w:t>
                  </w:r>
                </w:p>
              </w:tc>
              <w:tc>
                <w:tcPr/>
                <w:p>
                  <w:pPr>
                    <w:pStyle w:val="Compact"/>
                    <w:jc w:val="right"/>
                    <w:jc w:val="center"/>
                  </w:pPr>
                  <w:r>
                    <w:t xml:space="preserve">0.00214</w:t>
                  </w:r>
                </w:p>
              </w:tc>
              <w:tc>
                <w:tcPr/>
                <w:p>
                  <w:pPr>
                    <w:pStyle w:val="Compact"/>
                    <w:jc w:val="right"/>
                    <w:jc w:val="center"/>
                  </w:pPr>
                  <w:r>
                    <w:t xml:space="preserve">0.018</w:t>
                  </w:r>
                </w:p>
              </w:tc>
              <w:tc>
                <w:tcPr/>
                <w:p>
                  <w:pPr>
                    <w:pStyle w:val="Compact"/>
                    <w:jc w:val="right"/>
                    <w:jc w:val="center"/>
                  </w:pPr>
                  <w:r>
                    <w:t xml:space="preserve">0.119</w:t>
                  </w:r>
                </w:p>
              </w:tc>
              <w:tc>
                <w:tcPr/>
                <w:p>
                  <w:pPr>
                    <w:pStyle w:val="Compact"/>
                    <w:jc w:val="right"/>
                    <w:jc w:val="center"/>
                  </w:pPr>
                  <w:r>
                    <w:t xml:space="preserve">0.907</w:t>
                  </w:r>
                </w:p>
              </w:tc>
              <w:tc>
                <w:tcPr/>
                <w:p>
                  <w:pPr>
                    <w:pStyle w:val="Compact"/>
                  </w:pPr>
                </w:p>
              </w:tc>
            </w:tr>
            <w:tr>
              <w:tc>
                <w:tcPr/>
                <w:p>
                  <w:pPr>
                    <w:pStyle w:val="Compact"/>
                    <w:jc w:val="left"/>
                    <w:jc w:val="center"/>
                  </w:pPr>
                  <w:r>
                    <w:t xml:space="preserve">BD</w:t>
                  </w:r>
                </w:p>
              </w:tc>
              <w:tc>
                <w:tcPr/>
                <w:p>
                  <w:pPr>
                    <w:pStyle w:val="Compact"/>
                    <w:jc w:val="right"/>
                    <w:jc w:val="center"/>
                  </w:pPr>
                  <w:r>
                    <w:t xml:space="preserve">0.00782</w:t>
                  </w:r>
                </w:p>
              </w:tc>
              <w:tc>
                <w:tcPr/>
                <w:p>
                  <w:pPr>
                    <w:pStyle w:val="Compact"/>
                    <w:jc w:val="right"/>
                    <w:jc w:val="center"/>
                  </w:pPr>
                  <w:r>
                    <w:t xml:space="preserve">0.018</w:t>
                  </w:r>
                </w:p>
              </w:tc>
              <w:tc>
                <w:tcPr/>
                <w:p>
                  <w:pPr>
                    <w:pStyle w:val="Compact"/>
                    <w:jc w:val="right"/>
                    <w:jc w:val="center"/>
                  </w:pPr>
                  <w:r>
                    <w:t xml:space="preserve">0.434</w:t>
                  </w:r>
                </w:p>
              </w:tc>
              <w:tc>
                <w:tcPr/>
                <w:p>
                  <w:pPr>
                    <w:pStyle w:val="Compact"/>
                    <w:jc w:val="right"/>
                    <w:jc w:val="center"/>
                  </w:pPr>
                  <w:r>
                    <w:t xml:space="preserve">0.671</w:t>
                  </w:r>
                </w:p>
              </w:tc>
              <w:tc>
                <w:tcPr/>
                <w:p>
                  <w:pPr>
                    <w:pStyle w:val="Compact"/>
                  </w:pPr>
                </w:p>
              </w:tc>
            </w:tr>
            <w:tr>
              <w:tc>
                <w:tcPr/>
                <w:p>
                  <w:pPr>
                    <w:pStyle w:val="Compact"/>
                    <w:jc w:val="left"/>
                    <w:jc w:val="center"/>
                  </w:pPr>
                  <w:r>
                    <w:t xml:space="preserve">CD</w:t>
                  </w:r>
                </w:p>
              </w:tc>
              <w:tc>
                <w:tcPr/>
                <w:p>
                  <w:pPr>
                    <w:pStyle w:val="Compact"/>
                    <w:jc w:val="right"/>
                    <w:jc w:val="center"/>
                  </w:pPr>
                  <w:r>
                    <w:t xml:space="preserve">-0.0321</w:t>
                  </w:r>
                </w:p>
              </w:tc>
              <w:tc>
                <w:tcPr/>
                <w:p>
                  <w:pPr>
                    <w:pStyle w:val="Compact"/>
                    <w:jc w:val="right"/>
                    <w:jc w:val="center"/>
                  </w:pPr>
                  <w:r>
                    <w:t xml:space="preserve">0.018</w:t>
                  </w:r>
                </w:p>
              </w:tc>
              <w:tc>
                <w:tcPr/>
                <w:p>
                  <w:pPr>
                    <w:pStyle w:val="Compact"/>
                    <w:jc w:val="right"/>
                    <w:jc w:val="center"/>
                  </w:pPr>
                  <w:r>
                    <w:t xml:space="preserve">-1.78</w:t>
                  </w:r>
                </w:p>
              </w:tc>
              <w:tc>
                <w:tcPr/>
                <w:p>
                  <w:pPr>
                    <w:pStyle w:val="Compact"/>
                    <w:jc w:val="right"/>
                    <w:jc w:val="center"/>
                  </w:pPr>
                  <w:r>
                    <w:t xml:space="preserve">0.0984</w:t>
                  </w:r>
                </w:p>
              </w:tc>
              <w:tc>
                <w:tcPr/>
                <w:p>
                  <w:pPr>
                    <w:pStyle w:val="Compact"/>
                  </w:pPr>
                </w:p>
              </w:tc>
            </w:tr>
            <w:tr>
              <w:tc>
                <w:tcPr/>
                <w:p>
                  <w:pPr>
                    <w:pStyle w:val="Compact"/>
                    <w:jc w:val="left"/>
                    <w:jc w:val="center"/>
                  </w:pPr>
                  <w:r>
                    <w:t xml:space="preserve">A²</w:t>
                  </w:r>
                </w:p>
              </w:tc>
              <w:tc>
                <w:tcPr/>
                <w:p>
                  <w:pPr>
                    <w:pStyle w:val="Compact"/>
                    <w:jc w:val="right"/>
                    <w:jc w:val="center"/>
                  </w:pPr>
                  <w:r>
                    <w:t xml:space="preserve">0.0104</w:t>
                  </w:r>
                </w:p>
              </w:tc>
              <w:tc>
                <w:tcPr/>
                <w:p>
                  <w:pPr>
                    <w:pStyle w:val="Compact"/>
                    <w:jc w:val="right"/>
                    <w:jc w:val="center"/>
                  </w:pPr>
                  <w:r>
                    <w:t xml:space="preserve">0.0449</w:t>
                  </w:r>
                </w:p>
              </w:tc>
              <w:tc>
                <w:tcPr/>
                <w:p>
                  <w:pPr>
                    <w:pStyle w:val="Compact"/>
                    <w:jc w:val="right"/>
                    <w:jc w:val="center"/>
                  </w:pPr>
                  <w:r>
                    <w:t xml:space="preserve">0.233</w:t>
                  </w:r>
                </w:p>
              </w:tc>
              <w:tc>
                <w:tcPr/>
                <w:p>
                  <w:pPr>
                    <w:pStyle w:val="Compact"/>
                    <w:jc w:val="right"/>
                    <w:jc w:val="center"/>
                  </w:pPr>
                  <w:r>
                    <w:t xml:space="preserve">0.82</w:t>
                  </w:r>
                </w:p>
              </w:tc>
              <w:tc>
                <w:tcPr/>
                <w:p>
                  <w:pPr>
                    <w:pStyle w:val="Compact"/>
                  </w:pPr>
                </w:p>
              </w:tc>
            </w:tr>
            <w:tr>
              <w:tc>
                <w:tcPr/>
                <w:p>
                  <w:pPr>
                    <w:pStyle w:val="Compact"/>
                    <w:jc w:val="left"/>
                    <w:jc w:val="center"/>
                  </w:pPr>
                  <w:r>
                    <w:t xml:space="preserve">B²</w:t>
                  </w:r>
                </w:p>
              </w:tc>
              <w:tc>
                <w:tcPr/>
                <w:p>
                  <w:pPr>
                    <w:pStyle w:val="Compact"/>
                    <w:jc w:val="right"/>
                    <w:jc w:val="center"/>
                  </w:pPr>
                  <w:r>
                    <w:t xml:space="preserve">-0.0428</w:t>
                  </w:r>
                </w:p>
              </w:tc>
              <w:tc>
                <w:tcPr/>
                <w:p>
                  <w:pPr>
                    <w:pStyle w:val="Compact"/>
                    <w:jc w:val="right"/>
                    <w:jc w:val="center"/>
                  </w:pPr>
                  <w:r>
                    <w:t xml:space="preserve">0.0449</w:t>
                  </w:r>
                </w:p>
              </w:tc>
              <w:tc>
                <w:tcPr/>
                <w:p>
                  <w:pPr>
                    <w:pStyle w:val="Compact"/>
                    <w:jc w:val="right"/>
                    <w:jc w:val="center"/>
                  </w:pPr>
                  <w:r>
                    <w:t xml:space="preserve">-0.954</w:t>
                  </w:r>
                </w:p>
              </w:tc>
              <w:tc>
                <w:tcPr/>
                <w:p>
                  <w:pPr>
                    <w:pStyle w:val="Compact"/>
                    <w:jc w:val="right"/>
                    <w:jc w:val="center"/>
                  </w:pPr>
                  <w:r>
                    <w:t xml:space="preserve">0.357</w:t>
                  </w:r>
                </w:p>
              </w:tc>
              <w:tc>
                <w:tcPr/>
                <w:p>
                  <w:pPr>
                    <w:pStyle w:val="Compact"/>
                  </w:pPr>
                </w:p>
              </w:tc>
            </w:tr>
            <w:tr>
              <w:tc>
                <w:tcPr/>
                <w:p>
                  <w:pPr>
                    <w:pStyle w:val="Compact"/>
                    <w:jc w:val="left"/>
                    <w:jc w:val="center"/>
                  </w:pPr>
                  <w:r>
                    <w:t xml:space="preserve">C²</w:t>
                  </w:r>
                </w:p>
              </w:tc>
              <w:tc>
                <w:tcPr/>
                <w:p>
                  <w:pPr>
                    <w:pStyle w:val="Compact"/>
                    <w:jc w:val="right"/>
                    <w:jc w:val="center"/>
                  </w:pPr>
                  <w:r>
                    <w:t xml:space="preserve">-0.00107</w:t>
                  </w:r>
                </w:p>
              </w:tc>
              <w:tc>
                <w:tcPr/>
                <w:p>
                  <w:pPr>
                    <w:pStyle w:val="Compact"/>
                    <w:jc w:val="right"/>
                    <w:jc w:val="center"/>
                  </w:pPr>
                  <w:r>
                    <w:t xml:space="preserve">0.0449</w:t>
                  </w:r>
                </w:p>
              </w:tc>
              <w:tc>
                <w:tcPr/>
                <w:p>
                  <w:pPr>
                    <w:pStyle w:val="Compact"/>
                    <w:jc w:val="right"/>
                    <w:jc w:val="center"/>
                  </w:pPr>
                  <w:r>
                    <w:t xml:space="preserve">-0.0238</w:t>
                  </w:r>
                </w:p>
              </w:tc>
              <w:tc>
                <w:tcPr/>
                <w:p>
                  <w:pPr>
                    <w:pStyle w:val="Compact"/>
                    <w:jc w:val="right"/>
                    <w:jc w:val="center"/>
                  </w:pPr>
                  <w:r>
                    <w:t xml:space="preserve">0.981</w:t>
                  </w:r>
                </w:p>
              </w:tc>
              <w:tc>
                <w:tcPr/>
                <w:p>
                  <w:pPr>
                    <w:pStyle w:val="Compact"/>
                  </w:pPr>
                </w:p>
              </w:tc>
            </w:tr>
            <w:tr>
              <w:tc>
                <w:tcPr/>
                <w:p>
                  <w:pPr>
                    <w:pStyle w:val="Compact"/>
                    <w:jc w:val="left"/>
                    <w:jc w:val="center"/>
                  </w:pPr>
                  <w:r>
                    <w:t xml:space="preserve">D²</w:t>
                  </w:r>
                </w:p>
              </w:tc>
              <w:tc>
                <w:tcPr/>
                <w:p>
                  <w:pPr>
                    <w:pStyle w:val="Compact"/>
                    <w:jc w:val="right"/>
                    <w:jc w:val="center"/>
                  </w:pPr>
                  <w:r>
                    <w:t xml:space="preserve">0.0513</w:t>
                  </w:r>
                </w:p>
              </w:tc>
              <w:tc>
                <w:tcPr/>
                <w:p>
                  <w:pPr>
                    <w:pStyle w:val="Compact"/>
                    <w:jc w:val="right"/>
                    <w:jc w:val="center"/>
                  </w:pPr>
                  <w:r>
                    <w:t xml:space="preserve">0.0449</w:t>
                  </w:r>
                </w:p>
              </w:tc>
              <w:tc>
                <w:tcPr/>
                <w:p>
                  <w:pPr>
                    <w:pStyle w:val="Compact"/>
                    <w:jc w:val="right"/>
                    <w:jc w:val="center"/>
                  </w:pPr>
                  <w:r>
                    <w:t xml:space="preserve">1.14</w:t>
                  </w:r>
                </w:p>
              </w:tc>
              <w:tc>
                <w:tcPr/>
                <w:p>
                  <w:pPr>
                    <w:pStyle w:val="Compact"/>
                    <w:jc w:val="right"/>
                    <w:jc w:val="center"/>
                  </w:pPr>
                  <w:r>
                    <w:t xml:space="preserve">0.273</w:t>
                  </w:r>
                </w:p>
              </w:tc>
              <w:tc>
                <w:tcPr/>
                <w:p>
                  <w:pPr>
                    <w:pStyle w:val="Compact"/>
                  </w:pPr>
                </w:p>
              </w:tc>
            </w:tr>
          </w:tbl>
          <w:bookmarkEnd w:id="119"/>
          <w:p/>
        </w:tc>
      </w:tr>
    </w:tbl>
    <w:bookmarkEnd w:id="120"/>
    <w:bookmarkStart w:id="122" w:name="appendix-d.-analytical-methods-summary"/>
    <w:p>
      <w:pPr>
        <w:pStyle w:val="Heading2"/>
      </w:pPr>
      <w:r>
        <w:t xml:space="preserve">Appendix D. Analytical methods summary</w:t>
      </w:r>
    </w:p>
    <w:p>
      <w:pPr>
        <w:pStyle w:val="FirstParagraph"/>
      </w:pPr>
      <w:hyperlink w:anchor="tbl-methods-summary">
        <w:r>
          <w:rPr>
            <w:rStyle w:val="Hyperlink"/>
          </w:rPr>
          <w:t xml:space="preserve">Table 31</w:t>
        </w:r>
      </w:hyperlink>
      <w:r>
        <w:t xml:space="preserve"> </w:t>
      </w:r>
      <w:r>
        <w:t xml:space="preserve">summarizes the analytical methods used in the studies of the step.</w:t>
      </w:r>
    </w:p>
    <w:tbl>
      <w:tblPr>
        <w:tblStyle w:val="Table"/>
        <w:tblW w:type="pct" w:w="5000"/>
        <w:tblLayout w:type="fixed"/>
        <w:tblLook w:firstRow="0" w:lastRow="0" w:firstColumn="0" w:lastColumn="0" w:noHBand="0" w:noVBand="0" w:val="0000"/>
      </w:tblPr>
      <w:tblGrid>
        <w:gridCol w:w="7920"/>
      </w:tblGrid>
      <w:tr>
        <w:tc>
          <w:tcPr/>
          <w:bookmarkStart w:id="121" w:name="tbl-methods-summary"/>
          <w:p>
            <w:pPr>
              <w:jc w:val="center"/>
            </w:pPr>
            <w:pPr>
              <w:jc w:val="start"/>
              <w:spacing w:before="200"/>
              <w:pStyle w:val="ImageCaption"/>
            </w:pPr>
            <w:r>
              <w:t xml:space="preserve">Table 31: Analytical methods used in the studies of the Protein A step.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Technique</w:t>
                  </w:r>
                </w:p>
              </w:tc>
              <w:tc>
                <w:tcPr/>
                <w:p>
                  <w:pPr>
                    <w:pStyle w:val="Compact"/>
                    <w:jc w:val="center"/>
                  </w:pPr>
                  <w:r>
                    <w:t xml:space="preserve">Analyte</w:t>
                  </w:r>
                </w:p>
              </w:tc>
              <w:tc>
                <w:tcPr/>
                <w:p>
                  <w:pPr>
                    <w:pStyle w:val="Compact"/>
                    <w:jc w:val="center"/>
                  </w:pPr>
                  <w:r>
                    <w:t xml:space="preserve">AMV</w:t>
                  </w:r>
                </w:p>
              </w:tc>
              <w:tc>
                <w:tcPr/>
                <w:p>
                  <w:pPr>
                    <w:pStyle w:val="Compact"/>
                    <w:jc w:val="center"/>
                  </w:pPr>
                  <w:r>
                    <w:t xml:space="preserve">Reportable</w:t>
                  </w:r>
                </w:p>
              </w:tc>
              <w:tc>
                <w:tcPr/>
                <w:p>
                  <w:pPr>
                    <w:pStyle w:val="Compact"/>
                    <w:jc w:val="center"/>
                  </w:pPr>
                  <w:r>
                    <w:t xml:space="preserve">Use in this report</w:t>
                  </w:r>
                </w:p>
              </w:tc>
            </w:tr>
            <w:tr>
              <w:tc>
                <w:tcPr/>
                <w:p>
                  <w:pPr>
                    <w:pStyle w:val="Compact"/>
                    <w:jc w:val="center"/>
                  </w:pPr>
                  <w:r>
                    <w:t xml:space="preserve">ELISA</w:t>
                  </w:r>
                </w:p>
              </w:tc>
              <w:tc>
                <w:tcPr/>
                <w:p>
                  <w:pPr>
                    <w:pStyle w:val="Compact"/>
                    <w:jc w:val="center"/>
                  </w:pPr>
                  <w:r>
                    <w:t xml:space="preserve">Host cell protein</w:t>
                  </w:r>
                </w:p>
              </w:tc>
              <w:tc>
                <w:tcPr/>
                <w:p>
                  <w:pPr>
                    <w:pStyle w:val="Compact"/>
                    <w:jc w:val="center"/>
                  </w:pPr>
                  <w:r>
                    <w:t xml:space="preserve">AMV-3012</w:t>
                  </w:r>
                </w:p>
              </w:tc>
              <w:tc>
                <w:tcPr/>
                <w:p>
                  <w:pPr>
                    <w:pStyle w:val="Compact"/>
                    <w:jc w:val="center"/>
                  </w:pPr>
                  <w:r>
                    <w:t xml:space="preserve">ng per mg antibody</w:t>
                  </w:r>
                </w:p>
              </w:tc>
              <w:tc>
                <w:tcPr/>
                <w:p>
                  <w:pPr>
                    <w:pStyle w:val="Compact"/>
                    <w:jc w:val="center"/>
                  </w:pPr>
                  <w:r>
                    <w:t xml:space="preserve">Response of both designs, univariate study</w:t>
                  </w:r>
                </w:p>
              </w:tc>
            </w:tr>
            <w:tr>
              <w:tc>
                <w:tcPr/>
                <w:p>
                  <w:pPr>
                    <w:pStyle w:val="Compact"/>
                    <w:jc w:val="center"/>
                  </w:pPr>
                  <w:r>
                    <w:t xml:space="preserve">ELISA</w:t>
                  </w:r>
                </w:p>
              </w:tc>
              <w:tc>
                <w:tcPr/>
                <w:p>
                  <w:pPr>
                    <w:pStyle w:val="Compact"/>
                    <w:jc w:val="center"/>
                  </w:pPr>
                  <w:r>
                    <w:t xml:space="preserve">Leached Protein A</w:t>
                  </w:r>
                </w:p>
              </w:tc>
              <w:tc>
                <w:tcPr/>
                <w:p>
                  <w:pPr>
                    <w:pStyle w:val="Compact"/>
                    <w:jc w:val="center"/>
                  </w:pPr>
                  <w:r>
                    <w:t xml:space="preserve">AMV-3016</w:t>
                  </w:r>
                </w:p>
              </w:tc>
              <w:tc>
                <w:tcPr/>
                <w:p>
                  <w:pPr>
                    <w:pStyle w:val="Compact"/>
                    <w:jc w:val="center"/>
                  </w:pPr>
                  <w:r>
                    <w:t xml:space="preserve">ppm</w:t>
                  </w:r>
                </w:p>
              </w:tc>
              <w:tc>
                <w:tcPr/>
                <w:p>
                  <w:pPr>
                    <w:pStyle w:val="Compact"/>
                    <w:jc w:val="center"/>
                  </w:pPr>
                  <w:r>
                    <w:t xml:space="preserve">Response of both designs, univariate study</w:t>
                  </w:r>
                </w:p>
              </w:tc>
            </w:tr>
            <w:tr>
              <w:tc>
                <w:tcPr/>
                <w:p>
                  <w:pPr>
                    <w:pStyle w:val="Compact"/>
                    <w:jc w:val="center"/>
                  </w:pPr>
                  <w:r>
                    <w:t xml:space="preserve">UV absorbance at 280 nm</w:t>
                  </w:r>
                </w:p>
              </w:tc>
              <w:tc>
                <w:tcPr/>
                <w:p>
                  <w:pPr>
                    <w:pStyle w:val="Compact"/>
                    <w:jc w:val="center"/>
                  </w:pPr>
                  <w:r>
                    <w:t xml:space="preserve">Protein concentration</w:t>
                  </w:r>
                </w:p>
              </w:tc>
              <w:tc>
                <w:tcPr/>
                <w:p>
                  <w:pPr>
                    <w:pStyle w:val="Compact"/>
                    <w:jc w:val="center"/>
                  </w:pPr>
                  <w:r>
                    <w:t xml:space="preserve">AMV-3019</w:t>
                  </w:r>
                </w:p>
              </w:tc>
              <w:tc>
                <w:tcPr/>
                <w:p>
                  <w:pPr>
                    <w:pStyle w:val="Compact"/>
                    <w:jc w:val="center"/>
                  </w:pPr>
                  <w:r>
                    <w:t xml:space="preserve">step yield, %</w:t>
                  </w:r>
                </w:p>
              </w:tc>
              <w:tc>
                <w:tcPr/>
                <w:p>
                  <w:pPr>
                    <w:pStyle w:val="Compact"/>
                    <w:jc w:val="center"/>
                  </w:pPr>
                  <w:r>
                    <w:t xml:space="preserve">Response of both designs, univariate study</w:t>
                  </w:r>
                </w:p>
              </w:tc>
            </w:tr>
            <w:tr>
              <w:tc>
                <w:tcPr/>
                <w:p>
                  <w:pPr>
                    <w:pStyle w:val="Compact"/>
                    <w:jc w:val="center"/>
                  </w:pPr>
                  <w:r>
                    <w:t xml:space="preserve">Non-reduced CE-SDS</w:t>
                  </w:r>
                </w:p>
              </w:tc>
              <w:tc>
                <w:tcPr/>
                <w:p>
                  <w:pPr>
                    <w:pStyle w:val="Compact"/>
                    <w:jc w:val="center"/>
                  </w:pPr>
                  <w:r>
                    <w:t xml:space="preserve">Fragments (LMW)</w:t>
                  </w:r>
                </w:p>
              </w:tc>
              <w:tc>
                <w:tcPr/>
                <w:p>
                  <w:pPr>
                    <w:pStyle w:val="Compact"/>
                    <w:jc w:val="center"/>
                  </w:pPr>
                  <w:r>
                    <w:t xml:space="preserve">AMV-3020</w:t>
                  </w:r>
                </w:p>
              </w:tc>
              <w:tc>
                <w:tcPr/>
                <w:p>
                  <w:pPr>
                    <w:pStyle w:val="Compact"/>
                    <w:jc w:val="center"/>
                  </w:pPr>
                  <w:r>
                    <w:t xml:space="preserve">% of total</w:t>
                  </w:r>
                </w:p>
              </w:tc>
              <w:tc>
                <w:tcPr/>
                <w:p>
                  <w:pPr>
                    <w:pStyle w:val="Compact"/>
                    <w:jc w:val="center"/>
                  </w:pPr>
                  <w:r>
                    <w:t xml:space="preserve">Response of the response-surface design, hold study</w:t>
                  </w:r>
                </w:p>
              </w:tc>
            </w:tr>
            <w:tr>
              <w:tc>
                <w:tcPr/>
                <w:p>
                  <w:pPr>
                    <w:pStyle w:val="Compact"/>
                    <w:jc w:val="center"/>
                  </w:pPr>
                  <w:r>
                    <w:t xml:space="preserve">SEC-HPLC</w:t>
                  </w:r>
                </w:p>
              </w:tc>
              <w:tc>
                <w:tcPr/>
                <w:p>
                  <w:pPr>
                    <w:pStyle w:val="Compact"/>
                    <w:jc w:val="center"/>
                  </w:pPr>
                  <w:r>
                    <w:t xml:space="preserve">Fragments (LMW)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Information only</w:t>
                  </w:r>
                </w:p>
              </w:tc>
            </w:tr>
            <w:tr>
              <w:tc>
                <w:tcPr/>
                <w:p>
                  <w:pPr>
                    <w:pStyle w:val="Compact"/>
                    <w:jc w:val="center"/>
                  </w:pPr>
                  <w:r>
                    <w:t xml:space="preserve">SEC-HPLC</w:t>
                  </w:r>
                </w:p>
              </w:tc>
              <w:tc>
                <w:tcPr/>
                <w:p>
                  <w:pPr>
                    <w:pStyle w:val="Compact"/>
                    <w:jc w:val="center"/>
                  </w:pPr>
                  <w:r>
                    <w:t xml:space="preserve">Aggregate (HMW)</w:t>
                  </w:r>
                </w:p>
              </w:tc>
              <w:tc>
                <w:tcPr/>
                <w:p>
                  <w:pPr>
                    <w:pStyle w:val="Compact"/>
                    <w:jc w:val="center"/>
                  </w:pPr>
                  <w:r>
                    <w:t xml:space="preserve">AMV-3011</w:t>
                  </w:r>
                </w:p>
              </w:tc>
              <w:tc>
                <w:tcPr/>
                <w:p>
                  <w:pPr>
                    <w:pStyle w:val="Compact"/>
                    <w:jc w:val="center"/>
                  </w:pPr>
                  <w:r>
                    <w:t xml:space="preserve">% of total</w:t>
                  </w:r>
                </w:p>
              </w:tc>
              <w:tc>
                <w:tcPr/>
                <w:p>
                  <w:pPr>
                    <w:pStyle w:val="Compact"/>
                    <w:jc w:val="center"/>
                  </w:pPr>
                  <w:r>
                    <w:t xml:space="preserve">Hold study, information</w:t>
                  </w:r>
                </w:p>
              </w:tc>
            </w:tr>
            <w:tr>
              <w:tc>
                <w:tcPr/>
                <w:p>
                  <w:pPr>
                    <w:pStyle w:val="Compact"/>
                    <w:jc w:val="center"/>
                  </w:pPr>
                  <w:r>
                    <w:t xml:space="preserve">icIEF</w:t>
                  </w:r>
                </w:p>
              </w:tc>
              <w:tc>
                <w:tcPr/>
                <w:p>
                  <w:pPr>
                    <w:pStyle w:val="Compact"/>
                    <w:jc w:val="center"/>
                  </w:pPr>
                  <w:r>
                    <w:t xml:space="preserve">Acidic variants</w:t>
                  </w:r>
                </w:p>
              </w:tc>
              <w:tc>
                <w:tcPr/>
                <w:p>
                  <w:pPr>
                    <w:pStyle w:val="Compact"/>
                    <w:jc w:val="center"/>
                  </w:pPr>
                  <w:r>
                    <w:t xml:space="preserve">AMV-3013</w:t>
                  </w:r>
                </w:p>
              </w:tc>
              <w:tc>
                <w:tcPr/>
                <w:p>
                  <w:pPr>
                    <w:pStyle w:val="Compact"/>
                    <w:jc w:val="center"/>
                  </w:pPr>
                  <w:r>
                    <w:t xml:space="preserve">% of total</w:t>
                  </w:r>
                </w:p>
              </w:tc>
              <w:tc>
                <w:tcPr/>
                <w:p>
                  <w:pPr>
                    <w:pStyle w:val="Compact"/>
                    <w:jc w:val="center"/>
                  </w:pPr>
                  <w:r>
                    <w:t xml:space="preserve">Hold study</w:t>
                  </w:r>
                </w:p>
              </w:tc>
            </w:tr>
            <w:tr>
              <w:tc>
                <w:tcPr/>
                <w:p>
                  <w:pPr>
                    <w:pStyle w:val="Compact"/>
                    <w:jc w:val="center"/>
                  </w:pPr>
                  <w:r>
                    <w:t xml:space="preserve">qPCR</w:t>
                  </w:r>
                </w:p>
              </w:tc>
              <w:tc>
                <w:tcPr/>
                <w:p>
                  <w:pPr>
                    <w:pStyle w:val="Compact"/>
                    <w:jc w:val="center"/>
                  </w:pPr>
                  <w:r>
                    <w:t xml:space="preserve">Residual DNA</w:t>
                  </w:r>
                </w:p>
              </w:tc>
              <w:tc>
                <w:tcPr/>
                <w:p>
                  <w:pPr>
                    <w:pStyle w:val="Compact"/>
                    <w:jc w:val="center"/>
                  </w:pPr>
                  <w:r>
                    <w:t xml:space="preserve">AMV-3014</w:t>
                  </w:r>
                </w:p>
              </w:tc>
              <w:tc>
                <w:tcPr/>
                <w:p>
                  <w:pPr>
                    <w:pStyle w:val="Compact"/>
                    <w:jc w:val="center"/>
                  </w:pPr>
                  <w:r>
                    <w:t xml:space="preserve">per mg antibody</w:t>
                  </w:r>
                </w:p>
              </w:tc>
              <w:tc>
                <w:tcPr/>
                <w:p>
                  <w:pPr>
                    <w:pStyle w:val="Compact"/>
                    <w:jc w:val="center"/>
                  </w:pPr>
                  <w:r>
                    <w:t xml:space="preserve">Information only</w:t>
                  </w:r>
                </w:p>
              </w:tc>
            </w:tr>
          </w:tbl>
          <w:bookmarkEnd w:id="121"/>
          <w:p/>
        </w:tc>
      </w:tr>
    </w:tbl>
    <w:bookmarkEnd w:id="122"/>
    <w:bookmarkEnd w:id="123"/>
    <w:bookmarkStart w:id="130" w:name="references"/>
    <w:p>
      <w:pPr>
        <w:pStyle w:val="Heading1"/>
      </w:pPr>
      <w:r>
        <w:t xml:space="preserve">References</w:t>
      </w:r>
    </w:p>
    <w:bookmarkStart w:id="129" w:name="refs"/>
    <w:bookmarkStart w:id="12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24"/>
    <w:bookmarkStart w:id="125"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125"/>
    <w:bookmarkStart w:id="126" w:name="ref-ichq11"/>
    <w:p>
      <w:pPr>
        <w:pStyle w:val="Bibliography"/>
      </w:pPr>
      <w:r>
        <w:t xml:space="preserve">———. 2012.</w:t>
      </w:r>
      <w:r>
        <w:t xml:space="preserve"> </w:t>
      </w:r>
      <w:r>
        <w:t xml:space="preserve">“ICH Q11: Development and Manufacture of Drug Substances.”</w:t>
      </w:r>
      <w:r>
        <w:t xml:space="preserve"> </w:t>
      </w:r>
      <w:r>
        <w:t xml:space="preserve">ICH.</w:t>
      </w:r>
    </w:p>
    <w:bookmarkEnd w:id="126"/>
    <w:bookmarkStart w:id="127" w:name="ref-ichq9"/>
    <w:p>
      <w:pPr>
        <w:pStyle w:val="Bibliography"/>
      </w:pPr>
      <w:r>
        <w:t xml:space="preserve">———. 2023.</w:t>
      </w:r>
      <w:r>
        <w:t xml:space="preserve"> </w:t>
      </w:r>
      <w:r>
        <w:t xml:space="preserve">“ICH Q9(R1): Quality Risk Management.”</w:t>
      </w:r>
      <w:r>
        <w:t xml:space="preserve"> </w:t>
      </w:r>
      <w:r>
        <w:t xml:space="preserve">ICH.</w:t>
      </w:r>
    </w:p>
    <w:bookmarkEnd w:id="127"/>
    <w:bookmarkStart w:id="128"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28"/>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2026-10-08T11:08:33Z</dcterms:created>
  <dcterms:modified xsi:type="dcterms:W3CDTF">2026-10-08T11:08:33Z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Protein A Chromatography (Step 5) — PCR-005</vt:lpwstr>
  </property>
  <property fmtid="{D5CDD505-2E9C-101B-9397-08002B2CF9AE}" pid="15" name="tbl-cap-location">
    <vt:lpwstr>top</vt:lpwstr>
  </property>
  <property fmtid="{D5CDD505-2E9C-101B-9397-08002B2CF9AE}" pid="16" name="toc-title">
    <vt:lpwstr>Table of contents</vt:lpwstr>
  </property>
</Properties>
</file>