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Ultrafiltration / Diafiltration (Step 10) — PCP-010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accurate, and complete,</w:t>
      </w:r>
      <w:r>
        <w:t xml:space="preserve"> </w:t>
      </w:r>
      <w:r>
        <w:t xml:space="preserve">consistent, enduring, available; AMV, analytical method validation; CEX, cation</w:t>
      </w:r>
      <w:r>
        <w:t xml:space="preserve"> </w:t>
      </w:r>
      <w:r>
        <w:t xml:space="preserve">exchange chromatography; CQA, critical quality attribute; DS, drug substance; DV,</w:t>
      </w:r>
      <w:r>
        <w:t xml:space="preserve"> </w:t>
      </w:r>
      <w:r>
        <w:t xml:space="preserve">diavolume; HMW, high molecular weight species; icIEF, imaged capillary isoelectric</w:t>
      </w:r>
      <w:r>
        <w:t xml:space="preserve"> </w:t>
      </w:r>
      <w:r>
        <w:t xml:space="preserve">focusing; KPP, key process parameter; MSAT, Manufacturing Science and Technology; NOR,</w:t>
      </w:r>
      <w:r>
        <w:t xml:space="preserve"> </w:t>
      </w:r>
      <w:r>
        <w:t xml:space="preserve">normal operating range; PAR, proven acceptable range; PCP, Process Characterization</w:t>
      </w:r>
      <w:r>
        <w:t xml:space="preserve"> </w:t>
      </w:r>
      <w:r>
        <w:t xml:space="preserve">Plan; PCR, Process Characterization Report; SEC, size exclusion chromatography; SOP,</w:t>
      </w:r>
      <w:r>
        <w:t xml:space="preserve"> </w:t>
      </w:r>
      <w:r>
        <w:t xml:space="preserve">standard operating procedure.</w:t>
      </w:r>
    </w:p>
    <w:p>
      <w:r>
        <w:br w:type="page"/>
      </w:r>
    </w:p>
    <w:bookmarkEnd w:id="11"/>
    <w:bookmarkStart w:id="12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study for the ultrafiltration and</w:t>
      </w:r>
      <w:r>
        <w:t xml:space="preserve"> </w:t>
      </w:r>
      <w:r>
        <w:t xml:space="preserve">diafiltration step of the A-Mab drug substance process. The step concentrates the</w:t>
      </w:r>
      <w:r>
        <w:t xml:space="preserve"> </w:t>
      </w:r>
      <w:r>
        <w:t xml:space="preserve">virus-filtered pool, exchanges it into the formulation buffer, and delivers the drug</w:t>
      </w:r>
      <w:r>
        <w:t xml:space="preserve"> </w:t>
      </w:r>
      <w:r>
        <w:t xml:space="preserve">substance at its target concentration of 75 g/L. It</w:t>
      </w:r>
      <w:r>
        <w:t xml:space="preserve"> </w:t>
      </w:r>
      <w:r>
        <w:t xml:space="preserve">is the last unit operation of the drug substance process, and the material it delivers</w:t>
      </w:r>
      <w:r>
        <w:t xml:space="preserve"> </w:t>
      </w:r>
      <w:r>
        <w:t xml:space="preserve">is the material that is filled and released.</w:t>
      </w:r>
    </w:p>
    <w:p>
      <w:pPr>
        <w:pStyle w:val="BodyText"/>
      </w:pPr>
      <w:r>
        <w:t xml:space="preserve">The step forms no critical quality attribute, and no clearance claim is made for it.</w:t>
      </w:r>
      <w:r>
        <w:t xml:space="preserve"> </w:t>
      </w:r>
      <w:r>
        <w:t xml:space="preserve">Its parameters are key process parameters (KPP), and the purpose of characterizing them</w:t>
      </w:r>
      <w:r>
        <w:t xml:space="preserve"> </w:t>
      </w:r>
      <w:r>
        <w:t xml:space="preserve">is to bound process performance and batch consistency and not to control a quality</w:t>
      </w:r>
      <w:r>
        <w:t xml:space="preserve"> </w:t>
      </w:r>
      <w:r>
        <w:t xml:space="preserve">attribute. That changes what this study has to establish, because everything it has to</w:t>
      </w:r>
      <w:r>
        <w:t xml:space="preserve"> </w:t>
      </w:r>
      <w:r>
        <w:t xml:space="preserve">establish is a property of the operation itself. Buffer exchange must be complete, the</w:t>
      </w:r>
      <w:r>
        <w:t xml:space="preserve"> </w:t>
      </w:r>
      <w:r>
        <w:t xml:space="preserve">target concentration must be met, the product mass must be accounted for, and the</w:t>
      </w:r>
      <w:r>
        <w:t xml:space="preserve"> </w:t>
      </w:r>
      <w:r>
        <w:t xml:space="preserve">product must leave the step in the state in which it entered.</w:t>
      </w:r>
    </w:p>
    <w:p>
      <w:pPr>
        <w:pStyle w:val="BodyText"/>
      </w:pPr>
      <w:r>
        <w:t xml:space="preserve">The plan covers the scale-down system, the 3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the process performance responses associated with them, and the</w:t>
      </w:r>
      <w:r>
        <w:t xml:space="preserve"> </w:t>
      </w:r>
      <w:r>
        <w:t xml:space="preserve">confirmatory monitoring of the two drug substance attributes (aggregate content and</w:t>
      </w:r>
      <w:r>
        <w:t xml:space="preserve"> </w:t>
      </w:r>
      <w:r>
        <w:t xml:space="preserve">charge variants) that a concentration operation could plausibly affect. The study will</w:t>
      </w:r>
      <w:r>
        <w:t xml:space="preserve"> </w:t>
      </w:r>
      <w:r>
        <w:t xml:space="preserve">be executed at Novacyte Biologics on a</w:t>
      </w:r>
      <w:r>
        <w:t xml:space="preserve"> </w:t>
      </w:r>
      <w:r>
        <w:t xml:space="preserve">qualified scale-down model, under the operating procedure for the step (SOP-2013) and</w:t>
      </w:r>
      <w:r>
        <w:t xml:space="preserve"> </w:t>
      </w:r>
      <w:r>
        <w:t xml:space="preserve">the scale-down qualification procedure (SOP-1001), in support of the technology</w:t>
      </w:r>
      <w:r>
        <w:t xml:space="preserve"> </w:t>
      </w:r>
      <w:r>
        <w:t xml:space="preserve">transfer described in PTP-001.</w:t>
      </w:r>
    </w:p>
    <w:p>
      <w:pPr>
        <w:pStyle w:val="BodyText"/>
      </w:pPr>
      <w:r>
        <w:t xml:space="preserve">Formulation characterization is out of scope. The identity and composition of the</w:t>
      </w:r>
      <w:r>
        <w:t xml:space="preserve"> </w:t>
      </w:r>
      <w:r>
        <w:t xml:space="preserve">diafiltration buffer are set by the drug product development programme, and they are</w:t>
      </w:r>
      <w:r>
        <w:t xml:space="preserve"> </w:t>
      </w:r>
      <w:r>
        <w:t xml:space="preserve">controlled at this step by SOP-2013. Excipient levels, pH, viscosity and the stability</w:t>
      </w:r>
      <w:r>
        <w:t xml:space="preserve"> </w:t>
      </w:r>
      <w:r>
        <w:t xml:space="preserve">of the formulated drug substance are characterized and reported in the drug product</w:t>
      </w:r>
      <w:r>
        <w:t xml:space="preserve"> </w:t>
      </w:r>
      <w:r>
        <w:t xml:space="preserve">package, and this plan takes the formulation as given. Commercial-scale process</w:t>
      </w:r>
      <w:r>
        <w:t xml:space="preserve"> </w:t>
      </w:r>
      <w:r>
        <w:t xml:space="preserve">performance qualification is also out of scope, and the 5</w:t>
      </w:r>
      <w:r>
        <w:t xml:space="preserve"> </w:t>
      </w:r>
      <w:r>
        <w:t xml:space="preserve">qualification batches are planned separately under PTP-001.</w:t>
      </w:r>
    </w:p>
    <w:bookmarkEnd w:id="12"/>
    <w:bookmarkStart w:id="13" w:name="sec-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Qualify the scale-down ultrafiltration and diafiltration system against</w:t>
      </w:r>
      <w:r>
        <w:t xml:space="preserve"> </w:t>
      </w:r>
      <w:r>
        <w:t xml:space="preserve">commercial-scale performance, so that ranges established on it can be applied to the</w:t>
      </w:r>
      <w:r>
        <w:t xml:space="preserve"> </w:t>
      </w:r>
      <w:r>
        <w:t xml:space="preserve">commercial process.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on the process performance</w:t>
      </w:r>
      <w:r>
        <w:t xml:space="preserve"> </w:t>
      </w:r>
      <w:r>
        <w:t xml:space="preserve">responses (buffer exchange, final concentration, step yield and mass balance) across</w:t>
      </w:r>
      <w:r>
        <w:t xml:space="preserve"> </w:t>
      </w:r>
      <w:r>
        <w:t xml:space="preserve">the characterization ranges.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against the acceptance</w:t>
      </w:r>
      <w:r>
        <w:t xml:space="preserve"> </w:t>
      </w:r>
      <w:r>
        <w:t xml:space="preserve">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that aggregate content and charge variant distribution are unchanged across</w:t>
      </w:r>
      <w:r>
        <w:t xml:space="preserve"> </w:t>
      </w:r>
      <w:r>
        <w:t xml:space="preserve">the step, within the precision of the methods used to measure them (AMV-3011 and</w:t>
      </w:r>
      <w:r>
        <w:t xml:space="preserve"> </w:t>
      </w:r>
      <w:r>
        <w:t xml:space="preserve">AMV-3013).</w:t>
      </w:r>
    </w:p>
    <w:p>
      <w:pPr>
        <w:pStyle w:val="Compact"/>
        <w:numPr>
          <w:ilvl w:val="0"/>
          <w:numId w:val="1001"/>
        </w:numPr>
      </w:pPr>
      <w:r>
        <w:t xml:space="preserve">Confirm the key process parameter classification of all 3</w:t>
      </w:r>
      <w:r>
        <w:t xml:space="preserve"> </w:t>
      </w:r>
      <w:r>
        <w:t xml:space="preserve">parameters, and provide the operating ranges that the control strategy will carry</w:t>
      </w:r>
      <w:r>
        <w:t xml:space="preserve"> </w:t>
      </w:r>
      <w:r>
        <w:t xml:space="preserve">into Stage 2.</w:t>
      </w:r>
    </w:p>
    <w:bookmarkEnd w:id="13"/>
    <w:bookmarkStart w:id="16" w:name="sec-related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inside the characterization package summarized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Its</w:t>
      </w:r>
      <w:r>
        <w:t xml:space="preserve"> </w:t>
      </w:r>
      <w:r>
        <w:t xml:space="preserve">parents define the transfer scope (PTP-001), the risk basis for the study scope</w:t>
      </w:r>
      <w:r>
        <w:t xml:space="preserve"> </w:t>
      </w:r>
      <w:r>
        <w:t xml:space="preserve">(RA-001) and the campaign-level approach (PCMP-001). The executed study will be</w:t>
      </w:r>
      <w:r>
        <w:t xml:space="preserve"> </w:t>
      </w:r>
      <w:r>
        <w:t xml:space="preserve">reported in PCR-010 and will roll up into PCMR-001.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procedures and validated analytical methods that govern the study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All numbers in that table are placeholders for a synthetic</w:t>
      </w:r>
      <w:r>
        <w:t xml:space="preserve"> </w:t>
      </w:r>
      <w:r>
        <w:t xml:space="preserve">document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sec-prior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operated as tangential flow filtration in three phases. The virus-filtered</w:t>
      </w:r>
      <w:r>
        <w:t xml:space="preserve"> </w:t>
      </w:r>
      <w:r>
        <w:t xml:space="preserve">pool is first concentrated against a retentive membrane, then diafiltered at constant</w:t>
      </w:r>
      <w:r>
        <w:t xml:space="preserve"> </w:t>
      </w:r>
      <w:r>
        <w:t xml:space="preserve">volume against the formulation buffer, and finally concentrated to the target before</w:t>
      </w:r>
      <w:r>
        <w:t xml:space="preserve"> </w:t>
      </w:r>
      <w:r>
        <w:t xml:space="preserve">the system hold-up volume is recovered by a buffer flush. Product is retained by the</w:t>
      </w:r>
      <w:r>
        <w:t xml:space="preserve"> </w:t>
      </w:r>
      <w:r>
        <w:t xml:space="preserve">membrane throughout, and buffer species pass into the permeate.</w:t>
      </w:r>
    </w:p>
    <w:p>
      <w:pPr>
        <w:pStyle w:val="BodyText"/>
      </w:pPr>
      <w:r>
        <w:t xml:space="preserve">Retention is by size, and for an antibody it is close to quantitative. Monomer,</w:t>
      </w:r>
      <w:r>
        <w:t xml:space="preserve"> </w:t>
      </w:r>
      <w:r>
        <w:t xml:space="preserve">aggregate, charge variants and glycoforms are retained together, so the step</w:t>
      </w:r>
      <w:r>
        <w:t xml:space="preserve"> </w:t>
      </w:r>
      <w:r>
        <w:t xml:space="preserve">concentrates the product without fractionating it. This is the mechanistic reason that</w:t>
      </w:r>
      <w:r>
        <w:t xml:space="preserve"> </w:t>
      </w:r>
      <w:r>
        <w:t xml:space="preserve">the step forms and clears no quality attribute, and it is why the parameters of the</w:t>
      </w:r>
      <w:r>
        <w:t xml:space="preserve"> </w:t>
      </w:r>
      <w:r>
        <w:t xml:space="preserve">step are classified for process performance.</w:t>
      </w:r>
    </w:p>
    <w:p>
      <w:pPr>
        <w:pStyle w:val="BodyText"/>
      </w:pPr>
      <w:r>
        <w:t xml:space="preserve">Some low molecular weight species pass into the permeate. No impurity clearance is</w:t>
      </w:r>
      <w:r>
        <w:t xml:space="preserve"> </w:t>
      </w:r>
      <w:r>
        <w:t xml:space="preserve">claimed for this step, because the clearance that matters is delivered upstream and is</w:t>
      </w:r>
      <w:r>
        <w:t xml:space="preserve"> </w:t>
      </w:r>
      <w:r>
        <w:t xml:space="preserve">credited there. Host cell protein, residual DNA and leached Protein A are cleared by</w:t>
      </w:r>
      <w:r>
        <w:t xml:space="preserve"> </w:t>
      </w:r>
      <w:r>
        <w:t xml:space="preserve">the chromatographic steps and are reported in PCR-005, PCR-007 and PCR-008. No viral</w:t>
      </w:r>
      <w:r>
        <w:t xml:space="preserve"> </w:t>
      </w:r>
      <w:r>
        <w:t xml:space="preserve">clearance claim is made for this step either. The modular clearance claim rests on the</w:t>
      </w:r>
      <w:r>
        <w:t xml:space="preserve"> </w:t>
      </w:r>
      <w:r>
        <w:t xml:space="preserve">low-pH hold, the anion exchange step and the small virus retentive filtration step</w:t>
      </w:r>
      <w:r>
        <w:t xml:space="preserve"> </w:t>
      </w:r>
      <w:r>
        <w:t xml:space="preserve">(PCR-006, PCR-008 and PCR-009), and it is consolidated in PCMR-001</w:t>
      </w:r>
      <w:r>
        <w:t xml:space="preserve"> </w:t>
      </w:r>
      <w:r>
        <w:t xml:space="preserve">(International Council for Harmonisation 2023)</w:t>
      </w:r>
      <w:r>
        <w:t xml:space="preserve">.</w:t>
      </w:r>
    </w:p>
    <w:p>
      <w:pPr>
        <w:pStyle w:val="BodyText"/>
      </w:pPr>
      <w:r>
        <w:t xml:space="preserve">Ultrafiltration and diafiltration is a platform operation at Novacyte Biologics. The</w:t>
      </w:r>
      <w:r>
        <w:t xml:space="preserve"> </w:t>
      </w:r>
      <w:r>
        <w:t xml:space="preserve">same membrane chemistry, the same crossflow and pressure window, and the same</w:t>
      </w:r>
      <w:r>
        <w:t xml:space="preserve"> </w:t>
      </w:r>
      <w:r>
        <w:t xml:space="preserve">diafiltration strategy have been used for three earlier humanized IgG1 antibodies</w:t>
      </w:r>
      <w:r>
        <w:t xml:space="preserve"> </w:t>
      </w:r>
      <w:r>
        <w:t xml:space="preserve">(X-Mab, Y-Mab and Z-Mab) and throughout A-Mab clinical manufacture, and the membrane</w:t>
      </w:r>
      <w:r>
        <w:t xml:space="preserve"> </w:t>
      </w:r>
      <w:r>
        <w:t xml:space="preserve">retained all of those products quantitatively, so no product-specific difference in</w:t>
      </w:r>
      <w:r>
        <w:t xml:space="preserve"> </w:t>
      </w:r>
      <w:r>
        <w:t xml:space="preserve">retention is expected for A-Mab. This prior knowledge is why the step is characterized</w:t>
      </w:r>
      <w:r>
        <w:t xml:space="preserve"> </w:t>
      </w:r>
      <w:r>
        <w:t xml:space="preserve">univariately and at a smaller scale of effort than the chromatographic steps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Three mechanisms are known from that platform experience to matter, and the study is</w:t>
      </w:r>
      <w:r>
        <w:t xml:space="preserve"> </w:t>
      </w:r>
      <w:r>
        <w:t xml:space="preserve">designed around them. Incomplete buffer exchange at a low number of diavolumes leaves</w:t>
      </w:r>
      <w:r>
        <w:t xml:space="preserve"> </w:t>
      </w:r>
      <w:r>
        <w:t xml:space="preserve">residual feed buffer in the drug substance, which shifts the conductivity and osmolality</w:t>
      </w:r>
      <w:r>
        <w:t xml:space="preserve"> </w:t>
      </w:r>
      <w:r>
        <w:t xml:space="preserve">of the final pool away from the values of the formulation buffer and is seen in process</w:t>
      </w:r>
      <w:r>
        <w:t xml:space="preserve"> </w:t>
      </w:r>
      <w:r>
        <w:t xml:space="preserve">before the batch is filtered into its container. High transmembrane pressure raises the</w:t>
      </w:r>
      <w:r>
        <w:t xml:space="preserve"> </w:t>
      </w:r>
      <w:r>
        <w:t xml:space="preserve">protein concentration at the membrane surface, which is the condition under which</w:t>
      </w:r>
      <w:r>
        <w:t xml:space="preserve"> </w:t>
      </w:r>
      <w:r>
        <w:t xml:space="preserve">aggregation is most likely during a concentration operation (the size-variant assay</w:t>
      </w:r>
      <w:r>
        <w:t xml:space="preserve"> </w:t>
      </w:r>
      <w:r>
        <w:t xml:space="preserve">AMV-3011 is the readout). A high final concentration raises viscosity, lengthens the</w:t>
      </w:r>
      <w:r>
        <w:t xml:space="preserve"> </w:t>
      </w:r>
      <w:r>
        <w:t xml:space="preserve">final concentration phase, and increases both the shear history of the product and the</w:t>
      </w:r>
      <w:r>
        <w:t xml:space="preserve"> </w:t>
      </w:r>
      <w:r>
        <w:t xml:space="preserve">fraction of the batch retained in the system. Each of these acts through hydraulics and</w:t>
      </w:r>
      <w:r>
        <w:t xml:space="preserve"> </w:t>
      </w:r>
      <w:r>
        <w:t xml:space="preserve">mass balance, and none of them acts through the chemistry that forms a quality</w:t>
      </w:r>
      <w:r>
        <w:t xml:space="preserve"> </w:t>
      </w:r>
      <w:r>
        <w:t xml:space="preserve">attribute.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No drug substance attribute is formed or cleared at this step, so the step is assigned</w:t>
      </w:r>
      <w:r>
        <w:t xml:space="preserve"> </w:t>
      </w:r>
      <w:r>
        <w:t xml:space="preserve">none in the quality attribute register. Two attributes are nevertheless monitored</w:t>
      </w:r>
      <w:r>
        <w:t xml:space="preserve"> </w:t>
      </w:r>
      <w:r>
        <w:t xml:space="preserve">across it, and they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Aggregate content is monitored because</w:t>
      </w:r>
      <w:r>
        <w:t xml:space="preserve"> </w:t>
      </w:r>
      <w:r>
        <w:t xml:space="preserve">concentration and shear are the plausible routes by which a size variant could be</w:t>
      </w:r>
      <w:r>
        <w:t xml:space="preserve"> </w:t>
      </w:r>
      <w:r>
        <w:t xml:space="preserve">generated this late in the process. Charge variants are monitored because the product</w:t>
      </w:r>
      <w:r>
        <w:t xml:space="preserve"> </w:t>
      </w:r>
      <w:r>
        <w:t xml:space="preserve">is held in the formulation buffer at the end of the step, and deamidation is a pH-</w:t>
      </w:r>
      <w:r>
        <w:t xml:space="preserve"> </w:t>
      </w:r>
      <w:r>
        <w:t xml:space="preserve">and time-dependent reaction.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 substance attributes monitored across the step. Neither is set nor cleared here; both are measured to confirm that the step does not change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Both attributes are set upstream. Aggregate is formed in the production bioreactor</w:t>
      </w:r>
      <w:r>
        <w:t xml:space="preserve"> </w:t>
      </w:r>
      <w:r>
        <w:t xml:space="preserve">(PCR-003) and reduced principally by cation exchange (PCR-007), and it carries high</w:t>
      </w:r>
      <w:r>
        <w:t xml:space="preserve"> </w:t>
      </w:r>
      <w:r>
        <w:t xml:space="preserve">criticality. Acidic charge variants are also formed upstream and are of very low</w:t>
      </w:r>
      <w:r>
        <w:t xml:space="preserve"> </w:t>
      </w:r>
      <w:r>
        <w:t xml:space="preserve">criticality.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the drug substance criteria that</w:t>
      </w:r>
      <w:r>
        <w:t xml:space="preserve"> </w:t>
      </w:r>
      <w:r>
        <w:t xml:space="preserve">the final pool has to meet in any case, so the study measures a change across the step</w:t>
      </w:r>
      <w:r>
        <w:t xml:space="preserve"> </w:t>
      </w:r>
      <w:r>
        <w:t xml:space="preserve">against them and does not set a limit of its own.</w:t>
      </w:r>
    </w:p>
    <w:p>
      <w:pPr>
        <w:pStyle w:val="BodyText"/>
      </w:pPr>
      <w:r>
        <w:t xml:space="preserve">Glycosylation, host cell protein, residual DNA, leached Protein A and viral clearance</w:t>
      </w:r>
      <w:r>
        <w:t xml:space="preserve"> </w:t>
      </w:r>
      <w:r>
        <w:t xml:space="preserve">are not measured across this step, because a size-based concentration and buffer</w:t>
      </w:r>
      <w:r>
        <w:t xml:space="preserve"> </w:t>
      </w:r>
      <w:r>
        <w:t xml:space="preserve">exchange operation has no mechanism by which it could alter them. Each of them is</w:t>
      </w:r>
      <w:r>
        <w:t xml:space="preserve"> </w:t>
      </w:r>
      <w:r>
        <w:t xml:space="preserve">already characterized in the report of the step that governs it (PCR-003 for the</w:t>
      </w:r>
      <w:r>
        <w:t xml:space="preserve"> </w:t>
      </w:r>
      <w:r>
        <w:t xml:space="preserve">glycans, PCR-005 to PCR-009 for the impurities and the viral clearance).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before the study was designed and assigned</w:t>
      </w:r>
      <w:r>
        <w:t xml:space="preserve"> </w:t>
      </w:r>
      <w:r>
        <w:t xml:space="preserve">all of them to univariate assessment. The ranking is driven by its severity axis.</w:t>
      </w:r>
      <w:r>
        <w:t xml:space="preserve"> </w:t>
      </w:r>
      <w:r>
        <w:t xml:space="preserve">Because no critical quality attribute is at risk here, no parameter of the step scores</w:t>
      </w:r>
      <w:r>
        <w:t xml:space="preserve"> </w:t>
      </w:r>
      <w:r>
        <w:t xml:space="preserve">high enough to require a multivariate design, and the interaction ranking that would</w:t>
      </w:r>
      <w:r>
        <w:t xml:space="preserve"> </w:t>
      </w:r>
      <w:r>
        <w:t xml:space="preserve">otherwise justify one is low as well. The risk these parameters carry is to process</w:t>
      </w:r>
      <w:r>
        <w:t xml:space="preserve"> </w:t>
      </w:r>
      <w:r>
        <w:t xml:space="preserve">performance and to batch-to-batch consistency, which is what makes them key process</w:t>
      </w:r>
      <w:r>
        <w:t xml:space="preserve"> </w:t>
      </w:r>
      <w:r>
        <w:t xml:space="preserve">parameters and not critical process parameters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wider than the normal operating ranges,</w:t>
      </w:r>
      <w:r>
        <w:t xml:space="preserve"> </w:t>
      </w:r>
      <w:r>
        <w:t xml:space="preserve">so that the study bounds excursions as well as routine operation. The diavolume and</w:t>
      </w:r>
      <w:r>
        <w:t xml:space="preserve"> </w:t>
      </w:r>
      <w:r>
        <w:t xml:space="preserve">pressure ranges extend above the normal operating range and share its lower edge, and</w:t>
      </w:r>
      <w:r>
        <w:t xml:space="preserve"> </w:t>
      </w:r>
      <w:r>
        <w:t xml:space="preserve">the final concentration range extends beyond the normal operating range in both</w:t>
      </w:r>
      <w:r>
        <w:t xml:space="preserve"> </w:t>
      </w:r>
      <w:r>
        <w:t xml:space="preserve">directions. The low edge of the diavolume range is the edge at which buffer exchange</w:t>
      </w:r>
      <w:r>
        <w:t xml:space="preserve"> </w:t>
      </w:r>
      <w:r>
        <w:t xml:space="preserve">becomes measurably incomplete, and it is included for that reason. The pressure range</w:t>
      </w:r>
      <w:r>
        <w:t xml:space="preserve"> </w:t>
      </w:r>
      <w:r>
        <w:t xml:space="preserve">is extended upward because that is the direction in which concentration polarization</w:t>
      </w:r>
      <w:r>
        <w:t xml:space="preserve"> </w:t>
      </w:r>
      <w:r>
        <w:t xml:space="preserve">and aggregation risk increase, and the final concentration range is challenged on both</w:t>
      </w:r>
      <w:r>
        <w:t xml:space="preserve"> </w:t>
      </w:r>
      <w:r>
        <w:t xml:space="preserve">sides, because its low edge carries a fill volume consequence and its high edge carries</w:t>
      </w:r>
      <w:r>
        <w:t xml:space="preserve"> </w:t>
      </w:r>
      <w:r>
        <w:t xml:space="preserve">the viscosity and aggregation consequence.</w:t>
      </w:r>
    </w:p>
    <w:bookmarkEnd w:id="20"/>
    <w:bookmarkEnd w:id="21"/>
    <w:bookmarkStart w:id="27" w:name="sec-mm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run on a scale-down tangential flow filtration system that reproduces</w:t>
      </w:r>
      <w:r>
        <w:t xml:space="preserve"> </w:t>
      </w:r>
      <w:r>
        <w:t xml:space="preserve">the commercial step on the variables that govern its performance. The model uses the</w:t>
      </w:r>
      <w:r>
        <w:t xml:space="preserve"> </w:t>
      </w:r>
      <w:r>
        <w:t xml:space="preserve">same membrane chemistry and channel geometry as the commercial cassettes, and it is</w:t>
      </w:r>
      <w:r>
        <w:t xml:space="preserve"> </w:t>
      </w:r>
      <w:r>
        <w:t xml:space="preserve">operated at the same membrane loading, the same crossflow per unit channel height, the</w:t>
      </w:r>
      <w:r>
        <w:t xml:space="preserve"> </w:t>
      </w:r>
      <w:r>
        <w:t xml:space="preserve">same transmembrane pressure and the same number of diavolumes. One scale-dependent</w:t>
      </w:r>
      <w:r>
        <w:t xml:space="preserve"> </w:t>
      </w:r>
      <w:r>
        <w:t xml:space="preserve">quantity cannot be matched. The ratio of system hold-up volume to batch volume is</w:t>
      </w:r>
      <w:r>
        <w:t xml:space="preserve"> </w:t>
      </w:r>
      <w:r>
        <w:t xml:space="preserve">larger at small scale, and its consequence for the study is stated in</w:t>
      </w:r>
      <w:r>
        <w:t xml:space="preserve"> </w:t>
      </w:r>
      <w:hyperlink w:anchor="sec-risks">
        <w:r>
          <w:rPr>
            <w:rStyle w:val="Hyperlink"/>
          </w:rPr>
          <w:t xml:space="preserve">Section 12</w:t>
        </w:r>
      </w:hyperlink>
      <w:r>
        <w:t xml:space="preserve">.</w:t>
      </w:r>
    </w:p>
    <w:p>
      <w:pPr>
        <w:pStyle w:val="BodyText"/>
      </w:pPr>
      <w:r>
        <w:t xml:space="preserve">Qualification will follow SOP-1001. The set-point condition will be run in</w:t>
      </w:r>
      <w:r>
        <w:t xml:space="preserve"> </w:t>
      </w:r>
      <w:r>
        <w:t xml:space="preserve">3 replicates, and the flux profile, the step yield, the final</w:t>
      </w:r>
      <w:r>
        <w:t xml:space="preserve"> </w:t>
      </w:r>
      <w:r>
        <w:t xml:space="preserve">concentration and the two monitored attributes will be compared with the corresponding</w:t>
      </w:r>
      <w:r>
        <w:t xml:space="preserve"> </w:t>
      </w:r>
      <w:r>
        <w:t xml:space="preserve">commercial-scale records. The model will be accepted as qualified when the scale-down</w:t>
      </w:r>
      <w:r>
        <w:t xml:space="preserve"> </w:t>
      </w:r>
      <w:r>
        <w:t xml:space="preserve">values agree with the commercial-scale values within the reproducibility band</w:t>
      </w:r>
      <w:r>
        <w:t xml:space="preserve"> </w:t>
      </w:r>
      <w:r>
        <w:t xml:space="preserve">established by those replicates, and when the flux profile has the same shape. The</w:t>
      </w:r>
      <w:r>
        <w:t xml:space="preserve"> </w:t>
      </w:r>
      <w:r>
        <w:t xml:space="preserve">qualification data will be reported in PCR-010 alongside the study results.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feed to the step is the filtrate of the small virus retentive filtration step</w:t>
      </w:r>
      <w:r>
        <w:t xml:space="preserve"> </w:t>
      </w:r>
      <w:r>
        <w:t xml:space="preserve">(Step 9, PCR-009). Every run will follow SOP-2013, with only the parameter under study</w:t>
      </w:r>
      <w:r>
        <w:t xml:space="preserve"> </w:t>
      </w:r>
      <w:r>
        <w:t xml:space="preserve">moved away from its set-point. The pool is concentrated to an intermediate</w:t>
      </w:r>
      <w:r>
        <w:t xml:space="preserve"> </w:t>
      </w:r>
      <w:r>
        <w:t xml:space="preserve">concentration, diafiltered at constant volume against the formulation buffer for the</w:t>
      </w:r>
      <w:r>
        <w:t xml:space="preserve"> </w:t>
      </w:r>
      <w:r>
        <w:t xml:space="preserve">number of diavolumes set for the run (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), and then concentrated to the final</w:t>
      </w:r>
      <w:r>
        <w:t xml:space="preserve"> </w:t>
      </w:r>
      <w:r>
        <w:t xml:space="preserve">target, after which the system is flushed with formulation buffer to recover the</w:t>
      </w:r>
      <w:r>
        <w:t xml:space="preserve"> </w:t>
      </w:r>
      <w:r>
        <w:t xml:space="preserve">hold-up volume. The recovered material is pooled with the retentate and filtered into</w:t>
      </w:r>
      <w:r>
        <w:t xml:space="preserve"> </w:t>
      </w:r>
      <w:r>
        <w:t xml:space="preserve">the drug substance container.</w:t>
      </w:r>
    </w:p>
    <w:p>
      <w:pPr>
        <w:pStyle w:val="BodyText"/>
      </w:pPr>
      <w:r>
        <w:t xml:space="preserve">Membrane lot, buffer lots and system hold-up volume are controlled to platform</w:t>
      </w:r>
      <w:r>
        <w:t xml:space="preserve"> </w:t>
      </w:r>
      <w:r>
        <w:t xml:space="preserve">specification under SOP-2013. They are identity and quality controlled inputs to the</w:t>
      </w:r>
      <w:r>
        <w:t xml:space="preserve"> </w:t>
      </w:r>
      <w:r>
        <w:t xml:space="preserve">study, and they are not characterized by it.</w:t>
      </w:r>
    </w:p>
    <w:bookmarkEnd w:id="23"/>
    <w:bookmarkStart w:id="24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validated methods. Protein concentration is measured by absorbance</w:t>
      </w:r>
      <w:r>
        <w:t xml:space="preserve"> </w:t>
      </w:r>
      <w:r>
        <w:t xml:space="preserve">at 280 nm (AMV-3019), and it is the basis of both the final concentration result and</w:t>
      </w:r>
      <w:r>
        <w:t xml:space="preserve"> </w:t>
      </w:r>
      <w:r>
        <w:t xml:space="preserve">the mass balance. Size variants are measured by size exclusion chromatography</w:t>
      </w:r>
      <w:r>
        <w:t xml:space="preserve"> </w:t>
      </w:r>
      <w:r>
        <w:t xml:space="preserve">(AMV-3011), and charge variants by imaged capillary isoelectric focusing (AMV-3013).</w:t>
      </w:r>
      <w:r>
        <w:t xml:space="preserve"> </w:t>
      </w:r>
      <w:r>
        <w:t xml:space="preserve">Conductivity and osmolality are in-process measurements taken under SOP-2013, and they</w:t>
      </w:r>
      <w:r>
        <w:t xml:space="preserve"> </w:t>
      </w:r>
      <w:r>
        <w:t xml:space="preserve">are the direct readout of buffer exchange.</w:t>
      </w:r>
    </w:p>
    <w:p>
      <w:pPr>
        <w:pStyle w:val="BodyText"/>
      </w:pPr>
      <w:r>
        <w:t xml:space="preserve">Method performance is defined in the validation reports and is not restated here. The</w:t>
      </w:r>
      <w:r>
        <w:t xml:space="preserve"> </w:t>
      </w:r>
      <w:r>
        <w:t xml:space="preserve">intermediate precision of AMV-3019 is 1.2 % relative</w:t>
      </w:r>
      <w:r>
        <w:t xml:space="preserve"> </w:t>
      </w:r>
      <w:r>
        <w:t xml:space="preserve">standard deviation, which sets the resolution at which a difference in final</w:t>
      </w:r>
      <w:r>
        <w:t xml:space="preserve"> </w:t>
      </w:r>
      <w:r>
        <w:t xml:space="preserve">concentration or in recovered mass can be claimed. The corresponding figures for the</w:t>
      </w:r>
      <w:r>
        <w:t xml:space="preserve"> </w:t>
      </w:r>
      <w:r>
        <w:t xml:space="preserve">size-variant and charge-variant methods are given in AMV-3011 and AMV-3013.</w:t>
      </w:r>
    </w:p>
    <w:bookmarkEnd w:id="24"/>
    <w:bookmarkStart w:id="25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five points in every run. These are the feed pool, the end of</w:t>
      </w:r>
      <w:r>
        <w:t xml:space="preserve"> </w:t>
      </w:r>
      <w:r>
        <w:t xml:space="preserve">the concentration phase, each whole diavolume of the diafiltration, the final</w:t>
      </w:r>
      <w:r>
        <w:t xml:space="preserve"> </w:t>
      </w:r>
      <w:r>
        <w:t xml:space="preserve">concentrate before the recovery flush, and the pooled drug substance after it.</w:t>
      </w:r>
    </w:p>
    <w:p>
      <w:pPr>
        <w:pStyle w:val="BodyText"/>
      </w:pPr>
      <w:r>
        <w:t xml:space="preserve">Conductivity and osmolality will be measured on every diavolume sample, so that the</w:t>
      </w:r>
      <w:r>
        <w:t xml:space="preserve"> </w:t>
      </w:r>
      <w:r>
        <w:t xml:space="preserve">approach of the retentate to the formulation buffer is followed across the whole</w:t>
      </w:r>
      <w:r>
        <w:t xml:space="preserve"> </w:t>
      </w:r>
      <w:r>
        <w:t xml:space="preserve">diafiltration and not read off its endpoint alone. Protein concentration (AMV-3019)</w:t>
      </w:r>
      <w:r>
        <w:t xml:space="preserve"> </w:t>
      </w:r>
      <w:r>
        <w:t xml:space="preserve">will be measured on every sample and on the pooled permeate and flush volumes, which is</w:t>
      </w:r>
      <w:r>
        <w:t xml:space="preserve"> </w:t>
      </w:r>
      <w:r>
        <w:t xml:space="preserve">what closes the mass balance, while size variants (AMV-3011) and charge variants</w:t>
      </w:r>
      <w:r>
        <w:t xml:space="preserve"> </w:t>
      </w:r>
      <w:r>
        <w:t xml:space="preserve">(AMV-3013) are measured on the feed pool and on the pooled drug substance of every run.</w:t>
      </w:r>
      <w:r>
        <w:t xml:space="preserve"> </w:t>
      </w:r>
      <w:r>
        <w:t xml:space="preserve">The intermediate samples of the worst-case run are analysed as well.</w:t>
      </w:r>
    </w:p>
    <w:bookmarkEnd w:id="25"/>
    <w:bookmarkStart w:id="26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planned analysis is descriptive, because no response model will be fitted at this</w:t>
      </w:r>
      <w:r>
        <w:t xml:space="preserve"> </w:t>
      </w:r>
      <w:r>
        <w:t xml:space="preserve">step. Each parameter is varied one at a time with the other two at their set-points, so</w:t>
      </w:r>
      <w:r>
        <w:t xml:space="preserve"> </w:t>
      </w:r>
      <w:r>
        <w:t xml:space="preserve">the design supports a statement about each parameter on its own but not about</w:t>
      </w:r>
      <w:r>
        <w:t xml:space="preserve"> </w:t>
      </w:r>
      <w:r>
        <w:t xml:space="preserve">interactions between them, and the combined run of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the only condition at</w:t>
      </w:r>
      <w:r>
        <w:t xml:space="preserve"> </w:t>
      </w:r>
      <w:r>
        <w:t xml:space="preserve">which more than one parameter moves. The set-point replicates give the reproducibility</w:t>
      </w:r>
      <w:r>
        <w:t xml:space="preserve"> </w:t>
      </w:r>
      <w:r>
        <w:t xml:space="preserve">of every response as a mean and a coefficient of variation, and that band is the</w:t>
      </w:r>
      <w:r>
        <w:t xml:space="preserve"> </w:t>
      </w:r>
      <w:r>
        <w:t xml:space="preserve">reference against which each edge condition is judged.</w:t>
      </w:r>
    </w:p>
    <w:p>
      <w:pPr>
        <w:pStyle w:val="BodyText"/>
      </w:pPr>
      <w:r>
        <w:t xml:space="preserve">A parameter will be reported as having an effect on a response when the value at the</w:t>
      </w:r>
      <w:r>
        <w:t xml:space="preserve"> </w:t>
      </w:r>
      <w:r>
        <w:t xml:space="preserve">edge condition falls outside the set-point band and the difference is larger than the</w:t>
      </w:r>
      <w:r>
        <w:t xml:space="preserve"> </w:t>
      </w:r>
      <w:r>
        <w:t xml:space="preserve">precision of the method used to measure it. Change in a monitored attribute across the</w:t>
      </w:r>
      <w:r>
        <w:t xml:space="preserve"> </w:t>
      </w:r>
      <w:r>
        <w:t xml:space="preserve">step will be judged the same way. With 3 replicates the</w:t>
      </w:r>
      <w:r>
        <w:t xml:space="preserve"> </w:t>
      </w:r>
      <w:r>
        <w:t xml:space="preserve">reproducibility estimate is itself imprecise, and the study is not powered to detect a</w:t>
      </w:r>
      <w:r>
        <w:t xml:space="preserve"> </w:t>
      </w:r>
      <w:r>
        <w:t xml:space="preserve">small effect. It is powered to detect the effects that matter here, which are</w:t>
      </w:r>
      <w:r>
        <w:t xml:space="preserve"> </w:t>
      </w:r>
      <w:r>
        <w:t xml:space="preserve">incomplete buffer exchange and a loss of product mass, and both of those are large when</w:t>
      </w:r>
      <w:r>
        <w:t xml:space="preserve"> </w:t>
      </w:r>
      <w:r>
        <w:t xml:space="preserve">they occur.</w:t>
      </w:r>
    </w:p>
    <w:p>
      <w:pPr>
        <w:pStyle w:val="BodyText"/>
      </w:pPr>
      <w:r>
        <w:t xml:space="preserve">No commercial-scale capability estimate will be produced for this step. Capability is</w:t>
      </w:r>
      <w:r>
        <w:t xml:space="preserve"> </w:t>
      </w:r>
      <w:r>
        <w:t xml:space="preserve">estimated for the attributes that a step governs, and this step governs none. The</w:t>
      </w:r>
      <w:r>
        <w:t xml:space="preserve"> </w:t>
      </w:r>
      <w:r>
        <w:t xml:space="preserve">Monte-Carlo estimates over 2,000 simulated batches are</w:t>
      </w:r>
      <w:r>
        <w:t xml:space="preserve"> </w:t>
      </w:r>
      <w:r>
        <w:t xml:space="preserve">reported in the documents of the steps that set each attribute, and they are</w:t>
      </w:r>
      <w:r>
        <w:t xml:space="preserve"> </w:t>
      </w:r>
      <w:r>
        <w:t xml:space="preserve">consolidated in PCMR-001.</w:t>
      </w:r>
    </w:p>
    <w:bookmarkEnd w:id="26"/>
    <w:bookmarkEnd w:id="27"/>
    <w:bookmarkStart w:id="32" w:name="sec-design"/>
    <w:p>
      <w:pPr>
        <w:pStyle w:val="Heading1"/>
      </w:pPr>
      <w:r>
        <w:t xml:space="preserve">6. Study design</w:t>
      </w:r>
    </w:p>
    <w:bookmarkStart w:id="29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parameters, their set-points, the ranges to be studied, the</w:t>
      </w:r>
      <w:r>
        <w:t xml:space="preserve"> </w:t>
      </w:r>
      <w:r>
        <w:t xml:space="preserve">normal operating ranges and the study type assigned to each. All of them are assigned</w:t>
      </w:r>
      <w:r>
        <w:t xml:space="preserve"> </w:t>
      </w:r>
      <w:r>
        <w:t xml:space="preserve">to univariate assessment, and no parameter of this step is carried into a multivariate</w:t>
      </w:r>
      <w:r>
        <w:t xml:space="preserve"> </w:t>
      </w:r>
      <w:r>
        <w:t xml:space="preserve">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to be studied, with set-points,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0"/>
              <w:gridCol w:w="763"/>
              <w:gridCol w:w="1240"/>
              <w:gridCol w:w="1622"/>
              <w:gridCol w:w="667"/>
              <w:gridCol w:w="1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bookmarkEnd w:id="29"/>
    <w:bookmarkStart w:id="31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No screening design and no response-surface design is planned for this step. There is</w:t>
      </w:r>
      <w:r>
        <w:t xml:space="preserve"> </w:t>
      </w:r>
      <w:r>
        <w:t xml:space="preserve">no quality attribute response to model, and the 3 parameters act</w:t>
      </w:r>
      <w:r>
        <w:t xml:space="preserve"> </w:t>
      </w:r>
      <w:r>
        <w:t xml:space="preserve">through hydraulics and mass balance and not through a reaction whose rate they could</w:t>
      </w:r>
      <w:r>
        <w:t xml:space="preserve"> </w:t>
      </w:r>
      <w:r>
        <w:t xml:space="preserve">jointly control,</w:t>
      </w:r>
      <w:r>
        <w:t xml:space="preserve"> </w:t>
      </w:r>
      <w:r>
        <w:t xml:space="preserve">which is the condition under which a multivariate design earns its cost. The designs</w:t>
      </w:r>
      <w:r>
        <w:t xml:space="preserve"> </w:t>
      </w:r>
      <w:r>
        <w:t xml:space="preserve">used at the bioreactor and at the chromatographic and filtration steps (PCP-003,</w:t>
      </w:r>
      <w:r>
        <w:t xml:space="preserve"> </w:t>
      </w:r>
      <w:r>
        <w:t xml:space="preserve">PCP-005 to PCP-009) are therefore not applied here, and no design space will be claimed</w:t>
      </w:r>
      <w:r>
        <w:t xml:space="preserve"> </w:t>
      </w:r>
      <w:r>
        <w:t xml:space="preserve">for this step. The outcome of the study is a set of proven acceptable ranges (PAR) and</w:t>
      </w:r>
      <w:r>
        <w:t xml:space="preserve"> </w:t>
      </w:r>
      <w:r>
        <w:t xml:space="preserve">a confirmed classification, which is what a key process parameter needs.</w:t>
      </w:r>
    </w:p>
    <w:p>
      <w:pPr>
        <w:pStyle w:val="BodyText"/>
      </w:pPr>
      <w:r>
        <w:t xml:space="preserve">The planned run list is given in</w:t>
      </w:r>
      <w:r>
        <w:t xml:space="preserve"> 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contains 10 runs. Each</w:t>
      </w:r>
      <w:r>
        <w:t xml:space="preserve"> </w:t>
      </w:r>
      <w:r>
        <w:t xml:space="preserve">parameter is run at both edges of its characterization range with the other two at</w:t>
      </w:r>
      <w:r>
        <w:t xml:space="preserve"> </w:t>
      </w:r>
      <w:r>
        <w:t xml:space="preserve">their set-points, the set-point condition is run in 3 replicates, and</w:t>
      </w:r>
      <w:r>
        <w:t xml:space="preserve"> </w:t>
      </w:r>
      <w:r>
        <w:t xml:space="preserve">one further run combines the worst case of all 3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Planned univariate run list. Levels are the set-points and the characterization-range edges of</w:t>
            </w:r>
            <w:r>
              <w:t xml:space="preserve"> </w:t>
            </w:r>
            <w:hyperlink w:anchor="tbl-params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1714"/>
              <w:gridCol w:w="1891"/>
              <w:gridCol w:w="1891"/>
              <w:gridCol w:w="20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diavolumes (DV)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Transmembrane pressure (psi)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DS concentration (g/L)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worst case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combined run is the worst case for this step. It sets pressure and final</w:t>
      </w:r>
      <w:r>
        <w:t xml:space="preserve"> </w:t>
      </w:r>
      <w:r>
        <w:t xml:space="preserve">concentration at their high edges and the number of diavolumes at its low edge, so</w:t>
      </w:r>
      <w:r>
        <w:t xml:space="preserve"> </w:t>
      </w:r>
      <w:r>
        <w:t xml:space="preserve">aggregation risk and hold-up losses are at their highest while buffer exchange is at</w:t>
      </w:r>
      <w:r>
        <w:t xml:space="preserve"> </w:t>
      </w:r>
      <w:r>
        <w:t xml:space="preserve">its least complete. Meeting the acceptance criteria at that condition, as well as at</w:t>
      </w:r>
      <w:r>
        <w:t xml:space="preserve"> </w:t>
      </w:r>
      <w:r>
        <w:t xml:space="preserve">every single-parameter edge, is what allows the univariate ranges to be read together</w:t>
      </w:r>
      <w:r>
        <w:t xml:space="preserve"> </w:t>
      </w:r>
      <w:r>
        <w:t xml:space="preserve">with some confidence. It is a check on independence and it is not an interaction</w:t>
      </w:r>
      <w:r>
        <w:t xml:space="preserve"> </w:t>
      </w:r>
      <w:r>
        <w:t xml:space="preserve">estimate.</w:t>
      </w:r>
    </w:p>
    <w:bookmarkEnd w:id="31"/>
    <w:bookmarkEnd w:id="32"/>
    <w:bookmarkStart w:id="33" w:name="sec-acceptance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the scale-down model is qualified, when the four process</w:t>
      </w:r>
      <w:r>
        <w:t xml:space="preserve"> </w:t>
      </w:r>
      <w:r>
        <w:t xml:space="preserve">performance criteria below are met across the characterization ranges, and when the two</w:t>
      </w:r>
      <w:r>
        <w:t xml:space="preserve"> </w:t>
      </w:r>
      <w:r>
        <w:t xml:space="preserve">monitored attributes are unchanged across the step and within the drug substance</w:t>
      </w:r>
      <w:r>
        <w:t xml:space="preserve"> </w:t>
      </w:r>
      <w:r>
        <w:t xml:space="preserve">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Each criterion is stated here, before any data exist.</w:t>
      </w:r>
    </w:p>
    <w:p>
      <w:pPr>
        <w:pStyle w:val="BodyText"/>
      </w:pPr>
      <w:r>
        <w:t xml:space="preserve">Buffer exchange is the first criterion. Retentate conductivity and osmolality at the</w:t>
      </w:r>
      <w:r>
        <w:t xml:space="preserve"> </w:t>
      </w:r>
      <w:r>
        <w:t xml:space="preserve">end of diafiltration must lie inside the control range of the formulation buffer</w:t>
      </w:r>
      <w:r>
        <w:t xml:space="preserve"> </w:t>
      </w:r>
      <w:r>
        <w:t xml:space="preserve">(SOP-2013) at every diavolume level studied. Under ideal constant-volume diafiltration with complete</w:t>
      </w:r>
      <w:r>
        <w:t xml:space="preserve"> </w:t>
      </w:r>
      <w:r>
        <w:t xml:space="preserve">mixing, the residual fraction of a freely permeating feed-buffer species falls</w:t>
      </w:r>
      <w:r>
        <w:t xml:space="preserve"> </w:t>
      </w:r>
      <w:r>
        <w:t xml:space="preserve">exponentially with the number of diavolumes, so that at the low edge of the</w:t>
      </w:r>
      <w:r>
        <w:t xml:space="preserve"> </w:t>
      </w:r>
      <w:r>
        <w:t xml:space="preserve">characterization range the ideal residual is</w:t>
      </w:r>
      <w:r>
        <w:t xml:space="preserve"> </w:t>
      </w:r>
      <w:r>
        <w:t xml:space="preserve">0.09 % of its starting value and at the set-point it is</w:t>
      </w:r>
      <w:r>
        <w:t xml:space="preserve"> </w:t>
      </w:r>
      <w:r>
        <w:t xml:space="preserve">0.03 %. Those values are the basis on which the low edge</w:t>
      </w:r>
      <w:r>
        <w:t xml:space="preserve"> </w:t>
      </w:r>
      <w:r>
        <w:t xml:space="preserve">of the range was set. The study will measure the actual approach to the formulation</w:t>
      </w:r>
      <w:r>
        <w:t xml:space="preserve"> </w:t>
      </w:r>
      <w:r>
        <w:t xml:space="preserve">buffer and will not assume it.</w:t>
      </w:r>
    </w:p>
    <w:p>
      <w:pPr>
        <w:pStyle w:val="BodyText"/>
      </w:pPr>
      <w:r>
        <w:t xml:space="preserve">Final concentration is the second criterion. The concentration of the pooled drug</w:t>
      </w:r>
      <w:r>
        <w:t xml:space="preserve"> </w:t>
      </w:r>
      <w:r>
        <w:t xml:space="preserve">substance must lie inside the normal operating range of the final concentration</w:t>
      </w:r>
      <w:r>
        <w:t xml:space="preserve"> </w:t>
      </w:r>
      <w:r>
        <w:t xml:space="preserve">parameter, which is 70–80 g/L, when the</w:t>
      </w:r>
      <w:r>
        <w:t xml:space="preserve"> </w:t>
      </w:r>
      <w:r>
        <w:t xml:space="preserve">step is run at its set-point. At the edge conditions the requirement is that the target</w:t>
      </w:r>
      <w:r>
        <w:t xml:space="preserve"> </w:t>
      </w:r>
      <w:r>
        <w:t xml:space="preserve">set for the run is achieved within the precision of AMV-3019.</w:t>
      </w:r>
    </w:p>
    <w:p>
      <w:pPr>
        <w:pStyle w:val="BodyText"/>
      </w:pPr>
      <w:r>
        <w:t xml:space="preserve">Step yield and mass balance are the third criterion. Yield at each condition will be</w:t>
      </w:r>
      <w:r>
        <w:t xml:space="preserve"> </w:t>
      </w:r>
      <w:r>
        <w:t xml:space="preserve">compared with the platform expectation of 96.0%, whose batch-to-batch</w:t>
      </w:r>
      <w:r>
        <w:t xml:space="preserve"> </w:t>
      </w:r>
      <w:r>
        <w:t xml:space="preserve">coefficient of variation is 1.5%. A condition at which yield falls</w:t>
      </w:r>
      <w:r>
        <w:t xml:space="preserve"> </w:t>
      </w:r>
      <w:r>
        <w:t xml:space="preserve">short of that expectation by more than the set-point reproducibility will be</w:t>
      </w:r>
      <w:r>
        <w:t xml:space="preserve"> </w:t>
      </w:r>
      <w:r>
        <w:t xml:space="preserve">investigated before its range is accepted. The mass balance of every run must close,</w:t>
      </w:r>
      <w:r>
        <w:t xml:space="preserve"> </w:t>
      </w:r>
      <w:r>
        <w:t xml:space="preserve">with the product mass in the retentate, the permeate and the flush accounting for the</w:t>
      </w:r>
      <w:r>
        <w:t xml:space="preserve"> </w:t>
      </w:r>
      <w:r>
        <w:t xml:space="preserve">mass in the feed within the precision of AMV-3019.</w:t>
      </w:r>
    </w:p>
    <w:p>
      <w:pPr>
        <w:pStyle w:val="BodyText"/>
      </w:pPr>
      <w:r>
        <w:t xml:space="preserve">Product quality is the fourth criterion. Aggregate content and charge variant</w:t>
      </w:r>
      <w:r>
        <w:t xml:space="preserve"> </w:t>
      </w:r>
      <w:r>
        <w:t xml:space="preserve">distribution of the pooled drug substance must meet the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at every</w:t>
      </w:r>
      <w:r>
        <w:t xml:space="preserve"> </w:t>
      </w:r>
      <w:r>
        <w:t xml:space="preserve">condition, and the change across the step must not exceed the precision of AMV-3011 and</w:t>
      </w:r>
      <w:r>
        <w:t xml:space="preserve"> </w:t>
      </w:r>
      <w:r>
        <w:t xml:space="preserve">AMV-3013 respectively, measured between the feed pool and the final pool of the same</w:t>
      </w:r>
      <w:r>
        <w:t xml:space="preserve"> </w:t>
      </w:r>
      <w:r>
        <w:t xml:space="preserve">run. A larger change at any condition will be treated as an effect of the step and</w:t>
      </w:r>
      <w:r>
        <w:t xml:space="preserve"> </w:t>
      </w:r>
      <w:r>
        <w:t xml:space="preserve">investigated, whether or not the pool still meets the drug substance criterion.</w:t>
      </w:r>
    </w:p>
    <w:p>
      <w:pPr>
        <w:pStyle w:val="BodyText"/>
      </w:pPr>
      <w:r>
        <w:t xml:space="preserve">A condition that fails one of these criteria does not fail the study. It bounds the</w:t>
      </w:r>
      <w:r>
        <w:t xml:space="preserve"> </w:t>
      </w:r>
      <w:r>
        <w:t xml:space="preserve">parameter, and the proven acceptable range is then reported as the part of the</w:t>
      </w:r>
      <w:r>
        <w:t xml:space="preserve"> </w:t>
      </w:r>
      <w:r>
        <w:t xml:space="preserve">characterization range over which the criteria are met (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). A failure at the</w:t>
      </w:r>
      <w:r>
        <w:t xml:space="preserve"> </w:t>
      </w:r>
      <w:r>
        <w:t xml:space="preserve">set-point condition is different, and so is a failure of the scale-down model</w:t>
      </w:r>
      <w:r>
        <w:t xml:space="preserve"> </w:t>
      </w:r>
      <w:r>
        <w:t xml:space="preserve">qualification. Either one stops the study, and both are handled as deviations under the</w:t>
      </w:r>
      <w:r>
        <w:t xml:space="preserve"> </w:t>
      </w:r>
      <w:r>
        <w:t xml:space="preserve">campaign procedures of PCMP-001.</w:t>
      </w:r>
    </w:p>
    <w:bookmarkEnd w:id="33"/>
    <w:bookmarkStart w:id="3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acceptance basis is stated before the analysis, and it differs by response. For the</w:t>
      </w:r>
      <w:r>
        <w:t xml:space="preserve"> </w:t>
      </w:r>
      <w:r>
        <w:t xml:space="preserve">two monitored attributes the basis is the drug substance acceptance criterion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For buffer exchange, final concentration, yield and mass balance the basis is</w:t>
      </w:r>
      <w:r>
        <w:t xml:space="preserve"> </w:t>
      </w:r>
      <w:r>
        <w:t xml:space="preserve">the process performance 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, because those responses are not</w:t>
      </w:r>
      <w:r>
        <w:t xml:space="preserve"> </w:t>
      </w:r>
      <w:r>
        <w:t xml:space="preserve">quality attributes and carry no specification of their own. No step-level clearance</w:t>
      </w:r>
      <w:r>
        <w:t xml:space="preserve"> </w:t>
      </w:r>
      <w:r>
        <w:t xml:space="preserve">requirement is back-calculated for this step, since it makes no clearance claim.</w:t>
      </w:r>
    </w:p>
    <w:p>
      <w:pPr>
        <w:pStyle w:val="BodyText"/>
      </w:pPr>
      <w:r>
        <w:t xml:space="preserve">One analysis will be run per parameter. Each parameter will be assessed across its</w:t>
      </w:r>
      <w:r>
        <w:t xml:space="preserve"> </w:t>
      </w:r>
      <w:r>
        <w:t xml:space="preserve">characterization range at the levels given in</w:t>
      </w:r>
      <w:r>
        <w:t xml:space="preserve"> 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, with the other two held at</w:t>
      </w:r>
      <w:r>
        <w:t xml:space="preserve"> </w:t>
      </w:r>
      <w:r>
        <w:t xml:space="preserve">their set-points, and its proven acceptable range will be reported as the widest</w:t>
      </w:r>
      <w:r>
        <w:t xml:space="preserve"> </w:t>
      </w:r>
      <w:r>
        <w:t xml:space="preserve">continuous part of that range over which every criterion is met. Where the whole</w:t>
      </w:r>
      <w:r>
        <w:t xml:space="preserve"> </w:t>
      </w:r>
      <w:r>
        <w:t xml:space="preserve">characterization range is acceptable, the report will say so, and the proven acceptable</w:t>
      </w:r>
      <w:r>
        <w:t xml:space="preserve"> </w:t>
      </w:r>
      <w:r>
        <w:t xml:space="preserve">range of that parameter is then its full studied range.</w:t>
      </w:r>
    </w:p>
    <w:p>
      <w:pPr>
        <w:pStyle w:val="BodyText"/>
      </w:pPr>
      <w:r>
        <w:t xml:space="preserve">The NOR-propagated analysis used at the multivariate steps will not be run here. That</w:t>
      </w:r>
      <w:r>
        <w:t xml:space="preserve"> </w:t>
      </w:r>
      <w:r>
        <w:t xml:space="preserve">analysis varies the other factors within their normal operating ranges by Monte-Carlo</w:t>
      </w:r>
      <w:r>
        <w:t xml:space="preserve"> </w:t>
      </w:r>
      <w:r>
        <w:t xml:space="preserve">simulation of a fitted response-surface model, and no such model will exist for this</w:t>
      </w:r>
      <w:r>
        <w:t xml:space="preserve"> </w:t>
      </w:r>
      <w:r>
        <w:t xml:space="preserve">step. The combined worst-case run of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what this plan offers in its place.</w:t>
      </w:r>
    </w:p>
    <w:p>
      <w:pPr>
        <w:pStyle w:val="BodyText"/>
      </w:pPr>
      <w:r>
        <w:t xml:space="preserve">Each proven acceptable range will be presented as a table of the measured response at</w:t>
      </w:r>
      <w:r>
        <w:t xml:space="preserve"> </w:t>
      </w:r>
      <w:r>
        <w:t xml:space="preserve">every level studied against its acceptance limit, with the acceptable region marked. No</w:t>
      </w:r>
      <w:r>
        <w:t xml:space="preserve"> </w:t>
      </w:r>
      <w:r>
        <w:t xml:space="preserve">fitted curve will be shown, because none will be fitted. The report must state the two</w:t>
      </w:r>
      <w:r>
        <w:t xml:space="preserve"> </w:t>
      </w:r>
      <w:r>
        <w:t xml:space="preserve">bounds on these ranges. They hold with the other two parameters at their set-points,</w:t>
      </w:r>
      <w:r>
        <w:t xml:space="preserve"> </w:t>
      </w:r>
      <w:r>
        <w:t xml:space="preserve">and they hold on the qualified scale-down model, whose hold-up volume fraction differs</w:t>
      </w:r>
      <w:r>
        <w:t xml:space="preserve"> </w:t>
      </w:r>
      <w:r>
        <w:t xml:space="preserve">from that of the commercial system.</w:t>
      </w:r>
    </w:p>
    <w:bookmarkEnd w:id="34"/>
    <w:bookmarkStart w:id="35" w:name="sec-data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Raw data will be recorded contemporaneously in the validated electronic laboratory</w:t>
      </w:r>
      <w:r>
        <w:t xml:space="preserve"> </w:t>
      </w:r>
      <w:r>
        <w:t xml:space="preserve">notebook, and analytical results in the chromatography data system and the laboratory</w:t>
      </w:r>
      <w:r>
        <w:t xml:space="preserve"> </w:t>
      </w:r>
      <w:r>
        <w:t xml:space="preserve">information management system. Records will meet the ALCOA+ expectations (attributable,</w:t>
      </w:r>
      <w:r>
        <w:t xml:space="preserve"> </w:t>
      </w:r>
      <w:r>
        <w:t xml:space="preserve">legible, contemporaneous, original and accurate) set out in the site data integrity</w:t>
      </w:r>
      <w:r>
        <w:t xml:space="preserve"> </w:t>
      </w:r>
      <w:r>
        <w:t xml:space="preserve">procedures. Instrument audit trails will be enabled and reviewed as part of the data</w:t>
      </w:r>
      <w:r>
        <w:t xml:space="preserve"> </w:t>
      </w:r>
      <w:r>
        <w:t xml:space="preserve">review.</w:t>
      </w:r>
    </w:p>
    <w:p>
      <w:pPr>
        <w:pStyle w:val="BodyText"/>
      </w:pPr>
      <w:r>
        <w:t xml:space="preserve">Analysis scripts and their inputs will be version controlled and archived with the</w:t>
      </w:r>
      <w:r>
        <w:t xml:space="preserve"> </w:t>
      </w:r>
      <w:r>
        <w:t xml:space="preserve">report, so that every table in PCR-010 can be regenerated from the raw data. A second</w:t>
      </w:r>
      <w:r>
        <w:t xml:space="preserve"> </w:t>
      </w:r>
      <w:r>
        <w:t xml:space="preserve">person will review every calculation before the report is issued.</w:t>
      </w:r>
    </w:p>
    <w:bookmarkEnd w:id="35"/>
    <w:bookmarkStart w:id="36" w:name="sec-rol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and MSAT own this plan, execute the runs and author PCR-010.</w:t>
      </w:r>
      <w:r>
        <w:t xml:space="preserve"> </w:t>
      </w:r>
      <w:r>
        <w:t xml:space="preserve">Analytical Development performs the assays and owns the method performance data that</w:t>
      </w:r>
      <w:r>
        <w:t xml:space="preserve"> </w:t>
      </w:r>
      <w:r>
        <w:t xml:space="preserve">the acceptance 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depend on. Manufacturing Science reviews the</w:t>
      </w:r>
      <w:r>
        <w:t xml:space="preserve"> </w:t>
      </w:r>
      <w:r>
        <w:t xml:space="preserve">scale-down model and the applicability of the resulting ranges to the receiving site.</w:t>
      </w:r>
      <w:r>
        <w:t xml:space="preserve"> </w:t>
      </w:r>
      <w:r>
        <w:t xml:space="preserve">Statistics reviews the reproducibility estimate and the analysis. Quality Assurance</w:t>
      </w:r>
      <w:r>
        <w:t xml:space="preserve"> </w:t>
      </w:r>
      <w:r>
        <w:t xml:space="preserve">approves the plan and the report and dispositions any deviation. The approval record is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ec-deliverables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PCR-010. It will report the qualification of the</w:t>
      </w:r>
      <w:r>
        <w:t xml:space="preserve"> </w:t>
      </w:r>
      <w:r>
        <w:t xml:space="preserve">scale-down model, the results of the 10 planned runs, the proven</w:t>
      </w:r>
      <w:r>
        <w:t xml:space="preserve"> </w:t>
      </w:r>
      <w:r>
        <w:t xml:space="preserve">acceptable range of each parameter, the confirmed classification of all</w:t>
      </w:r>
      <w:r>
        <w:t xml:space="preserve"> </w:t>
      </w:r>
      <w:r>
        <w:t xml:space="preserve">3 parameters (KPP), and the contribution this step makes to the</w:t>
      </w:r>
      <w:r>
        <w:t xml:space="preserve"> </w:t>
      </w:r>
      <w:r>
        <w:t xml:space="preserve">control strategy.</w:t>
      </w:r>
    </w:p>
    <w:p>
      <w:pPr>
        <w:pStyle w:val="BodyText"/>
      </w:pPr>
      <w:r>
        <w:t xml:space="preserve">The work runs in four phases. The scale-down model is qualified first, the runs are</w:t>
      </w:r>
      <w:r>
        <w:t xml:space="preserve"> </w:t>
      </w:r>
      <w:r>
        <w:t xml:space="preserve">then executed, the analysis follows, and PCR-010 is issued last. PCR-010 must be</w:t>
      </w:r>
      <w:r>
        <w:t xml:space="preserve"> </w:t>
      </w:r>
      <w:r>
        <w:t xml:space="preserve">approved before the ranges of this step are carried into the commercial batch record</w:t>
      </w:r>
      <w:r>
        <w:t xml:space="preserve"> </w:t>
      </w:r>
      <w:r>
        <w:t xml:space="preserve">and before the qualification batches described in PTP-001 are executed. No dates are</w:t>
      </w:r>
      <w:r>
        <w:t xml:space="preserve"> </w:t>
      </w:r>
      <w:r>
        <w:t xml:space="preserve">given here, and the campaign schedule is held in PCMP-001.</w:t>
      </w:r>
    </w:p>
    <w:bookmarkEnd w:id="37"/>
    <w:bookmarkStart w:id="38" w:name="sec-risk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the representativeness of the scale-down model, and</w:t>
      </w:r>
      <w:r>
        <w:t xml:space="preserve"> </w:t>
      </w:r>
      <w:r>
        <w:t xml:space="preserve">it comes from one quantity. The fraction of the batch held in the system hold-up volume</w:t>
      </w:r>
      <w:r>
        <w:t xml:space="preserve"> </w:t>
      </w:r>
      <w:r>
        <w:t xml:space="preserve">is larger at small scale than at commercial scale, so the scale-down step yield is</w:t>
      </w:r>
      <w:r>
        <w:t xml:space="preserve"> </w:t>
      </w:r>
      <w:r>
        <w:t xml:space="preserve">expected to be lower than the commercial yield and to be more sensitive to the recovery</w:t>
      </w:r>
      <w:r>
        <w:t xml:space="preserve"> </w:t>
      </w:r>
      <w:r>
        <w:t xml:space="preserve">flush than the commercial step is. Yield will therefore be assessed as a difference</w:t>
      </w:r>
      <w:r>
        <w:t xml:space="preserve"> </w:t>
      </w:r>
      <w:r>
        <w:t xml:space="preserve">from the scale-down set-point condition and not as an absolute value transferred to</w:t>
      </w:r>
      <w:r>
        <w:t xml:space="preserve"> </w:t>
      </w:r>
      <w:r>
        <w:t xml:space="preserve">commercial scale. The qualification runs of</w:t>
      </w:r>
      <w:r>
        <w:t xml:space="preserve"> 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are what establish that this</w:t>
      </w:r>
      <w:r>
        <w:t xml:space="preserve"> </w:t>
      </w:r>
      <w:r>
        <w:t xml:space="preserve">difference is stable.</w:t>
      </w:r>
    </w:p>
    <w:p>
      <w:pPr>
        <w:pStyle w:val="BodyText"/>
      </w:pPr>
      <w:r>
        <w:t xml:space="preserve">Two further risks are recorded. The feed for the study is the pool of the small virus</w:t>
      </w:r>
      <w:r>
        <w:t xml:space="preserve"> </w:t>
      </w:r>
      <w:r>
        <w:t xml:space="preserve">retentive filtration step, so the study depends on the upstream campaign for</w:t>
      </w:r>
      <w:r>
        <w:t xml:space="preserve"> </w:t>
      </w:r>
      <w:r>
        <w:t xml:space="preserve">representative feed material, and any substituted feed would have to be qualified</w:t>
      </w:r>
      <w:r>
        <w:t xml:space="preserve"> </w:t>
      </w:r>
      <w:r>
        <w:t xml:space="preserve">before use. Membrane lot variability is not studied here, and it is controlled by the</w:t>
      </w:r>
      <w:r>
        <w:t xml:space="preserve"> </w:t>
      </w:r>
      <w:r>
        <w:t xml:space="preserve">incoming specification held under SOP-2013.</w:t>
      </w:r>
    </w:p>
    <w:p>
      <w:pPr>
        <w:pStyle w:val="BodyText"/>
      </w:pPr>
      <w:r>
        <w:t xml:space="preserve">The plan makes three assumptions. Platform behaviour of the membrane is assumed to</w:t>
      </w:r>
      <w:r>
        <w:t xml:space="preserve"> </w:t>
      </w:r>
      <w:r>
        <w:t xml:space="preserve">transfer to A-Mab, which the prior products and A-Mab clinical manufacture support but</w:t>
      </w:r>
      <w:r>
        <w:t xml:space="preserve"> </w:t>
      </w:r>
      <w:r>
        <w:t xml:space="preserve">which no product-specific study at this step has yet confirmed. Diafiltration is</w:t>
      </w:r>
      <w:r>
        <w:t xml:space="preserve"> </w:t>
      </w:r>
      <w:r>
        <w:t xml:space="preserve">assumed to be well mixed and at constant volume, which is the basis of the residual</w:t>
      </w:r>
      <w:r>
        <w:t xml:space="preserve"> </w:t>
      </w:r>
      <w:r>
        <w:t xml:space="preserve">calculation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will be checked against the measured conductivity</w:t>
      </w:r>
      <w:r>
        <w:t xml:space="preserve"> </w:t>
      </w:r>
      <w:r>
        <w:t xml:space="preserve">profile. The formulation composition is assumed fixed, and it is not a variable of this</w:t>
      </w:r>
      <w:r>
        <w:t xml:space="preserve"> </w:t>
      </w:r>
      <w:r>
        <w:t xml:space="preserve">study.</w:t>
      </w:r>
    </w:p>
    <w:bookmarkEnd w:id="38"/>
    <w:bookmarkStart w:id="39" w:name="sec-approvals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Any change to the study design after approval will be recorded as an amendment to this</w:t>
      </w:r>
      <w:r>
        <w:t xml:space="preserve"> </w:t>
      </w:r>
      <w:r>
        <w:t xml:space="preserve">plan and reported in PCR-010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9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4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0"/>
    <w:bookmarkStart w:id="41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1"/>
    <w:bookmarkStart w:id="4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2026-07-27T10:31:13Z</dcterms:created>
  <dcterms:modified xsi:type="dcterms:W3CDTF">2026-07-27T10:31:13Z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PCP-010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