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CPP, critical process parameter; Cpk, process</w:t>
      </w:r>
      <w:r>
        <w:t xml:space="preserve"> </w:t>
      </w:r>
      <w:r>
        <w:t xml:space="preserve">capability index; CQA, critical quality attribute; DoE, design of experiments; DS, drug</w:t>
      </w:r>
      <w:r>
        <w:t xml:space="preserve"> </w:t>
      </w:r>
      <w:r>
        <w:t xml:space="preserve">substance; GPP, general process parameter; HCP, host cell protein; HMW, high molecular</w:t>
      </w:r>
      <w:r>
        <w:t xml:space="preserve"> </w:t>
      </w:r>
      <w:r>
        <w:t xml:space="preserve">weight; ICH, International Council for Harmonisation; icIEF, imaged capillary isoelectric</w:t>
      </w:r>
      <w:r>
        <w:t xml:space="preserve"> </w:t>
      </w:r>
      <w:r>
        <w:t xml:space="preserve">focusing; IgG1, immunoglobulin G subclass 1; KPP, key process parameter; LOQ, limit of</w:t>
      </w:r>
      <w:r>
        <w:t xml:space="preserve"> </w:t>
      </w:r>
      <w:r>
        <w:t xml:space="preserve">quantitation;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PRESS,</w:t>
      </w:r>
      <w:r>
        <w:t xml:space="preserve"> </w:t>
      </w:r>
      <w:r>
        <w:t xml:space="preserve">predicted residual error sum of squares; RSM, response-surface methodology; SDM, scale-down</w:t>
      </w:r>
      <w:r>
        <w:t xml:space="preserve"> </w:t>
      </w:r>
      <w:r>
        <w:t xml:space="preserve">model; SEC-HPLC, size-exclusion high-performance liquid chromatography; SOP, standard</w:t>
      </w:r>
      <w:r>
        <w:t xml:space="preserve"> </w:t>
      </w:r>
      <w:r>
        <w:t xml:space="preserve">operating procedure; TCID50, fifty-percent tissue-culture infectious dose; WC-CPP,</w:t>
      </w:r>
      <w:r>
        <w:t xml:space="preserve"> </w:t>
      </w:r>
      <w:r>
        <w:t xml:space="preserve">well-controlled 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Low-pH viral inactivation is a hold step, and it is the operation on which the</w:t>
      </w:r>
      <w:r>
        <w:t xml:space="preserve"> </w:t>
      </w:r>
      <w:r>
        <w:t xml:space="preserve">enveloped-virus clearance claim for A-Mab drug substance principally rests. The Protein A</w:t>
      </w:r>
      <w:r>
        <w:t xml:space="preserve"> </w:t>
      </w:r>
      <w:r>
        <w:t xml:space="preserve">eluate is titrated into an acidic hold, held for a defined time under temperature control,</w:t>
      </w:r>
      <w:r>
        <w:t xml:space="preserve"> </w:t>
      </w:r>
      <w:r>
        <w:t xml:space="preserve">and neutralized before it is loaded onto cation exchange. This report presents the</w:t>
      </w:r>
      <w:r>
        <w:t xml:space="preserve"> </w:t>
      </w:r>
      <w:r>
        <w:t xml:space="preserve">characterization executed under PCP-006 on a qualified small-scale spiking model, with the</w:t>
      </w:r>
      <w:r>
        <w:t xml:space="preserve"> </w:t>
      </w:r>
      <w:r>
        <w:t xml:space="preserve">scope set by the risk assessment in RA-001. The work follows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principles 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clearance claim is framed as a modular claim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in the manner of the case study on which the process is modelled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Four parameters were characterized. Inactivation pH, hold time and temperature were studied</w:t>
      </w:r>
      <w:r>
        <w:t xml:space="preserve"> </w:t>
      </w:r>
      <w:r>
        <w:t xml:space="preserve">together in a multivariate design of 11 screening runs and 18</w:t>
      </w:r>
      <w:r>
        <w:t xml:space="preserve"> </w:t>
      </w:r>
      <w:r>
        <w:t xml:space="preserve">response-surface runs. A-Mab concentration was assessed one factor at a time. The screening</w:t>
      </w:r>
      <w:r>
        <w:t xml:space="preserve"> </w:t>
      </w:r>
      <w:r>
        <w:t xml:space="preserve">design identified all three multivariate parameters as active on the XMuLV log reduction</w:t>
      </w:r>
      <w:r>
        <w:t xml:space="preserve"> </w:t>
      </w:r>
      <w:r>
        <w:t xml:space="preserve">factor and found no significant interaction among them. The response-surface model is the</w:t>
      </w:r>
      <w:r>
        <w:t xml:space="preserve"> </w:t>
      </w:r>
      <w:r>
        <w:t xml:space="preserve">predictive model, and at the set-point it predicts a step log reduction factor of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 required step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Inactivation pH is classified as a critical process parameter, and it is the only parameter</w:t>
      </w:r>
      <w:r>
        <w:t xml:space="preserve"> </w:t>
      </w:r>
      <w:r>
        <w:t xml:space="preserve">in the drug substance process to carry that classification. Its characterized range fails in</w:t>
      </w:r>
      <w:r>
        <w:t xml:space="preserve"> </w:t>
      </w:r>
      <w:r>
        <w:t xml:space="preserve">both directions. Toward the top, clearance falls: the model predicts a decline of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between the set-point and the top of the range, and at</w:t>
      </w:r>
      <w:r>
        <w:t xml:space="preserve"> </w:t>
      </w:r>
      <w:r>
        <w:t xml:space="preserve">the corner formed by the highest pH, the shortest hold and the lowest temperature the</w:t>
      </w:r>
      <w:r>
        <w:t xml:space="preserve"> </w:t>
      </w:r>
      <w:r>
        <w:t xml:space="preserve">prediction falls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 of the required</w:t>
      </w:r>
      <w:r>
        <w:t xml:space="preserve"> </w:t>
      </w:r>
      <w:r>
        <w:t xml:space="preserve">contribution. Toward the bottom, the range stops where platform data place the onset of</w:t>
      </w:r>
      <w:r>
        <w:t xml:space="preserve"> </w:t>
      </w:r>
      <w:r>
        <w:t xml:space="preserve">acid-induced aggregation, and no run was executed below that pH. Hold time and temperature</w:t>
      </w:r>
      <w:r>
        <w:t xml:space="preserve"> </w:t>
      </w:r>
      <w:r>
        <w:t xml:space="preserve">are classified as well-controlled critical process parameters and A-Mab concentration as a</w:t>
      </w:r>
      <w:r>
        <w:t xml:space="preserve"> </w:t>
      </w:r>
      <w:r>
        <w:t xml:space="preserve">general process parameter.</w:t>
      </w:r>
    </w:p>
    <w:p>
      <w:pPr>
        <w:pStyle w:val="BodyText"/>
      </w:pPr>
      <w:r>
        <w:t xml:space="preserve">The step raises aggregate instead of reducing it, and the increase is governed by hold time.</w:t>
      </w:r>
      <w:r>
        <w:t xml:space="preserve"> </w:t>
      </w:r>
      <w:r>
        <w:t xml:space="preserve">Predicted pool aggregate rises from 1.79 % to</w:t>
      </w:r>
      <w:r>
        <w:t xml:space="preserve"> </w:t>
      </w:r>
      <w:r>
        <w:t xml:space="preserve">2.27 % across the characterized hold-time range at set-point pH</w:t>
      </w:r>
      <w:r>
        <w:t xml:space="preserve"> </w:t>
      </w:r>
      <w:r>
        <w:t xml:space="preserve">and temperature, against a drug substance limit of 5 %. Acidic</w:t>
      </w:r>
      <w:r>
        <w:t xml:space="preserve"> </w:t>
      </w:r>
      <w:r>
        <w:t xml:space="preserve">variants rise by 0.4 percentage points over the same interval.</w:t>
      </w:r>
      <w:r>
        <w:t xml:space="preserve"> </w:t>
      </w:r>
      <w:r>
        <w:t xml:space="preserve">Neither attribute approaches its limit anywhere in the characterized ranges. Commercial-scale</w:t>
      </w:r>
      <w:r>
        <w:t xml:space="preserve"> </w:t>
      </w:r>
      <w:r>
        <w:t xml:space="preserve">capability was estimated by Monte-Carlo simulation of</w:t>
      </w:r>
      <w:r>
        <w:t xml:space="preserve"> </w:t>
      </w:r>
      <w:r>
        <w:t xml:space="preserve">2,000 batches operated within their normal operating ranges.</w:t>
      </w:r>
      <w:r>
        <w:t xml:space="preserve"> </w:t>
      </w:r>
      <w:r>
        <w:t xml:space="preserve">Cumulative XMuLV clearance is the tightest of the three, with a one-sided Cpk of</w:t>
      </w:r>
      <w:r>
        <w:t xml:space="preserve"> </w:t>
      </w:r>
      <w:r>
        <w:t xml:space="preserve">1.53 and a mean of 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</w:t>
      </w:r>
      <w:r>
        <w:t xml:space="preserve"> </w:t>
      </w:r>
      <w:r>
        <w:t xml:space="preserve">requirement of 16.7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Two deviations were recorded, investigated and closed. Both were retained, and neither</w:t>
      </w:r>
      <w:r>
        <w:t xml:space="preserve"> </w:t>
      </w:r>
      <w:r>
        <w:t xml:space="preserve">altered a fitted effect, the operating region or a classification. Two claims are explicitly</w:t>
      </w:r>
      <w:r>
        <w:t xml:space="preserve"> </w:t>
      </w:r>
      <w:r>
        <w:t xml:space="preserve">not made here. No clearance of non-enveloped virus is claimed, and the credited MVM</w:t>
      </w:r>
      <w:r>
        <w:t xml:space="preserve"> </w:t>
      </w:r>
      <w:r>
        <w:t xml:space="preserve">contribution of this step is 0.00 log</w:t>
      </w:r>
      <w:r>
        <w:rPr>
          <w:vertAlign w:val="subscript"/>
        </w:rPr>
        <w:t xml:space="preserve">10</w:t>
      </w:r>
      <w:r>
        <w:t xml:space="preserve">, so parvovirus clearance</w:t>
      </w:r>
      <w:r>
        <w:t xml:space="preserve"> </w:t>
      </w:r>
      <w:r>
        <w:t xml:space="preserve">rests on anion exchange (PCR-008) and virus filtration (PCR-009). No host cell protein</w:t>
      </w:r>
      <w:r>
        <w:t xml:space="preserve"> </w:t>
      </w:r>
      <w:r>
        <w:t xml:space="preserve">clearance is claimed either, because HCP was not measured across this step. The step is</w:t>
      </w:r>
      <w:r>
        <w:t xml:space="preserve"> </w:t>
      </w:r>
      <w:r>
        <w:t xml:space="preserve">understood over the ranges studied, its operating region is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the outcome</w:t>
      </w:r>
      <w:r>
        <w:t xml:space="preserve"> </w:t>
      </w:r>
      <w:r>
        <w:t xml:space="preserve">rolls up into PCMR-001.</w:t>
      </w:r>
    </w:p>
    <w:bookmarkEnd w:id="12"/>
    <w:bookmarkStart w:id="19" w:name="sec-intro"/>
    <w:p>
      <w:pPr>
        <w:pStyle w:val="Heading1"/>
      </w:pPr>
      <w:r>
        <w:t xml:space="preserve">1. Introduction</w:t>
      </w:r>
    </w:p>
    <w:bookmarkStart w:id="14" w:name="sec-uo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by fed-batch cell culture and purified</w:t>
      </w:r>
      <w:r>
        <w:t xml:space="preserve"> </w:t>
      </w:r>
      <w:r>
        <w:t xml:space="preserve">by a platform train that has been used for three earlier antibodies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). The train runs from</w:t>
      </w:r>
      <w:r>
        <w:t xml:space="preserve"> </w:t>
      </w:r>
      <w:r>
        <w:t xml:space="preserve">harvest and clarification through Protein A capture, low-pH viral inactivation, cation</w:t>
      </w:r>
      <w:r>
        <w:t xml:space="preserve"> </w:t>
      </w:r>
      <w:r>
        <w:t xml:space="preserve">exchange, anion exchange, small-virus retentive filtration and ultrafiltration with</w:t>
      </w:r>
      <w:r>
        <w:t xml:space="preserve"> </w:t>
      </w:r>
      <w:r>
        <w:t xml:space="preserve">diafiltration.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steps in order with the role each plays in the control</w:t>
      </w:r>
      <w:r>
        <w:t xml:space="preserve"> </w:t>
      </w:r>
      <w:r>
        <w:t xml:space="preserve">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Low-pH viral inactivation is Step 6 and the first of the three operations that carry a viral</w:t>
      </w:r>
      <w:r>
        <w:t xml:space="preserve"> </w:t>
      </w:r>
      <w:r>
        <w:t xml:space="preserve">clearance claim (Steps 6, 8 and 9). The Protein A eluate arrives acidic from the elution buffer, and the step</w:t>
      </w:r>
      <w:r>
        <w:t xml:space="preserve"> </w:t>
      </w:r>
      <w:r>
        <w:t xml:space="preserve">titrates it to the target inactivation pH, holds it for a defined time under temperature</w:t>
      </w:r>
      <w:r>
        <w:t xml:space="preserve"> </w:t>
      </w:r>
      <w:r>
        <w:t xml:space="preserve">control, and then neutralizes the pool for the cation exchange load. The mechanism is</w:t>
      </w:r>
      <w:r>
        <w:t xml:space="preserve"> </w:t>
      </w:r>
      <w:r>
        <w:t xml:space="preserve">chemical and not physical, in that protonation at low pH disrupts the lipid envelope and the envelope</w:t>
      </w:r>
      <w:r>
        <w:t xml:space="preserve"> </w:t>
      </w:r>
      <w:r>
        <w:t xml:space="preserve">glycoproteins of an enveloped virus, and the resulting loss of infectivity is not reversed on</w:t>
      </w:r>
      <w:r>
        <w:t xml:space="preserve"> </w:t>
      </w:r>
      <w:r>
        <w:t xml:space="preserve">neutralization. A non-enveloped virus has no envelope to disrupt, which is why the step is</w:t>
      </w:r>
      <w:r>
        <w:t xml:space="preserve"> </w:t>
      </w:r>
      <w:r>
        <w:t xml:space="preserve">credited for XMuLV and not for MVM.</w:t>
      </w:r>
    </w:p>
    <w:p>
      <w:pPr>
        <w:pStyle w:val="BodyText"/>
      </w:pPr>
      <w:r>
        <w:t xml:space="preserve">The step forms no product quality attribute, in that no glycan, charge or size attribute is</w:t>
      </w:r>
      <w:r>
        <w:t xml:space="preserve"> </w:t>
      </w:r>
      <w:r>
        <w:t xml:space="preserve">created here and the pool that leaves the step contains the same molecule that entered it. What the</w:t>
      </w:r>
      <w:r>
        <w:t xml:space="preserve"> </w:t>
      </w:r>
      <w:r>
        <w:t xml:space="preserve">step does set is the cumulative enveloped-virus clearance of the drug substance, an attribute</w:t>
      </w:r>
      <w:r>
        <w:t xml:space="preserve"> </w:t>
      </w:r>
      <w:r>
        <w:t xml:space="preserve">of 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and it acts on two attributes formed upstream at the bioreactor (PCR-003).</w:t>
      </w:r>
      <w:r>
        <w:t xml:space="preserve"> </w:t>
      </w:r>
      <w:r>
        <w:t xml:space="preserve">The acid hold raises soluble aggregate and acidic charge variants slightly, and both were</w:t>
      </w:r>
      <w:r>
        <w:t xml:space="preserve"> </w:t>
      </w:r>
      <w:r>
        <w:t xml:space="preserve">measured as responses of this study alongside the log reduction factor.</w:t>
      </w:r>
    </w:p>
    <w:bookmarkEnd w:id="14"/>
    <w:bookmarkStart w:id="15" w:name="sec-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numPr>
          <w:ilvl w:val="0"/>
          <w:numId w:val="1001"/>
        </w:numPr>
      </w:pPr>
      <w:r>
        <w:t xml:space="preserve">Quantify the relationship between the operating parameters of the step and the XMuLV log</w:t>
      </w:r>
      <w:r>
        <w:t xml:space="preserve"> </w:t>
      </w:r>
      <w:r>
        <w:t xml:space="preserve">reduction factor, pool aggregate and acidic charge variants, over ranges wider than those</w:t>
      </w:r>
      <w:r>
        <w:t xml:space="preserve"> </w:t>
      </w:r>
      <w:r>
        <w:t xml:space="preserve">intended for routine operation.</w:t>
      </w:r>
    </w:p>
    <w:p>
      <w:pPr>
        <w:numPr>
          <w:ilvl w:val="0"/>
          <w:numId w:val="1001"/>
        </w:numPr>
      </w:pPr>
      <w:r>
        <w:t xml:space="preserve">Define a multivariate operating region within which the step delivers its required</w:t>
      </w:r>
      <w:r>
        <w:t xml:space="preserve"> </w:t>
      </w:r>
      <w:r>
        <w:t xml:space="preserve">contribution to enveloped-virus clearance.</w:t>
      </w:r>
    </w:p>
    <w:p>
      <w:pPr>
        <w:numPr>
          <w:ilvl w:val="0"/>
          <w:numId w:val="1001"/>
        </w:numPr>
      </w:pPr>
      <w:r>
        <w:t xml:space="preserve">Establish proven acceptable ranges for each parameter against each quality attribute it</w:t>
      </w:r>
      <w:r>
        <w:t xml:space="preserve"> </w:t>
      </w:r>
      <w:r>
        <w:t xml:space="preserve">governs.</w:t>
      </w:r>
    </w:p>
    <w:p>
      <w:pPr>
        <w:numPr>
          <w:ilvl w:val="0"/>
          <w:numId w:val="1001"/>
        </w:numPr>
      </w:pPr>
      <w:r>
        <w:t xml:space="preserve">Classify every parameter of the step under SOP-4001 (CPP, WC-CPP, KPP or GPP).</w:t>
      </w:r>
    </w:p>
    <w:p>
      <w:pPr>
        <w:numPr>
          <w:ilvl w:val="0"/>
          <w:numId w:val="1001"/>
        </w:numPr>
      </w:pPr>
      <w:r>
        <w:t xml:space="preserve">Justify the normal operating ranges and the elements of the control strategy that this</w:t>
      </w:r>
      <w:r>
        <w:t xml:space="preserve"> </w:t>
      </w:r>
      <w:r>
        <w:t xml:space="preserve">step contributes for Stage 2 operation at the receiving site.</w:t>
      </w:r>
    </w:p>
    <w:bookmarkEnd w:id="15"/>
    <w:bookmarkStart w:id="16" w:name="sec-reg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 in the sense of the lifecycle</w:t>
      </w:r>
      <w:r>
        <w:t xml:space="preserve"> </w:t>
      </w:r>
      <w:r>
        <w:t xml:space="preserve">guidance on process validation</w:t>
      </w:r>
      <w:r>
        <w:t xml:space="preserve"> </w:t>
      </w:r>
      <w:r>
        <w:t xml:space="preserve">(U.S. Food and Drug Administration 2011)</w:t>
      </w:r>
      <w:r>
        <w:t xml:space="preserve">. Criticality is treated as a continuum and not as a</w:t>
      </w:r>
      <w:r>
        <w:t xml:space="preserve"> </w:t>
      </w:r>
      <w:r>
        <w:t xml:space="preserve">binary classification, following the quality risk management principles of ICH Q9</w:t>
      </w:r>
      <w:r>
        <w:t xml:space="preserve"> </w:t>
      </w:r>
      <w:r>
        <w:t xml:space="preserve">(International Council for Harmonisation 2023b)</w:t>
      </w:r>
      <w:r>
        <w:t xml:space="preserve">,</w:t>
      </w:r>
      <w:r>
        <w:t xml:space="preserve"> </w:t>
      </w:r>
      <w:r>
        <w:t xml:space="preserve">and the enhanced development approach of ICH Q8 and ICH Q11 supplies the design space and</w:t>
      </w:r>
      <w:r>
        <w:t xml:space="preserve"> </w:t>
      </w:r>
      <w:r>
        <w:t xml:space="preserve">control strategy framework</w:t>
      </w:r>
      <w:r>
        <w:t xml:space="preserve"> </w:t>
      </w:r>
      <w:r>
        <w:t xml:space="preserve">(International Council for Harmonisation 2009, 2012)</w:t>
      </w:r>
      <w:r>
        <w:t xml:space="preserve">. Viral clearance is evaluated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as a modular claim, in which each clearance step is spiked and studied on its own</w:t>
      </w:r>
      <w:r>
        <w:t xml:space="preserve"> </w:t>
      </w:r>
      <w:r>
        <w:t xml:space="preserve">and the step contributions are summed. The process description, the quality attribute</w:t>
      </w:r>
      <w:r>
        <w:t xml:space="preserve"> </w:t>
      </w:r>
      <w:r>
        <w:t xml:space="preserve">framework and the risk methodology follow the published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features of the viral-safety framework shape what this report is able to claim. Clearance</w:t>
      </w:r>
      <w:r>
        <w:t xml:space="preserve"> </w:t>
      </w:r>
      <w:r>
        <w:t xml:space="preserve">studies are performed at small scale with deliberately spiked virus, because live virus may</w:t>
      </w:r>
      <w:r>
        <w:t xml:space="preserve"> </w:t>
      </w:r>
      <w:r>
        <w:t xml:space="preserve">not be introduced into a manufacturing facility, so the claim rests on the qualification of</w:t>
      </w:r>
      <w:r>
        <w:t xml:space="preserve"> </w:t>
      </w:r>
      <w:r>
        <w:t xml:space="preserve">the scale-down model and never on a manufacturing measurement. Clearance is also credited</w:t>
      </w:r>
      <w:r>
        <w:t xml:space="preserve"> </w:t>
      </w:r>
      <w:r>
        <w:t xml:space="preserve">only where the mechanism is understood and the step is operated inside a range that has been</w:t>
      </w:r>
      <w:r>
        <w:t xml:space="preserve"> </w:t>
      </w:r>
      <w:r>
        <w:t xml:space="preserve">studied, which is why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expressed in the same three parameters as</w:t>
      </w:r>
      <w:r>
        <w:t xml:space="preserve"> </w:t>
      </w:r>
      <w:r>
        <w:t xml:space="preserve">the clearance claim itself.</w:t>
      </w:r>
    </w:p>
    <w:bookmarkEnd w:id="16"/>
    <w:bookmarkStart w:id="18" w:name="sec-related"/>
    <w:p>
      <w:pPr>
        <w:pStyle w:val="Heading2"/>
      </w:pPr>
      <w:r>
        <w:t xml:space="preserve">1.4 Related documents</w:t>
      </w:r>
    </w:p>
    <w:p>
      <w:pPr>
        <w:pStyle w:val="FirstParagraph"/>
      </w:pPr>
      <w:hyperlink w:anchor="tbl-r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documents that scope this study and the documents into which it feeds.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sec-prior"/>
    <w:p>
      <w:pPr>
        <w:pStyle w:val="Heading1"/>
      </w:pPr>
      <w:r>
        <w:t xml:space="preserve">2. Prior knowledge and quality risk basis</w:t>
      </w:r>
    </w:p>
    <w:bookmarkStart w:id="20" w:name="sec-platform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low-pH hold is the most stable operation in the platform. It has been used essentially</w:t>
      </w:r>
      <w:r>
        <w:t xml:space="preserve"> </w:t>
      </w:r>
      <w:r>
        <w:t xml:space="preserve">unchanged for three earlier humanized IgG1 products (X-Mab, Y-Mab and Z-Mab) and through</w:t>
      </w:r>
      <w:r>
        <w:t xml:space="preserve"> </w:t>
      </w:r>
      <w:r>
        <w:t xml:space="preserve">A-Mab clinical and engineering manufacture at the sending site. The buffer system, the hold</w:t>
      </w:r>
      <w:r>
        <w:t xml:space="preserve"> </w:t>
      </w:r>
      <w:r>
        <w:t xml:space="preserve">configuration and the parameter set have not changed across those products. Platform</w:t>
      </w:r>
      <w:r>
        <w:t xml:space="preserve"> </w:t>
      </w:r>
      <w:r>
        <w:t xml:space="preserve">experience therefore establishes the mechanism and the direction of every effect this study</w:t>
      </w:r>
      <w:r>
        <w:t xml:space="preserve"> </w:t>
      </w:r>
      <w:r>
        <w:t xml:space="preserve">expected to see, and the purpose of the characterization was to bound those effects for</w:t>
      </w:r>
      <w:r>
        <w:t xml:space="preserve"> </w:t>
      </w:r>
      <w:r>
        <w:t xml:space="preserve">A-Mab and not to discover them.</w:t>
      </w:r>
    </w:p>
    <w:p>
      <w:pPr>
        <w:pStyle w:val="BodyText"/>
      </w:pPr>
      <w:r>
        <w:t xml:space="preserve">The mechanistic expectations were recorded in PCP-006 before execution. Inactivation of an</w:t>
      </w:r>
      <w:r>
        <w:t xml:space="preserve"> </w:t>
      </w:r>
      <w:r>
        <w:t xml:space="preserve">enveloped virus by acid is a kinetic process, so the log reduction factor was expected to rise</w:t>
      </w:r>
      <w:r>
        <w:t xml:space="preserve"> </w:t>
      </w:r>
      <w:r>
        <w:t xml:space="preserve">with hold time and to fall as pH rises toward neutrality. Rate constants for chemical</w:t>
      </w:r>
      <w:r>
        <w:t xml:space="preserve"> </w:t>
      </w:r>
      <w:r>
        <w:t xml:space="preserve">denaturation rise with temperature, so a warmer hold was expected to inactivate faster.</w:t>
      </w:r>
      <w:r>
        <w:t xml:space="preserve"> </w:t>
      </w:r>
      <w:r>
        <w:t xml:space="preserve">Unfolding of an IgG1 at low pH exposes hydrophobic surface and promotes association, so</w:t>
      </w:r>
      <w:r>
        <w:t xml:space="preserve"> </w:t>
      </w:r>
      <w:r>
        <w:t xml:space="preserve">aggregate was expected to rise with hold time and with temperature, and to rise sharply once</w:t>
      </w:r>
      <w:r>
        <w:t xml:space="preserve"> </w:t>
      </w:r>
      <w:r>
        <w:t xml:space="preserve">pH falls below the stability edge of the molecule. Asparagine deamidation is only weakly</w:t>
      </w:r>
      <w:r>
        <w:t xml:space="preserve"> </w:t>
      </w:r>
      <w:r>
        <w:t xml:space="preserve">acid-catalysed at these pH values, so acidic variants were expected to drift upward slowly</w:t>
      </w:r>
      <w:r>
        <w:t xml:space="preserve"> </w:t>
      </w:r>
      <w:r>
        <w:t xml:space="preserve">across the hold and to be insensitive to pH over a range this narrow.</w:t>
      </w:r>
    </w:p>
    <w:p>
      <w:pPr>
        <w:pStyle w:val="BodyText"/>
      </w:pPr>
      <w:r>
        <w:t xml:space="preserve">Two of these expectations set the edges of the characterization range directly. Univariate</w:t>
      </w:r>
      <w:r>
        <w:t xml:space="preserve"> </w:t>
      </w:r>
      <w:r>
        <w:t xml:space="preserve">platform work indicated that A-Mab begins to aggregate on prolonged exposure below pH</w:t>
      </w:r>
      <w:r>
        <w:t xml:space="preserve"> </w:t>
      </w:r>
      <w:r>
        <w:t xml:space="preserve">3.2, so that value was taken as the lowest pH studied and</w:t>
      </w:r>
      <w:r>
        <w:t xml:space="preserve"> </w:t>
      </w:r>
      <w:r>
        <w:t xml:space="preserve">no run was executed below it. At the other edge, platform experience did not support complete</w:t>
      </w:r>
      <w:r>
        <w:t xml:space="preserve"> </w:t>
      </w:r>
      <w:r>
        <w:t xml:space="preserve">inactivation within a normal hold at pH values approaching neutrality, and the upper edge was</w:t>
      </w:r>
      <w:r>
        <w:t xml:space="preserve"> </w:t>
      </w:r>
      <w:r>
        <w:t xml:space="preserve">set at pH 4.0 in order to place the expected edge of</w:t>
      </w:r>
      <w:r>
        <w:t xml:space="preserve"> </w:t>
      </w:r>
      <w:r>
        <w:t xml:space="preserve">failure inside the studied range instead of outside it.</w:t>
      </w:r>
    </w:p>
    <w:bookmarkEnd w:id="20"/>
    <w:bookmarkStart w:id="22" w:name="sec-cqas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Three quality attributes were measured across the step.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their acceptance</w:t>
      </w:r>
      <w:r>
        <w:t xml:space="preserve"> </w:t>
      </w:r>
      <w:r>
        <w:t xml:space="preserve">criteria, their criticality and their Tool #1 scores.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measured across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Enveloped-virus clearance is the attribute the step sets, and it is the only attribute in the</w:t>
      </w:r>
      <w:r>
        <w:t xml:space="preserve"> </w:t>
      </w:r>
      <w:r>
        <w:t xml:space="preserve">table whose acceptance criterion is cumulative across the process, and it is not a property</w:t>
      </w:r>
      <w:r>
        <w:t xml:space="preserve"> </w:t>
      </w:r>
      <w:r>
        <w:t xml:space="preserve">of the pool leaving this step. It is assigned very high criticality. Its Tool #1 score of</w:t>
      </w:r>
      <w:r>
        <w:t xml:space="preserve"> </w:t>
      </w:r>
      <w:r>
        <w:t xml:space="preserve">20 is lower than</w:t>
      </w:r>
      <w:r>
        <w:t xml:space="preserve"> </w:t>
      </w:r>
      <w:r>
        <w:t xml:space="preserve">the score carried by aggregate, because Tool #1 combines the impact of an attribute with the</w:t>
      </w:r>
      <w:r>
        <w:t xml:space="preserve"> </w:t>
      </w:r>
      <w:r>
        <w:t xml:space="preserve">uncertainty attached to that impact, and the consequence of insufficient viral clearance is</w:t>
      </w:r>
      <w:r>
        <w:t xml:space="preserve"> </w:t>
      </w:r>
      <w:r>
        <w:t xml:space="preserve">understood with very little uncertainty. The Tool #2 severity of</w:t>
      </w:r>
      <w:r>
        <w:t xml:space="preserve"> </w:t>
      </w:r>
      <w:r>
        <w:t xml:space="preserve">9 is the</w:t>
      </w:r>
      <w:r>
        <w:t xml:space="preserve"> </w:t>
      </w:r>
      <w:r>
        <w:t xml:space="preserve">highest assigned to any attribute of the drug substance.</w:t>
      </w:r>
    </w:p>
    <w:p>
      <w:pPr>
        <w:pStyle w:val="BodyText"/>
      </w:pPr>
      <w:r>
        <w:t xml:space="preserve">Aggregate and acidic variants are formed at the bioreactor and are carried into this step by</w:t>
      </w:r>
      <w:r>
        <w:t xml:space="preserve"> </w:t>
      </w:r>
      <w:r>
        <w:t xml:space="preserve">the Protein A pool. Neither is set here. Both were measured because the acid hold is a</w:t>
      </w:r>
      <w:r>
        <w:t xml:space="preserve"> </w:t>
      </w:r>
      <w:r>
        <w:t xml:space="preserve">recognized source of both, and because a hold long enough to guarantee clearance must be</w:t>
      </w:r>
      <w:r>
        <w:t xml:space="preserve"> </w:t>
      </w:r>
      <w:r>
        <w:t xml:space="preserve">shown not to damage the product. Aggregate is of high criticality and acidic variants of very</w:t>
      </w:r>
      <w:r>
        <w:t xml:space="preserve"> </w:t>
      </w:r>
      <w:r>
        <w:t xml:space="preserve">low criticality, which is why the discussion of the two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asymmetric.</w:t>
      </w:r>
    </w:p>
    <w:bookmarkEnd w:id="22"/>
    <w:bookmarkStart w:id="23" w:name="sec-risk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twice, once for its potential impact on quality</w:t>
      </w:r>
      <w:r>
        <w:t xml:space="preserve"> </w:t>
      </w:r>
      <w:r>
        <w:t xml:space="preserve">attributes and once for its potential to interact with other parameters, and assigned a study</w:t>
      </w:r>
      <w:r>
        <w:t xml:space="preserve"> </w:t>
      </w:r>
      <w:r>
        <w:t xml:space="preserve">type from the combined score. Three parameters ranked high enough to require multivariate</w:t>
      </w:r>
      <w:r>
        <w:t xml:space="preserve"> </w:t>
      </w:r>
      <w:r>
        <w:t xml:space="preserve">study and one was assigned to univariate assessment.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together</w:t>
      </w:r>
      <w:r>
        <w:t xml:space="preserve"> </w:t>
      </w:r>
      <w:r>
        <w:t xml:space="preserve">with the ranges used, and the reasoning behind each range is in</w:t>
      </w:r>
      <w:r>
        <w:t xml:space="preserve"> </w:t>
      </w:r>
      <w:hyperlink w:anchor="sec-factors">
        <w:r>
          <w:rPr>
            <w:rStyle w:val="Hyperlink"/>
          </w:rPr>
          <w:t xml:space="preserve">Section 4.1</w:t>
        </w:r>
      </w:hyperlink>
      <w:r>
        <w:t xml:space="preserve">.</w:t>
      </w:r>
    </w:p>
    <w:p>
      <w:pPr>
        <w:pStyle w:val="BodyText"/>
      </w:pPr>
      <w:r>
        <w:t xml:space="preserve">The ranges were widened well beyond the intended operating ranges, so that the study would</w:t>
      </w:r>
      <w:r>
        <w:t xml:space="preserve"> </w:t>
      </w:r>
      <w:r>
        <w:t xml:space="preserve">locate the edges of acceptable performance instead of confirming the centre. The</w:t>
      </w:r>
      <w:r>
        <w:t xml:space="preserve"> </w:t>
      </w:r>
      <w:r>
        <w:t xml:space="preserve">characterized ranges are between 2.0 and</w:t>
      </w:r>
      <w:r>
        <w:t xml:space="preserve"> </w:t>
      </w:r>
      <w:r>
        <w:t xml:space="preserve">4.0 times as wide as the corresponding normal</w:t>
      </w:r>
      <w:r>
        <w:t xml:space="preserve"> </w:t>
      </w:r>
      <w:r>
        <w:t xml:space="preserve">operating ranges. That choice is what makes the parameter classification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an argument</w:t>
      </w:r>
      <w:r>
        <w:t xml:space="preserve"> </w:t>
      </w:r>
      <w:r>
        <w:t xml:space="preserve">from data, because a range that does not reach an edge of failure</w:t>
      </w:r>
      <w:r>
        <w:t xml:space="preserve"> </w:t>
      </w:r>
      <w:r>
        <w:t xml:space="preserve">cannot distinguish a critical parameter from a well-controlled one.</w:t>
      </w:r>
    </w:p>
    <w:bookmarkEnd w:id="23"/>
    <w:bookmarkEnd w:id="24"/>
    <w:bookmarkStart w:id="31" w:name="sec-mm"/>
    <w:p>
      <w:pPr>
        <w:pStyle w:val="Heading1"/>
      </w:pPr>
      <w:r>
        <w:t xml:space="preserve">3. Materials and methods</w:t>
      </w:r>
    </w:p>
    <w:bookmarkStart w:id="25" w:name="sec-sdm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Viral clearance cannot be measured on a manufacturing batch, so the entire claim rests on a</w:t>
      </w:r>
      <w:r>
        <w:t xml:space="preserve"> </w:t>
      </w:r>
      <w:r>
        <w:t xml:space="preserve">small-scale model and on the evidence that the model represents the commercial step, which for</w:t>
      </w:r>
      <w:r>
        <w:t xml:space="preserve"> </w:t>
      </w:r>
      <w:r>
        <w:t xml:space="preserve">this study is a scaled hold vessel operated under SOP-2009 and qualified under SOP-1001.</w:t>
      </w:r>
      <w:r>
        <w:t xml:space="preserve"> </w:t>
      </w:r>
      <w:r>
        <w:t xml:space="preserve">Spiking, sampling and titration were performed under the same procedures (SOP-2009) for every</w:t>
      </w:r>
      <w:r>
        <w:t xml:space="preserve"> </w:t>
      </w:r>
      <w:r>
        <w:t xml:space="preserve">run of both designs.</w:t>
      </w:r>
    </w:p>
    <w:p>
      <w:pPr>
        <w:pStyle w:val="BodyText"/>
      </w:pPr>
      <w:r>
        <w:t xml:space="preserve">The model is a chemical replica of the step and not a geometric one. Titration uses the same</w:t>
      </w:r>
      <w:r>
        <w:t xml:space="preserve"> </w:t>
      </w:r>
      <w:r>
        <w:t xml:space="preserve">acid and the same buffer system at the same molar ratio, the</w:t>
      </w:r>
      <w:r>
        <w:t xml:space="preserve"> </w:t>
      </w:r>
      <w:r>
        <w:t xml:space="preserve">target pH is reached over a comparable ramp, and the hold is thermostatted to its set-point</w:t>
      </w:r>
      <w:r>
        <w:t xml:space="preserve"> </w:t>
      </w:r>
      <w:r>
        <w:t xml:space="preserve">throughout. Inactivation pH, hold time and temperature are scale-independent quantities and</w:t>
      </w:r>
      <w:r>
        <w:t xml:space="preserve"> </w:t>
      </w:r>
      <w:r>
        <w:t xml:space="preserve">were operated at the values that commercial manufacture will use. Mixing time and titration</w:t>
      </w:r>
      <w:r>
        <w:t xml:space="preserve"> </w:t>
      </w:r>
      <w:r>
        <w:t xml:space="preserve">ramp are scale-dependent, and the small-scale conditions were set to match the ramp achieved</w:t>
      </w:r>
      <w:r>
        <w:t xml:space="preserve"> </w:t>
      </w:r>
      <w:r>
        <w:t xml:space="preserve">at manufacturing scale, not an impeller speed.</w:t>
      </w:r>
    </w:p>
    <w:p>
      <w:pPr>
        <w:pStyle w:val="BodyText"/>
      </w:pPr>
      <w:r>
        <w:t xml:space="preserve">Qualification compared the model with the at-scale step on input and output attributes</w:t>
      </w:r>
      <w:r>
        <w:t xml:space="preserve"> </w:t>
      </w:r>
      <w:r>
        <w:t xml:space="preserve">measured by the same validated methods, including pool aggregate (AMV-3011), acidic variants</w:t>
      </w:r>
      <w:r>
        <w:t xml:space="preserve"> </w:t>
      </w:r>
      <w:r>
        <w:t xml:space="preserve">(AMV-3013) and the pH achieved at the end of titration. No difference was found that would alter the effects fitted</w:t>
      </w:r>
      <w:r>
        <w:t xml:space="preserve"> </w:t>
      </w:r>
      <w:r>
        <w:t xml:space="preserve">in this report. The qualification record is held under SOP-1001, and this report cites its</w:t>
      </w:r>
      <w:r>
        <w:t xml:space="preserve"> </w:t>
      </w:r>
      <w:r>
        <w:t xml:space="preserve">conclusion without restating its data.</w:t>
      </w:r>
    </w:p>
    <w:p>
      <w:pPr>
        <w:pStyle w:val="BodyText"/>
      </w:pPr>
      <w:r>
        <w:t xml:space="preserve">One boundary of the scale-down warrant is stated here because it limits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The model</w:t>
      </w:r>
      <w:r>
        <w:t xml:space="preserve"> </w:t>
      </w:r>
      <w:r>
        <w:t xml:space="preserve">reproduces the chemistry of the hold and the clearance that the chemistry delivers. It does</w:t>
      </w:r>
      <w:r>
        <w:t xml:space="preserve"> </w:t>
      </w:r>
      <w:r>
        <w:t xml:space="preserve">not reproduce the geometry of the commercial hold vessel, so it carries no information about</w:t>
      </w:r>
      <w:r>
        <w:t xml:space="preserve"> </w:t>
      </w:r>
      <w:r>
        <w:t xml:space="preserve">mixing homogeneity during titration at scale. That question is addressed by the equipment</w:t>
      </w:r>
      <w:r>
        <w:t xml:space="preserve"> </w:t>
      </w:r>
      <w:r>
        <w:t xml:space="preserve">qualification and comparability work described in PTP-001.</w:t>
      </w:r>
    </w:p>
    <w:bookmarkEnd w:id="25"/>
    <w:bookmarkStart w:id="26" w:name="sec-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receives the Protein A eluate directly and without adjustment of protein</w:t>
      </w:r>
      <w:r>
        <w:t xml:space="preserve"> </w:t>
      </w:r>
      <w:r>
        <w:t xml:space="preserve">concentration. Acid is added under pH control until the target inactivation pH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 is reached, the</w:t>
      </w:r>
      <w:r>
        <w:t xml:space="preserve"> </w:t>
      </w:r>
      <w:r>
        <w:t xml:space="preserve">pH is confirmed by an independent measurement, and only then does the hold clock start.</w:t>
      </w:r>
      <w:r>
        <w:t xml:space="preserve"> </w:t>
      </w:r>
      <w:r>
        <w:t xml:space="preserve">The hold proceeds without further addition. At the end of the hold the pool is titrated to the</w:t>
      </w:r>
      <w:r>
        <w:t xml:space="preserve"> </w:t>
      </w:r>
      <w:r>
        <w:t xml:space="preserve">cation exchange load pH and filtered, and neutralization is treated as the end of the</w:t>
      </w:r>
      <w:r>
        <w:t xml:space="preserve"> </w:t>
      </w:r>
      <w:r>
        <w:t xml:space="preserve">inactivation for the purpose of the log reduction calculation.</w:t>
      </w:r>
    </w:p>
    <w:p>
      <w:pPr>
        <w:pStyle w:val="BodyText"/>
      </w:pPr>
      <w:r>
        <w:t xml:space="preserve">A-Mab concentration in the hold is set by the Protein A elution and is not adjusted at this</w:t>
      </w:r>
      <w:r>
        <w:t xml:space="preserve"> </w:t>
      </w:r>
      <w:r>
        <w:t xml:space="preserve">step. It was therefore treated as an input attribute spanning the range that Protein A can</w:t>
      </w:r>
      <w:r>
        <w:t xml:space="preserve"> </w:t>
      </w:r>
      <w:r>
        <w:t xml:space="preserve">deliver, which is why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with a normal operating range equal to its</w:t>
      </w:r>
      <w:r>
        <w:t xml:space="preserve"> </w:t>
      </w:r>
      <w:r>
        <w:t xml:space="preserve">characterized range.</w:t>
      </w:r>
    </w:p>
    <w:p>
      <w:pPr>
        <w:pStyle w:val="BodyText"/>
      </w:pPr>
      <w:r>
        <w:t xml:space="preserve">Materials entering the step are controlled to platform specifications and were not</w:t>
      </w:r>
      <w:r>
        <w:t xml:space="preserve"> </w:t>
      </w:r>
      <w:r>
        <w:t xml:space="preserve">characterized. Acid and neutralization buffers were prepared and released under SOP-2103</w:t>
      </w:r>
      <w:r>
        <w:t xml:space="preserve"> </w:t>
      </w:r>
      <w:r>
        <w:t xml:space="preserve">before use, and their identity, concentration and expiry are quality controlled, and none of</w:t>
      </w:r>
      <w:r>
        <w:t xml:space="preserve"> </w:t>
      </w:r>
      <w:r>
        <w:t xml:space="preserve">them was studied as a parameter.</w:t>
      </w:r>
    </w:p>
    <w:bookmarkEnd w:id="26"/>
    <w:bookmarkStart w:id="28" w:name="sec-analytical"/>
    <w:p>
      <w:pPr>
        <w:pStyle w:val="Heading2"/>
      </w:pPr>
      <w:r>
        <w:t xml:space="preserve">3.3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controlled procedures and validated methods used in the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XMuLV infectivity was measured as a TCID50 titre under AMV-3017, and the log reduction factor</w:t>
      </w:r>
      <w:r>
        <w:t xml:space="preserve"> </w:t>
      </w:r>
      <w:r>
        <w:t xml:space="preserve">is the difference between the titre of the spiked load and the titre of the neutralized hold</w:t>
      </w:r>
      <w:r>
        <w:t xml:space="preserve"> </w:t>
      </w:r>
      <w:r>
        <w:t xml:space="preserve">pool. Aggregate was measured by SEC-HPLC under AMV-3011 and charge variants by icIEF under</w:t>
      </w:r>
      <w:r>
        <w:t xml:space="preserve"> </w:t>
      </w:r>
      <w:r>
        <w:t xml:space="preserve">AMV-3013. Each assay was run with the cytotoxicity and interference controls that ICH Q5A(R2)</w:t>
      </w:r>
      <w:r>
        <w:t xml:space="preserve"> </w:t>
      </w:r>
      <w:r>
        <w:t xml:space="preserve">requires for a clearance study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The infectivity assay is the least precise of the three and it is the method that carries the</w:t>
      </w:r>
      <w:r>
        <w:t xml:space="preserve"> </w:t>
      </w:r>
      <w:r>
        <w:t xml:space="preserve">claim, so two of its properties are stated here and used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Its quantitation limit is</w:t>
      </w:r>
      <w:r>
        <w:t xml:space="preserve"> </w:t>
      </w:r>
      <w:r>
        <w:t xml:space="preserve">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TCID50/mL, and</w:t>
      </w:r>
      <w:r>
        <w:t xml:space="preserve"> </w:t>
      </w:r>
      <w:r>
        <w:t xml:space="preserve">28 % of the variance observed in the reported log</w:t>
      </w:r>
      <w:r>
        <w:t xml:space="preserve"> </w:t>
      </w:r>
      <w:r>
        <w:t xml:space="preserve">reduction factor is attributable to the method itself. Method performance is summarized in</w:t>
      </w:r>
      <w:r>
        <w:t xml:space="preserve"> </w:t>
      </w:r>
      <w:r>
        <w:t xml:space="preserve">Appendix D and reported in full in the validation record for AMV-3017.</w:t>
      </w:r>
    </w:p>
    <w:bookmarkEnd w:id="28"/>
    <w:bookmarkStart w:id="29" w:name="sec-sampling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twice. The load sample was taken after the virus spike had been added</w:t>
      </w:r>
      <w:r>
        <w:t xml:space="preserve"> </w:t>
      </w:r>
      <w:r>
        <w:t xml:space="preserve">and after the target pH had been reached, and it establishes the input titre. The pool sample</w:t>
      </w:r>
      <w:r>
        <w:t xml:space="preserve"> </w:t>
      </w:r>
      <w:r>
        <w:t xml:space="preserve">was taken at the end of the hold, neutralized immediately to stop further inactivation, and</w:t>
      </w:r>
      <w:r>
        <w:t xml:space="preserve"> </w:t>
      </w:r>
      <w:r>
        <w:t xml:space="preserve">assayed for infectivity, aggregate and charge variants. Sampling volumes were small enough</w:t>
      </w:r>
      <w:r>
        <w:t xml:space="preserve"> </w:t>
      </w:r>
      <w:r>
        <w:t xml:space="preserve">that the hold volume was not materially changed.</w:t>
      </w:r>
    </w:p>
    <w:p>
      <w:pPr>
        <w:pStyle w:val="BodyText"/>
      </w:pPr>
      <w:r>
        <w:t xml:space="preserve">Replication was placed at the centre point of each design. The screening design carried</w:t>
      </w:r>
      <w:r>
        <w:t xml:space="preserve"> </w:t>
      </w:r>
      <w:r>
        <w:t xml:space="preserve">3 centre-point runs and the response-surface design carried</w:t>
      </w:r>
      <w:r>
        <w:t xml:space="preserve"> </w:t>
      </w:r>
      <w:r>
        <w:t xml:space="preserve">4, giving 2 and 3 degrees of freedom</w:t>
      </w:r>
      <w:r>
        <w:t xml:space="preserve"> </w:t>
      </w:r>
      <w:r>
        <w:t xml:space="preserve">for pure error respectively. Those replicates are the only estimate of reproducibility between</w:t>
      </w:r>
      <w:r>
        <w:t xml:space="preserve"> </w:t>
      </w:r>
      <w:r>
        <w:t xml:space="preserve">runs in the study, and every lack-of-fit test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made against them.</w:t>
      </w:r>
    </w:p>
    <w:bookmarkEnd w:id="29"/>
    <w:bookmarkStart w:id="30" w:name="sec-stat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to the edges of their characterized ranges, with the coded values −1 and</w:t>
      </w:r>
      <w:r>
        <w:t xml:space="preserve"> </w:t>
      </w:r>
      <w:r>
        <w:t xml:space="preserve">+1 at the range limits and 0 at the range midpoint. The midpoint is not the process set-point</w:t>
      </w:r>
      <w:r>
        <w:t xml:space="preserve"> </w:t>
      </w:r>
      <w:r>
        <w:t xml:space="preserve">for any of the three multivariate factors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so every prediction quoted at the</w:t>
      </w:r>
      <w:r>
        <w:t xml:space="preserve"> </w:t>
      </w:r>
      <w:r>
        <w:t xml:space="preserve">set-point in this report was computed from the fitted model at the set-point values and not</w:t>
      </w:r>
      <w:r>
        <w:t xml:space="preserve"> </w:t>
      </w:r>
      <w:r>
        <w:t xml:space="preserve">read off the design centre. Analyses were performed under SOP-1002.</w:t>
      </w:r>
    </w:p>
    <w:p>
      <w:pPr>
        <w:pStyle w:val="BodyText"/>
      </w:pPr>
      <w:r>
        <w:t xml:space="preserve">The screening analysis fitted all main effects and all two-factor interactions by ordinary</w:t>
      </w:r>
      <w:r>
        <w:t xml:space="preserve"> </w:t>
      </w:r>
      <w:r>
        <w:t xml:space="preserve">least squares. An effect is reported as twice the coded coefficient, so it is the change in</w:t>
      </w:r>
      <w:r>
        <w:t xml:space="preserve"> </w:t>
      </w:r>
      <w:r>
        <w:t xml:space="preserve">the response across the full characterized range of that factor. The response-surface</w:t>
      </w:r>
      <w:r>
        <w:t xml:space="preserve"> </w:t>
      </w:r>
      <w:r>
        <w:t xml:space="preserve">analysis fitted the full quadratic model in the same three factors. Significance is assessed</w:t>
      </w:r>
      <w:r>
        <w:t xml:space="preserve"> </w:t>
      </w:r>
      <w:r>
        <w:t xml:space="preserve">at the 5 % level throughout, and coefficients are reported with their standard errors.</w:t>
      </w:r>
    </w:p>
    <w:p>
      <w:pPr>
        <w:pStyle w:val="BodyText"/>
      </w:pPr>
      <w:r>
        <w:t xml:space="preserve">Model adequacy was judged on the coefficient of determination and its adjusted form, on the</w:t>
      </w:r>
      <w:r>
        <w:t xml:space="preserve"> </w:t>
      </w:r>
      <w:r>
        <w:t xml:space="preserve">predicted coefficient of determination computed from PRESS, on the overall F test, and on an</w:t>
      </w:r>
      <w:r>
        <w:t xml:space="preserve"> </w:t>
      </w:r>
      <w:r>
        <w:t xml:space="preserve">analysis of variance that partitions the residual sum of squares into lack of fit and pure</w:t>
      </w:r>
      <w:r>
        <w:t xml:space="preserve"> </w:t>
      </w:r>
      <w:r>
        <w:t xml:space="preserve">error. A model is treated as adequate when its lack-of-fit term is not significant against</w:t>
      </w:r>
      <w:r>
        <w:t xml:space="preserve"> </w:t>
      </w:r>
      <w:r>
        <w:t xml:space="preserve">the centre-point pure error. A response for which no factor is active is reported as robust</w:t>
      </w:r>
      <w:r>
        <w:t xml:space="preserve"> </w:t>
      </w:r>
      <w:r>
        <w:t xml:space="preserve">over the ranges studied and is not modelled further.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every process parameter drawn within its</w:t>
      </w:r>
      <w:r>
        <w:t xml:space="preserve"> </w:t>
      </w:r>
      <w:r>
        <w:t xml:space="preserve">normal operating range and propagated through the whole process model. Capability is reported</w:t>
      </w:r>
      <w:r>
        <w:t xml:space="preserve"> </w:t>
      </w:r>
      <w:r>
        <w:t xml:space="preserve">as a one-sided Cpk, because each attribute this step influences has a single binding limit.</w:t>
      </w:r>
      <w:r>
        <w:t xml:space="preserve"> </w:t>
      </w:r>
      <w:r>
        <w:t xml:space="preserve">Proven acceptable ranges were computed in the two forms described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bookmarkEnd w:id="30"/>
    <w:bookmarkEnd w:id="31"/>
    <w:bookmarkStart w:id="38" w:name="sec-studydesign"/>
    <w:p>
      <w:pPr>
        <w:pStyle w:val="Heading1"/>
      </w:pPr>
      <w:r>
        <w:t xml:space="preserve">4. Study design</w:t>
      </w:r>
    </w:p>
    <w:bookmarkStart w:id="34" w:name="sec-factors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four parameters of the step with their set-points, normal operating</w:t>
      </w:r>
      <w:r>
        <w:t xml:space="preserve"> </w:t>
      </w:r>
      <w:r>
        <w:t xml:space="preserve">ranges, characterized ranges and final classifications.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letter codes</w:t>
      </w:r>
      <w:r>
        <w:t xml:space="preserve"> </w:t>
      </w:r>
      <w:r>
        <w:t xml:space="preserve">used for the design factors in the effect and coefficient tables that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low-pH viral inactivation step, with set-points, normal operating ranges, characterization ranges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711"/>
              <w:gridCol w:w="1156"/>
              <w:gridCol w:w="800"/>
              <w:gridCol w:w="1334"/>
              <w:gridCol w:w="800"/>
              <w:gridCol w:w="12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characterized ranges are the knowledge space of the step. The normal operating ranges lie</w:t>
      </w:r>
      <w:r>
        <w:t xml:space="preserve"> </w:t>
      </w:r>
      <w:r>
        <w:t xml:space="preserve">inside them, and the 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lies between the two. Each range was set</w:t>
      </w:r>
      <w:r>
        <w:t xml:space="preserve"> </w:t>
      </w:r>
      <w:r>
        <w:t xml:space="preserve">for a stated reason, and no uniform multiple of the operating range was applied.</w:t>
      </w:r>
    </w:p>
    <w:p>
      <w:pPr>
        <w:pStyle w:val="BodyText"/>
      </w:pPr>
      <w:r>
        <w:t xml:space="preserve">The pH range is not centred on the set-point, and it extends</w:t>
      </w:r>
      <w:r>
        <w:t xml:space="preserve"> </w:t>
      </w:r>
      <w:r>
        <w:t xml:space="preserve">0.3 pH units below the set-point and</w:t>
      </w:r>
      <w:r>
        <w:t xml:space="preserve"> </w:t>
      </w:r>
      <w:r>
        <w:t xml:space="preserve">0.5 units above it, because the edge of</w:t>
      </w:r>
      <w:r>
        <w:t xml:space="preserve"> </w:t>
      </w:r>
      <w:r>
        <w:t xml:space="preserve">failure that the study needed to locate is the upper one. The lower edge was placed at the pH</w:t>
      </w:r>
      <w:r>
        <w:t xml:space="preserve"> </w:t>
      </w:r>
      <w:r>
        <w:t xml:space="preserve">below which platform data indicate aggregation, and no run went below it.</w:t>
      </w:r>
    </w:p>
    <w:p>
      <w:pPr>
        <w:pStyle w:val="BodyText"/>
      </w:pPr>
      <w:r>
        <w:t xml:space="preserve">The hold-time range extends to 180 minutes, which is</w:t>
      </w:r>
      <w:r>
        <w:t xml:space="preserve"> </w:t>
      </w:r>
      <w:r>
        <w:t xml:space="preserve">2 times the set-point</w:t>
      </w:r>
      <w:r>
        <w:t xml:space="preserve"> </w:t>
      </w:r>
      <w:r>
        <w:t xml:space="preserve">hold. A hold can be extended in manufacture but cannot be shortened once it has run, so the</w:t>
      </w:r>
      <w:r>
        <w:t xml:space="preserve"> </w:t>
      </w:r>
      <w:r>
        <w:t xml:space="preserve">practical risk lies at the long end and the range was widened in that direction. Its lower</w:t>
      </w:r>
      <w:r>
        <w:t xml:space="preserve"> </w:t>
      </w:r>
      <w:r>
        <w:t xml:space="preserve">edge coincides with the lower edge of the normal operating range, because a hold shorter than</w:t>
      </w:r>
      <w:r>
        <w:t xml:space="preserve"> </w:t>
      </w:r>
      <w:r>
        <w:t xml:space="preserve">that is a batch deviation and not an operating condition. The temperature range spans the</w:t>
      </w:r>
      <w:r>
        <w:t xml:space="preserve"> </w:t>
      </w:r>
      <w:r>
        <w:t xml:space="preserve">ambient control capability of the receiving suite (Grafton, WI), which is</w:t>
      </w:r>
      <w:r>
        <w:t xml:space="preserve"> </w:t>
      </w:r>
      <w:r>
        <w:t xml:space="preserve">10 °C wide against a normal operating range of</w:t>
      </w:r>
      <w:r>
        <w:t xml:space="preserve"> </w:t>
      </w:r>
      <w:r>
        <w:t xml:space="preserve">4 °C.</w:t>
      </w:r>
    </w:p>
    <w:bookmarkEnd w:id="34"/>
    <w:bookmarkStart w:id="35" w:name="sec-scr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three multivariate parameters with</w:t>
      </w:r>
      <w:r>
        <w:t xml:space="preserve"> </w:t>
      </w:r>
      <w:r>
        <w:t xml:space="preserve">3 centre points, 11 runs in total. A full factorial in three</w:t>
      </w:r>
      <w:r>
        <w:t xml:space="preserve"> </w:t>
      </w:r>
      <w:r>
        <w:t xml:space="preserve">factors estimates all three main effects and all three two-factor interactions without</w:t>
      </w:r>
      <w:r>
        <w:t xml:space="preserve"> </w:t>
      </w:r>
      <w:r>
        <w:t xml:space="preserve">aliasing, so no resolution compromise applies and no effect in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is confounded</w:t>
      </w:r>
      <w:r>
        <w:t xml:space="preserve"> </w:t>
      </w:r>
      <w:r>
        <w:t xml:space="preserve">with another. Runs were randomized and executed under SOP-1002 on the qualified scale-down</w:t>
      </w:r>
      <w:r>
        <w:t xml:space="preserve"> </w:t>
      </w:r>
      <w:r>
        <w:t xml:space="preserve">model. The coded design matrix and the measured responses are in Appendix A.</w:t>
      </w:r>
    </w:p>
    <w:p>
      <w:pPr>
        <w:pStyle w:val="BodyText"/>
      </w:pPr>
      <w:r>
        <w:t xml:space="preserve">The screening model leaves 4 residual degrees of freedom, and it</w:t>
      </w:r>
      <w:r>
        <w:t xml:space="preserve"> </w:t>
      </w:r>
      <w:r>
        <w:t xml:space="preserve">contains no quadratic term. It identifies which factors are active and estimates their</w:t>
      </w:r>
      <w:r>
        <w:t xml:space="preserve"> </w:t>
      </w:r>
      <w:r>
        <w:t xml:space="preserve">magnitude approximately, and it cannot detect curvature. It is not used as a predictive model</w:t>
      </w:r>
      <w:r>
        <w:t xml:space="preserve"> </w:t>
      </w:r>
      <w:r>
        <w:t xml:space="preserve">anywhere in this report.</w:t>
      </w:r>
    </w:p>
    <w:bookmarkEnd w:id="35"/>
    <w:bookmarkStart w:id="36" w:name="sec-rsm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three</w:t>
      </w:r>
      <w:r>
        <w:t xml:space="preserve"> </w:t>
      </w:r>
      <w:r>
        <w:t xml:space="preserve">factors, with 8 factorial runs, 6 axial runs at the face</w:t>
      </w:r>
      <w:r>
        <w:t xml:space="preserve"> </w:t>
      </w:r>
      <w:r>
        <w:t xml:space="preserve">centres and 4 centre points, 18 runs in total. Placing the</w:t>
      </w:r>
      <w:r>
        <w:t xml:space="preserve"> </w:t>
      </w:r>
      <w:r>
        <w:t xml:space="preserve">axial points on the faces of the cube, instead of outside it, keeps every run inside the</w:t>
      </w:r>
      <w:r>
        <w:t xml:space="preserve"> </w:t>
      </w:r>
      <w:r>
        <w:t xml:space="preserve">characterized ranges, which matters here because the ranges were chosen to reach an edge of</w:t>
      </w:r>
      <w:r>
        <w:t xml:space="preserve"> </w:t>
      </w:r>
      <w:r>
        <w:t xml:space="preserve">failure and an extrapolated axial point would have crossed it. The design supports the full</w:t>
      </w:r>
      <w:r>
        <w:t xml:space="preserve"> </w:t>
      </w:r>
      <w:r>
        <w:t xml:space="preserve">quadratic model in three factors. That model is the predictive model of this report and the</w:t>
      </w:r>
      <w:r>
        <w:t xml:space="preserve"> </w:t>
      </w:r>
      <w:r>
        <w:t xml:space="preserve">basis of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the proven acceptable ranges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the capability</w:t>
      </w:r>
      <w:r>
        <w:t xml:space="preserve"> </w:t>
      </w:r>
      <w:r>
        <w:t xml:space="preserve">assessment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 The coded matrix and responses are in Appendix B.</w:t>
      </w:r>
    </w:p>
    <w:p>
      <w:pPr>
        <w:pStyle w:val="BodyText"/>
      </w:pPr>
      <w:r>
        <w:t xml:space="preserve">All three factors were carried into the response-surface design, because with only three</w:t>
      </w:r>
      <w:r>
        <w:t xml:space="preserve"> </w:t>
      </w:r>
      <w:r>
        <w:t xml:space="preserve">multivariate parameters there was no subset to select and curvature in the pH response was the specific</w:t>
      </w:r>
      <w:r>
        <w:t xml:space="preserve"> </w:t>
      </w:r>
      <w:r>
        <w:t xml:space="preserve">question the design was built to answer.</w:t>
      </w:r>
    </w:p>
    <w:bookmarkEnd w:id="36"/>
    <w:bookmarkStart w:id="37" w:name="sec-univariate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assessed one factor at a time and was not carried into the</w:t>
      </w:r>
      <w:r>
        <w:t xml:space="preserve"> </w:t>
      </w:r>
      <w:r>
        <w:t xml:space="preserve">multivariate design. Acid-mediated inactivation of an enveloped virus is a reaction between</w:t>
      </w:r>
      <w:r>
        <w:t xml:space="preserve"> </w:t>
      </w:r>
      <w:r>
        <w:t xml:space="preserve">protons and the viral envelope, and the antibody is not a reactant in it, so no mechanism</w:t>
      </w:r>
      <w:r>
        <w:t xml:space="preserve"> </w:t>
      </w:r>
      <w:r>
        <w:t xml:space="preserve">links antibody concentration to the inactivation rate. RA-001 ranked the parameter on that</w:t>
      </w:r>
      <w:r>
        <w:t xml:space="preserve"> </w:t>
      </w:r>
      <w:r>
        <w:t xml:space="preserve">basis and assigned it to univariate assessment.</w:t>
      </w:r>
    </w:p>
    <w:p>
      <w:pPr>
        <w:pStyle w:val="BodyText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records the outcome. The normal operating range for A-Mab concentration is its</w:t>
      </w:r>
      <w:r>
        <w:t xml:space="preserve"> </w:t>
      </w:r>
      <w:r>
        <w:t xml:space="preserve">entire characterized range, and that equality is the record that no restriction on the</w:t>
      </w:r>
      <w:r>
        <w:t xml:space="preserve"> </w:t>
      </w:r>
      <w:r>
        <w:t xml:space="preserve">parameter was found to be necessary. The range covers the concentrations that the Protein A</w:t>
      </w:r>
      <w:r>
        <w:t xml:space="preserve"> </w:t>
      </w:r>
      <w:r>
        <w:t xml:space="preserve">step can deliver, so this step imposes no additional control on the eluate it receives.</w:t>
      </w:r>
    </w:p>
    <w:bookmarkEnd w:id="37"/>
    <w:bookmarkEnd w:id="38"/>
    <w:bookmarkStart w:id="59" w:name="sec-results"/>
    <w:p>
      <w:pPr>
        <w:pStyle w:val="Heading1"/>
      </w:pPr>
      <w:r>
        <w:t xml:space="preserve">5. Results</w:t>
      </w:r>
    </w:p>
    <w:bookmarkStart w:id="40" w:name="sec-centr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Reproducibility differs sharply between the three responses, and it sets how far each result</w:t>
      </w:r>
      <w:r>
        <w:t xml:space="preserve"> </w:t>
      </w:r>
      <w:r>
        <w:t xml:space="preserve">can be pushed.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standard deviation and coefficient of variation of the</w:t>
      </w:r>
      <w:r>
        <w:t xml:space="preserve"> </w:t>
      </w:r>
      <w:r>
        <w:t xml:space="preserve">4 centre-point runs of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 (pure-error basis for the lack-of-fit tests).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Aggregate reproduced to 0.8 %, which is comfortably inside the</w:t>
      </w:r>
      <w:r>
        <w:t xml:space="preserve"> </w:t>
      </w:r>
      <w:r>
        <w:t xml:space="preserve">precision of the SEC method. The XMuLV log reduction factor reproduced to</w:t>
      </w:r>
      <w:r>
        <w:t xml:space="preserve"> </w:t>
      </w:r>
      <w:r>
        <w:t xml:space="preserve">5.7 %, a standard deviation of 0.38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on a</w:t>
      </w:r>
      <w:r>
        <w:t xml:space="preserve"> </w:t>
      </w:r>
      <w:r>
        <w:t xml:space="preserve">centre-point mean of 6.71 log</w:t>
      </w:r>
      <w:r>
        <w:rPr>
          <w:vertAlign w:val="subscript"/>
        </w:rPr>
        <w:t xml:space="preserve">10</w:t>
      </w:r>
      <w:r>
        <w:t xml:space="preserve">. That figure is</w:t>
      </w:r>
      <w:r>
        <w:t xml:space="preserve"> </w:t>
      </w:r>
      <w:r>
        <w:t xml:space="preserve">the largest source of imprecision in the study, and it is consistent with the infectivity</w:t>
      </w:r>
      <w:r>
        <w:t xml:space="preserve"> </w:t>
      </w:r>
      <w:r>
        <w:t xml:space="preserve">assay accounting for 28 % of the variance in the</w:t>
      </w:r>
      <w:r>
        <w:t xml:space="preserve"> </w:t>
      </w:r>
      <w:r>
        <w:t xml:space="preserve">reported log reduction factor (</w:t>
      </w:r>
      <w:hyperlink w:anchor="sec-analytical">
        <w:r>
          <w:rPr>
            <w:rStyle w:val="Hyperlink"/>
          </w:rPr>
          <w:t xml:space="preserve">Section 3.3</w:t>
        </w:r>
      </w:hyperlink>
      <w:r>
        <w:t xml:space="preserve">). Acidic variants returned an identical value on every</w:t>
      </w:r>
      <w:r>
        <w:t xml:space="preserve"> </w:t>
      </w:r>
      <w:r>
        <w:t xml:space="preserve">centre-point run, giving a standard deviation of 0.00 and no usable</w:t>
      </w:r>
      <w:r>
        <w:t xml:space="preserve"> </w:t>
      </w:r>
      <w:r>
        <w:t xml:space="preserve">pure-error term.</w:t>
      </w:r>
    </w:p>
    <w:p>
      <w:pPr>
        <w:pStyle w:val="BodyText"/>
      </w:pPr>
      <w:r>
        <w:t xml:space="preserve">The practical consequence is that lack of fit can be tested for aggregate and for the log</w:t>
      </w:r>
      <w:r>
        <w:t xml:space="preserve"> </w:t>
      </w:r>
      <w:r>
        <w:t xml:space="preserve">reduction factor but not for acidic variants. The screening centre points behave the same way</w:t>
      </w:r>
      <w:r>
        <w:t xml:space="preserve"> </w:t>
      </w:r>
      <w:r>
        <w:t xml:space="preserve">(Appendix A), so the pattern belongs to the responses and not to one design.</w:t>
      </w:r>
    </w:p>
    <w:bookmarkEnd w:id="40"/>
    <w:bookmarkStart w:id="44" w:name="sec-scr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the three active factors that platform knowledge predicted,</w:t>
      </w:r>
      <w:r>
        <w:t xml:space="preserve"> </w:t>
      </w:r>
      <w:r>
        <w:t xml:space="preserve">and it found no significant interaction among them for any response.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fit statistics for the three responses, and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scr-agg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 the effect</w:t>
      </w:r>
      <w:r>
        <w:t xml:space="preserve"> </w:t>
      </w:r>
      <w:r>
        <w:t xml:space="preserve">estimates for the log reduction factor and for aggregate.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fit statistics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27"/>
              <w:gridCol w:w="435"/>
              <w:gridCol w:w="696"/>
              <w:gridCol w:w="957"/>
              <w:gridCol w:w="1044"/>
              <w:gridCol w:w="1044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3.931e+26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1.726e-53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1.165e-14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r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the XMuLV log reduction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Inactivation pH is the largest effect on the log reduction factor. Raising pH across its</w:t>
      </w:r>
      <w:r>
        <w:t xml:space="preserve"> </w:t>
      </w:r>
      <w:r>
        <w:t xml:space="preserve">characterized range lowers the log reduction factor by</w:t>
      </w:r>
      <w:r>
        <w:t xml:space="preserve"> </w:t>
      </w:r>
      <w:r>
        <w:t xml:space="preserve">2.08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0.001). Hold time is the second largest and</w:t>
      </w:r>
      <w:r>
        <w:t xml:space="preserve"> </w:t>
      </w:r>
      <w:r>
        <w:t xml:space="preserve">acts in the opposite direction, raising it by 1.72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across</w:t>
      </w:r>
      <w:r>
        <w:t xml:space="preserve"> </w:t>
      </w:r>
      <w:r>
        <w:t xml:space="preserve">its range (p &lt; 0.001). Temperature raises it by 0.64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0.05). None of the three two-factor interactions reaches significance, and the largest</w:t>
      </w:r>
      <w:r>
        <w:t xml:space="preserve"> </w:t>
      </w:r>
      <w:r>
        <w:t xml:space="preserve">of them is 0.24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with p =</w:t>
      </w:r>
      <w:r>
        <w:t xml:space="preserve"> </w:t>
      </w:r>
      <w:r>
        <w:t xml:space="preserve">0.27.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r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pool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3.693e-05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Aggregate is governed by hold time and temperature, and pH has no detectable effect on it</w:t>
      </w:r>
      <w:r>
        <w:t xml:space="preserve"> </w:t>
      </w:r>
      <w:r>
        <w:t xml:space="preserve">within the characterized range. Hold time raises pool aggregate by</w:t>
      </w:r>
      <w:r>
        <w:t xml:space="preserve"> </w:t>
      </w:r>
      <w:r>
        <w:t xml:space="preserve">0.47 percentage points across its range (p &lt; 0.001) and temperature</w:t>
      </w:r>
      <w:r>
        <w:t xml:space="preserve"> </w:t>
      </w:r>
      <w:r>
        <w:t xml:space="preserve">raises it by 0.22 points (p &lt; 0.001). The pH effect is</w:t>
      </w:r>
      <w:r>
        <w:t xml:space="preserve"> </w:t>
      </w:r>
      <w:r>
        <w:t xml:space="preserve">0.022 points and does not reach significance (p =</w:t>
      </w:r>
      <w:r>
        <w:t xml:space="preserve"> </w:t>
      </w:r>
      <w:r>
        <w:t xml:space="preserve">0.40). That null result carries information, because the study</w:t>
      </w:r>
      <w:r>
        <w:t xml:space="preserve"> </w:t>
      </w:r>
      <w:r>
        <w:t xml:space="preserve">extended pH 0.3 units below the</w:t>
      </w:r>
      <w:r>
        <w:t xml:space="preserve"> </w:t>
      </w:r>
      <w:r>
        <w:t xml:space="preserve">set-point specifically in order to detect the onset of acid-induced aggregation. Over the</w:t>
      </w:r>
      <w:r>
        <w:t xml:space="preserve"> </w:t>
      </w:r>
      <w:r>
        <w:t xml:space="preserve">range studied the onset was not reached, and pH is retained in the knowledge space for</w:t>
      </w:r>
      <w:r>
        <w:t xml:space="preserve"> </w:t>
      </w:r>
      <w:r>
        <w:t xml:space="preserve">aggregate as evidence that the attribute is robust to it down to pH</w:t>
      </w:r>
      <w:r>
        <w:t xml:space="preserve"> </w:t>
      </w:r>
      <w:r>
        <w:t xml:space="preserve">3.2.</w:t>
      </w:r>
    </w:p>
    <w:p>
      <w:pPr>
        <w:pStyle w:val="BodyText"/>
      </w:pPr>
      <w:r>
        <w:t xml:space="preserve">Acidic variants responded to hold time alone. The estimated effect is</w:t>
      </w:r>
      <w:r>
        <w:t xml:space="preserve"> </w:t>
      </w:r>
      <w:r>
        <w:t xml:space="preserve">0.4 percentage points across the characterized hold-time range,</w:t>
      </w:r>
      <w:r>
        <w:t xml:space="preserve"> </w:t>
      </w:r>
      <w:r>
        <w:t xml:space="preserve">against an upper limit of 40 %, and no other term is</w:t>
      </w:r>
      <w:r>
        <w:t xml:space="preserve"> </w:t>
      </w:r>
      <w:r>
        <w:t xml:space="preserve">distinguishable from zero. Because this response carries no replicate variation (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), its</w:t>
      </w:r>
      <w:r>
        <w:t xml:space="preserve"> </w:t>
      </w:r>
      <w:r>
        <w:t xml:space="preserve">fit statistics in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are not informative about the quality of the fit and the full</w:t>
      </w:r>
      <w:r>
        <w:t xml:space="preserve"> </w:t>
      </w:r>
      <w:r>
        <w:t xml:space="preserve">effect table is given in Appendix C for completeness.</w:t>
      </w:r>
    </w:p>
    <w:p>
      <w:pPr>
        <w:pStyle w:val="BodyText"/>
      </w:pPr>
      <w:r>
        <w:t xml:space="preserve">The screening study is used for identification and for nothing else. It estimates all main</w:t>
      </w:r>
      <w:r>
        <w:t xml:space="preserve"> </w:t>
      </w:r>
      <w:r>
        <w:t xml:space="preserve">effects and all two-factor interactions in 11 runs, leaves</w:t>
      </w:r>
      <w:r>
        <w:t xml:space="preserve"> </w:t>
      </w:r>
      <w:r>
        <w:t xml:space="preserve">4 residual degrees of freedom, and contains no term that could detect</w:t>
      </w:r>
      <w:r>
        <w:t xml:space="preserve"> </w:t>
      </w:r>
      <w:r>
        <w:t xml:space="preserve">curvature. Effect magnitudes are refined, and curvature is tested, by the response-surface</w:t>
      </w:r>
      <w:r>
        <w:t xml:space="preserve"> </w:t>
      </w:r>
      <w:r>
        <w:t xml:space="preserve">models below.</w:t>
      </w:r>
    </w:p>
    <w:bookmarkEnd w:id="44"/>
    <w:bookmarkStart w:id="57" w:name="sec-rsm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aggregate and for the XMuLV log reduction</w:t>
      </w:r>
      <w:r>
        <w:t xml:space="preserve"> </w:t>
      </w:r>
      <w:r>
        <w:t xml:space="preserve">factor, and they are the models used for the operating region, the proven acceptable ranges</w:t>
      </w:r>
      <w:r>
        <w:t xml:space="preserve"> </w:t>
      </w:r>
      <w:r>
        <w:t xml:space="preserve">and the capability assessment.</w:t>
      </w:r>
      <w:r>
        <w:t xml:space="preserve"> </w:t>
      </w:r>
      <w:hyperlink w:anchor="tbl-rsm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fit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fit statistics.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425"/>
              <w:gridCol w:w="681"/>
              <w:gridCol w:w="936"/>
              <w:gridCol w:w="1021"/>
              <w:gridCol w:w="1107"/>
              <w:gridCol w:w="1021"/>
              <w:gridCol w:w="9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5.994e+26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2.432e-106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8.611e-15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Aggregate is modelled closely, with an R² of</w:t>
      </w:r>
      <w:r>
        <w:t xml:space="preserve"> </w:t>
      </w:r>
      <w:r>
        <w:t xml:space="preserve">0.997, an adjusted R² of</w:t>
      </w:r>
      <w:r>
        <w:t xml:space="preserve"> </w:t>
      </w:r>
      <w:r>
        <w:t xml:space="preserve">0.993 and a predicted R² of</w:t>
      </w:r>
      <w:r>
        <w:t xml:space="preserve"> </w:t>
      </w:r>
      <w:r>
        <w:t xml:space="preserve">0.961. The log reduction factor is modelled</w:t>
      </w:r>
      <w:r>
        <w:t xml:space="preserve"> </w:t>
      </w:r>
      <w:r>
        <w:t xml:space="preserve">less closely, with an R² of 0.896 and a predicted R² of</w:t>
      </w:r>
      <w:r>
        <w:t xml:space="preserve"> </w:t>
      </w:r>
      <w:r>
        <w:t xml:space="preserve">0.579. The gap between the two responses is</w:t>
      </w:r>
      <w:r>
        <w:t xml:space="preserve"> </w:t>
      </w:r>
      <w:r>
        <w:t xml:space="preserve">analytical in origin. The residual standard error of the log reduction factor</w:t>
      </w:r>
      <w:r>
        <w:t xml:space="preserve"> </w:t>
      </w:r>
      <w:r>
        <w:t xml:space="preserve">model is 0.37 log</w:t>
      </w:r>
      <w:r>
        <w:rPr>
          <w:vertAlign w:val="subscript"/>
        </w:rPr>
        <w:t xml:space="preserve">10</w:t>
      </w:r>
      <w:r>
        <w:t xml:space="preserve">, and the centre-point standard deviation</w:t>
      </w:r>
      <w:r>
        <w:t xml:space="preserve"> </w:t>
      </w:r>
      <w:r>
        <w:t xml:space="preserve">reported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is 0.38 log</w:t>
      </w:r>
      <w:r>
        <w:rPr>
          <w:vertAlign w:val="subscript"/>
        </w:rPr>
        <w:t xml:space="preserve">10</w:t>
      </w:r>
      <w:r>
        <w:t xml:space="preserve">. The model is therefore fitting to the</w:t>
      </w:r>
      <w:r>
        <w:t xml:space="preserve"> </w:t>
      </w:r>
      <w:r>
        <w:t xml:space="preserve">limit of what the infectivity assay can resolve, and a higher R² would not be attainable with</w:t>
      </w:r>
      <w:r>
        <w:t xml:space="preserve"> </w:t>
      </w:r>
      <w:r>
        <w:t xml:space="preserve">this method.</w:t>
      </w:r>
    </w:p>
    <w:p>
      <w:pPr>
        <w:pStyle w:val="BodyText"/>
      </w:pPr>
      <w:r>
        <w:t xml:space="preserve">Lack of fit is not significant for either response.</w:t>
      </w:r>
      <w:r>
        <w:t xml:space="preserve"> </w:t>
      </w:r>
      <w:hyperlink w:anchor="tbl-anova-lrf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ag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partition the residual sum of squares into lack of fit and pure error. For the log reduction</w:t>
      </w:r>
      <w:r>
        <w:t xml:space="preserve"> </w:t>
      </w:r>
      <w:r>
        <w:t xml:space="preserve">factor the lack-of-fit F is</w:t>
      </w:r>
      <w:r>
        <w:t xml:space="preserve"> </w:t>
      </w:r>
      <w:r>
        <w:t xml:space="preserve">0.88 with p =</w:t>
      </w:r>
      <w:r>
        <w:t xml:space="preserve"> </w:t>
      </w:r>
      <w:r>
        <w:t xml:space="preserve">0.58, and for aggregate it is</w:t>
      </w:r>
      <w:r>
        <w:t xml:space="preserve"> </w:t>
      </w:r>
      <w:r>
        <w:t xml:space="preserve">1.00 with p =</w:t>
      </w:r>
      <w:r>
        <w:t xml:space="preserve"> </w:t>
      </w:r>
      <w:r>
        <w:t xml:space="preserve">0.53. Neither model departs from the data by</w:t>
      </w:r>
      <w:r>
        <w:t xml:space="preserve"> </w:t>
      </w:r>
      <w:r>
        <w:t xml:space="preserve">more than the reproducibility of the scale-down system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nova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XMuLV log reduction factor model, with the residual partitioned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Analysis of variance for the pool aggregate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7"/>
          <w:p/>
        </w:tc>
      </w:tr>
    </w:tbl>
    <w:p>
      <w:pPr>
        <w:pStyle w:val="BodyText"/>
      </w:pPr>
      <w:hyperlink w:anchor="tbl-coef-lrf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coefficients of the log reduction factor model. The three main</w:t>
      </w:r>
      <w:r>
        <w:t xml:space="preserve"> </w:t>
      </w:r>
      <w:r>
        <w:t xml:space="preserve">effects keep the signs and the ordering found in screening. The quadratic term in pH is</w:t>
      </w:r>
      <w:r>
        <w:t xml:space="preserve"> </w:t>
      </w:r>
      <w:r>
        <w:t xml:space="preserve">negative and falls just short of significance at the 5 % level (p =</w:t>
      </w:r>
      <w:r>
        <w:t xml:space="preserve"> </w:t>
      </w:r>
      <w:r>
        <w:t xml:space="preserve">0.050). Its sign and size suggest that the surface is not linear in pH</w:t>
      </w:r>
      <w:r>
        <w:t xml:space="preserve"> </w:t>
      </w:r>
      <w:r>
        <w:t xml:space="preserve">and that the decline in clearance steepens as pH rises toward the top of the range. The full</w:t>
      </w:r>
      <w:r>
        <w:t xml:space="preserve"> </w:t>
      </w:r>
      <w:r>
        <w:t xml:space="preserve">quadratic model is retained for prediction, because dropping a marginal term would remove that</w:t>
      </w:r>
      <w:r>
        <w:t xml:space="preserve"> </w:t>
      </w:r>
      <w:r>
        <w:t xml:space="preserve">curvature from the operating region. No other quadratic term and no interaction approaches</w:t>
      </w:r>
      <w:r>
        <w:t xml:space="preserve"> </w:t>
      </w:r>
      <w:r>
        <w:t xml:space="preserve">significance.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oe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Full quadratic coefficients of the XMuLV log reduction factor model,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3.991e-11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The same quadratic term also turns the fitted surface over near the bottom of the pH range,</w:t>
      </w:r>
      <w:r>
        <w:t xml:space="preserve"> </w:t>
      </w:r>
      <w:r>
        <w:t xml:space="preserve">where the model predicts a marginal decline in clearance at the lowest pH studied. That</w:t>
      </w:r>
      <w:r>
        <w:t xml:space="preserve"> </w:t>
      </w:r>
      <w:r>
        <w:t xml:space="preserve">feature is 0.06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in size, smaller than the residual standard</w:t>
      </w:r>
      <w:r>
        <w:t xml:space="preserve"> </w:t>
      </w:r>
      <w:r>
        <w:t xml:space="preserve">error of the model by a factor of about 6, and it has no</w:t>
      </w:r>
      <w:r>
        <w:t xml:space="preserve"> </w:t>
      </w:r>
      <w:r>
        <w:t xml:space="preserve">mechanistic support. It is not interpreted here and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does not rely</w:t>
      </w:r>
      <w:r>
        <w:t xml:space="preserve"> </w:t>
      </w:r>
      <w:r>
        <w:t xml:space="preserve">on the model below the set-point.</w:t>
      </w:r>
    </w:p>
    <w:p>
      <w:pPr>
        <w:pStyle w:val="BodyText"/>
      </w:pPr>
      <w:r>
        <w:t xml:space="preserve">The aggregate model is dominated by its two linear terms and contains no significant</w:t>
      </w:r>
      <w:r>
        <w:t xml:space="preserve"> </w:t>
      </w:r>
      <w:r>
        <w:t xml:space="preserve">curvature and no significant interaction (Appendix C). Over the characterized ranges its</w:t>
      </w:r>
      <w:r>
        <w:t xml:space="preserve"> </w:t>
      </w:r>
      <w:r>
        <w:t xml:space="preserve">surface is effectively a plane in hold time and temperature.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Fitted response surfaces over inactivation pH and hold time, with temperature held at the centre of its characterized range.</w:t>
            </w:r>
          </w:p>
          <w:bookmarkEnd w:id="52"/>
        </w:tc>
      </w:tr>
    </w:tbl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pH and hold time. The clearance surface falls</w:t>
      </w:r>
      <w:r>
        <w:t xml:space="preserve"> </w:t>
      </w:r>
      <w:r>
        <w:t xml:space="preserve">steadily from the low-pH, long-hold corner to the high-pH, short-hold corner, and the</w:t>
      </w:r>
      <w:r>
        <w:t xml:space="preserve"> </w:t>
      </w:r>
      <w:r>
        <w:t xml:space="preserve">aggregate surface is almost independent of pH and rises only with hold time. The acidic</w:t>
      </w:r>
      <w:r>
        <w:t xml:space="preserve"> </w:t>
      </w:r>
      <w:r>
        <w:t xml:space="preserve">variant panel shows the same hold-time dependence with no pH structure at all.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iag-lrf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lrf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XMuLV log reduction factor response-surface model.</w:t>
            </w:r>
          </w:p>
          <w:bookmarkEnd w:id="56"/>
        </w:tc>
      </w:tr>
    </w:tbl>
    <w:p>
      <w:pPr>
        <w:pStyle w:val="BodyText"/>
      </w:pPr>
      <w:hyperlink w:anchor="fig-diag-lrf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gives the diagnostics for the clearance model, and one of them deserves comment</w:t>
      </w:r>
      <w:r>
        <w:t xml:space="preserve"> </w:t>
      </w:r>
      <w:r>
        <w:t xml:space="preserve">before the model is used. The residuals show no structure against the predicted values, and</w:t>
      </w:r>
      <w:r>
        <w:t xml:space="preserve"> </w:t>
      </w:r>
      <w:r>
        <w:t xml:space="preserve">the actual values lie about the identity line without a systematic offset at either end. The</w:t>
      </w:r>
      <w:r>
        <w:t xml:space="preserve"> </w:t>
      </w:r>
      <w:r>
        <w:t xml:space="preserve">normal quantile plot, however, shows a mild departure from normality, and a Shapiro-Wilk test</w:t>
      </w:r>
      <w:r>
        <w:t xml:space="preserve"> </w:t>
      </w:r>
      <w:r>
        <w:t xml:space="preserve">on the residuals returns p = 0.023. With 18 runs and a</w:t>
      </w:r>
      <w:r>
        <w:t xml:space="preserve"> </w:t>
      </w:r>
      <w:r>
        <w:t xml:space="preserve">response whose reproducibility is limited by the assay, that result is not a reason to reject</w:t>
      </w:r>
      <w:r>
        <w:t xml:space="preserve"> </w:t>
      </w:r>
      <w:r>
        <w:t xml:space="preserve">the model. It is a reason to treat the p-values of the marginal terms, and the pH quadratic in</w:t>
      </w:r>
      <w:r>
        <w:t xml:space="preserve"> </w:t>
      </w:r>
      <w:r>
        <w:t xml:space="preserve">particular, as approximate. The largest standardized residual is</w:t>
      </w:r>
      <w:r>
        <w:t xml:space="preserve"> </w:t>
      </w:r>
      <w:r>
        <w:t xml:space="preserve">2.1, so no single run is influential enough to drive the fit. The</w:t>
      </w:r>
      <w:r>
        <w:t xml:space="preserve"> </w:t>
      </w:r>
      <w:r>
        <w:t xml:space="preserve">corresponding figure for the aggregate model has a largest standardized residual of</w:t>
      </w:r>
      <w:r>
        <w:t xml:space="preserve"> </w:t>
      </w:r>
      <w:r>
        <w:t xml:space="preserve">1.6.</w:t>
      </w:r>
    </w:p>
    <w:bookmarkEnd w:id="57"/>
    <w:bookmarkStart w:id="58" w:name="sec-mechanism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acid denaturation kinetics predict, and that agreement is the main</w:t>
      </w:r>
      <w:r>
        <w:t xml:space="preserve"> </w:t>
      </w:r>
      <w:r>
        <w:t xml:space="preserve">evidence that the models describe chemistry and not noise. Inactivation follows kinetics in</w:t>
      </w:r>
      <w:r>
        <w:t xml:space="preserve"> </w:t>
      </w:r>
      <w:r>
        <w:t xml:space="preserve">which the rate constant depends on proton concentration and on temperature, and the log</w:t>
      </w:r>
      <w:r>
        <w:t xml:space="preserve"> </w:t>
      </w:r>
      <w:r>
        <w:t xml:space="preserve">reduction achieved is that rate constant multiplied by the hold time. Clearance should</w:t>
      </w:r>
      <w:r>
        <w:t xml:space="preserve"> </w:t>
      </w:r>
      <w:r>
        <w:t xml:space="preserve">therefore be linear in time, should fall as pH rises, and should rise with temperature. All</w:t>
      </w:r>
      <w:r>
        <w:t xml:space="preserve"> </w:t>
      </w:r>
      <w:r>
        <w:t xml:space="preserve">three hold in the fitted models, and the response-surface analysis finds no significant</w:t>
      </w:r>
      <w:r>
        <w:t xml:space="preserve"> </w:t>
      </w:r>
      <w:r>
        <w:t xml:space="preserve">quadratic term in hold time, which is what a first-order process requires.</w:t>
      </w:r>
    </w:p>
    <w:p>
      <w:pPr>
        <w:pStyle w:val="BodyText"/>
      </w:pPr>
      <w:r>
        <w:t xml:space="preserve">The pH dependence is strongly asymmetric about the set-point, and that asymmetry is the most</w:t>
      </w:r>
      <w:r>
        <w:t xml:space="preserve"> </w:t>
      </w:r>
      <w:r>
        <w:t xml:space="preserve">important single result of the study. Between the lower edge of the characterized range and</w:t>
      </w:r>
      <w:r>
        <w:t xml:space="preserve"> </w:t>
      </w:r>
      <w:r>
        <w:t xml:space="preserve">the set-point the predicted log reduction factor changes by</w:t>
      </w:r>
      <w:r>
        <w:t xml:space="preserve"> </w:t>
      </w:r>
      <w:r>
        <w:t xml:space="preserve">0.03 log</w:t>
      </w:r>
      <w:r>
        <w:rPr>
          <w:vertAlign w:val="subscript"/>
        </w:rPr>
        <w:t xml:space="preserve">10</w:t>
      </w:r>
      <w:r>
        <w:t xml:space="preserve">. Between the set-point and the upper edge it falls by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. Almost all of the sensitivity of the step to pH lies</w:t>
      </w:r>
      <w:r>
        <w:t xml:space="preserve"> </w:t>
      </w:r>
      <w:r>
        <w:t xml:space="preserve">above the set-point. This is consistent with acid inactivation being effectively complete</w:t>
      </w:r>
      <w:r>
        <w:t xml:space="preserve"> </w:t>
      </w:r>
      <w:r>
        <w:t xml:space="preserve">within the hold once the proton concentration is high enough, and with the rate falling below</w:t>
      </w:r>
      <w:r>
        <w:t xml:space="preserve"> </w:t>
      </w:r>
      <w:r>
        <w:t xml:space="preserve">what the hold can deliver as pH approaches 4.0.</w:t>
      </w:r>
    </w:p>
    <w:p>
      <w:pPr>
        <w:pStyle w:val="BodyText"/>
      </w:pPr>
      <w:r>
        <w:t xml:space="preserve">Temperature acts on the rate constant in the ordinary way and its effect is the smallest of</w:t>
      </w:r>
      <w:r>
        <w:t xml:space="preserve"> </w:t>
      </w:r>
      <w:r>
        <w:t xml:space="preserve">the three, because the characterized range is only 10 °C</w:t>
      </w:r>
      <w:r>
        <w:t xml:space="preserve"> </w:t>
      </w:r>
      <w:r>
        <w:t xml:space="preserve">wide. Hold time acts linearly, which is why extending a hold is an effective remedy for a</w:t>
      </w:r>
      <w:r>
        <w:t xml:space="preserve"> </w:t>
      </w:r>
      <w:r>
        <w:t xml:space="preserve">pH that has drifted upward within the range, and why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treats the two parameters</w:t>
      </w:r>
      <w:r>
        <w:t xml:space="preserve"> </w:t>
      </w:r>
      <w:r>
        <w:t xml:space="preserve">together.</w:t>
      </w:r>
    </w:p>
    <w:p>
      <w:pPr>
        <w:pStyle w:val="BodyText"/>
      </w:pPr>
      <w:r>
        <w:t xml:space="preserve">Aggregate rises with hold time and with temperature and is insensitive to pH over the range</w:t>
      </w:r>
      <w:r>
        <w:t xml:space="preserve"> </w:t>
      </w:r>
      <w:r>
        <w:t xml:space="preserve">studied. Acid-induced aggregation of an IgG1 requires the molecule to be destabilized enough</w:t>
      </w:r>
      <w:r>
        <w:t xml:space="preserve"> </w:t>
      </w:r>
      <w:r>
        <w:t xml:space="preserve">to expose hydrophobic surface, and the characterized range stays above the pH at which A-Mab</w:t>
      </w:r>
      <w:r>
        <w:t xml:space="preserve"> </w:t>
      </w:r>
      <w:r>
        <w:t xml:space="preserve">is destabilized. What remains is a slow thermally driven association during the hold, which</w:t>
      </w:r>
      <w:r>
        <w:t xml:space="preserve"> </w:t>
      </w:r>
      <w:r>
        <w:t xml:space="preserve">is why time and temperature are active and pH is not. The acidic variant response follows the</w:t>
      </w:r>
      <w:r>
        <w:t xml:space="preserve"> </w:t>
      </w:r>
      <w:r>
        <w:t xml:space="preserve">same hold-time dependence, which is consistent with weak acid catalysis of asparagine</w:t>
      </w:r>
      <w:r>
        <w:t xml:space="preserve"> </w:t>
      </w:r>
      <w:r>
        <w:t xml:space="preserve">deamidation over a period of hours.</w:t>
      </w:r>
    </w:p>
    <w:p>
      <w:pPr>
        <w:pStyle w:val="BodyText"/>
      </w:pPr>
      <w:r>
        <w:t xml:space="preserve">The two mechanisms pull in opposite directions on hold time, and this is why the step needs a</w:t>
      </w:r>
      <w:r>
        <w:t xml:space="preserve"> </w:t>
      </w:r>
      <w:r>
        <w:t xml:space="preserve">multivariate region rather than three independent ranges. A longer hold delivers more</w:t>
      </w:r>
      <w:r>
        <w:t xml:space="preserve"> </w:t>
      </w:r>
      <w:r>
        <w:t xml:space="preserve">clearance and more aggregate. A hold at the top of the pH range meets the required</w:t>
      </w:r>
      <w:r>
        <w:t xml:space="preserve"> </w:t>
      </w:r>
      <w:r>
        <w:t xml:space="preserve">contribution when it is long and warm, and fails it when it is short and cold: the model</w:t>
      </w:r>
      <w:r>
        <w:t xml:space="preserve"> </w:t>
      </w:r>
      <w:r>
        <w:t xml:space="preserve">predicts 7.15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long, warm corner of that pH and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short, cold corner. No single acceptable range for</w:t>
      </w:r>
      <w:r>
        <w:t xml:space="preserve"> </w:t>
      </w:r>
      <w:r>
        <w:t xml:space="preserve">pH can express that, which is what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addresses.</w:t>
      </w:r>
    </w:p>
    <w:bookmarkEnd w:id="58"/>
    <w:bookmarkEnd w:id="59"/>
    <w:bookmarkStart w:id="60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of the step is the set of combinations of inactivation pH, hold time and</w:t>
      </w:r>
      <w:r>
        <w:t xml:space="preserve"> </w:t>
      </w:r>
      <w:r>
        <w:t xml:space="preserve">temperature at which the response-surface model predicts a step log reduction factor at or</w:t>
      </w:r>
      <w:r>
        <w:t xml:space="preserve"> </w:t>
      </w:r>
      <w:r>
        <w:t xml:space="preserve">above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pool aggregate at or below</w:t>
      </w:r>
      <w:r>
        <w:t xml:space="preserve"> </w:t>
      </w:r>
      <w:r>
        <w:t xml:space="preserve">5 %. Within the characterized ranges the aggregate constraint is</w:t>
      </w:r>
      <w:r>
        <w:t xml:space="preserve"> </w:t>
      </w:r>
      <w:r>
        <w:t xml:space="preserve">never binding, because the highest aggregate the model predicts anywhere in the knowledge</w:t>
      </w:r>
      <w:r>
        <w:t xml:space="preserve"> </w:t>
      </w:r>
      <w:r>
        <w:t xml:space="preserve">space is 2.37 %. The region is therefore defined by the clearance</w:t>
      </w:r>
      <w:r>
        <w:t xml:space="preserve"> </w:t>
      </w:r>
      <w:r>
        <w:t xml:space="preserve">constraint alone, and its principal plane is pH against hold time (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The normal operating ranges sit inside the region and the region sits inside the</w:t>
      </w:r>
      <w:r>
        <w:t xml:space="preserve"> </w:t>
      </w:r>
      <w:r>
        <w:t xml:space="preserve">characterized ranges, and at the set-point the model predicts 6.87 log</w:t>
      </w:r>
      <w:r>
        <w:rPr>
          <w:vertAlign w:val="subscript"/>
        </w:rPr>
        <w:t xml:space="preserve">10</w:t>
      </w:r>
      <w:r>
        <w:t xml:space="preserve">,</w:t>
      </w:r>
      <w:r>
        <w:t xml:space="preserve"> </w:t>
      </w:r>
      <w:r>
        <w:t xml:space="preserve">which is 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 the required contribution. The</w:t>
      </w:r>
      <w:r>
        <w:t xml:space="preserve"> </w:t>
      </w:r>
      <w:r>
        <w:t xml:space="preserve">worst-case corner of the normal operating ranges is the highest pH, the shortest hold and the</w:t>
      </w:r>
      <w:r>
        <w:t xml:space="preserve"> </w:t>
      </w:r>
      <w:r>
        <w:t xml:space="preserve">lowest temperature within them, namely pH 3.6,</w:t>
      </w:r>
      <w:r>
        <w:t xml:space="preserve"> </w:t>
      </w:r>
      <w:r>
        <w:t xml:space="preserve">60 minutes and</w:t>
      </w:r>
      <w:r>
        <w:t xml:space="preserve"> </w:t>
      </w:r>
      <w:r>
        <w:t xml:space="preserve">19 °C. At that corner the prediction is</w:t>
      </w:r>
      <w:r>
        <w:t xml:space="preserve"> </w:t>
      </w:r>
      <w:r>
        <w:t xml:space="preserve">6.43 log</w:t>
      </w:r>
      <w:r>
        <w:rPr>
          <w:vertAlign w:val="subscript"/>
        </w:rPr>
        <w:t xml:space="preserve">10</w:t>
      </w:r>
      <w:r>
        <w:t xml:space="preserve">, still 1.50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</w:t>
      </w:r>
      <w:r>
        <w:t xml:space="preserve"> </w:t>
      </w:r>
      <w:r>
        <w:t xml:space="preserve">the requirement.</w:t>
      </w:r>
    </w:p>
    <w:p>
      <w:pPr>
        <w:pStyle w:val="BodyText"/>
      </w:pPr>
      <w:r>
        <w:t xml:space="preserve">The corresponding corner of the characterized ranges is the one place in the knowledge space</w:t>
      </w:r>
      <w:r>
        <w:t xml:space="preserve"> </w:t>
      </w:r>
      <w:r>
        <w:t xml:space="preserve">where the step does not deliver its contribution. At pH 4 with</w:t>
      </w:r>
      <w:r>
        <w:t xml:space="preserve"> </w:t>
      </w:r>
      <w:r>
        <w:t xml:space="preserve">a 60 minute hold at</w:t>
      </w:r>
      <w:r>
        <w:t xml:space="preserve"> </w:t>
      </w:r>
      <w:r>
        <w:t xml:space="preserve">15 °C the model predicts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, which is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below</w:t>
      </w:r>
      <w:r>
        <w:t xml:space="preserve"> </w:t>
      </w:r>
      <w:r>
        <w:t xml:space="preserve">the floor. On a grid across the three characterized ranges, predictions below the required</w:t>
      </w:r>
      <w:r>
        <w:t xml:space="preserve"> </w:t>
      </w:r>
      <w:r>
        <w:t xml:space="preserve">contribution occupy 0.00 % of the knowledge space and occur only at</w:t>
      </w:r>
      <w:r>
        <w:t xml:space="preserve"> </w:t>
      </w:r>
      <w:r>
        <w:t xml:space="preserve">pH 4, at holds no longer than</w:t>
      </w:r>
      <w:r>
        <w:t xml:space="preserve"> </w:t>
      </w:r>
      <w:r>
        <w:t xml:space="preserve">60 minutes and at temperatures no higher than</w:t>
      </w:r>
      <w:r>
        <w:t xml:space="preserve"> </w:t>
      </w:r>
      <w:r>
        <w:t xml:space="preserve">15.5 °C. The shortfall at that corner is smaller than the residual</w:t>
      </w:r>
      <w:r>
        <w:t xml:space="preserve"> </w:t>
      </w:r>
      <w:r>
        <w:t xml:space="preserve">standard error of the model, so the corner is not shown to fail so much as shown to provide</w:t>
      </w:r>
      <w:r>
        <w:t xml:space="preserve"> </w:t>
      </w:r>
      <w:r>
        <w:t xml:space="preserve">no assurance of passing, and it lies outside the operating region for that reason.</w:t>
      </w:r>
    </w:p>
    <w:p>
      <w:pPr>
        <w:pStyle w:val="BodyText"/>
      </w:pPr>
      <w:r>
        <w:t xml:space="preserve">Three statements bound the region, and each is a limit on what the assessor should read into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region is defined by a model fitted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does</w:t>
      </w:r>
      <w:r>
        <w:t xml:space="preserve"> </w:t>
      </w:r>
      <w:r>
        <w:t xml:space="preserve">not extend beyond them. Nothing in this report supports operation below pH</w:t>
      </w:r>
      <w:r>
        <w:t xml:space="preserve"> </w:t>
      </w:r>
      <w:r>
        <w:t xml:space="preserve">3.2. That lower edge is a stability boundary taken from</w:t>
      </w:r>
      <w:r>
        <w:t xml:space="preserve"> </w:t>
      </w:r>
      <w:r>
        <w:t xml:space="preserve">platform data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 and was not demonstrated in this study, because no run approached it.</w:t>
      </w:r>
    </w:p>
    <w:p>
      <w:pPr>
        <w:pStyle w:val="BodyText"/>
      </w:pPr>
      <w:r>
        <w:t xml:space="preserve">The model predicts mean responses. A condition at the edge of the region carries roughly even</w:t>
      </w:r>
      <w:r>
        <w:t xml:space="preserve"> </w:t>
      </w:r>
      <w:r>
        <w:t xml:space="preserve">odds of meeting the limit on any individual batch if variability is symmetric about the mean,</w:t>
      </w:r>
      <w:r>
        <w:t xml:space="preserve"> </w:t>
      </w:r>
      <w:r>
        <w:t xml:space="preserve">so the region is not the range within which the process is run. That range is the normal</w:t>
      </w:r>
      <w:r>
        <w:t xml:space="preserve"> </w:t>
      </w:r>
      <w:r>
        <w:t xml:space="preserve">operating range, and the margin between the two is quantified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</w:t>
      </w:r>
    </w:p>
    <w:p>
      <w:pPr>
        <w:pStyle w:val="BodyText"/>
      </w:pPr>
      <w:r>
        <w:t xml:space="preserve">The region rests on a scale-down model qualified under SOP-1001 and is not confirmed at</w:t>
      </w:r>
      <w:r>
        <w:t xml:space="preserve"> </w:t>
      </w:r>
      <w:r>
        <w:t xml:space="preserve">manufacturing scale at its edges. Confirmation at scale is limited to operation at the</w:t>
      </w:r>
      <w:r>
        <w:t xml:space="preserve"> </w:t>
      </w:r>
      <w:r>
        <w:t xml:space="preserve">set-point, which is addressed by the comparability strategy in PTP-001.</w:t>
      </w:r>
    </w:p>
    <w:p>
      <w:pPr>
        <w:pStyle w:val="BodyText"/>
      </w:pPr>
      <w:r>
        <w:t xml:space="preserve">Operation anywhere within the region is 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.</w:t>
      </w:r>
      <w:r>
        <w:t xml:space="preserve"> </w:t>
      </w:r>
      <w:r>
        <w:t xml:space="preserve">Planned movement within it still requires a prospective assessment under the pharmaceutical</w:t>
      </w:r>
      <w:r>
        <w:t xml:space="preserve"> </w:t>
      </w:r>
      <w:r>
        <w:t xml:space="preserve">quality system before the move is made</w:t>
      </w:r>
      <w:r>
        <w:t xml:space="preserve"> </w:t>
      </w:r>
      <w:r>
        <w:t xml:space="preserve">(International Council for Harmonisation 2008)</w:t>
      </w:r>
      <w:r>
        <w:t xml:space="preserve">. Operation outside the region is a change</w:t>
      </w:r>
      <w:r>
        <w:t xml:space="preserve"> </w:t>
      </w:r>
      <w:r>
        <w:t xml:space="preserve">that requires prior approval, and for this step it additionally requires re-assessment of the</w:t>
      </w:r>
      <w:r>
        <w:t xml:space="preserve"> </w:t>
      </w:r>
      <w:r>
        <w:t xml:space="preserve">clearance claim under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60"/>
    <w:bookmarkStart w:id="70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criterion applied to each attribute is stated before the ranges, because it</w:t>
      </w:r>
      <w:r>
        <w:t xml:space="preserve"> </w:t>
      </w:r>
      <w:r>
        <w:t xml:space="preserve">differs between them. For aggregate and for acidic variants the criterion is the drug</w:t>
      </w:r>
      <w:r>
        <w:t xml:space="preserve"> </w:t>
      </w:r>
      <w:r>
        <w:t xml:space="preserve">substance specification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For enveloped-virus clearance it is not, because</w:t>
      </w:r>
      <w:r>
        <w:t xml:space="preserve"> </w:t>
      </w:r>
      <w:r>
        <w:t xml:space="preserve">that specification is cumulative across the process. The criterion applied to this step is the</w:t>
      </w:r>
      <w:r>
        <w:t xml:space="preserve"> </w:t>
      </w:r>
      <w:r>
        <w:t xml:space="preserve">required step contribution, obtained by subtracting the clearance credited to anion exchange</w:t>
      </w:r>
      <w:r>
        <w:t xml:space="preserve"> </w:t>
      </w:r>
      <w:r>
        <w:t xml:space="preserve">and virus filtration from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. That leaves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for</w:t>
      </w:r>
      <w:r>
        <w:t xml:space="preserve"> </w:t>
      </w:r>
      <w:r>
        <w:t xml:space="preserve">this step, and every proven acceptable range reported for the log reduction factor is</w:t>
      </w:r>
      <w:r>
        <w:t xml:space="preserve"> </w:t>
      </w:r>
      <w:r>
        <w:t xml:space="preserve">computed against that floor.</w:t>
      </w:r>
    </w:p>
    <w:p>
      <w:pPr>
        <w:pStyle w:val="BodyText"/>
      </w:pP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gives, for each governed attribute and each multivariate parameter, the</w:t>
      </w:r>
      <w:r>
        <w:t xml:space="preserve"> </w:t>
      </w:r>
      <w:r>
        <w:t xml:space="preserve">characterized range and two proven acceptable ranges. The first holds the other parameters fixed. The second varies them within their normal operating ranges by Monte-Carlo</w:t>
      </w:r>
      <w:r>
        <w:t xml:space="preserve"> </w:t>
      </w:r>
      <w:r>
        <w:t xml:space="preserve">of the fitted model and requires the 95 % predictive interval of the attribute to remain</w:t>
      </w:r>
      <w:r>
        <w:t xml:space="preserve"> </w:t>
      </w:r>
      <w:r>
        <w:t xml:space="preserve">within acceptance, so it is a robustness criterion and is the narrower of the two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convention is stated here because it matters at this step. The fixed-parameter analysis</w:t>
      </w:r>
      <w:r>
        <w:t xml:space="preserve"> </w:t>
      </w:r>
      <w:r>
        <w:t xml:space="preserve">holds the other factors at the coded origin of the design, which is the midpoint of each</w:t>
      </w:r>
      <w:r>
        <w:t xml:space="preserve"> </w:t>
      </w:r>
      <w:r>
        <w:t xml:space="preserve">characterized range, and the same convention applies to the left-hand panels of</w:t>
      </w:r>
      <w:r>
        <w:t xml:space="preserve"> </w:t>
      </w: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 to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. At this step the midpoint and the process set-point</w:t>
      </w:r>
      <w:r>
        <w:t xml:space="preserve"> </w:t>
      </w:r>
      <w:r>
        <w:t xml:space="preserve">differ slightly for all three multivariate parameters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difference changes no</w:t>
      </w:r>
      <w:r>
        <w:t xml:space="preserve"> </w:t>
      </w:r>
      <w:r>
        <w:t xml:space="preserve">range in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, because at the process set-point values the lowest clearance predicted</w:t>
      </w:r>
      <w:r>
        <w:t xml:space="preserve"> </w:t>
      </w:r>
      <w:r>
        <w:t xml:space="preserve">anywhere along the pH range is 5.54 log</w:t>
      </w:r>
      <w:r>
        <w:rPr>
          <w:vertAlign w:val="subscript"/>
        </w:rPr>
        <w:t xml:space="preserve">10</w:t>
      </w:r>
      <w:r>
        <w:t xml:space="preserve">, which is still above the</w:t>
      </w:r>
      <w:r>
        <w:t xml:space="preserve"> </w:t>
      </w:r>
      <w:r>
        <w:t xml:space="preserve">floor of 4.93 log</w:t>
      </w:r>
      <w:r>
        <w:rPr>
          <w:vertAlign w:val="subscript"/>
        </w:rPr>
        <w:t xml:space="preserve">10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for each governed quality attribute and each multivariate parameter, at set-point and with the other parameters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1447"/>
              <w:gridCol w:w="1277"/>
              <w:gridCol w:w="681"/>
              <w:gridCol w:w="1618"/>
              <w:gridCol w:w="11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Eight of the nine entries span the whole characterized range under both analyses. For</w:t>
      </w:r>
      <w:r>
        <w:t xml:space="preserve"> </w:t>
      </w:r>
      <w:r>
        <w:t xml:space="preserve">aggregate and for acidic variants no parameter is restricted at all, which follows directly</w:t>
      </w:r>
      <w:r>
        <w:t xml:space="preserve"> </w:t>
      </w:r>
      <w:r>
        <w:t xml:space="preserve">from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: both attributes stay far below their limits everywhere in the knowledge space, and</w:t>
      </w:r>
      <w:r>
        <w:t xml:space="preserve"> </w:t>
      </w:r>
      <w:r>
        <w:t xml:space="preserve">the highest aggregate predicted anywhere is 2.37 % against a limit of</w:t>
      </w:r>
      <w:r>
        <w:t xml:space="preserve"> </w:t>
      </w:r>
      <w:r>
        <w:t xml:space="preserve">5 %.</w:t>
      </w:r>
    </w:p>
    <w:p>
      <w:pPr>
        <w:pStyle w:val="BodyText"/>
      </w:pPr>
      <w:r>
        <w:t xml:space="preserve">One entry is narrower than its characterized range. The proven acceptable range for</w:t>
      </w:r>
      <w:r>
        <w:t xml:space="preserve"> </w:t>
      </w:r>
      <w:r>
        <w:t xml:space="preserve">inactivation pH against the log reduction factor is the full characterized range at</w:t>
      </w:r>
      <w:r>
        <w:t xml:space="preserve"> </w:t>
      </w:r>
      <w:r>
        <w:t xml:space="preserve">set-point, but 3.2–3.96 when the other two parameters vary within their normal</w:t>
      </w:r>
      <w:r>
        <w:t xml:space="preserve"> </w:t>
      </w:r>
      <w:r>
        <w:t xml:space="preserve">operating ranges. The upper end falls 0.04 pH units short of the</w:t>
      </w:r>
      <w:r>
        <w:t xml:space="preserve"> </w:t>
      </w:r>
      <w:r>
        <w:t xml:space="preserve">top of the characterized range. The binding attribute is enveloped-virus clearance and the</w:t>
      </w:r>
      <w:r>
        <w:t xml:space="preserve"> </w:t>
      </w:r>
      <w:r>
        <w:t xml:space="preserve">mechanism is the one described in</w:t>
      </w:r>
      <w:r>
        <w:t xml:space="preserve"> </w:t>
      </w:r>
      <w:hyperlink w:anchor="sec-mechanism">
        <w:r>
          <w:rPr>
            <w:rStyle w:val="Hyperlink"/>
          </w:rPr>
          <w:t xml:space="preserve">Section 5.4</w:t>
        </w:r>
      </w:hyperlink>
      <w:r>
        <w:t xml:space="preserve">, which is that the clearance surface steepens as pH</w:t>
      </w:r>
      <w:r>
        <w:t xml:space="preserve"> </w:t>
      </w:r>
      <w:r>
        <w:t xml:space="preserve">rises while the predictive interval widens with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par-lrf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lrf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the XMuLV log reduction factor against inactivation pH, at set-point (left) and with the other parameters propagated across their normal operating ranges (right). The acceptable region is shaded green and the normal operating range is shaded grey.</w:t>
            </w:r>
          </w:p>
          <w:bookmarkEnd w:id="65"/>
        </w:tc>
      </w:tr>
    </w:tbl>
    <w:p>
      <w:pPr>
        <w:pStyle w:val="BodyText"/>
      </w:pP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analysis for pH, the governing parameter for clearance. The left panel</w:t>
      </w:r>
      <w:r>
        <w:t xml:space="preserve"> </w:t>
      </w:r>
      <w:r>
        <w:t xml:space="preserve">is the fixed-parameter curve and the right panel the Monte-Carlo predictive band, with the</w:t>
      </w:r>
      <w:r>
        <w:t xml:space="preserve"> </w:t>
      </w:r>
      <w:r>
        <w:t xml:space="preserve">acceptance floor drawn, the acceptable region shaded and the normal operating range marked.</w:t>
      </w:r>
      <w:r>
        <w:t xml:space="preserve"> </w:t>
      </w:r>
      <w:r>
        <w:t xml:space="preserve">The set-point sits well inside the acceptable region in both panels, and the right panel shows</w:t>
      </w:r>
      <w:r>
        <w:t xml:space="preserve"> </w:t>
      </w:r>
      <w:r>
        <w:t xml:space="preserve">the lower edge of the predictive band crossing the floor before the curve itself does.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gg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pool aggregate against hold time, at set-point (left) and with the other parameters propagated across their normal operating ranges (right).</w:t>
            </w:r>
          </w:p>
          <w:bookmarkEnd w:id="69"/>
        </w:tc>
      </w:tr>
    </w:tbl>
    <w:p>
      <w:pPr>
        <w:pStyle w:val="BodyText"/>
      </w:pP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analysis for aggregate against hold time, the parameter that</w:t>
      </w:r>
      <w:r>
        <w:t xml:space="preserve"> </w:t>
      </w:r>
      <w:r>
        <w:t xml:space="preserve">governs it. The whole characterized hold-time range is acceptable under both analyses, and even at the</w:t>
      </w:r>
      <w:r>
        <w:t xml:space="preserve"> </w:t>
      </w:r>
      <w:r>
        <w:t xml:space="preserve">longest hold combined with the highest temperature the model predicts</w:t>
      </w:r>
      <w:r>
        <w:t xml:space="preserve"> </w:t>
      </w:r>
      <w:r>
        <w:t xml:space="preserve">2.37 % against a limit of 5 %.</w:t>
      </w:r>
    </w:p>
    <w:p>
      <w:pPr>
        <w:pStyle w:val="BodyText"/>
      </w:pPr>
      <w:r>
        <w:t xml:space="preserve">These ranges are univariate statements and the design space is not, and the two must not be</w:t>
      </w:r>
      <w:r>
        <w:t xml:space="preserve"> </w:t>
      </w:r>
      <w:r>
        <w:t xml:space="preserve">read as alternatives. Where a parameter’s proven acceptable range covers its whole</w:t>
      </w:r>
      <w:r>
        <w:t xml:space="preserve"> </w:t>
      </w:r>
      <w:r>
        <w:t xml:space="preserve">characterized range, the binding constraint on operation is the multivariate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not the univariate range. The one place where the two agree is the upper</w:t>
      </w:r>
      <w:r>
        <w:t xml:space="preserve"> </w:t>
      </w:r>
      <w:r>
        <w:t xml:space="preserve">end of the pH range, where the robustness analysis and the multivariate worst-case corner</w:t>
      </w:r>
      <w:r>
        <w:t xml:space="preserve"> </w:t>
      </w:r>
      <w:r>
        <w:t xml:space="preserve">point at the same edge for the same reason. Both analyses are computed from the fitted</w:t>
      </w:r>
      <w:r>
        <w:t xml:space="preserve"> </w:t>
      </w:r>
      <w:r>
        <w:t xml:space="preserve">response-surface model over the characterized ranges and inherit its bounds, and neither</w:t>
      </w:r>
      <w:r>
        <w:t xml:space="preserve"> </w:t>
      </w:r>
      <w:r>
        <w:t xml:space="preserve">extends outside those ranges.</w:t>
      </w:r>
    </w:p>
    <w:bookmarkEnd w:id="70"/>
    <w:bookmarkStart w:id="73" w:name="sec-capability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Capability was assessed for the three attributes this step influences, by simulating</w:t>
      </w:r>
      <w:r>
        <w:t xml:space="preserve"> </w:t>
      </w:r>
      <w:r>
        <w:t xml:space="preserve">2,000 commercial batches with every process parameter drawn</w:t>
      </w:r>
      <w:r>
        <w:t xml:space="preserve"> </w:t>
      </w:r>
      <w:r>
        <w:t xml:space="preserve">within its normal operating range.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result at drug substance.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Commercial-scale capability for the attributes influenced by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71"/>
          <w:p/>
        </w:tc>
      </w:tr>
    </w:tbl>
    <w:p>
      <w:pPr>
        <w:pStyle w:val="BodyText"/>
      </w:pPr>
      <w:r>
        <w:t xml:space="preserve">Enveloped-virus clearance is the tightest of the three by a wide margin. Its one-sided Cpk is</w:t>
      </w:r>
      <w:r>
        <w:t xml:space="preserve"> </w:t>
      </w:r>
      <w:r>
        <w:t xml:space="preserve">1.53 against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with a simulated mean of</w:t>
      </w:r>
      <w:r>
        <w:t xml:space="preserve"> </w:t>
      </w:r>
      <w:r>
        <w:t xml:space="preserve">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a standard deviation of</w:t>
      </w:r>
      <w:r>
        <w:t xml:space="preserve"> </w:t>
      </w:r>
      <w:r>
        <w:t xml:space="preserve">0.61. The margin between the mean and the requirement is</w:t>
      </w:r>
      <w:r>
        <w:t xml:space="preserve"> </w:t>
      </w:r>
      <w:r>
        <w:t xml:space="preserve">2.81 log</w:t>
      </w:r>
      <w:r>
        <w:rPr>
          <w:vertAlign w:val="subscript"/>
        </w:rPr>
        <w:t xml:space="preserve">10</w:t>
      </w:r>
      <w:r>
        <w:t xml:space="preserve">, or 4.6 standard</w:t>
      </w:r>
      <w:r>
        <w:t xml:space="preserve"> </w:t>
      </w:r>
      <w:r>
        <w:t xml:space="preserve">deviations. Aggregate and acidic variants sit far from their limits at drug substance, with</w:t>
      </w:r>
      <w:r>
        <w:t xml:space="preserve"> </w:t>
      </w:r>
      <w:r>
        <w:t xml:space="preserve">Cpk values of 16.1 and 4.3 respectively, but</w:t>
      </w:r>
      <w:r>
        <w:t xml:space="preserve"> </w:t>
      </w:r>
      <w:r>
        <w:t xml:space="preserve">those two figures describe the whole process and not this step alone, and the aggregate figure</w:t>
      </w:r>
      <w:r>
        <w:t xml:space="preserve"> </w:t>
      </w:r>
      <w:r>
        <w:t xml:space="preserve">in particular is set by cation exchange, which is the polishing step that removes aggregate</w:t>
      </w:r>
      <w:r>
        <w:t xml:space="preserve"> </w:t>
      </w:r>
      <w:r>
        <w:t xml:space="preserve">(PCR-007).</w:t>
      </w:r>
    </w:p>
    <w:p>
      <w:pPr>
        <w:pStyle w:val="BodyText"/>
      </w:pPr>
      <w:r>
        <w:t xml:space="preserve">The clearance figure is likewise cumulative, and this step supplies part of it.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modular ledger for the two model viruses.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Modular viral clearance by step for XMuLV and MVM, in log10 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72"/>
          <w:p/>
        </w:tc>
      </w:tr>
    </w:tbl>
    <w:p>
      <w:pPr>
        <w:pStyle w:val="BodyText"/>
      </w:pPr>
      <w:r>
        <w:t xml:space="preserve">This step is credited with 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XMuLV clearance, anion</w:t>
      </w:r>
      <w:r>
        <w:t xml:space="preserve"> </w:t>
      </w:r>
      <w:r>
        <w:t xml:space="preserve">exchange with 5.95 (PCR-008) and virus filtration with</w:t>
      </w:r>
      <w:r>
        <w:t xml:space="preserve"> </w:t>
      </w:r>
      <w:r>
        <w:t xml:space="preserve">5.82 (PCR-009), a cumulative 18.87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the requirement of 16.7. The low-pH hold supplies the largest</w:t>
      </w:r>
      <w:r>
        <w:t xml:space="preserve"> </w:t>
      </w:r>
      <w:r>
        <w:t xml:space="preserve">single contribution to enveloped-virus clearance and none of the parvovirus clearance. The</w:t>
      </w:r>
      <w:r>
        <w:t xml:space="preserve"> </w:t>
      </w:r>
      <w:r>
        <w:t xml:space="preserve">three mechanisms are orthogonal, which is what allows the contributions to be added under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: chemical inactivation here, charge-based adsorption at anion exchange</w:t>
      </w:r>
      <w:r>
        <w:t xml:space="preserve"> </w:t>
      </w:r>
      <w:r>
        <w:t xml:space="preserve">and size-based retention at virus filtration.</w:t>
      </w:r>
    </w:p>
    <w:p>
      <w:pPr>
        <w:pStyle w:val="BodyText"/>
      </w:pPr>
      <w:r>
        <w:t xml:space="preserve">One reconciliation is needed between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The credited contribution of</w:t>
      </w:r>
      <w:r>
        <w:t xml:space="preserve"> </w:t>
      </w:r>
      <w:r>
        <w:t xml:space="preserve">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is the nominal value from the process model at</w:t>
      </w:r>
      <w:r>
        <w:t xml:space="preserve"> </w:t>
      </w:r>
      <w:r>
        <w:t xml:space="preserve">set-point conditions, whereas the response-surface model of this study predicts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same conditions. The two differ by</w:t>
      </w:r>
      <w:r>
        <w:t xml:space="preserve"> </w:t>
      </w:r>
      <w:r>
        <w:t xml:space="preserve">0.23 log</w:t>
      </w:r>
      <w:r>
        <w:rPr>
          <w:vertAlign w:val="subscript"/>
        </w:rPr>
        <w:t xml:space="preserve">10</w:t>
      </w:r>
      <w:r>
        <w:t xml:space="preserve">, which is smaller than the residual standard error of</w:t>
      </w:r>
      <w:r>
        <w:t xml:space="preserve"> </w:t>
      </w:r>
      <w:r>
        <w:t xml:space="preserve">the response-surface model, so the credited value and the characterization data agree within</w:t>
      </w:r>
      <w:r>
        <w:t xml:space="preserve"> </w:t>
      </w:r>
      <w:r>
        <w:t xml:space="preserve">the precision of the study.</w:t>
      </w:r>
    </w:p>
    <w:p>
      <w:pPr>
        <w:pStyle w:val="BodyText"/>
      </w:pPr>
      <w:r>
        <w:t xml:space="preserve">Capability is conditioned on operation within the normal operating ranges and on the</w:t>
      </w:r>
      <w:r>
        <w:t xml:space="preserve"> </w:t>
      </w:r>
      <w:r>
        <w:t xml:space="preserve">scale-down model. It carries no allowance for a parameter excursion outside the normal</w:t>
      </w:r>
      <w:r>
        <w:t xml:space="preserve"> </w:t>
      </w:r>
      <w:r>
        <w:t xml:space="preserve">operating range, and any such excursion is assessed against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rather</w:t>
      </w:r>
      <w:r>
        <w:t xml:space="preserve"> </w:t>
      </w:r>
      <w:r>
        <w:t xml:space="preserve">than against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.</w:t>
      </w:r>
    </w:p>
    <w:bookmarkEnd w:id="73"/>
    <w:bookmarkStart w:id="74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SOP-4001 from its demonstrated effect on</w:t>
      </w:r>
      <w:r>
        <w:t xml:space="preserve"> </w:t>
      </w:r>
      <w:r>
        <w:t xml:space="preserve">quality attributes and from the risk that it leaves the operating region in routine</w:t>
      </w:r>
      <w:r>
        <w:t xml:space="preserve"> </w:t>
      </w:r>
      <w:r>
        <w:t xml:space="preserve">manufacture.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and the reasoning follows.</w:t>
      </w:r>
    </w:p>
    <w:p>
      <w:pPr>
        <w:numPr>
          <w:ilvl w:val="0"/>
          <w:numId w:val="1002"/>
        </w:numPr>
      </w:pPr>
      <w:r>
        <w:t xml:space="preserve">Inactivation pH is a critical process parameter. It has the largest effect on</w:t>
      </w:r>
      <w:r>
        <w:t xml:space="preserve"> </w:t>
      </w:r>
      <w:r>
        <w:t xml:space="preserve">enveloped-virus clearance (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), its normal operating range is only</w:t>
      </w:r>
      <w:r>
        <w:t xml:space="preserve"> </w:t>
      </w:r>
      <w:r>
        <w:t xml:space="preserve">0.2 pH units wide, and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shows that robustness to co-variation</w:t>
      </w:r>
      <w:r>
        <w:t xml:space="preserve"> </w:t>
      </w:r>
      <w:r>
        <w:t xml:space="preserve">of the other parameters is lost before the top of the characterized range is reached.</w:t>
      </w:r>
      <w:r>
        <w:t xml:space="preserve"> </w:t>
      </w:r>
      <w:r>
        <w:t xml:space="preserve">Unlike hold time, a pH excursion cannot be corrected once the hold has begun. It is the only</w:t>
      </w:r>
      <w:r>
        <w:t xml:space="preserve"> </w:t>
      </w:r>
      <w:r>
        <w:t xml:space="preserve">parameter in the A-Mab drug substance process classified as a critical process parameter.</w:t>
      </w:r>
    </w:p>
    <w:p>
      <w:pPr>
        <w:numPr>
          <w:ilvl w:val="0"/>
          <w:numId w:val="1002"/>
        </w:numPr>
      </w:pPr>
      <w:r>
        <w:t xml:space="preserve">Hold time is a well-controlled critical process parameter. It has the second largest effect</w:t>
      </w:r>
      <w:r>
        <w:t xml:space="preserve"> </w:t>
      </w:r>
      <w:r>
        <w:t xml:space="preserve">on clearance and it governs both aggregate and acidic variants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it is linked to critical</w:t>
      </w:r>
      <w:r>
        <w:t xml:space="preserve"> </w:t>
      </w:r>
      <w:r>
        <w:t xml:space="preserve">quality attributes and cannot be classified below this level. It is set by a timer,</w:t>
      </w:r>
      <w:r>
        <w:t xml:space="preserve"> </w:t>
      </w:r>
      <w:r>
        <w:t xml:space="preserve">recorded automatically by the process control system, and a hold that has run short can be</w:t>
      </w:r>
      <w:r>
        <w:t xml:space="preserve"> </w:t>
      </w:r>
      <w:r>
        <w:t xml:space="preserve">extended before neutralization. Its proven acceptable range covers the whole characterized</w:t>
      </w:r>
      <w:r>
        <w:t xml:space="preserve"> </w:t>
      </w:r>
      <w:r>
        <w:t xml:space="preserve">range under both analyses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Temperature is a well-controlled critical process parameter. Its effect on clearance is</w:t>
      </w:r>
      <w:r>
        <w:t xml:space="preserve"> </w:t>
      </w:r>
      <w:r>
        <w:t xml:space="preserve">real but the smallest of the three, and it also raises aggregate. The hold is thermostatted</w:t>
      </w:r>
      <w:r>
        <w:t xml:space="preserve"> </w:t>
      </w:r>
      <w:r>
        <w:t xml:space="preserve">and the range that supports the claim is 10 °C wide</w:t>
      </w:r>
      <w:r>
        <w:t xml:space="preserve"> </w:t>
      </w:r>
      <w:r>
        <w:t xml:space="preserve">against a normal operating range of 4 °C, so the risk</w:t>
      </w:r>
      <w:r>
        <w:t xml:space="preserve"> </w:t>
      </w:r>
      <w:r>
        <w:t xml:space="preserve">of leaving the operating region through temperature alone is low.</w:t>
      </w:r>
    </w:p>
    <w:p>
      <w:pPr>
        <w:numPr>
          <w:ilvl w:val="0"/>
          <w:numId w:val="1002"/>
        </w:numPr>
      </w:pPr>
      <w:r>
        <w:t xml:space="preserve">A-Mab concentration is a general process parameter. No mechanism links it to acid-mediated</w:t>
      </w:r>
      <w:r>
        <w:t xml:space="preserve"> </w:t>
      </w:r>
      <w:r>
        <w:t xml:space="preserve">inactivation (</w:t>
      </w:r>
      <w:hyperlink w:anchor="sec-univariate">
        <w:r>
          <w:rPr>
            <w:rStyle w:val="Hyperlink"/>
          </w:rPr>
          <w:t xml:space="preserve">Section 4.4</w:t>
        </w:r>
      </w:hyperlink>
      <w:r>
        <w:t xml:space="preserve">), and its normal operating range is its entire characterized range, so</w:t>
      </w:r>
      <w:r>
        <w:t xml:space="preserve"> </w:t>
      </w:r>
      <w:r>
        <w:t xml:space="preserve">it places no constraint on the eluate delivered by Protein A.</w:t>
      </w:r>
    </w:p>
    <w:p>
      <w:pPr>
        <w:pStyle w:val="FirstParagraph"/>
      </w:pPr>
      <w:r>
        <w:t xml:space="preserve">No parameter of this step is a key process parameter. The step neither concentrates nor</w:t>
      </w:r>
      <w:r>
        <w:t xml:space="preserve"> </w:t>
      </w:r>
      <w:r>
        <w:t xml:space="preserve">separates the product, so it has no yield or throughput parameter to control for process</w:t>
      </w:r>
      <w:r>
        <w:t xml:space="preserve"> </w:t>
      </w:r>
      <w:r>
        <w:t xml:space="preserve">consistency alone. Across the whole drug substance process</w:t>
      </w:r>
      <w:r>
        <w:t xml:space="preserve"> </w:t>
      </w:r>
      <w:r>
        <w:t xml:space="preserve">1 parameter is classified as a critical process parameter,</w:t>
      </w:r>
      <w:r>
        <w:t xml:space="preserve"> </w:t>
      </w:r>
      <w:r>
        <w:t xml:space="preserve">20 as well-controlled critical process parameters,</w:t>
      </w:r>
      <w:r>
        <w:t xml:space="preserve"> </w:t>
      </w:r>
      <w:r>
        <w:t xml:space="preserve">10 as key process parameters and 6 as</w:t>
      </w:r>
      <w:r>
        <w:t xml:space="preserve"> </w:t>
      </w:r>
      <w:r>
        <w:t xml:space="preserve">general process parameters, and the single critical process parameter is the pH of this step.</w:t>
      </w:r>
    </w:p>
    <w:p>
      <w:pPr>
        <w:pStyle w:val="BodyText"/>
      </w:pPr>
      <w:r>
        <w:t xml:space="preserve">The absence of significant interactions is retained in the knowledge space and not</w:t>
      </w:r>
      <w:r>
        <w:t xml:space="preserve"> </w:t>
      </w:r>
      <w:r>
        <w:t xml:space="preserve">discarded. No two-factor interaction reached significance for any response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within</w:t>
      </w:r>
      <w:r>
        <w:t xml:space="preserve"> </w:t>
      </w:r>
      <w:r>
        <w:t xml:space="preserve">the ranges studied the three multivariate parameters can be controlled independently, and each</w:t>
      </w:r>
      <w:r>
        <w:t xml:space="preserve"> </w:t>
      </w:r>
      <w:r>
        <w:t xml:space="preserve">proven acceptable range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can be read without reference to the others except at the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bookmarkEnd w:id="74"/>
    <w:bookmarkStart w:id="75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a small number of controls, and they are all parameter controls rather</w:t>
      </w:r>
      <w:r>
        <w:t xml:space="preserve"> </w:t>
      </w:r>
      <w:r>
        <w:t xml:space="preserve">than tests on the pool. Inactivation pH is controlled to 3.4–3.6 and is</w:t>
      </w:r>
      <w:r>
        <w:t xml:space="preserve"> </w:t>
      </w:r>
      <w:r>
        <w:t xml:space="preserve">verified by an independent measurement before the hold clock starts. Hold time is controlled</w:t>
      </w:r>
      <w:r>
        <w:t xml:space="preserve"> </w:t>
      </w:r>
      <w:r>
        <w:t xml:space="preserve">to 60–120 minutes and is recorded by the process control system.</w:t>
      </w:r>
      <w:r>
        <w:t xml:space="preserve"> </w:t>
      </w:r>
      <w:r>
        <w:t xml:space="preserve">Temperature is controlled to 19–23 °C for the duration of the hold</w:t>
      </w:r>
      <w:r>
        <w:t xml:space="preserve"> </w:t>
      </w:r>
      <w:r>
        <w:t xml:space="preserve">(SOP-2009).</w:t>
      </w:r>
      <w:r>
        <w:t xml:space="preserve"> </w:t>
      </w:r>
      <w:r>
        <w:t xml:space="preserve">A-Mab concentration is monitored across 5–35 g/L and is not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The pH before the hold and the hold duration are in-process controls with acceptance at the</w:t>
      </w:r>
      <w:r>
        <w:t xml:space="preserve"> </w:t>
      </w:r>
      <w:r>
        <w:t xml:space="preserve">normal operating range. A result outside the normal operating range but inside the operating</w:t>
      </w:r>
      <w:r>
        <w:t xml:space="preserve"> </w:t>
      </w:r>
      <w:r>
        <w:t xml:space="preserve">region of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dispositioned against that region and does not by itself invalidate the</w:t>
      </w:r>
      <w:r>
        <w:t xml:space="preserve"> </w:t>
      </w:r>
      <w:r>
        <w:t xml:space="preserve">clearance claim, whereas a result outside the region does. This is the practical value of</w:t>
      </w:r>
      <w:r>
        <w:t xml:space="preserve"> </w:t>
      </w:r>
      <w:r>
        <w:t xml:space="preserve">having characterized ranges that are between</w:t>
      </w:r>
      <w:r>
        <w:t xml:space="preserve"> </w:t>
      </w:r>
      <w:r>
        <w:t xml:space="preserve">2.0 and</w:t>
      </w:r>
      <w:r>
        <w:t xml:space="preserve"> </w:t>
      </w:r>
      <w:r>
        <w:t xml:space="preserve">4.0 times as wide as the operating ranges.</w:t>
      </w:r>
    </w:p>
    <w:p>
      <w:pPr>
        <w:pStyle w:val="BodyText"/>
      </w:pPr>
      <w:r>
        <w:t xml:space="preserve">Two life-cycle controls follow from the nature of the claim. Because the clearance rests on a</w:t>
      </w:r>
      <w:r>
        <w:t xml:space="preserve"> </w:t>
      </w:r>
      <w:r>
        <w:t xml:space="preserve">spiked small-scale model, any change to the acid or buffer system, to the hold configuration</w:t>
      </w:r>
      <w:r>
        <w:t xml:space="preserve"> </w:t>
      </w:r>
      <w:r>
        <w:t xml:space="preserve">or to the neutralization target requires re-assessment against ICH Q5A(R2) before the credit</w:t>
      </w:r>
      <w:r>
        <w:t xml:space="preserve"> </w:t>
      </w:r>
      <w:r>
        <w:t xml:space="preserve">can be retained</w:t>
      </w:r>
      <w:r>
        <w:t xml:space="preserve"> </w:t>
      </w:r>
      <w:r>
        <w:t xml:space="preserve">(International Council for Harmonisation 2023a)</w:t>
      </w:r>
      <w:r>
        <w:t xml:space="preserve">. Because the claim is cumulative, a change at anion exchange or</w:t>
      </w:r>
      <w:r>
        <w:t xml:space="preserve"> </w:t>
      </w:r>
      <w:r>
        <w:t xml:space="preserve">virus filtration that reduces their credited contributions raises the floor required of this</w:t>
      </w:r>
      <w:r>
        <w:t xml:space="preserve"> </w:t>
      </w:r>
      <w:r>
        <w:t xml:space="preserve">step, and the floor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would have to be recomputed.</w:t>
      </w:r>
    </w:p>
    <w:p>
      <w:pPr>
        <w:pStyle w:val="BodyText"/>
      </w:pPr>
      <w:r>
        <w:t xml:space="preserve">Release testing does not measure viral clearance and no release test can confirm it on a</w:t>
      </w:r>
      <w:r>
        <w:t xml:space="preserve"> </w:t>
      </w:r>
      <w:r>
        <w:t xml:space="preserve">batch, so the claim is a process claim. That is why the parameter control described above is</w:t>
      </w:r>
      <w:r>
        <w:t xml:space="preserve"> </w:t>
      </w:r>
      <w:r>
        <w:t xml:space="preserve">the control, and why the pH of this step carries the only critical process parameter classification</w:t>
      </w:r>
      <w:r>
        <w:t xml:space="preserve"> </w:t>
      </w:r>
      <w:r>
        <w:t xml:space="preserve">in the process.</w:t>
      </w:r>
    </w:p>
    <w:p>
      <w:pPr>
        <w:pStyle w:val="BodyText"/>
      </w:pPr>
      <w:r>
        <w:t xml:space="preserve">The step does not control on its own any attribute it influences. Enveloped-virus clearance is</w:t>
      </w:r>
      <w:r>
        <w:t xml:space="preserve"> </w:t>
      </w:r>
      <w:r>
        <w:t xml:space="preserve">a cumulative claim across three orthogonal steps and this report supplies one of them, with</w:t>
      </w:r>
      <w:r>
        <w:t xml:space="preserve"> </w:t>
      </w:r>
      <w:r>
        <w:t xml:space="preserve">the others in PCR-008 and PCR-009. Aggregate is reduced downstream at cation exchange</w:t>
      </w:r>
      <w:r>
        <w:t xml:space="preserve"> </w:t>
      </w:r>
      <w:r>
        <w:t xml:space="preserve">(PCR-007). Acidic variants are formed at the bioreactor (PCR-003) and are of very low</w:t>
      </w:r>
      <w:r>
        <w:t xml:space="preserve"> </w:t>
      </w:r>
      <w:r>
        <w:t xml:space="preserve">criticality. The consolidated position across all steps is given in PCMR-001.</w:t>
      </w:r>
    </w:p>
    <w:bookmarkEnd w:id="75"/>
    <w:bookmarkStart w:id="76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 over the ranges studied, and the understanding is narrower than</w:t>
      </w:r>
      <w:r>
        <w:t xml:space="preserve"> </w:t>
      </w:r>
      <w:r>
        <w:t xml:space="preserve">the volume of data might suggest. Three parameters govern a single clearance response, no</w:t>
      </w:r>
      <w:r>
        <w:t xml:space="preserve"> </w:t>
      </w:r>
      <w:r>
        <w:t xml:space="preserve">interaction among them was detected, and the surfaces match the mechanism that platform</w:t>
      </w:r>
      <w:r>
        <w:t xml:space="preserve"> </w:t>
      </w:r>
      <w:r>
        <w:t xml:space="preserve">experience predicted. What the study adds to that platform position is quantitative: the</w:t>
      </w:r>
      <w:r>
        <w:t xml:space="preserve"> </w:t>
      </w:r>
      <w:r>
        <w:t xml:space="preserve">location of the upper pH edge of failure, the size of the margin at the set-point, and the</w:t>
      </w:r>
      <w:r>
        <w:t xml:space="preserve"> </w:t>
      </w:r>
      <w:r>
        <w:t xml:space="preserve">demonstration that the product-quality cost of a long hold is small.</w:t>
      </w:r>
    </w:p>
    <w:p>
      <w:pPr>
        <w:pStyle w:val="BodyText"/>
      </w:pPr>
      <w:r>
        <w:t xml:space="preserve">Confidence in the scale-down model is high for the chemistry and limited for the equipment,</w:t>
      </w:r>
      <w:r>
        <w:t xml:space="preserve"> </w:t>
      </w:r>
      <w:r>
        <w:t xml:space="preserve">because the model reproduces titration, hold and neutralization with the same reagents and the</w:t>
      </w:r>
      <w:r>
        <w:t xml:space="preserve"> </w:t>
      </w:r>
      <w:r>
        <w:t xml:space="preserve">same pH trajectory, and the centre-point reproducibility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shows it to be as repeatable as</w:t>
      </w:r>
      <w:r>
        <w:t xml:space="preserve"> </w:t>
      </w:r>
      <w:r>
        <w:t xml:space="preserve">the assay allows (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). It says nothing about mixing homogeneity in the commercial hold vessel, and that gap is closed</w:t>
      </w:r>
      <w:r>
        <w:t xml:space="preserve"> </w:t>
      </w:r>
      <w:r>
        <w:t xml:space="preserve">by equipment qualification at the receiving site under PTP-001, not by this report.</w:t>
      </w:r>
    </w:p>
    <w:p>
      <w:pPr>
        <w:pStyle w:val="BodyText"/>
      </w:pPr>
      <w:r>
        <w:t xml:space="preserve">Two deviations occurred and both were retained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Neither is a protocol excursion in the</w:t>
      </w:r>
      <w:r>
        <w:t xml:space="preserve"> </w:t>
      </w:r>
      <w:r>
        <w:t xml:space="preserve">sense of a design point executed at the wrong setting. One was a record discrepancy of</w:t>
      </w:r>
      <w:r>
        <w:t xml:space="preserve"> </w:t>
      </w:r>
      <w:r>
        <w:t xml:space="preserve">4 minutes on a hold-time entry, worth</w:t>
      </w:r>
      <w:r>
        <w:t xml:space="preserve"> </w:t>
      </w:r>
      <w:r>
        <w:t xml:space="preserve">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clearance on the fitted model. The other raised</w:t>
      </w:r>
      <w:r>
        <w:t xml:space="preserve"> </w:t>
      </w:r>
      <w:r>
        <w:t xml:space="preserve">the working quantitation limit of the infectivity assay for a subset of samples, which makes</w:t>
      </w:r>
      <w:r>
        <w:t xml:space="preserve"> </w:t>
      </w:r>
      <w:r>
        <w:t xml:space="preserve">the affected log reduction factors lower bounds and therefore makes the fitted model</w:t>
      </w:r>
      <w:r>
        <w:t xml:space="preserve"> </w:t>
      </w:r>
      <w:r>
        <w:t xml:space="preserve">conservative. Neither changed a classification or the operating region.</w:t>
      </w:r>
    </w:p>
    <w:p>
      <w:pPr>
        <w:pStyle w:val="BodyText"/>
      </w:pPr>
      <w:r>
        <w:t xml:space="preserve">Four limitations bound what has been shown, and they are stated together because they</w:t>
      </w:r>
      <w:r>
        <w:t xml:space="preserve"> </w:t>
      </w:r>
      <w:r>
        <w:t xml:space="preserve">compound. The clearance claim rests on a spiked small-scale model and will never be confirmed</w:t>
      </w:r>
      <w:r>
        <w:t xml:space="preserve"> </w:t>
      </w:r>
      <w:r>
        <w:t xml:space="preserve">on a manufacturing batch. The response-surface model predicts mean responses, so a condition</w:t>
      </w:r>
      <w:r>
        <w:t xml:space="preserve"> </w:t>
      </w:r>
      <w:r>
        <w:t xml:space="preserve">at the edge of the operating region provides no assurance for an individual batch. The</w:t>
      </w:r>
      <w:r>
        <w:t xml:space="preserve"> </w:t>
      </w:r>
      <w:r>
        <w:t xml:space="preserve">operating region is not confirmed at scale at its edges. The lower edge of the pH range is a</w:t>
      </w:r>
      <w:r>
        <w:t xml:space="preserve"> </w:t>
      </w:r>
      <w:r>
        <w:t xml:space="preserve">platform boundary rather than a demonstrated one, so the two-sided character of the pH</w:t>
      </w:r>
      <w:r>
        <w:t xml:space="preserve"> </w:t>
      </w:r>
      <w:r>
        <w:t xml:space="preserve">constraint is demonstrated on one side and inherited on the other.</w:t>
      </w:r>
    </w:p>
    <w:p>
      <w:pPr>
        <w:pStyle w:val="BodyText"/>
      </w:pPr>
      <w:r>
        <w:t xml:space="preserve">A fifth limitation is analytical and it sets the resolution of everything above. The</w:t>
      </w:r>
      <w:r>
        <w:t xml:space="preserve"> </w:t>
      </w:r>
      <w:r>
        <w:t xml:space="preserve">infectivity assay contributes 28 % of the variance in</w:t>
      </w:r>
      <w:r>
        <w:t xml:space="preserve"> </w:t>
      </w:r>
      <w:r>
        <w:t xml:space="preserve">the reported log reduction factor, and the residual standard error of the fitted model,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, is close to the centre-point standard deviation of</w:t>
      </w:r>
      <w:r>
        <w:t xml:space="preserve"> </w:t>
      </w:r>
      <w:r>
        <w:t xml:space="preserve">0.38 log</w:t>
      </w:r>
      <w:r>
        <w:rPr>
          <w:vertAlign w:val="subscript"/>
        </w:rPr>
        <w:t xml:space="preserve">10</w:t>
      </w:r>
      <w:r>
        <w:t xml:space="preserve">. The step’s clearance is therefore known to a few tenths of</w:t>
      </w:r>
      <w:r>
        <w:t xml:space="preserve"> </w:t>
      </w:r>
      <w:r>
        <w:t xml:space="preserve">a log, which is comfortable against a set-point margin of</w:t>
      </w:r>
      <w:r>
        <w:t xml:space="preserve"> </w:t>
      </w:r>
      <w:r>
        <w:t xml:space="preserve">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uncomfortable against the</w:t>
      </w:r>
      <w:r>
        <w:t xml:space="preserve"> </w:t>
      </w:r>
      <w:r>
        <w:t xml:space="preserve">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shortfall at the worst characterized corner. The</w:t>
      </w:r>
      <w:r>
        <w:t xml:space="preserve"> </w:t>
      </w:r>
      <w:r>
        <w:t xml:space="preserve">report treats the first as a real margin and the second as an absence of assurance rather than</w:t>
      </w:r>
      <w:r>
        <w:t xml:space="preserve"> </w:t>
      </w:r>
      <w:r>
        <w:t xml:space="preserve">a demonstrated failure.</w:t>
      </w:r>
    </w:p>
    <w:p>
      <w:pPr>
        <w:pStyle w:val="BodyText"/>
      </w:pPr>
      <w:r>
        <w:t xml:space="preserve">The classification of pH as a critical process parameter was necessary, and the study is what</w:t>
      </w:r>
      <w:r>
        <w:t xml:space="preserve"> </w:t>
      </w:r>
      <w:r>
        <w:t xml:space="preserve">makes it necessary. Hold time and temperature have real effects on a critical quality</w:t>
      </w:r>
      <w:r>
        <w:t xml:space="preserve"> </w:t>
      </w:r>
      <w:r>
        <w:t xml:space="preserve">attribute, so they are critical parameters in the sense of ICH Q8, but each is measured</w:t>
      </w:r>
      <w:r>
        <w:t xml:space="preserve"> </w:t>
      </w:r>
      <w:r>
        <w:t xml:space="preserve">continuously, each can be corrected before neutralization, and each retains its full</w:t>
      </w:r>
      <w:r>
        <w:t xml:space="preserve"> </w:t>
      </w:r>
      <w:r>
        <w:t xml:space="preserve">characterized range as a proven acceptable range under co-variation. pH satisfies none of</w:t>
      </w:r>
      <w:r>
        <w:t xml:space="preserve"> </w:t>
      </w:r>
      <w:r>
        <w:t xml:space="preserve">those three conditions. That difference, and not the size of the effect, is what separates the</w:t>
      </w:r>
      <w:r>
        <w:t xml:space="preserve"> </w:t>
      </w:r>
      <w:r>
        <w:t xml:space="preserve">two classes at this step.</w:t>
      </w:r>
    </w:p>
    <w:bookmarkEnd w:id="76"/>
    <w:bookmarkStart w:id="77" w:name="sec-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low-pH viral inactivation step is well characterized over the ranges studied and is robust</w:t>
      </w:r>
      <w:r>
        <w:t xml:space="preserve"> </w:t>
      </w:r>
      <w:r>
        <w:t xml:space="preserve">within its normal operating ranges. A response-surface model in inactivation pH, hold time and</w:t>
      </w:r>
      <w:r>
        <w:t xml:space="preserve"> </w:t>
      </w:r>
      <w:r>
        <w:t xml:space="preserve">temperature predicts the XMuLV log reduction factor with a residual standard error of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no significant lack of fit, and it defines an</w:t>
      </w:r>
      <w:r>
        <w:t xml:space="preserve"> </w:t>
      </w:r>
      <w:r>
        <w:t xml:space="preserve">operating region in which the step delivers at least its required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 At the set-point the predicted contribution is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Proven acceptable ranges cover the whole characterized range for every parameter and attribute</w:t>
      </w:r>
      <w:r>
        <w:t xml:space="preserve"> </w:t>
      </w:r>
      <w:r>
        <w:t xml:space="preserve">except inactivation pH against clearance, which is restricted to</w:t>
      </w:r>
      <w:r>
        <w:t xml:space="preserve"> </w:t>
      </w:r>
      <w:r>
        <w:t xml:space="preserve">3.2–3.96 under co-variation of the other parameters within their normal</w:t>
      </w:r>
      <w:r>
        <w:t xml:space="preserve"> </w:t>
      </w:r>
      <w:r>
        <w:t xml:space="preserve">operating ranges. At commercial scale the cumulative enveloped-virus clearance has a one-sided</w:t>
      </w:r>
      <w:r>
        <w:t xml:space="preserve"> </w:t>
      </w:r>
      <w:r>
        <w:t xml:space="preserve">Cpk of 1.53 against a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which is the tightest of the three capabilities this step</w:t>
      </w:r>
      <w:r>
        <w:t xml:space="preserve"> </w:t>
      </w:r>
      <w:r>
        <w:t xml:space="preserve">influences. Aggregate and acidic variants remain far from their limits throughout the</w:t>
      </w:r>
      <w:r>
        <w:t xml:space="preserve"> </w:t>
      </w:r>
      <w:r>
        <w:t xml:space="preserve">knowledge space.</w:t>
      </w:r>
    </w:p>
    <w:p>
      <w:pPr>
        <w:pStyle w:val="BodyText"/>
      </w:pPr>
      <w:r>
        <w:t xml:space="preserve">Inactivation pH is a critical process parameter and the only one in the drug substance</w:t>
      </w:r>
      <w:r>
        <w:t xml:space="preserve"> </w:t>
      </w:r>
      <w:r>
        <w:t xml:space="preserve">process. Hold time and temperature are well-controlled critical process parameters, and A-Mab</w:t>
      </w:r>
      <w:r>
        <w:t xml:space="preserve"> </w:t>
      </w:r>
      <w:r>
        <w:t xml:space="preserve">concentration is a general process parameter. Two deviations were recorded and both were</w:t>
      </w:r>
      <w:r>
        <w:t xml:space="preserve"> </w:t>
      </w:r>
      <w:r>
        <w:t xml:space="preserve">retained without effect on the models, the operating region or the classifications.</w:t>
      </w:r>
    </w:p>
    <w:p>
      <w:pPr>
        <w:pStyle w:val="BodyText"/>
      </w:pPr>
      <w:r>
        <w:t xml:space="preserve">The step supplies enveloped-virus clearance and nothing else. It is credited with no</w:t>
      </w:r>
      <w:r>
        <w:t xml:space="preserve"> </w:t>
      </w:r>
      <w:r>
        <w:t xml:space="preserve">parvovirus clearance and no host cell protein clearance, and the cumulative viral safety of</w:t>
      </w:r>
      <w:r>
        <w:t xml:space="preserve"> </w:t>
      </w:r>
      <w:r>
        <w:t xml:space="preserve">the drug substance depends equally on anion exchange (PCR-008) and virus filtration (PCR-009).</w:t>
      </w:r>
      <w:r>
        <w:t xml:space="preserve"> </w:t>
      </w:r>
      <w:r>
        <w:t xml:space="preserve">The results of this report roll up into PCMR-001 and support Stage 2 operation at the</w:t>
      </w:r>
      <w:r>
        <w:t xml:space="preserve"> </w:t>
      </w:r>
      <w:r>
        <w:t xml:space="preserve">receiving site within 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77"/>
    <w:bookmarkStart w:id="81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Two deviations were recorded during execution of PCP-006. Each was investigated to root cause,</w:t>
      </w:r>
      <w:r>
        <w:t xml:space="preserve"> </w:t>
      </w:r>
      <w:r>
        <w:t xml:space="preserve">impact-assessed against the fitted models and closed, and both were retained.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PCP-006.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3"/>
              <w:gridCol w:w="3960"/>
              <w:gridCol w:w="2014"/>
              <w:gridCol w:w="10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Hold-time record discrepancy between DCS and manual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batch-record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assay 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Neither deviation invalidated a run, and no design point was re-executed. The two entries</w:t>
      </w:r>
      <w:r>
        <w:t xml:space="preserve"> </w:t>
      </w:r>
      <w:r>
        <w:t xml:space="preserve">differ in kind: the first concerns a record and the second concerns an assay, and neither</w:t>
      </w:r>
      <w:r>
        <w:t xml:space="preserve"> </w:t>
      </w:r>
      <w:r>
        <w:t xml:space="preserve">concerns the process itself.</w:t>
      </w:r>
    </w:p>
    <w:bookmarkStart w:id="79" w:name="dev-006-01-hold-time-record-discrepancy"/>
    <w:p>
      <w:pPr>
        <w:pStyle w:val="Heading2"/>
      </w:pPr>
      <w:r>
        <w:t xml:space="preserve">13.1 DEV-006-01 — hold-time record discrepancy</w:t>
      </w:r>
    </w:p>
    <w:p>
      <w:pPr>
        <w:pStyle w:val="FirstParagraph"/>
      </w:pPr>
      <w:r>
        <w:t xml:space="preserve">The hold duration recorded for one run by the process control system differed from the</w:t>
      </w:r>
      <w:r>
        <w:t xml:space="preserve"> </w:t>
      </w:r>
      <w:r>
        <w:t xml:space="preserve">duration entered in the manual batch log by</w:t>
      </w:r>
      <w:r>
        <w:t xml:space="preserve"> </w:t>
      </w:r>
      <w:r>
        <w:t xml:space="preserve">4 minutes. The discrepancy was found during</w:t>
      </w:r>
      <w:r>
        <w:t xml:space="preserve"> </w:t>
      </w:r>
      <w:r>
        <w:t xml:space="preserve">batch-record reconciliation after execution and not during the run, so the run itself</w:t>
      </w:r>
      <w:r>
        <w:t xml:space="preserve"> </w:t>
      </w:r>
      <w:r>
        <w:t xml:space="preserve">proceeded to its programmed end point.</w:t>
      </w:r>
    </w:p>
    <w:p>
      <w:pPr>
        <w:pStyle w:val="BodyText"/>
      </w:pPr>
      <w:r>
        <w:t xml:space="preserve">The investigation traced the difference to a clock synchronisation offset between the process</w:t>
      </w:r>
      <w:r>
        <w:t xml:space="preserve"> </w:t>
      </w:r>
      <w:r>
        <w:t xml:space="preserve">control system and the manual recording station. The offset was constant across the campaign</w:t>
      </w:r>
      <w:r>
        <w:t xml:space="preserve"> </w:t>
      </w:r>
      <w:r>
        <w:t xml:space="preserve">and was corrected before any further execution, and the control system record was taken as the</w:t>
      </w:r>
      <w:r>
        <w:t xml:space="preserve"> </w:t>
      </w:r>
      <w:r>
        <w:t xml:space="preserve">source of truth because it is the timed record referenced by SOP-2009 and it is the record</w:t>
      </w:r>
      <w:r>
        <w:t xml:space="preserve"> </w:t>
      </w:r>
      <w:r>
        <w:t xml:space="preserve">that drives the hold.</w:t>
      </w:r>
    </w:p>
    <w:p>
      <w:pPr>
        <w:pStyle w:val="BodyText"/>
      </w:pPr>
      <w:r>
        <w:t xml:space="preserve">The impact is bounded by the design of the study. The discrepancy is</w:t>
      </w:r>
      <w:r>
        <w:t xml:space="preserve"> </w:t>
      </w:r>
      <w:r>
        <w:t xml:space="preserve">3.3 % of the characterized hold-time range. On the fitted</w:t>
      </w:r>
      <w:r>
        <w:t xml:space="preserve"> </w:t>
      </w:r>
      <w:r>
        <w:t xml:space="preserve">response-surface model it corresponds to 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</w:t>
      </w:r>
      <w:r>
        <w:t xml:space="preserve"> </w:t>
      </w:r>
      <w:r>
        <w:t xml:space="preserve">clearance and 0.016 percentage points of aggregate, both an order</w:t>
      </w:r>
      <w:r>
        <w:t xml:space="preserve"> </w:t>
      </w:r>
      <w:r>
        <w:t xml:space="preserve">of magnitude below the residual standard error of the respective model and far below the</w:t>
      </w:r>
      <w:r>
        <w:t xml:space="preserve"> </w:t>
      </w:r>
      <w:r>
        <w:t xml:space="preserve">centre-point reproducibility in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. The run was retained with its control system</w:t>
      </w:r>
      <w:r>
        <w:t xml:space="preserve"> </w:t>
      </w:r>
      <w:r>
        <w:t xml:space="preserve">duration, and re-fitting is not warranted because a change of that size cannot move a</w:t>
      </w:r>
      <w:r>
        <w:t xml:space="preserve"> </w:t>
      </w:r>
      <w:r>
        <w:t xml:space="preserve">coefficient beyond its standard error.</w:t>
      </w:r>
    </w:p>
    <w:bookmarkEnd w:id="79"/>
    <w:bookmarkStart w:id="80" w:name="Xdc6165fcedc2c7eed332d295db2045eadfa502f"/>
    <w:p>
      <w:pPr>
        <w:pStyle w:val="Heading2"/>
      </w:pPr>
      <w:r>
        <w:t xml:space="preserve">13.2 DEV-006-02 — infectivity assay cytotoxicity at low dilution</w:t>
      </w:r>
    </w:p>
    <w:p>
      <w:pPr>
        <w:pStyle w:val="FirstParagraph"/>
      </w:pPr>
      <w:r>
        <w:t xml:space="preserve">Cytotoxicity was observed in the indicator cell monolayer at the lowest dilutions of the</w:t>
      </w:r>
      <w:r>
        <w:t xml:space="preserve"> </w:t>
      </w:r>
      <w:r>
        <w:t xml:space="preserve">neutralized hold pool samples, which prevented the titre being read at those dilutions. The</w:t>
      </w:r>
      <w:r>
        <w:t xml:space="preserve"> </w:t>
      </w:r>
      <w:r>
        <w:t xml:space="preserve">finding came out of analytical review of the assay plates, and it applied to the pool samples</w:t>
      </w:r>
      <w:r>
        <w:t xml:space="preserve"> </w:t>
      </w:r>
      <w:r>
        <w:t xml:space="preserve">but not to the spiked load samples.</w:t>
      </w:r>
    </w:p>
    <w:p>
      <w:pPr>
        <w:pStyle w:val="BodyText"/>
      </w:pPr>
      <w:r>
        <w:t xml:space="preserve">The investigation attributed the cytotoxicity to the sample matrix. The neutralized hold</w:t>
      </w:r>
      <w:r>
        <w:t xml:space="preserve"> </w:t>
      </w:r>
      <w:r>
        <w:t xml:space="preserve">buffer is the most concentrated matrix presented to the assay in this study, and the effect</w:t>
      </w:r>
      <w:r>
        <w:t xml:space="preserve"> </w:t>
      </w:r>
      <w:r>
        <w:t xml:space="preserve">was absent in the load samples, which are read at a higher dilution because their titre is</w:t>
      </w:r>
      <w:r>
        <w:t xml:space="preserve"> </w:t>
      </w:r>
      <w:r>
        <w:t xml:space="preserve">higher. The virus preparation and the cell bank were excluded as causes by the assay controls required</w:t>
      </w:r>
      <w:r>
        <w:t xml:space="preserve"> </w:t>
      </w:r>
      <w:r>
        <w:t xml:space="preserve">under AMV-3017 (back-titration, cell control and positive control).</w:t>
      </w:r>
    </w:p>
    <w:p>
      <w:pPr>
        <w:pStyle w:val="BodyText"/>
      </w:pPr>
      <w:r>
        <w:t xml:space="preserve">The disposition was to report titres from a dilution of</w:t>
      </w:r>
      <w:r>
        <w:t xml:space="preserve"> </w:t>
      </w:r>
      <w:r>
        <w:t xml:space="preserve">8 and above, at which no cytotoxicity was</w:t>
      </w:r>
      <w:r>
        <w:t xml:space="preserve"> </w:t>
      </w:r>
      <w:r>
        <w:t xml:space="preserve">observed. Doing so raises the working quantitation limit of the assay for the affected</w:t>
      </w:r>
      <w:r>
        <w:t xml:space="preserve"> </w:t>
      </w:r>
      <w:r>
        <w:t xml:space="preserve">samples above the validated limit of 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TCID50/mL. The</w:t>
      </w:r>
      <w:r>
        <w:t xml:space="preserve"> </w:t>
      </w:r>
      <w:r>
        <w:t xml:space="preserve">consequence for the study is a floor on the measurable pool titre and not a bias in it. A pool</w:t>
      </w:r>
      <w:r>
        <w:t xml:space="preserve"> </w:t>
      </w:r>
      <w:r>
        <w:t xml:space="preserve">titre reported at a raised floor understates the clearance achieved, so the affected log</w:t>
      </w:r>
      <w:r>
        <w:t xml:space="preserve"> </w:t>
      </w:r>
      <w:r>
        <w:t xml:space="preserve">reduction factors are lower bounds and the fitted model is conservative in that direction.</w:t>
      </w:r>
    </w:p>
    <w:p>
      <w:pPr>
        <w:pStyle w:val="BodyText"/>
      </w:pPr>
      <w:r>
        <w:t xml:space="preserve">No run was excluded from the analysis and no titre was replaced by a substituted value. The</w:t>
      </w:r>
      <w:r>
        <w:t xml:space="preserve"> </w:t>
      </w:r>
      <w:r>
        <w:t xml:space="preserve">cytotoxicity control is a standing part of the method and its performance is summarized in</w:t>
      </w:r>
      <w:r>
        <w:t xml:space="preserve"> </w:t>
      </w:r>
      <w:r>
        <w:t xml:space="preserve">Appendix D. The finding is recorded here because it is a limitation on the resolution of the clearance</w:t>
      </w:r>
      <w:r>
        <w:t xml:space="preserve"> </w:t>
      </w:r>
      <w:r>
        <w:t xml:space="preserve">measurement, and because it is one of the reasons the study reports a margin at the set-point</w:t>
      </w:r>
      <w:r>
        <w:t xml:space="preserve"> </w:t>
      </w:r>
      <w:r>
        <w:t xml:space="preserve">and does not report a maximum achievable clearance.</w:t>
      </w:r>
    </w:p>
    <w:bookmarkEnd w:id="80"/>
    <w:bookmarkEnd w:id="81"/>
    <w:bookmarkStart w:id="93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appendices carry the full design matrices, the complete effect and coefficient tables for</w:t>
      </w:r>
      <w:r>
        <w:t xml:space="preserve"> </w:t>
      </w:r>
      <w:r>
        <w:t xml:space="preserve">every response, and the analytical method summary. They are the record behind the tables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 are not summarized again here.</w:t>
      </w:r>
    </w:p>
    <w:bookmarkStart w:id="84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matrix and its measured responses, in run order. Coded −1 and +1 are the</w:t>
      </w:r>
      <w:r>
        <w:t xml:space="preserve"> </w:t>
      </w:r>
      <w:r>
        <w:t xml:space="preserve">edges of each characterized range and 0 is the range midpoint.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bookmarkEnd w:id="84"/>
    <w:bookmarkStart w:id="86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 composite matrix and its measured responses. Axial runs sit at</w:t>
      </w:r>
      <w:r>
        <w:t xml:space="preserve"> </w:t>
      </w:r>
      <w:r>
        <w:t xml:space="preserve">the face centres, so no run leaves the characterized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5"/>
          <w:p/>
        </w:tc>
      </w:tr>
    </w:tbl>
    <w:bookmarkEnd w:id="86"/>
    <w:bookmarkStart w:id="90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Screening effect estimates for the response not tabulated in</w:t>
      </w:r>
      <w:r>
        <w:t xml:space="preserve"> 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, followed by the full</w:t>
      </w:r>
      <w:r>
        <w:t xml:space="preserve"> </w:t>
      </w:r>
      <w:r>
        <w:t xml:space="preserve">quadratic coefficients for the two responses not tabulated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 estimates for acidic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7"/>
              <w:gridCol w:w="1193"/>
              <w:gridCol w:w="1193"/>
              <w:gridCol w:w="1410"/>
              <w:gridCol w:w="1193"/>
              <w:gridCol w:w="1193"/>
              <w:gridCol w:w="8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4.86e+13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1.08e-54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-5.35e-15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quadratic coefficients of the pool aggregate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440"/>
              <w:gridCol w:w="1560"/>
              <w:gridCol w:w="132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7.757e-11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Full quadratic coefficients of the acidic variant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6.11e+15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5.79e-124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1.32e-108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bookmarkEnd w:id="90"/>
    <w:bookmarkStart w:id="92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Validated methods used for the study responses, and the reported performance of the</w:t>
      </w:r>
      <w:r>
        <w:t xml:space="preserve"> </w:t>
      </w:r>
      <w:r>
        <w:t xml:space="preserve">infectivity assay that carries the clearance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Reported performance of the XMuLV infectivity assay (AMV-3017).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1"/>
              <w:gridCol w:w="2282"/>
              <w:gridCol w:w="872"/>
              <w:gridCol w:w="469"/>
              <w:gridCol w:w="1141"/>
              <w:gridCol w:w="1073"/>
              <w:gridCol w:w="14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The remaining methods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 corpus-wide size-variant and charge-variant</w:t>
      </w:r>
      <w:r>
        <w:t xml:space="preserve"> </w:t>
      </w:r>
      <w:r>
        <w:t xml:space="preserve">assays, and their validation records are cited there. Aggregate is the reportable result of</w:t>
      </w:r>
      <w:r>
        <w:t xml:space="preserve"> </w:t>
      </w:r>
      <w:r>
        <w:t xml:space="preserve">SEC-HPLC under AMV-3011 and acidic variants the reportable result of icIEF under AMV-3013.</w:t>
      </w:r>
    </w:p>
    <w:bookmarkEnd w:id="92"/>
    <w:bookmarkEnd w:id="93"/>
    <w:bookmarkStart w:id="102" w:name="references"/>
    <w:p>
      <w:pPr>
        <w:pStyle w:val="Heading1"/>
      </w:pPr>
      <w:r>
        <w:t xml:space="preserve">References</w:t>
      </w:r>
    </w:p>
    <w:bookmarkStart w:id="101" w:name="refs"/>
    <w:bookmarkStart w:id="9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4"/>
    <w:bookmarkStart w:id="95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5"/>
    <w:bookmarkStart w:id="96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96"/>
    <w:bookmarkStart w:id="97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97"/>
    <w:bookmarkStart w:id="98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98"/>
    <w:bookmarkStart w:id="99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99"/>
    <w:bookmarkStart w:id="10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2026-07-27T10:32:03Z</dcterms:created>
  <dcterms:modified xsi:type="dcterms:W3CDTF">2026-07-27T10:32:03Z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