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491"/>
              <w:gridCol w:w="2087"/>
              <w:gridCol w:w="5341"/>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attributes</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by size; principal MVM clearance (MVM and XMuLV credit)</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except for fragments, their drug substance acceptance criteria are taken from the A-Mab case study</w:t>
      </w:r>
      <w:r>
        <w:t xml:space="preserve"> </w:t>
      </w:r>
      <w:r>
        <w:t xml:space="preserve">(CMC Biotech Working Group 2009)</w:t>
      </w:r>
      <w:r>
        <w:t xml:space="preserve">. The case study lists fragmentation among the typical quality attributes of an antibody but gives it no limit, and the sponsor set the criterion for fragments by nrCE-SDS when they joined the register at Version 2.0.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r>
                    <w:rPr>
                      <w:vertAlign w:val="superscript"/>
                    </w:rPr>
                    <w:t xml:space="preserve">a)</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r>
                    <w:rPr>
                      <w:vertAlign w:val="superscript"/>
                    </w:rPr>
                    <w:t xml:space="preserve">a)</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r>
                    <w:rPr>
                      <w:vertAlign w:val="superscript"/>
                    </w:rPr>
                    <w:t xml:space="preserve">a)</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r>
                    <w:rPr>
                      <w:vertAlign w:val="superscript"/>
                    </w:rPr>
                    <w:t xml:space="preserve">a)</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r>
                    <w:rPr>
                      <w:vertAlign w:val="superscript"/>
                    </w:rPr>
                    <w:t xml:space="preserve">a)</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r>
                    <w:rPr>
                      <w:vertAlign w:val="superscript"/>
                    </w:rPr>
                    <w:t xml:space="preserve">a)</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r>
                    <w:rPr>
                      <w:vertAlign w:val="superscript"/>
                    </w:rPr>
                    <w:t xml:space="preserve">a)</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r>
                    <w:rPr>
                      <w:vertAlign w:val="superscript"/>
                    </w:rPr>
                    <w:t xml:space="preserve">a)</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r>
                    <w:rPr>
                      <w:vertAlign w:val="superscript"/>
                    </w:rPr>
                    <w:t xml:space="preserve">a)</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r>
                    <w:rPr>
                      <w:vertAlign w:val="superscript"/>
                    </w:rPr>
                    <w:t xml:space="preserve">a)</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r>
                    <w:rPr>
                      <w:vertAlign w:val="superscript"/>
                    </w:rPr>
                    <w:t xml:space="preserve">a)</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r>
                    <w:rPr>
                      <w:vertAlign w:val="superscript"/>
                    </w:rPr>
                    <w:t xml:space="preserve">a)</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r>
                    <w:rPr>
                      <w:vertAlign w:val="superscript"/>
                    </w:rPr>
                    <w:t xml:space="preserve">a)</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r>
                    <w:rPr>
                      <w:vertAlign w:val="superscript"/>
                    </w:rPr>
                    <w:t xml:space="preserve">a)</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r>
                    <w:rPr>
                      <w:vertAlign w:val="superscript"/>
                    </w:rPr>
                    <w:t xml:space="preserve">a)</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KPP</w:t>
                  </w:r>
                </w:p>
              </w:tc>
            </w:tr>
            <w:tr>
              <w:tc>
                <w:tcPr>
                  <w:gridSpan w:val="7"/>
                </w:tcPr>
                <w:p>
                  <w:pPr>
                    <w:pStyle w:val="Compact"/>
                    <w:jc w:val="center"/>
                  </w:pPr>
                  <w:r>
                    <w:rPr>
                      <w:vertAlign w:val="superscript"/>
                    </w:rPr>
                    <w:t xml:space="preserve">a)</w:t>
                  </w:r>
                  <w:r>
                    <w:t xml:space="preserve"> </w:t>
                  </w:r>
                  <w:r>
                    <w:t xml:space="preserve">Studied one factor at a time. Every other parameter was studied in the designed experiments of its step.</w:t>
                  </w:r>
                </w:p>
              </w:tc>
            </w:tr>
            <w:tr>
              <w:tc>
                <w:tcPr>
                  <w:gridSpan w:val="7"/>
                </w:tcPr>
                <w:p>
                  <w:pPr>
                    <w:pStyle w:val="Compact"/>
                    <w:jc w:val="center"/>
                  </w:pPr>
                  <w:r>
                    <w:rPr>
                      <w:vertAlign w:val="superscript"/>
                    </w:rPr>
                    <w:t xml:space="preserve">b)</w:t>
                  </w:r>
                  <w:r>
                    <w:t xml:space="preserve"> </w:t>
                  </w:r>
                  <w:r>
                    <w:t xml:space="preserve">The normal operating range equals the characterized range.</w:t>
                  </w:r>
                </w:p>
              </w:tc>
            </w:tr>
            <w:tr>
              <w:tc>
                <w:tcPr>
                  <w:gridSpan w:val="7"/>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7"/>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7"/>
                </w:tcPr>
                <w:p>
                  <w:pPr>
                    <w:pStyle w:val="Compact"/>
                    <w:jc w:val="center"/>
                  </w:pPr>
                  <w:r>
                    <w:rPr>
                      <w:vertAlign w:val="superscript"/>
                    </w:rPr>
                    <w:t xml:space="preserve">c3)</w:t>
                  </w:r>
                  <w:r>
                    <w:t xml:space="preserve"> </w:t>
                  </w:r>
                  <w:r>
                    <w:t xml:space="preserve">Moved at Version 2.0 from pH 3.5, the set-point in the characterization plan (PCR-006).</w:t>
                  </w:r>
                </w:p>
              </w:tc>
            </w:tr>
            <w:tr>
              <w:tc>
                <w:tcPr>
                  <w:gridSpan w:val="7"/>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7"/>
                </w:tcPr>
                <w:p>
                  <w:pPr>
                    <w:pStyle w:val="Compact"/>
                    <w:jc w:val="center"/>
                  </w:pPr>
                  <w:r>
                    <w:rPr>
                      <w:vertAlign w:val="superscript"/>
                    </w:rPr>
                    <w:t xml:space="preserve">c5)</w:t>
                  </w:r>
                  <w:r>
                    <w:t xml:space="preserve"> </w:t>
                  </w:r>
                  <w:r>
                    <w:t xml:space="preserve">Moved at Version 2.0 from 90 min, the set-point in the characterization plan (PCR-006).</w:t>
                  </w:r>
                </w:p>
              </w:tc>
            </w:tr>
            <w:tr>
              <w:tc>
                <w:tcPr>
                  <w:gridSpan w:val="7"/>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residual DNA, leached Protein A), anion exchange (step yield, plate count, peak asymmetry, host cell protein), virus filtration (step yield) and UF/DF (step yield, aggregate, final concentration, permeate flux).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four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 The design space of a step is drawn on the same statistic. A setting of its response-surface parameters lies inside it when every quality attribute meets its criterion at both ends of the 95 % prediction interval of a single run, and viral clearance on its mean prediction.</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three adequacy criteria that the rule names,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first three adequacy criteria of</w:t>
      </w:r>
      <w:r>
        <w:t xml:space="preserve"> </w:t>
      </w:r>
      <w:hyperlink w:anchor="sec-acc-model">
        <w:r>
          <w:rPr>
            <w:rStyle w:val="Hyperlink"/>
          </w:rPr>
          <w:t xml:space="preserve">Section 7.2</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The report that gives the bound examines it and states whether the bound depends on a single run.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three adequacy criteria that the rule names,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every study that measures fragments, at every step, measures them by nrCE-SDS (AMV-3020, under SOP-3015).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2026-10-10T15:23:22Z</dcterms:created>
  <dcterms:modified xsi:type="dcterms:W3CDTF">2026-10-10T15:23:22Z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