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Anion Exchange Chromatography (Step 8) — PCP-008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FT, flow-through · GPP, general process parameter · HCP, host-cell protein ·</w:t>
      </w:r>
      <w:r>
        <w:t xml:space="preserve"> </w:t>
      </w:r>
      <w:r>
        <w:t xml:space="preserve">icIEF, imaged capillary isoelectric focusing · ICH, International Council for</w:t>
      </w:r>
      <w:r>
        <w:t xml:space="preserve"> </w:t>
      </w:r>
      <w:r>
        <w:t xml:space="preserve">Harmonisation · KPP, key process parameter · LRF/LRV, log-reduction factor / value ·</w:t>
      </w:r>
      <w:r>
        <w:t xml:space="preserve"> </w:t>
      </w:r>
      <w:r>
        <w:t xml:space="preserve">MSAT, Manufacturing Science and Technology · MVM, minute virus of mice</w:t>
      </w:r>
      <w:r>
        <w:t xml:space="preserve"> </w:t>
      </w:r>
      <w:r>
        <w:t xml:space="preserve">(parvovirus) · NOR, normal operating range · PAR, proven acceptable range · PPQ,</w:t>
      </w:r>
      <w:r>
        <w:t xml:space="preserve"> </w:t>
      </w:r>
      <w:r>
        <w:t xml:space="preserve">process performance qualification · qPCR, quantitative polymerase chain reaction ·</w:t>
      </w:r>
      <w:r>
        <w:t xml:space="preserve"> </w:t>
      </w:r>
      <w:r>
        <w:t xml:space="preserve">QbD, Quality by Design · RRF, risk ranking and filtering · RSM, response-surface</w:t>
      </w:r>
      <w:r>
        <w:t xml:space="preserve"> </w:t>
      </w:r>
      <w:r>
        <w:t xml:space="preserve">methodology · SDM, scale-down model · TCID50, 50% tissue-culture infectious dose ·</w:t>
      </w:r>
      <w:r>
        <w:t xml:space="preserve"> </w:t>
      </w:r>
      <w:r>
        <w:t xml:space="preserve">UV, ultraviolet absorbance (280 nm) · WC-CPP, well-controlled CPP · XMuLV,</w:t>
      </w:r>
      <w:r>
        <w:t xml:space="preserve"> </w:t>
      </w:r>
      <w:r>
        <w:t xml:space="preserve">xenotropic murine leukaemia virus (enveloped model virus).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PCP-008</w:t>
      </w:r>
      <w:r>
        <w:t xml:space="preserve">) defines the Stage 1 (Process Design)</w:t>
      </w:r>
      <w:r>
        <w:t xml:space="preserve"> </w:t>
      </w:r>
      <w:r>
        <w:t xml:space="preserve">characterization of the A-Mab anion-exchange (AEX) polishing chromatography step</w:t>
      </w:r>
      <w:r>
        <w:t xml:space="preserve"> </w:t>
      </w:r>
      <w:r>
        <w:t xml:space="preserve">(Step 8), the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polishing operation that follows cation-exchange</w:t>
      </w:r>
      <w:r>
        <w:t xml:space="preserve"> </w:t>
      </w:r>
      <w:r>
        <w:t xml:space="preserve">polishing and is the</w:t>
      </w:r>
      <w:r>
        <w:t xml:space="preserve"> </w:t>
      </w:r>
      <w:r>
        <w:rPr>
          <w:b/>
          <w:bCs/>
        </w:rPr>
        <w:t xml:space="preserve">final chromatographic step</w:t>
      </w:r>
      <w:r>
        <w:t xml:space="preserve"> </w:t>
      </w:r>
      <w:r>
        <w:t xml:space="preserve">of the purification train. Operated</w:t>
      </w:r>
      <w:r>
        <w:t xml:space="preserve"> </w:t>
      </w:r>
      <w:r>
        <w:t xml:space="preserve">in flow-through (product-transmission) mode, AEX is the step at which the process</w:t>
      </w:r>
      <w:r>
        <w:t xml:space="preserve"> </w:t>
      </w:r>
      <w:r>
        <w:rPr>
          <w:b/>
          <w:bCs/>
        </w:rPr>
        <w:t xml:space="preserve">establishes the minute-virus-of-mice (MVM, parvovirus) viral-clearance claim</w:t>
      </w:r>
      <w:r>
        <w:t xml:space="preserve"> </w:t>
      </w:r>
      <w:r>
        <w:t xml:space="preserve">— the</w:t>
      </w:r>
      <w:r>
        <w:t xml:space="preserve"> </w:t>
      </w:r>
      <w:r>
        <w:t xml:space="preserve">CQA it sets — and provides a major further reduction of host-cell protein (HCP),</w:t>
      </w:r>
      <w:r>
        <w:t xml:space="preserve"> </w:t>
      </w:r>
      <w:r>
        <w:t xml:space="preserve">enveloped-virus (XMuLV) clearance, and modular clearance of residual DNA and leached</w:t>
      </w:r>
      <w:r>
        <w:t xml:space="preserve"> </w:t>
      </w:r>
      <w:r>
        <w:t xml:space="preserve">Protein A. The plan specifies the objectives, the attributes in scope, the process</w:t>
      </w:r>
      <w:r>
        <w:t xml:space="preserve"> </w:t>
      </w:r>
      <w:r>
        <w:t xml:space="preserve">parameters and ranges to be characterized, the experimental designs, the analytical</w:t>
      </w:r>
      <w:r>
        <w:t xml:space="preserve"> </w:t>
      </w:r>
      <w:r>
        <w:t xml:space="preserve">methods, the sampling plan, the statistical-analysis approach, and the acceptance and</w:t>
      </w:r>
      <w:r>
        <w:t xml:space="preserve"> </w:t>
      </w:r>
      <w:r>
        <w:t xml:space="preserve">decision criteria by which each parameter will be classified and a multivariate</w:t>
      </w:r>
      <w:r>
        <w:t xml:space="preserve"> </w:t>
      </w:r>
      <w:r>
        <w:t xml:space="preserve">operating region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anion-exchange polishing step, characterized on a</w:t>
      </w:r>
      <w:r>
        <w:t xml:space="preserve"> </w:t>
      </w:r>
      <w:r>
        <w:t xml:space="preserve">qualified scale-down chromatography column. The upstream cation-exchange step (Step 7),</w:t>
      </w:r>
      <w:r>
        <w:t xml:space="preserve"> </w:t>
      </w:r>
      <w:r>
        <w:t xml:space="preserve">which defines the feed to this step, and the downstream small-virus-retentive</w:t>
      </w:r>
      <w:r>
        <w:t xml:space="preserve"> </w:t>
      </w:r>
      <w:r>
        <w:t xml:space="preserve">filtration step (Step 9), which provides the orthogonal size-based viral clearance, are</w:t>
      </w:r>
      <w:r>
        <w:t xml:space="preserve"> </w:t>
      </w:r>
      <w:r>
        <w:t xml:space="preserve">addressed only where they define the feed to, or complete the clearance credited across,</w:t>
      </w:r>
      <w:r>
        <w:t xml:space="preserve"> </w:t>
      </w:r>
      <w:r>
        <w:t xml:space="preserve">this step; their characterization is out of scope. This plan governs execution only —</w:t>
      </w:r>
      <w:r>
        <w:t xml:space="preserve"> </w:t>
      </w:r>
      <w:r>
        <w:t xml:space="preserve">the results are reported in the paired Process Characterization Report (</w:t>
      </w:r>
      <w:r>
        <w:rPr>
          <w:b/>
          <w:bCs/>
        </w:rPr>
        <w:t xml:space="preserve">PCR-008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</w:t>
      </w:r>
      <w:r>
        <w:t xml:space="preserve"> </w:t>
      </w:r>
      <w:r>
        <w:t xml:space="preserve">follow the lifecycle approach of the FDA 2011 process-validation guidance</w:t>
      </w:r>
      <w:r>
        <w:t xml:space="preserve"> </w:t>
      </w:r>
      <w:r>
        <w:t xml:space="preserve">(U.S. Food and Drug Administration 2011)</w:t>
      </w:r>
      <w:r>
        <w:t xml:space="preserve">;</w:t>
      </w:r>
      <w:r>
        <w:t xml:space="preserve"> </w:t>
      </w:r>
      <w:r>
        <w:t xml:space="preserve">the QbD framework follows ICH Q8, Q9 and Q11</w:t>
      </w:r>
      <w:r>
        <w:t xml:space="preserve"> </w:t>
      </w:r>
      <w:r>
        <w:t xml:space="preserve">(International Council for Harmonisation 2009, 2023b, 2012)</w:t>
      </w:r>
      <w:r>
        <w:t xml:space="preserve">; the</w:t>
      </w:r>
      <w:r>
        <w:t xml:space="preserve"> </w:t>
      </w:r>
      <w:r>
        <w:t xml:space="preserve">viral-clearance framework follows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anion-exchange process</w:t>
      </w:r>
      <w:r>
        <w:t xml:space="preserve"> </w:t>
      </w:r>
      <w:r>
        <w:t xml:space="preserve">parameters and the flow-through-pool HCP, the enveloped-virus (XMuLV) and</w:t>
      </w:r>
      <w:r>
        <w:t xml:space="preserve"> </w:t>
      </w:r>
      <w:r>
        <w:t xml:space="preserve">parvovirus (MVM) log-reduction, and the step yield;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curvature,</w:t>
      </w:r>
      <w:r>
        <w:t xml:space="preserve"> </w:t>
      </w:r>
      <w:r>
        <w:t xml:space="preserve">including the anticipated load-pH × Equil/Wash-1-conductivity interaction that</w:t>
      </w:r>
      <w:r>
        <w:t xml:space="preserve"> </w:t>
      </w:r>
      <w:r>
        <w:t xml:space="preserve">governs HCP clearance and the load-pH/load-conductivity dependence that governs</w:t>
      </w:r>
      <w:r>
        <w:t xml:space="preserve"> </w:t>
      </w:r>
      <w:r>
        <w:t xml:space="preserve">viral clearance;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over which the flow-through-pool HCP and</w:t>
      </w:r>
      <w:r>
        <w:t xml:space="preserve"> </w:t>
      </w:r>
      <w:r>
        <w:t xml:space="preserve">the MVM and XMuLV log-reduction credited to this step are simultaneously controlled;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strategy, including the modular</w:t>
      </w:r>
      <w:r>
        <w:t xml:space="preserve"> </w:t>
      </w:r>
      <w:r>
        <w:t xml:space="preserve">viral-clearance claim.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</w:t>
      </w:r>
      <w:r>
        <w:t xml:space="preserve"> </w:t>
      </w:r>
      <w:r>
        <w:t xml:space="preserve">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4651"/>
              <w:gridCol w:w="23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Anion-exchange chromatography is the final polishing step of the A-Mab purification</w:t>
      </w:r>
      <w:r>
        <w:t xml:space="preserve"> </w:t>
      </w:r>
      <w:r>
        <w:t xml:space="preserve">train and is operated in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mode: the cation-exchange eluate is</w:t>
      </w:r>
      <w:r>
        <w:t xml:space="preserve"> </w:t>
      </w:r>
      <w:r>
        <w:t xml:space="preserve">conditioned to the target load pH and load conductivity and loaded onto an equilibrated</w:t>
      </w:r>
      <w:r>
        <w:t xml:space="preserve"> </w:t>
      </w:r>
      <w:r>
        <w:t xml:space="preserve">strong anion-exchange resin; at the operating pH the product antibody carries a slight</w:t>
      </w:r>
      <w:r>
        <w:t xml:space="preserve"> </w:t>
      </w:r>
      <w:r>
        <w:t xml:space="preserve">net positive charge and transmits through the column, while the more acidic</w:t>
      </w:r>
      <w:r>
        <w:t xml:space="preserve"> </w:t>
      </w:r>
      <w:r>
        <w:t xml:space="preserve">process-related impurities — host-cell protein, residual DNA and endotoxin — and the</w:t>
      </w:r>
      <w:r>
        <w:t xml:space="preserve"> </w:t>
      </w:r>
      <w:r>
        <w:t xml:space="preserve">model viruses bind to the resin and are retained. The product is recovered in the</w:t>
      </w:r>
      <w:r>
        <w:t xml:space="preserve"> </w:t>
      </w:r>
      <w:r>
        <w:t xml:space="preserve">flow-through together with a post-load wash at the equilibration/wash-1 conductivity,</w:t>
      </w:r>
      <w:r>
        <w:t xml:space="preserve"> </w:t>
      </w:r>
      <w:r>
        <w:t xml:space="preserve">the pool being collected from the start of load to a defined trailing-edge</w:t>
      </w:r>
      <w:r>
        <w:t xml:space="preserve"> </w:t>
      </w:r>
      <w:r>
        <w:t xml:space="preserve">ultraviolet (UV, 280 nm) pool-stop criterion</w:t>
      </w:r>
      <w:r>
        <w:t xml:space="preserve"> </w:t>
      </w:r>
      <w:r>
        <w:t xml:space="preserve">(CMC Biotech Working Group 2009)</w:t>
      </w:r>
      <w:r>
        <w:t xml:space="preserve">. Like cation exchange it forms</w:t>
      </w:r>
      <w:r>
        <w:t xml:space="preserve"> </w:t>
      </w:r>
      <w:r>
        <w:t xml:space="preserve">no new size- or glycan-related CQA, but it is the step at which the process</w:t>
      </w:r>
      <w:r>
        <w:t xml:space="preserve"> </w:t>
      </w:r>
      <w:r>
        <w:rPr>
          <w:b/>
          <w:bCs/>
        </w:rPr>
        <w:t xml:space="preserve">credits</w:t>
      </w:r>
      <w:r>
        <w:rPr>
          <w:b/>
          <w:bCs/>
        </w:rPr>
        <w:t xml:space="preserve"> </w:t>
      </w:r>
      <w:r>
        <w:rPr>
          <w:b/>
          <w:bCs/>
        </w:rPr>
        <w:t xml:space="preserve">the MVM (parvovirus) log-reduction</w:t>
      </w:r>
      <w:r>
        <w:t xml:space="preserve"> </w:t>
      </w:r>
      <w:r>
        <w:t xml:space="preserve">required for the drug-substance viral-safety claim,</w:t>
      </w:r>
      <w:r>
        <w:t xml:space="preserve"> </w:t>
      </w:r>
      <w:r>
        <w:t xml:space="preserve">and it provides orthogonal enveloped-virus (XMuLV) clearance and a major further</w:t>
      </w:r>
      <w:r>
        <w:t xml:space="preserve"> </w:t>
      </w:r>
      <w:r>
        <w:t xml:space="preserve">reduction of HCP with modular clearance of residual DNA and leached Protein A.</w:t>
      </w:r>
    </w:p>
    <w:p>
      <w:pPr>
        <w:pStyle w:val="BodyText"/>
      </w:pPr>
      <w:r>
        <w:t xml:space="preserve">Platform knowledge from related humanized IgG1 antibodies established that, in</w:t>
      </w:r>
      <w:r>
        <w:t xml:space="preserve"> </w:t>
      </w:r>
      <w:r>
        <w:t xml:space="preserve">flow-through anion exchange, impurity and virus binding is governed by the electrostatic</w:t>
      </w:r>
      <w:r>
        <w:t xml:space="preserve"> </w:t>
      </w:r>
      <w:r>
        <w:t xml:space="preserve">environment: a</w:t>
      </w:r>
      <w:r>
        <w:t xml:space="preserve"> </w:t>
      </w:r>
      <w:r>
        <w:rPr>
          <w:b/>
          <w:bCs/>
        </w:rPr>
        <w:t xml:space="preserve">higher load pH</w:t>
      </w:r>
      <w:r>
        <w:t xml:space="preserve"> </w:t>
      </w:r>
      <w:r>
        <w:t xml:space="preserve">increases the net negative charge of the impurities</w:t>
      </w:r>
      <w:r>
        <w:t xml:space="preserve"> </w:t>
      </w:r>
      <w:r>
        <w:t xml:space="preserve">and virus, strengthening their retention and improving clearance (lower flow-through HCP,</w:t>
      </w:r>
      <w:r>
        <w:t xml:space="preserve"> </w:t>
      </w:r>
      <w:r>
        <w:t xml:space="preserve">higher log-reduction), while a</w:t>
      </w:r>
      <w:r>
        <w:t xml:space="preserve"> </w:t>
      </w:r>
      <w:r>
        <w:rPr>
          <w:b/>
          <w:bCs/>
        </w:rPr>
        <w:t xml:space="preserve">higher equilibration/wash-1 conductivity</w:t>
      </w:r>
      <w:r>
        <w:t xml:space="preserve"> </w:t>
      </w:r>
      <w:r>
        <w:t xml:space="preserve">screens those</w:t>
      </w:r>
      <w:r>
        <w:t xml:space="preserve"> </w:t>
      </w:r>
      <w:r>
        <w:t xml:space="preserve">interactions and weakens retention, reducing HCP clearance; the two act together through</w:t>
      </w:r>
      <w:r>
        <w:t xml:space="preserve"> </w:t>
      </w:r>
      <w:r>
        <w:t xml:space="preserve">a load-pH × conductivity interaction. Viral clearance additionally depends on the</w:t>
      </w:r>
      <w:r>
        <w:t xml:space="preserve"> </w:t>
      </w:r>
      <w:r>
        <w:rPr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conductivity</w:t>
      </w:r>
      <w:r>
        <w:t xml:space="preserve">, which must be low enough for the virus to bind. Because the operation is</w:t>
      </w:r>
      <w:r>
        <w:t xml:space="preserve"> </w:t>
      </w:r>
      <w:r>
        <w:t xml:space="preserve">flow-through with high dynamic capacity for the product, the</w:t>
      </w:r>
      <w:r>
        <w:t xml:space="preserve"> </w:t>
      </w:r>
      <w:r>
        <w:rPr>
          <w:b/>
          <w:bCs/>
        </w:rPr>
        <w:t xml:space="preserve">protein load</w:t>
      </w:r>
      <w:r>
        <w:t xml:space="preserve"> </w:t>
      </w:r>
      <w:r>
        <w:t xml:space="preserve">can be run</w:t>
      </w:r>
      <w:r>
        <w:t xml:space="preserve"> </w:t>
      </w:r>
      <w:r>
        <w:t xml:space="preserve">high with little effect on clearance or on recovery over the platform range, provided the</w:t>
      </w:r>
      <w:r>
        <w:t xml:space="preserve"> </w:t>
      </w:r>
      <w:r>
        <w:t xml:space="preserve">load material is of representative charge-variant quality; recovery is characteristically</w:t>
      </w:r>
      <w:r>
        <w:t xml:space="preserve"> </w:t>
      </w:r>
      <w:r>
        <w:t xml:space="preserve">high (flow-through). Residence time — set by the operating</w:t>
      </w:r>
      <w:r>
        <w:t xml:space="preserve"> </w:t>
      </w:r>
      <w:r>
        <w:rPr>
          <w:b/>
          <w:bCs/>
        </w:rPr>
        <w:t xml:space="preserve">flow rate</w:t>
      </w:r>
      <w:r>
        <w:t xml:space="preserve"> </w:t>
      </w:r>
      <w:r>
        <w:t xml:space="preserve">— governs the</w:t>
      </w:r>
      <w:r>
        <w:t xml:space="preserve"> </w:t>
      </w:r>
      <w:r>
        <w:t xml:space="preserve">contact time available for impurity and virus binding and is held within a range that</w:t>
      </w:r>
      <w:r>
        <w:t xml:space="preserve"> </w:t>
      </w:r>
      <w:r>
        <w:t xml:space="preserve">preserves the minimum contact time credited for the viral-clearance claim. This knowledge</w:t>
      </w:r>
      <w:r>
        <w:t xml:space="preserve"> </w:t>
      </w:r>
      <w:r>
        <w:t xml:space="preserve">frames the 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Anion exchange</w:t>
      </w:r>
      <w:r>
        <w:t xml:space="preserve"> </w:t>
      </w:r>
      <w:r>
        <w:rPr>
          <w:b/>
          <w:bCs/>
        </w:rPr>
        <w:t xml:space="preserve">sets one CQA of its own</w:t>
      </w:r>
      <w:r>
        <w:t xml:space="preserve"> </w:t>
      </w:r>
      <w:r>
        <w:t xml:space="preserve">— the cumulative MVM (parvovirus)</w:t>
      </w:r>
      <w:r>
        <w:t xml:space="preserve"> </w:t>
      </w:r>
      <w:r>
        <w:t xml:space="preserve">log-reduction, to which it is the first and principal contributor — and is a major</w:t>
      </w:r>
      <w:r>
        <w:t xml:space="preserve"> </w:t>
      </w:r>
      <w:r>
        <w:t xml:space="preserve">clearance step for the enveloped-virus (XMuLV) log-reduction and for the process-related</w:t>
      </w:r>
      <w:r>
        <w:t xml:space="preserve"> </w:t>
      </w:r>
      <w:r>
        <w:t xml:space="preserve">impurity CQAs formed upstream and specified at the drug substance: host-cell protein,</w:t>
      </w:r>
      <w:r>
        <w:t xml:space="preserve"> </w:t>
      </w:r>
      <w:r>
        <w:t xml:space="preserve">residual DNA and leached Protein A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</w:t>
      </w:r>
      <w:r>
        <w:t xml:space="preserve"> </w:t>
      </w:r>
      <w:r>
        <w:t xml:space="preserve">continuum using Tool #1 (Risk Score = Impact × Uncertainty); attributes rated High (H) or</w:t>
      </w:r>
      <w:r>
        <w:t xml:space="preserve"> </w:t>
      </w:r>
      <w:r>
        <w:t xml:space="preserve">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 for the anion-exchange step — the MVM clearance it sets and the XMuLV clearance and impurity CQAs it controls/clears —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MVM and XMuLV log-reductions are the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drug-substance viral-clearance</w:t>
      </w:r>
      <w:r>
        <w:t xml:space="preserve"> </w:t>
      </w:r>
      <w:r>
        <w:t xml:space="preserve">claims (≥ 8.6 and ≥ 16.7 log₁₀</w:t>
      </w:r>
      <w:r>
        <w:t xml:space="preserve"> </w:t>
      </w:r>
      <w:r>
        <w:t xml:space="preserve">respectively), to which the anion-exchange step contributes a modular increment; the</w:t>
      </w:r>
      <w:r>
        <w:t xml:space="preserve"> </w:t>
      </w:r>
      <w:r>
        <w:t xml:space="preserve">flow-through-pool HCP is an in-process attribute whose control at this step determines the</w:t>
      </w:r>
      <w:r>
        <w:t xml:space="preserve"> </w:t>
      </w:r>
      <w:r>
        <w:t xml:space="preserve">margin to the ≤ 100 ng/mg HCP drug-substance limit. The MVM and XMuLV</w:t>
      </w:r>
      <w:r>
        <w:t xml:space="preserve"> </w:t>
      </w:r>
      <w:r>
        <w:t xml:space="preserve">log-reduction credited to the step, and the flow-through-pool HCP, are therefore the</w:t>
      </w:r>
      <w:r>
        <w:t xml:space="preserve"> </w:t>
      </w:r>
      <w:r>
        <w:t xml:space="preserve">primary responses of the study; residual DNA and leached Protein A are measured to confirm</w:t>
      </w:r>
      <w:r>
        <w:t xml:space="preserve"> </w:t>
      </w:r>
      <w:r>
        <w:t xml:space="preserve">the modular clearance credited across Protein A, cation exchange and anion exchange.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assessments, the study scope is</w:t>
      </w:r>
      <w:r>
        <w:t xml:space="preserve"> </w:t>
      </w:r>
      <w:r>
        <w:t xml:space="preserve">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main-effect and interaction impact and assigns the study type accordingly:</w:t>
      </w:r>
      <w:r>
        <w:t xml:space="preserve"> </w:t>
      </w:r>
      <w:r>
        <w:t xml:space="preserve">load pH, equilibration/wash-1 conductivity, load conductivity and protein load — which</w:t>
      </w:r>
      <w:r>
        <w:t xml:space="preserve"> </w:t>
      </w:r>
      <w:r>
        <w:t xml:space="preserve">carry a credible main-effect and interaction risk to the flow-through-pool HCP or to the</w:t>
      </w:r>
      <w:r>
        <w:t xml:space="preserve"> </w:t>
      </w:r>
      <w:r>
        <w:t xml:space="preserve">viral log-reduction — are studied in the multivariate DoE; the operating flow rate,</w:t>
      </w:r>
      <w:r>
        <w:t xml:space="preserve"> </w:t>
      </w:r>
      <w:r>
        <w:t xml:space="preserve">which acts on the viral-clearance claim through residence time rather than through the</w:t>
      </w:r>
      <w:r>
        <w:t xml:space="preserve"> </w:t>
      </w:r>
      <w:r>
        <w:t xml:space="preserve">buffer/load chemistry and is not expected to interact with those factors, is studied</w:t>
      </w:r>
      <w:r>
        <w:t xml:space="preserve"> </w:t>
      </w:r>
      <w:r>
        <w:t xml:space="preserve">univariately across its range and controlled to protect the minimum contact time</w:t>
      </w:r>
      <w:r>
        <w:t xml:space="preserve"> </w:t>
      </w:r>
      <w:r>
        <w:t xml:space="preserve">(CMC Biotech Working Group 2009)</w:t>
      </w:r>
      <w:r>
        <w:t xml:space="preserve">. The resulting 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scale-down anion-exchange column operated at the</w:t>
      </w:r>
      <w:r>
        <w:t xml:space="preserve"> </w:t>
      </w:r>
      <w:r>
        <w:t xml:space="preserve">commercial-process equivalents for resin, bed height, residence time, buffer system, load</w:t>
      </w:r>
      <w:r>
        <w:t xml:space="preserve"> </w:t>
      </w:r>
      <w:r>
        <w:t xml:space="preserve">ratio and pool-collection strategy (</w:t>
      </w:r>
      <w:r>
        <w:rPr>
          <w:b/>
          <w:bCs/>
        </w:rPr>
        <w:t xml:space="preserve">SOP-2011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Prior to characterization</w:t>
      </w:r>
      <w:r>
        <w:t xml:space="preserve"> </w:t>
      </w:r>
      <w:r>
        <w:t xml:space="preserve">the SDM will be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and, critically, the input and output attributes — step yield,</w:t>
      </w:r>
      <w:r>
        <w:t xml:space="preserve"> </w:t>
      </w:r>
      <w:r>
        <w:t xml:space="preserve">flow-through-pool HCP, residual DNA, leached Protein A, and the XMuLV and MVM</w:t>
      </w:r>
      <w:r>
        <w:t xml:space="preserve"> </w:t>
      </w:r>
      <w:r>
        <w:t xml:space="preserve">log-reduction — to confirm the model is representative and suitable to support</w:t>
      </w:r>
      <w:r>
        <w:t xml:space="preserve"> </w:t>
      </w:r>
      <w:r>
        <w:t xml:space="preserve">operating-range, PAR and viral-clearance claims</w:t>
      </w:r>
      <w:r>
        <w:t xml:space="preserve"> </w:t>
      </w:r>
      <w:r>
        <w:t xml:space="preserve">(U.S. Food and Drug Administration 2011; International Council for Harmonisation 2023a)</w:t>
      </w:r>
      <w:r>
        <w:t xml:space="preserve">. The viral-clearance</w:t>
      </w:r>
      <w:r>
        <w:t xml:space="preserve"> </w:t>
      </w:r>
      <w:r>
        <w:t xml:space="preserve">runs are performed under a dedicated small-scale spiking study using qualified virus</w:t>
      </w:r>
      <w:r>
        <w:t xml:space="preserve"> </w:t>
      </w:r>
      <w:r>
        <w:t xml:space="preserve">stocks. The centre-point replicates of each design provide an in-study estimate of model</w:t>
      </w:r>
      <w:r>
        <w:t xml:space="preserve"> </w:t>
      </w:r>
      <w:r>
        <w:t xml:space="preserve">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cation-exchange eluate is conditioned to the target load pH and load conductivity and</w:t>
      </w:r>
      <w:r>
        <w:t xml:space="preserve"> </w:t>
      </w:r>
      <w:r>
        <w:t xml:space="preserve">loaded onto the equilibrated anion-exchange column; the product transmits in the</w:t>
      </w:r>
      <w:r>
        <w:t xml:space="preserve"> </w:t>
      </w:r>
      <w:r>
        <w:t xml:space="preserve">flow-through while impurities and virus bind; and a post-load wash is applied at the</w:t>
      </w:r>
      <w:r>
        <w:t xml:space="preserve"> </w:t>
      </w:r>
      <w:r>
        <w:t xml:space="preserve">equilibration/wash-1 conductivity. The flow-through/wash pool is collected from the start</w:t>
      </w:r>
      <w:r>
        <w:t xml:space="preserve"> </w:t>
      </w:r>
      <w:r>
        <w:t xml:space="preserve">of load to a defined trailing-edge UV (280 nm) pool-stop criterion, which is a fixed</w:t>
      </w:r>
      <w:r>
        <w:t xml:space="preserve"> </w:t>
      </w:r>
      <w:r>
        <w:t xml:space="preserve">method setting for the study. Buffers, resin lot and column packing are controlled to</w:t>
      </w:r>
      <w:r>
        <w:t xml:space="preserve"> </w:t>
      </w:r>
      <w:r>
        <w:t xml:space="preserve">platform specifications (</w:t>
      </w:r>
      <w:r>
        <w:rPr>
          <w:b/>
          <w:bCs/>
        </w:rPr>
        <w:t xml:space="preserve">SOP-2008</w:t>
      </w:r>
      <w:r>
        <w:t xml:space="preserve">) and are treated as identity/quality-controlled</w:t>
      </w:r>
      <w:r>
        <w:t xml:space="preserve"> </w:t>
      </w:r>
      <w:r>
        <w:t xml:space="preserve">inputs rather than characterized variables</w:t>
      </w:r>
      <w:r>
        <w:t xml:space="preserve"> </w:t>
      </w:r>
      <w:r>
        <w:t xml:space="preserve">(CMC Biotech Working Group 2009)</w:t>
      </w:r>
      <w:r>
        <w:t xml:space="preserve">. The charge-variant quality of the</w:t>
      </w:r>
      <w:r>
        <w:t xml:space="preserve"> </w:t>
      </w:r>
      <w:r>
        <w:t xml:space="preserve">load material (acidic/deamidated variants) is a controlled input attribute of the feed and</w:t>
      </w:r>
      <w:r>
        <w:t xml:space="preserve"> </w:t>
      </w:r>
      <w:r>
        <w:t xml:space="preserve">is verified prior to loading.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 HCP is determined by</w:t>
      </w:r>
      <w:r>
        <w:t xml:space="preserve"> </w:t>
      </w:r>
      <w:r>
        <w:t xml:space="preserve">ELISA; the enveloped-virus (XMuLV) and parvovirus (MVM) log-reductions by infectivity</w:t>
      </w:r>
      <w:r>
        <w:t xml:space="preserve"> </w:t>
      </w:r>
      <w:r>
        <w:t xml:space="preserve">titre from the small-scale spiking study; residual DNA by qPCR; leached Protein A by</w:t>
      </w:r>
      <w:r>
        <w:t xml:space="preserve"> </w:t>
      </w:r>
      <w:r>
        <w:t xml:space="preserve">ELISA; and the load-material and pool charge-variant (acidic/deamidated) profile by imaged</w:t>
      </w:r>
      <w:r>
        <w:t xml:space="preserve"> </w:t>
      </w:r>
      <w:r>
        <w:t xml:space="preserve">capillary isoelectric focusing (icIEF).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the flow-through pool for HCP, residual DNA and leached</w:t>
      </w:r>
      <w:r>
        <w:t xml:space="preserve"> </w:t>
      </w:r>
      <w:r>
        <w:t xml:space="preserve">Protein A, and the load and pool product mass will be recorded for the step-yield</w:t>
      </w:r>
      <w:r>
        <w:t xml:space="preserve"> </w:t>
      </w:r>
      <w:r>
        <w:t xml:space="preserve">determination; the paired viral-spiking runs provide the XMuLV and MVM log-reduction.</w:t>
      </w:r>
      <w:r>
        <w:t xml:space="preserve"> </w:t>
      </w:r>
      <w:r>
        <w:t xml:space="preserve">The load-material acidic-variant profile is recorded for each execution. In-process</w:t>
      </w:r>
      <w:r>
        <w:t xml:space="preserve"> </w:t>
      </w:r>
      <w:r>
        <w:t xml:space="preserve">readings (pH, conductivity, UV) will confirm the chromatographic profile and the pool</w:t>
      </w:r>
      <w:r>
        <w:t xml:space="preserve"> </w:t>
      </w:r>
      <w:r>
        <w:t xml:space="preserve">collection window. Centre-point runs are replicated within each design (three in</w:t>
      </w:r>
      <w:r>
        <w:t xml:space="preserve"> </w:t>
      </w:r>
      <w:r>
        <w:t xml:space="preserve">screening, four in the response-surface design) to quantify reproducibility and pure</w:t>
      </w:r>
      <w:r>
        <w:t xml:space="preserve"> </w:t>
      </w:r>
      <w:r>
        <w:t xml:space="preserve">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 regression</w:t>
      </w:r>
      <w:r>
        <w:t xml:space="preserve"> </w:t>
      </w:r>
      <w:r>
        <w:t xml:space="preserve">of each response on the main effects and all two-factor interactions; factor effects are</w:t>
      </w:r>
      <w:r>
        <w:t xml:space="preserve"> </w:t>
      </w:r>
      <w:r>
        <w:t xml:space="preserve">reported as twice the coded coefficient. Response-surface data will be analyzed with the</w:t>
      </w:r>
      <w:r>
        <w:t xml:space="preserve"> </w:t>
      </w:r>
      <w:r>
        <w:t xml:space="preserve">full quadratic model (main effects, two-factor interactions and pure-quadratic terms).</w:t>
      </w:r>
      <w:r>
        <w:t xml:space="preserve"> </w:t>
      </w:r>
      <w:r>
        <w:t xml:space="preserve">Significance will be assessed at α = 0.05. Model adequacy will be judged by R², adjusted</w:t>
      </w:r>
      <w:r>
        <w:t xml:space="preserve"> </w:t>
      </w:r>
      <w:r>
        <w:t xml:space="preserve">R², predicted R² (from the PRESS statistic), the overall model F-test, and an ANOVA</w:t>
      </w:r>
      <w:r>
        <w:t xml:space="preserve"> </w:t>
      </w:r>
      <w:r>
        <w:t xml:space="preserve">lack-of-fit test against the centre-point pure error; a response with no significant</w:t>
      </w:r>
      <w:r>
        <w:t xml:space="preserve"> </w:t>
      </w:r>
      <w:r>
        <w:t xml:space="preserve">parameter effect beyond a single dominant factor will be reported as robust rather than</w:t>
      </w:r>
      <w:r>
        <w:t xml:space="preserve"> </w:t>
      </w:r>
      <w:r>
        <w:t xml:space="preserve">modelled predictively. The operating region will be defined as the multivariate region of</w:t>
      </w:r>
      <w:r>
        <w:t xml:space="preserve"> </w:t>
      </w:r>
      <w:r>
        <w:t xml:space="preserve">the well-controlled CPPs over which the flow-through-pool HCP and the credited MVM and</w:t>
      </w:r>
      <w:r>
        <w:t xml:space="preserve"> </w:t>
      </w:r>
      <w:r>
        <w:t xml:space="preserve">XMuLV log-reduction are controlled, and commercial-scale capability of the drug-substance</w:t>
      </w:r>
      <w:r>
        <w:t xml:space="preserve"> </w:t>
      </w:r>
      <w:r>
        <w:t xml:space="preserve">CQAs governed by the step will be estimated by Monte-Carlo simulation with each parameter</w:t>
      </w:r>
      <w:r>
        <w:t xml:space="preserve"> </w:t>
      </w:r>
      <w:r>
        <w:t xml:space="preserve">varied within its NOR.</w:t>
      </w:r>
    </w:p>
    <w:bookmarkEnd w:id="27"/>
    <w:bookmarkEnd w:id="28"/>
    <w:bookmarkStart w:id="36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Five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 the</w:t>
      </w:r>
      <w:r>
        <w:t xml:space="preserve"> </w:t>
      </w:r>
      <w:r>
        <w:t xml:space="preserve">PAR; the NOR is the tighter routine-control range. Classification is an output of the</w:t>
      </w:r>
      <w:r>
        <w:t xml:space="preserve"> </w:t>
      </w:r>
      <w:r>
        <w:t xml:space="preserve">study and is reported in PCR-008. The DoE factor coding for the four multivariate factors</w:t>
      </w:r>
      <w:r>
        <w:t xml:space="preserve"> </w:t>
      </w:r>
      <w:r>
        <w:t xml:space="preserve">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Anion-exchange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9"/>
              <w:gridCol w:w="936"/>
              <w:gridCol w:w="1107"/>
              <w:gridCol w:w="1447"/>
              <w:gridCol w:w="93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Four responses will be recorded for each run (flow-through-pool HCP, XMuLV</w:t>
      </w:r>
      <w:r>
        <w:t xml:space="preserve"> </w:t>
      </w:r>
      <w:r>
        <w:t xml:space="preserve">log-reduction, MVM log-reduction and step yield). The planned coded design is given in</w:t>
      </w:r>
      <w:r>
        <w:t xml:space="preserve"> </w:t>
      </w:r>
      <w:r>
        <w:t xml:space="preserve">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four multivariate factors will be carried into a face-centred central-composite</w:t>
      </w:r>
      <w:r>
        <w:t xml:space="preserve"> </w:t>
      </w:r>
      <w:r>
        <w:t xml:space="preserve">design with four centre-point replicates, 28 runs in total, enabling</w:t>
      </w:r>
      <w:r>
        <w:t xml:space="preserve"> </w:t>
      </w:r>
      <w:r>
        <w:t xml:space="preserve">estimation of curvature in addition to main effects and interactions. The planned coded</w:t>
      </w:r>
      <w:r>
        <w:t xml:space="preserve"> </w:t>
      </w:r>
      <w:r>
        <w:t xml:space="preserve">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operating flow rate will be evaluated one factor at a time across its characterization</w:t>
      </w:r>
      <w:r>
        <w:t xml:space="preserve"> </w:t>
      </w:r>
      <w:r>
        <w:t xml:space="preserve">range for its effect on the flow-through-pool HCP, the XMuLV and MVM log-reduction and the</w:t>
      </w:r>
      <w:r>
        <w:t xml:space="preserve"> </w:t>
      </w:r>
      <w:r>
        <w:t xml:space="preserve">step yield; it will not be carried into the multivariate design because it acts on viral</w:t>
      </w:r>
      <w:r>
        <w:t xml:space="preserve"> </w:t>
      </w:r>
      <w:r>
        <w:t xml:space="preserve">clearance through residence time rather than through the buffer/load chemistry and is not</w:t>
      </w:r>
      <w:r>
        <w:t xml:space="preserve"> </w:t>
      </w:r>
      <w:r>
        <w:t xml:space="preserve">expected to interact with the chromatographic factors. It is controlled as a</w:t>
      </w:r>
      <w:r>
        <w:t xml:space="preserve"> </w:t>
      </w:r>
      <w:r>
        <w:t xml:space="preserve">well-controlled CPP to preserve the minimum residence time credited for the viral-clearance</w:t>
      </w:r>
      <w:r>
        <w:t xml:space="preserve"> </w:t>
      </w:r>
      <w:r>
        <w:t xml:space="preserve">claim.</w:t>
      </w:r>
    </w:p>
    <w:bookmarkEnd w:id="34"/>
    <w:bookmarkStart w:id="35" w:name="pool-collection-criterion"/>
    <w:p>
      <w:pPr>
        <w:pStyle w:val="Heading2"/>
      </w:pPr>
      <w:r>
        <w:t xml:space="preserve">6.5 Pool-collection criterion</w:t>
      </w:r>
    </w:p>
    <w:p>
      <w:pPr>
        <w:pStyle w:val="FirstParagraph"/>
      </w:pPr>
      <w:r>
        <w:t xml:space="preserve">The flow-through/wash pool is collected to a fixed trailing-edge UV (280 nm) pool-stop</w:t>
      </w:r>
      <w:r>
        <w:t xml:space="preserve"> </w:t>
      </w:r>
      <w:r>
        <w:t xml:space="preserve">criterion applied identically to every run so that the factor effects are estimated free of</w:t>
      </w:r>
      <w:r>
        <w:t xml:space="preserve"> </w:t>
      </w:r>
      <w:r>
        <w:t xml:space="preserve">run-to-run pooling variation. The adequacy of the pool-stop set-point — the balance between</w:t>
      </w:r>
      <w:r>
        <w:t xml:space="preserve"> </w:t>
      </w:r>
      <w:r>
        <w:t xml:space="preserve">flow-through-pool HCP and step yield — will be evaluated as part of the study and confirmed</w:t>
      </w:r>
      <w:r>
        <w:t xml:space="preserve"> </w:t>
      </w:r>
      <w:r>
        <w:t xml:space="preserve">in PCR-008.</w:t>
      </w:r>
    </w:p>
    <w:bookmarkEnd w:id="35"/>
    <w:bookmarkEnd w:id="36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and the viral-spiking model is qualified;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for the flow-through-pool HCP and the MVM and XMuLV</w:t>
      </w:r>
      <w:r>
        <w:t xml:space="preserve"> </w:t>
      </w:r>
      <w:r>
        <w:t xml:space="preserve">log-reduction are adequate — target R² ≥ 0.90, adjusted R² ≥ 0.75, no significant lack</w:t>
      </w:r>
      <w:r>
        <w:t xml:space="preserve"> </w:t>
      </w:r>
      <w:r>
        <w:t xml:space="preserve">of fit (p &gt; 0.05 against the centre-point pure error), and residual diagnostics without</w:t>
      </w:r>
      <w:r>
        <w:t xml:space="preserve"> </w:t>
      </w:r>
      <w:r>
        <w:t xml:space="preserve">systematic structure (a response governed by a single dominant factor is reported by</w:t>
      </w:r>
      <w:r>
        <w:t xml:space="preserve"> </w:t>
      </w:r>
      <w:r>
        <w:t xml:space="preserve">that dependence and is otherwise robust); and</w:t>
      </w:r>
    </w:p>
    <w:p>
      <w:pPr>
        <w:pStyle w:val="Compact"/>
        <w:numPr>
          <w:ilvl w:val="0"/>
          <w:numId w:val="1002"/>
        </w:numPr>
      </w:pPr>
      <w:r>
        <w:t xml:space="preserve">a multivariate operating region exists over which the flow-through-pool HCP and the</w:t>
      </w:r>
      <w:r>
        <w:t xml:space="preserve"> </w:t>
      </w:r>
      <w:r>
        <w:t xml:space="preserve">MVM and XMuLV log-reduction credited to the step are controlled at the set-point and</w:t>
      </w:r>
      <w:r>
        <w:t xml:space="preserve"> </w:t>
      </w:r>
      <w:r>
        <w:t xml:space="preserve">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operating region (low risk of leaving it)</w:t>
      </w:r>
      <w:r>
        <w:t xml:space="preserve"> </w:t>
      </w:r>
      <w:r>
        <w:t xml:space="preserve">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</w:t>
      </w:r>
      <w:r>
        <w:t xml:space="preserve"> </w:t>
      </w:r>
      <w:r>
        <w:t xml:space="preserve">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</w:t>
      </w:r>
      <w:r>
        <w:t xml:space="preserve"> </w:t>
      </w:r>
      <w:r>
        <w:t xml:space="preserve">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operating region, classifications and PARs established here will justify the</w:t>
      </w:r>
      <w:r>
        <w:t xml:space="preserve"> </w:t>
      </w:r>
      <w:r>
        <w:t xml:space="preserve">Stage 2 operating ranges and feed the drug-substance control strategy, including the</w:t>
      </w:r>
      <w:r>
        <w:t xml:space="preserve"> </w:t>
      </w:r>
      <w:r>
        <w:t xml:space="preserve">modular viral-clearance claim.</w:t>
      </w:r>
    </w:p>
    <w:bookmarkEnd w:id="37"/>
    <w:bookmarkStart w:id="38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results, viral-spiking records and statistical</w:t>
      </w:r>
      <w:r>
        <w:t xml:space="preserve"> </w:t>
      </w:r>
      <w:r>
        <w:t xml:space="preserve">analyses will be recorded and retained under the site data-integrity procedures (ALCOA+).</w:t>
      </w:r>
      <w:r>
        <w:t xml:space="preserve"> </w:t>
      </w:r>
      <w:r>
        <w:t xml:space="preserve">Analyses will be performed with version-controlled scripts and reviewed by a second</w:t>
      </w:r>
      <w:r>
        <w:t xml:space="preserve"> </w:t>
      </w:r>
      <w:r>
        <w:t xml:space="preserve">analyst; designs, models and the derived operating region will be archived with the</w:t>
      </w:r>
      <w:r>
        <w:t xml:space="preserve"> </w:t>
      </w:r>
      <w:r>
        <w:t xml:space="preserve">report. Any deviation from this plan will be documented and assessed for impact in</w:t>
      </w:r>
      <w:r>
        <w:t xml:space="preserve"> </w:t>
      </w:r>
      <w:r>
        <w:t xml:space="preserve">PCR-008.</w:t>
      </w:r>
    </w:p>
    <w:bookmarkEnd w:id="38"/>
    <w:bookmarkStart w:id="40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 and interpret the small-scale viral-spiking clearance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operating-region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9"/>
          <w:p/>
        </w:tc>
      </w:tr>
    </w:tbl>
    <w:bookmarkEnd w:id="40"/>
    <w:bookmarkStart w:id="41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PCR-008</w:t>
      </w:r>
      <w:r>
        <w:t xml:space="preserve">),</w:t>
      </w:r>
      <w:r>
        <w:t xml:space="preserve"> </w:t>
      </w:r>
      <w:r>
        <w:t xml:space="preserve">reporting the executed designs, the significant effects, the operating region, the</w:t>
      </w:r>
      <w:r>
        <w:t xml:space="preserve"> </w:t>
      </w:r>
      <w:r>
        <w:t xml:space="preserve">parameter classification, the modular viral-clearance credit and the impurity-CQA</w:t>
      </w:r>
      <w:r>
        <w:t xml:space="preserve"> </w:t>
      </w:r>
      <w:r>
        <w:t xml:space="preserve">outcomes. PCR-008 rolls up into the Process Characterization Master Report (</w:t>
      </w:r>
      <w:r>
        <w:rPr>
          <w:b/>
          <w:bCs/>
        </w:rPr>
        <w:t xml:space="preserve">PCMR-001</w:t>
      </w:r>
      <w:r>
        <w:t xml:space="preserve">)</w:t>
      </w:r>
      <w:r>
        <w:t xml:space="preserve"> </w:t>
      </w:r>
      <w:r>
        <w:t xml:space="preserve">and provides the parameter risk basis for the post-characterization process risk</w:t>
      </w:r>
      <w:r>
        <w:t xml:space="preserve"> </w:t>
      </w:r>
      <w:r>
        <w:t xml:space="preserve">assessment. Execution follows SDM qualification and precedes the Stage 2 PPQ campaign.</w:t>
      </w:r>
    </w:p>
    <w:bookmarkEnd w:id="41"/>
    <w:bookmarkStart w:id="42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and the viral-spiking model are representative of commercial</w:t>
      </w:r>
      <w:r>
        <w:t xml:space="preserve"> </w:t>
      </w:r>
      <w:r>
        <w:t xml:space="preserve">scale (confirmed by qualification) and that the platform analytical methods are validated</w:t>
      </w:r>
      <w:r>
        <w:t xml:space="preserve"> </w:t>
      </w:r>
      <w:r>
        <w:t xml:space="preserve">and in control. It further assumes that the load material presented to the step is of</w:t>
      </w:r>
      <w:r>
        <w:t xml:space="preserve"> </w:t>
      </w:r>
      <w:r>
        <w:t xml:space="preserve">representative charge-variant (acidic/deamidated) quality; an atypical load — for example</w:t>
      </w:r>
      <w:r>
        <w:t xml:space="preserve"> </w:t>
      </w:r>
      <w:r>
        <w:t xml:space="preserve">one carrying an elevated deamidated-variant burden — could alter the anion-exchange</w:t>
      </w:r>
      <w:r>
        <w:t xml:space="preserve"> </w:t>
      </w:r>
      <w:r>
        <w:t xml:space="preserve">binding balance and is a recognized risk to the characterization. The principal risks are</w:t>
      </w:r>
      <w:r>
        <w:t xml:space="preserve"> </w:t>
      </w:r>
      <w:r>
        <w:t xml:space="preserve">therefore that the absolute clearance shifts at commercial scale or over the resin</w:t>
      </w:r>
      <w:r>
        <w:t xml:space="preserve"> </w:t>
      </w:r>
      <w:r>
        <w:t xml:space="preserve">life-cycle, that the incoming impurity or charge-variant load is higher than</w:t>
      </w:r>
      <w:r>
        <w:t xml:space="preserve"> </w:t>
      </w:r>
      <w:r>
        <w:t xml:space="preserve">characterized, or that the pool-collection UV set-point is not optimal; these are mitigated</w:t>
      </w:r>
      <w:r>
        <w:t xml:space="preserve"> </w:t>
      </w:r>
      <w:r>
        <w:t xml:space="preserve">by defining the operating region on the qualified SDM, verifying the load-material</w:t>
      </w:r>
      <w:r>
        <w:t xml:space="preserve"> </w:t>
      </w:r>
      <w:r>
        <w:t xml:space="preserve">charge-variant quality before loading, confirming the region and the clearance at scale in</w:t>
      </w:r>
      <w:r>
        <w:t xml:space="preserve"> </w:t>
      </w:r>
      <w:r>
        <w:t xml:space="preserve">Stage 2, and carrying the WC-CPP ranges and the pool-collection criterion forward with</w:t>
      </w:r>
      <w:r>
        <w:t xml:space="preserve"> </w:t>
      </w:r>
      <w:r>
        <w:t xml:space="preserve">in-process monitoring and resin life-cycle control.</w:t>
      </w:r>
    </w:p>
    <w:bookmarkEnd w:id="42"/>
    <w:bookmarkStart w:id="43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3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4"/>
    <w:bookmarkStart w:id="4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5"/>
    <w:bookmarkStart w:id="4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6"/>
    <w:bookmarkStart w:id="4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7"/>
    <w:bookmarkStart w:id="4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p>
      <w:r>
        <w:br w:type="page"/>
      </w:r>
    </w:p>
    <w:bookmarkEnd w:id="51"/>
    <w:bookmarkStart w:id="53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</w:t>
      </w:r>
      <w:r>
        <w:t xml:space="preserve"> </w:t>
      </w:r>
      <w:r>
        <w:t xml:space="preserve">−1/0/+1). Responses will be recorded at execution and reported in PCR-008.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r>
        <w:br w:type="page"/>
      </w:r>
    </w:p>
    <w:bookmarkEnd w:id="53"/>
    <w:bookmarkStart w:id="55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A–D;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2026-07-26T23:09:35Z</dcterms:created>
  <dcterms:modified xsi:type="dcterms:W3CDTF">2026-07-26T23:09:35Z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Anion Exchange Chromatography (Step 8) — PCP-008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