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6.png" ContentType="image/png"/>
  <Override PartName="/word/media/rId50.png" ContentType="image/png"/>
  <Override PartName="/word/media/rId59.png" ContentType="image/png"/>
  <Override PartName="/word/media/rId67.png" ContentType="image/png"/>
  <Override PartName="/word/media/rId6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Process Characterization Report</w:t>
      </w:r>
    </w:p>
    <w:p>
      <w:pPr>
        <w:pStyle w:val="Subtitle"/>
      </w:pPr>
      <w:r>
        <w:t xml:space="preserve">A-Mab Drug Substance — Anion Exchange Chromatography (Step 8) — PCR-008</w:t>
      </w:r>
    </w:p>
    <w:p>
      <w:pPr>
        <w:pStyle w:val="Author"/>
      </w:pPr>
      <w:r>
        <w:t xml:space="preserve">Process Development / Manufacturing Science &amp; Technology (MSAT)</w:t>
      </w:r>
    </w:p>
    <w:p>
      <w:pPr>
        <w:pStyle w:val="Date"/>
      </w:pPr>
      <w:r>
        <w:t xml:space="preserve">2026-07-24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75"/>
        <w:gridCol w:w="694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Document 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PCR-008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Document class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Process Characterization Report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Title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Process Characterization Report: Anion Exchange Chromatography (Step 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A-Mab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Effective 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2026-07-24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Approved (synthetic)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Document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Manufacturing Science &amp; Technology (MSAT)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Sponsor / sites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Novacyte Biologics; Novacyte Biologics — Cambridge, MA (Development) → Novacyte Biologics — Grafton, WI (Commercial DS)</w:t>
            </w:r>
          </w:p>
        </w:tc>
      </w:tr>
    </w:tbl>
    <w:p>
      <w:pPr>
        <w:pStyle w:val="BlockText"/>
      </w:pPr>
      <w:r>
        <w:rPr>
          <w:b/>
          <w:bCs/>
        </w:rPr>
        <w:t xml:space="preserve">SYNTHETIC DOCUMENT — NOT A REAL RECORD.</w:t>
      </w:r>
      <w:r>
        <w:t xml:space="preserve"> </w:t>
      </w:r>
      <w:r>
        <w:t xml:space="preserve">Illustrative content generated from a seeded model of the</w:t>
      </w:r>
      <w:r>
        <w:t xml:space="preserve"> </w:t>
      </w:r>
      <w:r>
        <w:rPr>
          <w:i/>
          <w:iCs/>
        </w:rPr>
        <w:t xml:space="preserve">A-Mab</w:t>
      </w:r>
      <w:r>
        <w:t xml:space="preserve"> </w:t>
      </w:r>
      <w:r>
        <w:t xml:space="preserve">case study (CMC Biotech Working Group, 2009). Novacyte Biologics and all sites, SOP/AMV numbers and signatories are fictional. For NLP corpus development only; not for any regulated use.</w:t>
      </w:r>
    </w:p>
    <w:bookmarkStart w:id="10" w:name="approvals"/>
    <w:p>
      <w:pPr>
        <w:pStyle w:val="Heading2"/>
      </w:pPr>
      <w:r>
        <w:t xml:space="preserve">Approvals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" w:name="tbl-appr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Approval record (synthetic; signatures not applied).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Role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Name (synthetic)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Signature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Author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Process Development / MSAT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Reviewer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Analytical Development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Reviewer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Manufacturing Science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Reviewer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Approver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Quality Assurance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</w:tr>
          </w:tbl>
          <w:bookmarkEnd w:id="9"/>
          <w:p/>
        </w:tc>
      </w:tr>
    </w:tbl>
    <w:bookmarkEnd w:id="10"/>
    <w:bookmarkStart w:id="11" w:name="abbreviations"/>
    <w:p>
      <w:pPr>
        <w:pStyle w:val="Heading2"/>
      </w:pPr>
      <w:r>
        <w:t xml:space="preserve">Abbreviations</w:t>
      </w:r>
    </w:p>
    <w:p>
      <w:pPr>
        <w:pStyle w:val="FirstParagraph"/>
      </w:pPr>
      <w:r>
        <w:t xml:space="preserve">ADCC — antibody-dependent cell-mediated cytotoxicity; AEX — anion-exchange chromatography;</w:t>
      </w:r>
      <w:r>
        <w:t xml:space="preserve"> </w:t>
      </w:r>
      <w:r>
        <w:t xml:space="preserve">AMV — analytical-method validation; ANOVA — analysis of variance; BLA — Biologics License</w:t>
      </w:r>
      <w:r>
        <w:t xml:space="preserve"> </w:t>
      </w:r>
      <w:r>
        <w:t xml:space="preserve">Application; CCD — central-composite design; Cpk — process-capability index (one-sided);</w:t>
      </w:r>
      <w:r>
        <w:t xml:space="preserve"> </w:t>
      </w:r>
      <w:r>
        <w:t xml:space="preserve">CPP — critical process parameter; CQA — critical quality attribute; %CV — percent</w:t>
      </w:r>
      <w:r>
        <w:t xml:space="preserve"> </w:t>
      </w:r>
      <w:r>
        <w:t xml:space="preserve">coefficient of variation; DNA — deoxyribonucleic acid; DoE — design of experiments;</w:t>
      </w:r>
      <w:r>
        <w:t xml:space="preserve"> </w:t>
      </w:r>
      <w:r>
        <w:t xml:space="preserve">DS — drug substance; ELISA — enzyme-linked immunosorbent assay; HCP — host-cell protein;</w:t>
      </w:r>
      <w:r>
        <w:t xml:space="preserve"> </w:t>
      </w:r>
      <w:r>
        <w:t xml:space="preserve">icIEF — imaged capillary isoelectric focusing; IgG1 — immunoglobulin G subclass 1;</w:t>
      </w:r>
      <w:r>
        <w:t xml:space="preserve"> </w:t>
      </w:r>
      <w:r>
        <w:t xml:space="preserve">LRF — log₁₀ reduction factor; MSAT — Manufacturing Science and Technology; MVM — minute</w:t>
      </w:r>
      <w:r>
        <w:t xml:space="preserve"> </w:t>
      </w:r>
      <w:r>
        <w:t xml:space="preserve">virus of mice (parvovirus); NOR — normal operating range; PAR — proven acceptable range;</w:t>
      </w:r>
      <w:r>
        <w:t xml:space="preserve"> </w:t>
      </w:r>
      <w:r>
        <w:t xml:space="preserve">PCP / PCR — Process Characterization Plan / Report; QbD — quality by design;</w:t>
      </w:r>
      <w:r>
        <w:t xml:space="preserve"> </w:t>
      </w:r>
      <w:r>
        <w:t xml:space="preserve">RSM — response-surface methodology; SDM — scale-down model; SEC — size-exclusion</w:t>
      </w:r>
      <w:r>
        <w:t xml:space="preserve"> </w:t>
      </w:r>
      <w:r>
        <w:t xml:space="preserve">chromatography; SOP — standard operating procedure; TCID₅₀ — 50% tissue-culture</w:t>
      </w:r>
      <w:r>
        <w:t xml:space="preserve"> </w:t>
      </w:r>
      <w:r>
        <w:t xml:space="preserve">infectious dose; WC-CPP — well-controlled critical process parameter; XMuLV — xenotropic</w:t>
      </w:r>
      <w:r>
        <w:t xml:space="preserve"> </w:t>
      </w:r>
      <w:r>
        <w:t xml:space="preserve">murine leukaemia virus (enveloped model virus).</w:t>
      </w:r>
    </w:p>
    <w:p>
      <w:r>
        <w:br w:type="page"/>
      </w:r>
    </w:p>
    <w:bookmarkEnd w:id="11"/>
    <w:bookmarkStart w:id="12" w:name="executive-summary"/>
    <w:p>
      <w:pPr>
        <w:pStyle w:val="Heading1"/>
      </w:pPr>
      <w:r>
        <w:t xml:space="preserve">Executive summary</w:t>
      </w:r>
    </w:p>
    <w:p>
      <w:pPr>
        <w:pStyle w:val="FirstParagraph"/>
      </w:pPr>
      <w:r>
        <w:t xml:space="preserve">This report documents the Stage 1 (Process Design) characterization of the A-Mab</w:t>
      </w:r>
      <w:r>
        <w:t xml:space="preserve"> </w:t>
      </w:r>
      <w:r>
        <w:t xml:space="preserve">anion-exchange (AEX) polishing step, the flow-through operation that follows cation-exchange</w:t>
      </w:r>
      <w:r>
        <w:t xml:space="preserve"> </w:t>
      </w:r>
      <w:r>
        <w:t xml:space="preserve">polishing and is the final chromatographic step of the drug-substance purification train. The</w:t>
      </w:r>
      <w:r>
        <w:t xml:space="preserve"> </w:t>
      </w:r>
      <w:r>
        <w:t xml:space="preserve">study was executed against the paired plan PCP-008 on a qualified commercial-equivalent</w:t>
      </w:r>
      <w:r>
        <w:t xml:space="preserve"> </w:t>
      </w:r>
      <w:r>
        <w:t xml:space="preserve">scale-down model, under the lifecycle approach to process validation</w:t>
      </w:r>
      <w:r>
        <w:t xml:space="preserve"> </w:t>
      </w:r>
      <w:r>
        <w:t xml:space="preserve">(U.S. Food and Drug Administration 2011)</w:t>
      </w:r>
      <w:r>
        <w:t xml:space="preserve">, the</w:t>
      </w:r>
      <w:r>
        <w:t xml:space="preserve"> </w:t>
      </w:r>
      <w:r>
        <w:t xml:space="preserve">enhanced quality-by-design paradigm</w:t>
      </w:r>
      <w:r>
        <w:t xml:space="preserve"> </w:t>
      </w:r>
      <w:r>
        <w:t xml:space="preserve">(International Council for Harmonisation 2009, 2023b, 2012)</w:t>
      </w:r>
      <w:r>
        <w:t xml:space="preserve">, and —</w:t>
      </w:r>
      <w:r>
        <w:t xml:space="preserve"> </w:t>
      </w:r>
      <w:r>
        <w:t xml:space="preserve">because the step carries part of the viral-safety claim — the viral-clearance evaluation</w:t>
      </w:r>
      <w:r>
        <w:t xml:space="preserve"> </w:t>
      </w:r>
      <w:r>
        <w:t xml:space="preserve">framework of ICH Q5A(R2)</w:t>
      </w:r>
      <w:r>
        <w:t xml:space="preserve"> </w:t>
      </w:r>
      <w:r>
        <w:t xml:space="preserve">(International Council for Harmonisation 2023a)</w:t>
      </w:r>
      <w:r>
        <w:t xml:space="preserve">, all grounded in the A-Mab case study</w:t>
      </w:r>
      <w:r>
        <w:t xml:space="preserve"> </w:t>
      </w:r>
      <w:r>
        <w:t xml:space="preserve">(CMC Biotech Working Group 2009)</w:t>
      </w:r>
      <w:r>
        <w:t xml:space="preserve">. Anion</w:t>
      </w:r>
      <w:r>
        <w:t xml:space="preserve"> </w:t>
      </w:r>
      <w:r>
        <w:t xml:space="preserve">exchange is the step at which the process establishes the minute-virus-of-mice (MVM,</w:t>
      </w:r>
      <w:r>
        <w:t xml:space="preserve"> </w:t>
      </w:r>
      <w:r>
        <w:t xml:space="preserve">parvovirus) clearance claim — the only CQA it sets — while providing orthogonal</w:t>
      </w:r>
      <w:r>
        <w:t xml:space="preserve"> </w:t>
      </w:r>
      <w:r>
        <w:t xml:space="preserve">enveloped-virus (XMuLV) clearance and a further reduction of host-cell protein (HCP), residual</w:t>
      </w:r>
      <w:r>
        <w:t xml:space="preserve"> </w:t>
      </w:r>
      <w:r>
        <w:t xml:space="preserve">DNA and leached Protein A.</w:t>
      </w:r>
    </w:p>
    <w:p>
      <w:pPr>
        <w:pStyle w:val="BodyText"/>
      </w:pPr>
      <w:r>
        <w:t xml:space="preserve">Five process parameters were characterized. Load pH, equilibration/wash-1 conductivity, load</w:t>
      </w:r>
      <w:r>
        <w:t xml:space="preserve"> </w:t>
      </w:r>
      <w:r>
        <w:t xml:space="preserve">conductivity and protein load were studied together in a 19-run two-level</w:t>
      </w:r>
      <w:r>
        <w:t xml:space="preserve"> </w:t>
      </w:r>
      <w:r>
        <w:t xml:space="preserve">full-factorial screening design and a 28-run face-centred central-composite</w:t>
      </w:r>
      <w:r>
        <w:t xml:space="preserve"> </w:t>
      </w:r>
      <w:r>
        <w:t xml:space="preserve">response-surface design; operating flow rate was assessed univariately. The screening design</w:t>
      </w:r>
      <w:r>
        <w:t xml:space="preserve"> </w:t>
      </w:r>
      <w:r>
        <w:t xml:space="preserve">identified the significant factors and two-factor interactions; the response-surface design</w:t>
      </w:r>
      <w:r>
        <w:t xml:space="preserve"> </w:t>
      </w:r>
      <w:r>
        <w:t xml:space="preserve">then quantified main effects, interactions and curvature and defined the multivariate</w:t>
      </w:r>
      <w:r>
        <w:t xml:space="preserve"> </w:t>
      </w:r>
      <w:r>
        <w:t xml:space="preserve">operating region. All four multivariate factors and the flow rate are classified as</w:t>
      </w:r>
      <w:r>
        <w:t xml:space="preserve"> </w:t>
      </w:r>
      <w:r>
        <w:t xml:space="preserve">well-controlled critical process parameters (WC-CPP); the step has no key process parameter</w:t>
      </w:r>
      <w:r>
        <w:t xml:space="preserve"> </w:t>
      </w:r>
      <w:r>
        <w:t xml:space="preserve">and no parameter requiring the most stringent (full CPP) control.</w:t>
      </w:r>
    </w:p>
    <w:p>
      <w:pPr>
        <w:pStyle w:val="BodyText"/>
      </w:pPr>
      <w:r>
        <w:t xml:space="preserve">The MVM and XMuLV clearance surfaces and the pool-HCP surface are governed by the</w:t>
      </w:r>
      <w:r>
        <w:t xml:space="preserve"> </w:t>
      </w:r>
      <w:r>
        <w:t xml:space="preserve">electrostatic environment: MVM log-reduction rises with load pH (effect</w:t>
      </w:r>
      <w:r>
        <w:t xml:space="preserve"> </w:t>
      </w:r>
      <w:r>
        <w:t xml:space="preserve">1.22 log₁₀, p &lt; 0.001)</w:t>
      </w:r>
      <w:r>
        <w:t xml:space="preserve"> </w:t>
      </w:r>
      <w:r>
        <w:t xml:space="preserve">and falls with load conductivity, and the pool-HCP level is set by load pH and wash-1</w:t>
      </w:r>
      <w:r>
        <w:t xml:space="preserve"> </w:t>
      </w:r>
      <w:r>
        <w:t xml:space="preserve">conductivity acting in opposition. The response-surface models are adequate over the</w:t>
      </w:r>
      <w:r>
        <w:t xml:space="preserve"> </w:t>
      </w:r>
      <w:r>
        <w:t xml:space="preserve">characterized region (no significant lack of fit); the pool-HCP and XMuLV models are</w:t>
      </w:r>
      <w:r>
        <w:t xml:space="preserve"> </w:t>
      </w:r>
      <w:r>
        <w:t xml:space="preserve">additionally predictive (predicted R² ≥ 0.62), while the MVM</w:t>
      </w:r>
      <w:r>
        <w:t xml:space="preserve"> </w:t>
      </w:r>
      <w:r>
        <w:t xml:space="preserve">model is adequate (R² = 0.90) with a more modest predicted R²</w:t>
      </w:r>
      <w:r>
        <w:t xml:space="preserve"> </w:t>
      </w:r>
      <w:r>
        <w:t xml:space="preserve">that reflects the narrower log-reduction range of the parvovirus spiking assay.</w:t>
      </w:r>
    </w:p>
    <w:p>
      <w:pPr>
        <w:pStyle w:val="BodyText"/>
      </w:pPr>
      <w:r>
        <w:t xml:space="preserve">Anion exchange contributes approximately 4.71 log₁₀ of MVM clearance at</w:t>
      </w:r>
      <w:r>
        <w:t xml:space="preserve"> </w:t>
      </w:r>
      <w:r>
        <w:t xml:space="preserve">the nominal condition — the first and principal MVM-clearance step — so that the drug substance</w:t>
      </w:r>
      <w:r>
        <w:t xml:space="preserve"> </w:t>
      </w:r>
      <w:r>
        <w:t xml:space="preserve">meets its ≥ 8.6 log₁₀ cumulative MVM requirement (achieved</w:t>
      </w:r>
      <w:r>
        <w:t xml:space="preserve"> </w:t>
      </w:r>
      <w:r>
        <w:t xml:space="preserve">cumulative 10.0 log₁₀, Cpk = 1.51).</w:t>
      </w:r>
      <w:r>
        <w:t xml:space="preserve"> </w:t>
      </w:r>
      <w:r>
        <w:t xml:space="preserve">This MVM capability is the tightest of the entire drug substance (process-minimum Cpk</w:t>
      </w:r>
      <w:r>
        <w:t xml:space="preserve"> </w:t>
      </w:r>
      <w:r>
        <w:t xml:space="preserve">1.51), yet retains margin above the requirement. The step</w:t>
      </w:r>
      <w:r>
        <w:t xml:space="preserve"> </w:t>
      </w:r>
      <w:r>
        <w:t xml:space="preserve">contributes 5.95 log₁₀ to the cumulative XMuLV claim (Cpk =</w:t>
      </w:r>
      <w:r>
        <w:t xml:space="preserve"> </w:t>
      </w:r>
      <w:r>
        <w:t xml:space="preserve">1.53) alongside low-pH inactivation and virus filtration, and</w:t>
      </w:r>
      <w:r>
        <w:t xml:space="preserve"> </w:t>
      </w:r>
      <w:r>
        <w:t xml:space="preserve">holds pool HCP well within its ≤ 100 ng/mg limit (Cpk =</w:t>
      </w:r>
      <w:r>
        <w:t xml:space="preserve"> </w:t>
      </w:r>
      <w:r>
        <w:t xml:space="preserve">6.14). The step does not, by itself, deliver the cumulative</w:t>
      </w:r>
      <w:r>
        <w:t xml:space="preserve"> </w:t>
      </w:r>
      <w:r>
        <w:t xml:space="preserve">viral-safety claim: MVM safety depends jointly on this step and virus filtration (PCR-009), and</w:t>
      </w:r>
      <w:r>
        <w:t xml:space="preserve"> </w:t>
      </w:r>
      <w:r>
        <w:t xml:space="preserve">XMuLV safety on low-pH inactivation (PCR-006) and virus filtration.</w:t>
      </w:r>
    </w:p>
    <w:p>
      <w:pPr>
        <w:pStyle w:val="BodyText"/>
      </w:pPr>
      <w:r>
        <w:t xml:space="preserve">Three deviations were recorded, investigated and impact-assessed. The most consequential — a</w:t>
      </w:r>
      <w:r>
        <w:t xml:space="preserve"> </w:t>
      </w:r>
      <w:r>
        <w:t xml:space="preserve">non-representative, deamidated load in the first DoE execution — invalidated that execution for</w:t>
      </w:r>
      <w:r>
        <w:t xml:space="preserve"> </w:t>
      </w:r>
      <w:r>
        <w:t xml:space="preserve">operating-region definition; the affected designs were re-executed in full on a requalified,</w:t>
      </w:r>
      <w:r>
        <w:t xml:space="preserve"> </w:t>
      </w:r>
      <w:r>
        <w:t xml:space="preserve">representative load, and the analysis reported here is that requalified execution. None of the</w:t>
      </w:r>
      <w:r>
        <w:t xml:space="preserve"> </w:t>
      </w:r>
      <w:r>
        <w:t xml:space="preserve">three deviations altered the parameter classifications or the operating region defined below.</w:t>
      </w:r>
      <w:r>
        <w:t xml:space="preserve"> </w:t>
      </w:r>
      <w:r>
        <w:t xml:space="preserve">The step is well understood and robust across the characterized ranges, and the parameter</w:t>
      </w:r>
      <w:r>
        <w:t xml:space="preserve"> </w:t>
      </w:r>
      <w:r>
        <w:t xml:space="preserve">classifications, operating region and control contributions defined here are carried forward</w:t>
      </w:r>
      <w:r>
        <w:t xml:space="preserve"> </w:t>
      </w:r>
      <w:r>
        <w:t xml:space="preserve">into the master report PCMR-001.</w:t>
      </w:r>
    </w:p>
    <w:bookmarkEnd w:id="12"/>
    <w:bookmarkStart w:id="18" w:name="introduction"/>
    <w:p>
      <w:pPr>
        <w:pStyle w:val="Heading1"/>
      </w:pPr>
      <w:r>
        <w:t xml:space="preserve">1. Introduction</w:t>
      </w:r>
    </w:p>
    <w:bookmarkStart w:id="14" w:name="product-and-unit-operation"/>
    <w:p>
      <w:pPr>
        <w:pStyle w:val="Heading2"/>
      </w:pPr>
      <w:r>
        <w:t xml:space="preserve">1.1 Product and unit operation</w:t>
      </w:r>
    </w:p>
    <w:p>
      <w:pPr>
        <w:pStyle w:val="FirstParagraph"/>
      </w:pPr>
      <w:r>
        <w:t xml:space="preserve">A-Mab is a humanized IgG1 monoclonal antibody whose primary mechanism of action is</w:t>
      </w:r>
      <w:r>
        <w:t xml:space="preserve"> </w:t>
      </w:r>
      <w:r>
        <w:t xml:space="preserve">antibody-dependent cell-mediated cytotoxicity; it is manufactured by the platform</w:t>
      </w:r>
      <w:r>
        <w:t xml:space="preserve"> </w:t>
      </w:r>
      <w:r>
        <w:t xml:space="preserve">drug-substance train summarized in</w:t>
      </w:r>
      <w:r>
        <w:t xml:space="preserve"> </w:t>
      </w:r>
      <w:hyperlink w:anchor="tbl-train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and purified by the sequence Protein A → low-pH</w:t>
      </w:r>
      <w:r>
        <w:t xml:space="preserve"> </w:t>
      </w:r>
      <w:r>
        <w:t xml:space="preserve">viral inactivation → cation exchange → anion exchange → virus filtration → UF/DF</w:t>
      </w:r>
      <w:r>
        <w:t xml:space="preserve"> </w:t>
      </w:r>
      <w:r>
        <w:t xml:space="preserve">(CMC Biotech Working Group 2009)</w:t>
      </w:r>
      <w:r>
        <w:t xml:space="preserve">.</w:t>
      </w:r>
      <w:r>
        <w:t xml:space="preserve"> </w:t>
      </w:r>
      <w:r>
        <w:t xml:space="preserve">Anion exchange (Step 8) is the final polishing chromatography of that train.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trai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A-Mab drug-substance process train (Steps 3–10) and each step’s principal control-strategy role.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28"/>
              <w:gridCol w:w="2244"/>
              <w:gridCol w:w="5148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Step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Unit operation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Principal role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Production Bioreactor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Forms the glycan, charge-variant and aggregate CQAs (design-space step)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Harvest and Clarification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Primary recovery and clarification; forms no product-quality CQA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Protein A Chromatography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Capture; sets leached Protein A; principal HCP and DNA clearance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Low-pH Viral Inactivation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Low-pH hold; sets the cumulative XMuLV (enveloped) clearance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Cation Exchange Chromatography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Polish; principal aggregate reduction; major HCP/DNA/leached-PA clearance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Anion Exchange Chromatography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Flow-through polish; sets the cumulative MVM clearance; clears XMuLV/HCP/DNA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Small-Virus Retentive Filtration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Dedicated small-virus removal; principal MVM clearance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Ultrafiltration / Diafiltration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Formulation / mass balance; delivers drug substance at target concentration</w:t>
                  </w:r>
                </w:p>
              </w:tc>
            </w:tr>
          </w:tbl>
          <w:bookmarkEnd w:id="13"/>
          <w:p/>
        </w:tc>
      </w:tr>
    </w:tbl>
    <w:p>
      <w:pPr>
        <w:pStyle w:val="BodyText"/>
      </w:pPr>
      <w:r>
        <w:t xml:space="preserve">The step is operated in flow-through mode: the cation-exchange eluate is titrated and</w:t>
      </w:r>
      <w:r>
        <w:t xml:space="preserve"> </w:t>
      </w:r>
      <w:r>
        <w:t xml:space="preserve">conditioned to the target load pH and conductivity and passed over a strong anion-exchange</w:t>
      </w:r>
      <w:r>
        <w:t xml:space="preserve"> </w:t>
      </w:r>
      <w:r>
        <w:t xml:space="preserve">resin under conditions at which the antibody carries a slight net positive charge and does not</w:t>
      </w:r>
      <w:r>
        <w:t xml:space="preserve"> </w:t>
      </w:r>
      <w:r>
        <w:t xml:space="preserve">bind, while the more acidic host-cell protein, DNA, leached Protein A and model viruses are</w:t>
      </w:r>
      <w:r>
        <w:t xml:space="preserve"> </w:t>
      </w:r>
      <w:r>
        <w:t xml:space="preserve">retained. The product is therefore recovered in the flow-through and wash and the impurities</w:t>
      </w:r>
      <w:r>
        <w:t xml:space="preserve"> </w:t>
      </w:r>
      <w:r>
        <w:t xml:space="preserve">and viruses are removed by binding — a mechanism that makes the step a high-recovery polish</w:t>
      </w:r>
      <w:r>
        <w:t xml:space="preserve"> </w:t>
      </w:r>
      <w:r>
        <w:t xml:space="preserve">rather than a yield-limiting capture. Anion exchange forms no product quality attribute; it</w:t>
      </w:r>
      <w:r>
        <w:t xml:space="preserve"> </w:t>
      </w:r>
      <w:r>
        <w:t xml:space="preserve">sets one CQA of its own, the cumulative MVM (parvovirus) viral-clearance claim, and contributes</w:t>
      </w:r>
      <w:r>
        <w:t xml:space="preserve"> </w:t>
      </w:r>
      <w:r>
        <w:t xml:space="preserve">clearance of enveloped virus and of the process impurities that are formed upstream. This</w:t>
      </w:r>
      <w:r>
        <w:t xml:space="preserve"> </w:t>
      </w:r>
      <w:r>
        <w:t xml:space="preserve">division of labour — one CQA set, several cleared — is developed in</w:t>
      </w:r>
      <w:r>
        <w:t xml:space="preserve"> </w:t>
      </w:r>
      <w:hyperlink w:anchor="sec-prior">
        <w:r>
          <w:rPr>
            <w:rStyle w:val="Hyperlink"/>
          </w:rPr>
          <w:t xml:space="preserve">Section 2</w:t>
        </w:r>
      </w:hyperlink>
      <w:r>
        <w:t xml:space="preserve"> </w:t>
      </w:r>
      <w:r>
        <w:t xml:space="preserve">and is the reason</w:t>
      </w:r>
      <w:r>
        <w:t xml:space="preserve"> </w:t>
      </w:r>
      <w:r>
        <w:t xml:space="preserve">the step is characterized against both a viral-clearance criterion and the drug-substance</w:t>
      </w:r>
      <w:r>
        <w:t xml:space="preserve"> </w:t>
      </w:r>
      <w:r>
        <w:t xml:space="preserve">impurity specifications.</w:t>
      </w:r>
    </w:p>
    <w:bookmarkEnd w:id="14"/>
    <w:bookmarkStart w:id="15" w:name="objectives"/>
    <w:p>
      <w:pPr>
        <w:pStyle w:val="Heading2"/>
      </w:pPr>
      <w:r>
        <w:t xml:space="preserve">1.2 Objectives</w:t>
      </w:r>
    </w:p>
    <w:p>
      <w:pPr>
        <w:pStyle w:val="FirstParagraph"/>
      </w:pPr>
      <w:r>
        <w:t xml:space="preserve">The characterization had five objectives, mirroring the paired plan PCP-008: (i) to quantify</w:t>
      </w:r>
      <w:r>
        <w:t xml:space="preserve"> </w:t>
      </w:r>
      <w:r>
        <w:t xml:space="preserve">the relationships between the anion-exchange process parameters and the step’s viral-clearance,</w:t>
      </w:r>
      <w:r>
        <w:t xml:space="preserve"> </w:t>
      </w:r>
      <w:r>
        <w:t xml:space="preserve">impurity-clearance and yield responses; (ii) to define the multivariate operating region over</w:t>
      </w:r>
      <w:r>
        <w:t xml:space="preserve"> </w:t>
      </w:r>
      <w:r>
        <w:t xml:space="preserve">which the governed attributes remain within acceptance; (iii) to establish the proven</w:t>
      </w:r>
      <w:r>
        <w:t xml:space="preserve"> </w:t>
      </w:r>
      <w:r>
        <w:t xml:space="preserve">acceptable range of each parameter and locate the normal operating range within it; (iv) to</w:t>
      </w:r>
      <w:r>
        <w:t xml:space="preserve"> </w:t>
      </w:r>
      <w:r>
        <w:t xml:space="preserve">classify each parameter according to its demonstrated criticality; and (v) to justify the</w:t>
      </w:r>
      <w:r>
        <w:t xml:space="preserve"> </w:t>
      </w:r>
      <w:r>
        <w:t xml:space="preserve">Stage-2 operating ranges and the step’s contribution to the overall control strategy for</w:t>
      </w:r>
      <w:r>
        <w:t xml:space="preserve"> </w:t>
      </w:r>
      <w:r>
        <w:t xml:space="preserve">transfer to commercial manufacture.</w:t>
      </w:r>
    </w:p>
    <w:bookmarkEnd w:id="15"/>
    <w:bookmarkStart w:id="17" w:name="regulatory-and-scientific-basis"/>
    <w:p>
      <w:pPr>
        <w:pStyle w:val="Heading2"/>
      </w:pPr>
      <w:r>
        <w:t xml:space="preserve">1.3 Regulatory and scientific basis</w:t>
      </w:r>
    </w:p>
    <w:p>
      <w:pPr>
        <w:pStyle w:val="FirstParagraph"/>
      </w:pPr>
      <w:r>
        <w:t xml:space="preserve">The study follows the lifecycle approach to process validation, in which Stage-1 process design</w:t>
      </w:r>
      <w:r>
        <w:t xml:space="preserve"> </w:t>
      </w:r>
      <w:r>
        <w:t xml:space="preserve">establishes the process understanding on which the later qualification and continued</w:t>
      </w:r>
      <w:r>
        <w:t xml:space="preserve"> </w:t>
      </w:r>
      <w:r>
        <w:t xml:space="preserve">verification stages depend</w:t>
      </w:r>
      <w:r>
        <w:t xml:space="preserve"> </w:t>
      </w:r>
      <w:r>
        <w:t xml:space="preserve">(U.S. Food and Drug Administration 2011)</w:t>
      </w:r>
      <w:r>
        <w:t xml:space="preserve">; the report is organized around the Stage-1</w:t>
      </w:r>
      <w:r>
        <w:t xml:space="preserve"> </w:t>
      </w:r>
      <w:r>
        <w:t xml:space="preserve">(Process Design) study record that guidance envisages. Criticality is treated as a</w:t>
      </w:r>
      <w:r>
        <w:t xml:space="preserve"> </w:t>
      </w:r>
      <w:r>
        <w:t xml:space="preserve">continuum rather than a binary</w:t>
      </w:r>
      <w:r>
        <w:t xml:space="preserve"> </w:t>
      </w:r>
      <w:r>
        <w:t xml:space="preserve">(International Council for Harmonisation 2023b)</w:t>
      </w:r>
      <w:r>
        <w:t xml:space="preserve">: a parameter’s classification reflects the magnitude of</w:t>
      </w:r>
      <w:r>
        <w:t xml:space="preserve"> </w:t>
      </w:r>
      <w:r>
        <w:t xml:space="preserve">its demonstrated effect on the CQAs and the width of the range over which that effect keeps the</w:t>
      </w:r>
      <w:r>
        <w:t xml:space="preserve"> </w:t>
      </w:r>
      <w:r>
        <w:t xml:space="preserve">attribute in specification, consistent with the enhanced, quality-by-design development approach</w:t>
      </w:r>
      <w:r>
        <w:t xml:space="preserve"> </w:t>
      </w:r>
      <w:r>
        <w:t xml:space="preserve">(International Council for Harmonisation 2009, 2012)</w:t>
      </w:r>
      <w:r>
        <w:t xml:space="preserve">. Because anion exchange is one of three orthogonal viral-clearance steps, its</w:t>
      </w:r>
      <w:r>
        <w:t xml:space="preserve"> </w:t>
      </w:r>
      <w:r>
        <w:t xml:space="preserve">clearance data are additionally evaluated within the ICH Q5A(R2) framework</w:t>
      </w:r>
      <w:r>
        <w:t xml:space="preserve"> </w:t>
      </w:r>
      <w:r>
        <w:t xml:space="preserve">(International Council for Harmonisation 2023a)</w:t>
      </w:r>
      <w:r>
        <w:t xml:space="preserve">, and its</w:t>
      </w:r>
      <w:r>
        <w:t xml:space="preserve"> </w:t>
      </w:r>
      <w:r>
        <w:t xml:space="preserve">contribution is credited modularly rather than claimed in full (</w:t>
      </w:r>
      <w:hyperlink w:anchor="sec-control">
        <w:r>
          <w:rPr>
            <w:rStyle w:val="Hyperlink"/>
          </w:rPr>
          <w:t xml:space="preserve">Section 10</w:t>
        </w:r>
      </w:hyperlink>
      <w:r>
        <w:t xml:space="preserve">). The controlled</w:t>
      </w:r>
      <w:r>
        <w:t xml:space="preserve"> </w:t>
      </w:r>
      <w:r>
        <w:t xml:space="preserve">documents that govern the study and its sibling documents are listed in</w:t>
      </w:r>
      <w:r>
        <w:t xml:space="preserve"> </w:t>
      </w:r>
      <w:hyperlink w:anchor="tbl-related">
        <w:r>
          <w:rPr>
            <w:rStyle w:val="Hyperlink"/>
          </w:rPr>
          <w:t xml:space="preserve">Table 3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" w:name="tbl-relate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Related documents in the A-Mab characterization package.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958"/>
              <w:gridCol w:w="4598"/>
              <w:gridCol w:w="236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Document ID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Title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Relationship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PTP-001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Transfer Plan (A-Mab Drug Substance)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Parent — transfer scope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RA-001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Pre-Characterization Process Risk Assessment (A-Mab Drug Substance)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Parent — risk basis for study scope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PCMP-001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Characterization Master Plan (A-Mab Drug Substance)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Parent — master plan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PCP-008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Characterization Plan (Anion Exchange Chromatography (Step 8))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Sibling — paired document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PCMR-001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Characterization Master Report (A-Mab Drug Substance)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Rolls up into</w:t>
                  </w:r>
                </w:p>
              </w:tc>
            </w:tr>
          </w:tbl>
          <w:bookmarkEnd w:id="16"/>
          <w:p/>
        </w:tc>
      </w:tr>
    </w:tbl>
    <w:bookmarkEnd w:id="17"/>
    <w:bookmarkEnd w:id="18"/>
    <w:bookmarkStart w:id="23" w:name="sec-prior"/>
    <w:p>
      <w:pPr>
        <w:pStyle w:val="Heading1"/>
      </w:pPr>
      <w:r>
        <w:t xml:space="preserve">2. Prior knowledge and quality risk basis</w:t>
      </w:r>
    </w:p>
    <w:bookmarkStart w:id="19" w:name="platform-and-prior-product-knowledge"/>
    <w:p>
      <w:pPr>
        <w:pStyle w:val="Heading2"/>
      </w:pPr>
      <w:r>
        <w:t xml:space="preserve">2.1 Platform and prior-product knowledge</w:t>
      </w:r>
    </w:p>
    <w:p>
      <w:pPr>
        <w:pStyle w:val="FirstParagraph"/>
      </w:pPr>
      <w:r>
        <w:t xml:space="preserve">Flow-through anion-exchange polishing is a platform operation whose behaviour is well</w:t>
      </w:r>
      <w:r>
        <w:t xml:space="preserve"> </w:t>
      </w:r>
      <w:r>
        <w:t xml:space="preserve">established from related humanized IgG1 antibodies (X-Mab, Y-Mab and Z-Mab) and from A-Mab</w:t>
      </w:r>
      <w:r>
        <w:t xml:space="preserve"> </w:t>
      </w:r>
      <w:r>
        <w:t xml:space="preserve">clinical and engineering experience</w:t>
      </w:r>
      <w:r>
        <w:t xml:space="preserve"> </w:t>
      </w:r>
      <w:r>
        <w:t xml:space="preserve">(CMC Biotech Working Group 2009)</w:t>
      </w:r>
      <w:r>
        <w:t xml:space="preserve">; the characterization therefore confirms and</w:t>
      </w:r>
      <w:r>
        <w:t xml:space="preserve"> </w:t>
      </w:r>
      <w:r>
        <w:t xml:space="preserve">bounds a known mechanism rather than discovering a new one. Prior knowledge established that, in</w:t>
      </w:r>
      <w:r>
        <w:t xml:space="preserve"> </w:t>
      </w:r>
      <w:r>
        <w:t xml:space="preserve">flow-through mode, the binding of impurities and virus is governed by the electrostatic</w:t>
      </w:r>
      <w:r>
        <w:t xml:space="preserve"> </w:t>
      </w:r>
      <w:r>
        <w:t xml:space="preserve">environment. A higher load pH increases the net negative charge of the acidic impurities and of</w:t>
      </w:r>
      <w:r>
        <w:t xml:space="preserve"> </w:t>
      </w:r>
      <w:r>
        <w:t xml:space="preserve">the model viruses, strengthens their retention on the positively charged resin and therefore</w:t>
      </w:r>
      <w:r>
        <w:t xml:space="preserve"> </w:t>
      </w:r>
      <w:r>
        <w:t xml:space="preserve">improves their clearance, while raising the equilibration/wash-1 or the load conductivity</w:t>
      </w:r>
      <w:r>
        <w:t xml:space="preserve"> </w:t>
      </w:r>
      <w:r>
        <w:t xml:space="preserve">screens that electrostatic attraction and weakens retention. The antibody itself, at a pH below</w:t>
      </w:r>
      <w:r>
        <w:t xml:space="preserve"> </w:t>
      </w:r>
      <w:r>
        <w:t xml:space="preserve">its isoelectric point, remains weakly positive and transmits across the studied range, so the</w:t>
      </w:r>
      <w:r>
        <w:t xml:space="preserve"> </w:t>
      </w:r>
      <w:r>
        <w:t xml:space="preserve">step is expected to be high-recovery and largely yield-insensitive to the chromatographic</w:t>
      </w:r>
      <w:r>
        <w:t xml:space="preserve"> </w:t>
      </w:r>
      <w:r>
        <w:t xml:space="preserve">factors. These expectations set the direction of every factor before the study and are the</w:t>
      </w:r>
      <w:r>
        <w:t xml:space="preserve"> </w:t>
      </w:r>
      <w:r>
        <w:t xml:space="preserve">hypotheses the results confirm or refute.</w:t>
      </w:r>
    </w:p>
    <w:bookmarkEnd w:id="19"/>
    <w:bookmarkStart w:id="21" w:name="quality-attributes-in-scope"/>
    <w:p>
      <w:pPr>
        <w:pStyle w:val="Heading2"/>
      </w:pPr>
      <w:r>
        <w:t xml:space="preserve">2.2 Quality attributes in scope</w:t>
      </w:r>
    </w:p>
    <w:p>
      <w:pPr>
        <w:pStyle w:val="FirstParagraph"/>
      </w:pPr>
      <w:r>
        <w:t xml:space="preserve">The attributes governed by anion exchange are listed in</w:t>
      </w:r>
      <w:r>
        <w:t xml:space="preserve"> </w:t>
      </w:r>
      <w:hyperlink w:anchor="tbl-cqa-scope">
        <w:r>
          <w:rPr>
            <w:rStyle w:val="Hyperlink"/>
          </w:rPr>
          <w:t xml:space="preserve">Table 4</w:t>
        </w:r>
      </w:hyperlink>
      <w:r>
        <w:t xml:space="preserve">: the one CQA the step</w:t>
      </w:r>
      <w:r>
        <w:t xml:space="preserve"> </w:t>
      </w:r>
      <w:r>
        <w:t xml:space="preserve">sets and the four it clears, each with its drug-substance acceptance criterion and criticality.</w:t>
      </w:r>
      <w:r>
        <w:t xml:space="preserve"> </w:t>
      </w:r>
      <w:r>
        <w:t xml:space="preserve">The step sets the cumulative MVM clearance — a very-high-criticality viral-safety attribute —</w:t>
      </w:r>
      <w:r>
        <w:t xml:space="preserve"> </w:t>
      </w:r>
      <w:r>
        <w:t xml:space="preserve">and clears the cumulative XMuLV clearance (also very high criticality) together with three</w:t>
      </w:r>
      <w:r>
        <w:t xml:space="preserve"> </w:t>
      </w:r>
      <w:r>
        <w:t xml:space="preserve">process impurities of lower criticality (HCP, residual DNA and leached Protein A). Criticality</w:t>
      </w:r>
      <w:r>
        <w:t xml:space="preserve"> </w:t>
      </w:r>
      <w:r>
        <w:t xml:space="preserve">here follows the case-study risk tool: the two viral-safety attributes carry the highest</w:t>
      </w:r>
      <w:r>
        <w:t xml:space="preserve"> </w:t>
      </w:r>
      <w:r>
        <w:t xml:space="preserve">severity, which is why the viral responses, not the impurity responses, are the binding</w:t>
      </w:r>
      <w:r>
        <w:t xml:space="preserve"> </w:t>
      </w:r>
      <w:r>
        <w:t xml:space="preserve">constraints on the operating region and on capability.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" w:name="tbl-cqa-scop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Quality attributes governed by anion exchange — one set (MVM) and four cleared.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88"/>
              <w:gridCol w:w="1307"/>
              <w:gridCol w:w="2034"/>
              <w:gridCol w:w="1089"/>
              <w:gridCol w:w="799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CQA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Acceptance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Criticality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Tool #1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Viral clearance — MVM (parvovirus)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viral safety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8.6–20 log10 (cumulative)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Viral clearance — XMuLV (enveloped)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viral safety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16.7–30 log10 (cumulative)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Host Cell Protein (HCP)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impurity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0–100 ng/mg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M-H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Residual DNA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impurity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0–0.001 ng/dose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Leached Protein 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impurity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0–5 ppm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L-M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</w:t>
                  </w:r>
                </w:p>
              </w:tc>
            </w:tr>
          </w:tbl>
          <w:bookmarkEnd w:id="20"/>
          <w:p/>
        </w:tc>
      </w:tr>
    </w:tbl>
    <w:bookmarkEnd w:id="21"/>
    <w:bookmarkStart w:id="22" w:name="X8e350aaf11e00001962f0e94cfe08bc5c1a6d7b"/>
    <w:p>
      <w:pPr>
        <w:pStyle w:val="Heading2"/>
      </w:pPr>
      <w:r>
        <w:t xml:space="preserve">2.3 Risk-based prioritization and parameter selection</w:t>
      </w:r>
    </w:p>
    <w:p>
      <w:pPr>
        <w:pStyle w:val="FirstParagraph"/>
      </w:pPr>
      <w:r>
        <w:t xml:space="preserve">The parameters carried into this study, and the ranges over which they were varied, were set by</w:t>
      </w:r>
      <w:r>
        <w:t xml:space="preserve"> </w:t>
      </w:r>
      <w:r>
        <w:t xml:space="preserve">the pre-characterization risk assessment RA-001, which risk-ranked the anion-exchange</w:t>
      </w:r>
      <w:r>
        <w:t xml:space="preserve"> </w:t>
      </w:r>
      <w:r>
        <w:t xml:space="preserve">parameters and filtered them to those with a credible impact on the governed attributes. Four</w:t>
      </w:r>
      <w:r>
        <w:t xml:space="preserve"> </w:t>
      </w:r>
      <w:r>
        <w:t xml:space="preserve">parameters — load pH, equilibration/wash-1 conductivity, load conductivity and protein load —</w:t>
      </w:r>
      <w:r>
        <w:t xml:space="preserve"> </w:t>
      </w:r>
      <w:r>
        <w:t xml:space="preserve">act directly on the electrostatic clearance mechanism and were therefore studied jointly in the</w:t>
      </w:r>
      <w:r>
        <w:t xml:space="preserve"> </w:t>
      </w:r>
      <w:r>
        <w:t xml:space="preserve">multivariate design, so that their interactions could be resolved rather than assumed absent.</w:t>
      </w:r>
      <w:r>
        <w:t xml:space="preserve"> </w:t>
      </w:r>
      <w:r>
        <w:t xml:space="preserve">Each factor’s range was set wider than its intended normal operating range to characterize the</w:t>
      </w:r>
      <w:r>
        <w:t xml:space="preserve"> </w:t>
      </w:r>
      <w:r>
        <w:t xml:space="preserve">knowledge space around the set-point: the load-pH range brackets the titration tolerance of the</w:t>
      </w:r>
      <w:r>
        <w:t xml:space="preserve"> </w:t>
      </w:r>
      <w:r>
        <w:t xml:space="preserve">conditioned load, the two conductivity ranges bracket buffer-preparation and load-conditioning</w:t>
      </w:r>
      <w:r>
        <w:t xml:space="preserve"> </w:t>
      </w:r>
      <w:r>
        <w:t xml:space="preserve">variability, and the protein-load range extends to a resin loading well above the intended</w:t>
      </w:r>
      <w:r>
        <w:t xml:space="preserve"> </w:t>
      </w:r>
      <w:r>
        <w:t xml:space="preserve">set-point to probe the mass-transfer limit of impurity and virus binding. Operating flow rate</w:t>
      </w:r>
      <w:r>
        <w:t xml:space="preserve"> </w:t>
      </w:r>
      <w:r>
        <w:t xml:space="preserve">was judged to act on clearance only through residence time and not through the binding</w:t>
      </w:r>
      <w:r>
        <w:t xml:space="preserve"> </w:t>
      </w:r>
      <w:r>
        <w:t xml:space="preserve">chemistry, and was therefore assessed univariately rather than consuming a factor in the</w:t>
      </w:r>
      <w:r>
        <w:t xml:space="preserve"> </w:t>
      </w:r>
      <w:r>
        <w:t xml:space="preserve">multivariate design. Consistent with the conservative default for a very-high-criticality</w:t>
      </w:r>
      <w:r>
        <w:t xml:space="preserve"> </w:t>
      </w:r>
      <w:r>
        <w:t xml:space="preserve">attribute, the viral responses were characterized across the full factor ranges even where</w:t>
      </w:r>
      <w:r>
        <w:t xml:space="preserve"> </w:t>
      </w:r>
      <w:r>
        <w:t xml:space="preserve">prior knowledge predicted robustness.</w:t>
      </w:r>
    </w:p>
    <w:bookmarkEnd w:id="22"/>
    <w:bookmarkEnd w:id="23"/>
    <w:bookmarkStart w:id="30" w:name="materials-and-methods"/>
    <w:p>
      <w:pPr>
        <w:pStyle w:val="Heading1"/>
      </w:pPr>
      <w:r>
        <w:t xml:space="preserve">3. Materials and methods</w:t>
      </w:r>
    </w:p>
    <w:bookmarkStart w:id="24" w:name="scale-down-model-and-its-qualification"/>
    <w:p>
      <w:pPr>
        <w:pStyle w:val="Heading2"/>
      </w:pPr>
      <w:r>
        <w:t xml:space="preserve">3.1 Scale-down model and its qualification</w:t>
      </w:r>
    </w:p>
    <w:p>
      <w:pPr>
        <w:pStyle w:val="FirstParagraph"/>
      </w:pPr>
      <w:r>
        <w:t xml:space="preserve">The characterization was performed on a scale-down model of the anion-exchange step operated at</w:t>
      </w:r>
      <w:r>
        <w:t xml:space="preserve"> </w:t>
      </w:r>
      <w:r>
        <w:t xml:space="preserve">commercial-equivalent conditions — the same resin chemistry, bed height, load ratio and linear</w:t>
      </w:r>
      <w:r>
        <w:t xml:space="preserve"> </w:t>
      </w:r>
      <w:r>
        <w:t xml:space="preserve">flow velocity as the intended commercial operation — in accordance with the step operation</w:t>
      </w:r>
      <w:r>
        <w:t xml:space="preserve"> </w:t>
      </w:r>
      <w:r>
        <w:t xml:space="preserve">procedure (SOP-2011) and the scale-down-model qualification procedure (SOP-1001). The model was</w:t>
      </w:r>
      <w:r>
        <w:t xml:space="preserve"> </w:t>
      </w:r>
      <w:r>
        <w:t xml:space="preserve">qualified by matching its input and output attributes to at-scale development data across the</w:t>
      </w:r>
      <w:r>
        <w:t xml:space="preserve"> </w:t>
      </w:r>
      <w:r>
        <w:t xml:space="preserve">operating point: the flow-through-pool impurity levels, the step yield and the viral</w:t>
      </w:r>
      <w:r>
        <w:t xml:space="preserve"> </w:t>
      </w:r>
      <w:r>
        <w:t xml:space="preserve">log-reduction factors of the qualified model reproduced the at-scale values within the</w:t>
      </w:r>
      <w:r>
        <w:t xml:space="preserve"> </w:t>
      </w:r>
      <w:r>
        <w:t xml:space="preserve">analytical variability of the respective methods, establishing that the model is representative</w:t>
      </w:r>
      <w:r>
        <w:t xml:space="preserve"> </w:t>
      </w:r>
      <w:r>
        <w:t xml:space="preserve">for both operating-range and clearance claims. For the viral responses the model is a qualified</w:t>
      </w:r>
      <w:r>
        <w:t xml:space="preserve"> </w:t>
      </w:r>
      <w:r>
        <w:t xml:space="preserve">small-scale spiking model, in which a defined titre of XMuLV or MVM is spiked into the</w:t>
      </w:r>
      <w:r>
        <w:t xml:space="preserve"> </w:t>
      </w:r>
      <w:r>
        <w:t xml:space="preserve">conditioned load and the log-reduction factor is measured across the step under the ICH Q5A(R2)</w:t>
      </w:r>
      <w:r>
        <w:t xml:space="preserve"> </w:t>
      </w:r>
      <w:r>
        <w:t xml:space="preserve">expectation that small-scale clearance data support the cumulative claim</w:t>
      </w:r>
      <w:r>
        <w:t xml:space="preserve"> </w:t>
      </w:r>
      <w:r>
        <w:t xml:space="preserve">(International Council for Harmonisation 2023a)</w:t>
      </w:r>
      <w:r>
        <w:t xml:space="preserve">. The</w:t>
      </w:r>
      <w:r>
        <w:t xml:space="preserve"> </w:t>
      </w:r>
      <w:r>
        <w:t xml:space="preserve">replicated centre point of each design provides the pure-error estimate against which lack of</w:t>
      </w:r>
      <w:r>
        <w:t xml:space="preserve"> </w:t>
      </w:r>
      <w:r>
        <w:t xml:space="preserve">fit is tested (</w:t>
      </w:r>
      <w:hyperlink w:anchor="sec-results">
        <w:r>
          <w:rPr>
            <w:rStyle w:val="Hyperlink"/>
          </w:rPr>
          <w:t xml:space="preserve">Section 5</w:t>
        </w:r>
      </w:hyperlink>
      <w:r>
        <w:t xml:space="preserve">); its reproducibility is reported in</w:t>
      </w:r>
      <w:r>
        <w:t xml:space="preserve"> </w:t>
      </w:r>
      <w:hyperlink w:anchor="tbl-center">
        <w:r>
          <w:rPr>
            <w:rStyle w:val="Hyperlink"/>
          </w:rPr>
          <w:t xml:space="preserve">Table 8</w:t>
        </w:r>
      </w:hyperlink>
      <w:r>
        <w:t xml:space="preserve">.</w:t>
      </w:r>
    </w:p>
    <w:bookmarkEnd w:id="24"/>
    <w:bookmarkStart w:id="25" w:name="operation"/>
    <w:p>
      <w:pPr>
        <w:pStyle w:val="Heading2"/>
      </w:pPr>
      <w:r>
        <w:t xml:space="preserve">3.2 Operation</w:t>
      </w:r>
    </w:p>
    <w:p>
      <w:pPr>
        <w:pStyle w:val="FirstParagraph"/>
      </w:pPr>
      <w:r>
        <w:t xml:space="preserve">Each run conditioned the cation-exchange eluate to its target load pH and load conductivity,</w:t>
      </w:r>
      <w:r>
        <w:t xml:space="preserve"> </w:t>
      </w:r>
      <w:r>
        <w:t xml:space="preserve">equilibrated the column and performed the post-load wash at the target wash-1 conductivity, and</w:t>
      </w:r>
      <w:r>
        <w:t xml:space="preserve"> </w:t>
      </w:r>
      <w:r>
        <w:t xml:space="preserve">collected the flow-through and wash as the product pool under UV-triggered pool-collection</w:t>
      </w:r>
      <w:r>
        <w:t xml:space="preserve"> </w:t>
      </w:r>
      <w:r>
        <w:t xml:space="preserve">control. Inputs held to platform specification — resin lot and packing quality, column</w:t>
      </w:r>
      <w:r>
        <w:t xml:space="preserve"> </w:t>
      </w:r>
      <w:r>
        <w:t xml:space="preserve">geometry, buffer identities and the sanitization regime (SOP-2008) — were identity- and</w:t>
      </w:r>
      <w:r>
        <w:t xml:space="preserve"> </w:t>
      </w:r>
      <w:r>
        <w:t xml:space="preserve">quality-controlled rather than characterized, so that the measured responses reflect the studied</w:t>
      </w:r>
      <w:r>
        <w:t xml:space="preserve"> </w:t>
      </w:r>
      <w:r>
        <w:t xml:space="preserve">factors and not uncontrolled operational variation. The single exception is the charge-variant</w:t>
      </w:r>
      <w:r>
        <w:t xml:space="preserve"> </w:t>
      </w:r>
      <w:r>
        <w:t xml:space="preserve">quality of the load material, which is a feed-input attribute that proved consequential to the</w:t>
      </w:r>
      <w:r>
        <w:t xml:space="preserve"> </w:t>
      </w:r>
      <w:r>
        <w:t xml:space="preserve">study and is treated explicitly under Deviations (</w:t>
      </w:r>
      <w:hyperlink w:anchor="sec-dev">
        <w:r>
          <w:rPr>
            <w:rStyle w:val="Hyperlink"/>
          </w:rPr>
          <w:t xml:space="preserve">Section 13</w:t>
        </w:r>
      </w:hyperlink>
      <w:r>
        <w:t xml:space="preserve">) and in the control strategy</w:t>
      </w:r>
      <w:r>
        <w:t xml:space="preserve"> </w:t>
      </w:r>
      <w:r>
        <w:t xml:space="preserve">(</w:t>
      </w:r>
      <w:hyperlink w:anchor="sec-control">
        <w:r>
          <w:rPr>
            <w:rStyle w:val="Hyperlink"/>
          </w:rPr>
          <w:t xml:space="preserve">Section 10</w:t>
        </w:r>
      </w:hyperlink>
      <w:r>
        <w:t xml:space="preserve">).</w:t>
      </w:r>
    </w:p>
    <w:bookmarkEnd w:id="25"/>
    <w:bookmarkStart w:id="27" w:name="analytical-methods"/>
    <w:p>
      <w:pPr>
        <w:pStyle w:val="Heading2"/>
      </w:pPr>
      <w:r>
        <w:t xml:space="preserve">3.3 Analytical methods</w:t>
      </w:r>
    </w:p>
    <w:p>
      <w:pPr>
        <w:pStyle w:val="FirstParagraph"/>
      </w:pPr>
      <w:r>
        <w:t xml:space="preserve">The validated methods used to measure the step’s responses are listed in</w:t>
      </w:r>
      <w:r>
        <w:t xml:space="preserve"> </w:t>
      </w:r>
      <w:hyperlink w:anchor="tbl-sop">
        <w:r>
          <w:rPr>
            <w:rStyle w:val="Hyperlink"/>
          </w:rPr>
          <w:t xml:space="preserve">Table 5</w:t>
        </w:r>
      </w:hyperlink>
      <w:r>
        <w:t xml:space="preserve">. Pool HCP was</w:t>
      </w:r>
      <w:r>
        <w:t xml:space="preserve"> </w:t>
      </w:r>
      <w:r>
        <w:t xml:space="preserve">measured by ELISA (AMV-3012), residual DNA by qPCR (AMV-3014) and leached Protein A by ELISA</w:t>
      </w:r>
      <w:r>
        <w:t xml:space="preserve"> </w:t>
      </w:r>
      <w:r>
        <w:t xml:space="preserve">(AMV-3016); the enveloped- and small-virus log-reduction factors were measured by the XMuLV and</w:t>
      </w:r>
      <w:r>
        <w:t xml:space="preserve"> </w:t>
      </w:r>
      <w:r>
        <w:t xml:space="preserve">MVM infectivity assays (AMV-3017 and AMV-3018); and the charge-variant quality of the load,</w:t>
      </w:r>
      <w:r>
        <w:t xml:space="preserve"> </w:t>
      </w:r>
      <w:r>
        <w:t xml:space="preserve">central to the load-material deviation, was measured by imaged capillary isoelectric focusing</w:t>
      </w:r>
      <w:r>
        <w:t xml:space="preserve"> </w:t>
      </w:r>
      <w:r>
        <w:t xml:space="preserve">(AMV-3013). Method performance is not reproduced here; the reportable ranges and techniques are</w:t>
      </w:r>
      <w:r>
        <w:t xml:space="preserve"> </w:t>
      </w:r>
      <w:r>
        <w:t xml:space="preserve">summarized in Appendix 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tbl-sop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Controlled procedures and validated analytical methods for the anion-exchange characterization.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050"/>
              <w:gridCol w:w="5333"/>
              <w:gridCol w:w="1535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Reference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Title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SOP-1001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Qualification of Scale-Down Models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SOP-1002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Design, Execution and Statistical Analysis of DoE Studies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SOP-2011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Operation of the Anion-Exchange Polishing Chromatography Step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SOP-2008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Chromatography Resin Life-Cycle, Packing and Sanitization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SOP-4001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Process-Parameter Classification and Control-Strategy Definition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Host-Cell Protein ELISA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 validation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Residual DNA (qPCR)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 validation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Leached Protein A by ELISA (ppm)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 validation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XMuLV Infectivity Titre (TCID50)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 validation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MVM Infectivity Titre (TCID50/qPCR)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 validation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Charge Variants (icIEF)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 validation</w:t>
                  </w:r>
                </w:p>
              </w:tc>
            </w:tr>
          </w:tbl>
          <w:bookmarkEnd w:id="26"/>
          <w:p/>
        </w:tc>
      </w:tr>
    </w:tbl>
    <w:bookmarkEnd w:id="27"/>
    <w:bookmarkStart w:id="28" w:name="sampling-plan"/>
    <w:p>
      <w:pPr>
        <w:pStyle w:val="Heading2"/>
      </w:pPr>
      <w:r>
        <w:t xml:space="preserve">3.4 Sampling plan</w:t>
      </w:r>
    </w:p>
    <w:p>
      <w:pPr>
        <w:pStyle w:val="FirstParagraph"/>
      </w:pPr>
      <w:r>
        <w:t xml:space="preserve">Each design run yielded one flow-through pool, sampled for HCP, residual DNA, leached Protein A</w:t>
      </w:r>
      <w:r>
        <w:t xml:space="preserve"> </w:t>
      </w:r>
      <w:r>
        <w:t xml:space="preserve">and step yield, with viral log-reduction determined on the spiked runs. The screening design</w:t>
      </w:r>
      <w:r>
        <w:t xml:space="preserve"> </w:t>
      </w:r>
      <w:r>
        <w:t xml:space="preserve">carried 3 replicated centre points and the response-surface design carried</w:t>
      </w:r>
      <w:r>
        <w:t xml:space="preserve"> </w:t>
      </w:r>
      <w:r>
        <w:t xml:space="preserve">4, providing the independent pure-error replication used for the lack-of-fit</w:t>
      </w:r>
      <w:r>
        <w:t xml:space="preserve"> </w:t>
      </w:r>
      <w:r>
        <w:t xml:space="preserve">test. Load-material charge-variant quality was verified on each load lot by icIEF prior to</w:t>
      </w:r>
      <w:r>
        <w:t xml:space="preserve"> </w:t>
      </w:r>
      <w:r>
        <w:t xml:space="preserve">execution, the control that ultimately detected the non-representative load in the first</w:t>
      </w:r>
      <w:r>
        <w:t xml:space="preserve"> </w:t>
      </w:r>
      <w:r>
        <w:t xml:space="preserve">execution.</w:t>
      </w:r>
    </w:p>
    <w:bookmarkEnd w:id="28"/>
    <w:bookmarkStart w:id="29" w:name="statistical-methods"/>
    <w:p>
      <w:pPr>
        <w:pStyle w:val="Heading2"/>
      </w:pPr>
      <w:r>
        <w:t xml:space="preserve">3.5 Statistical methods</w:t>
      </w:r>
    </w:p>
    <w:p>
      <w:pPr>
        <w:pStyle w:val="FirstParagraph"/>
      </w:pPr>
      <w:r>
        <w:t xml:space="preserve">Factors were analysed in coded units (set-point = 0, characterization edges = −1 and +1). The</w:t>
      </w:r>
      <w:r>
        <w:t xml:space="preserve"> </w:t>
      </w:r>
      <w:r>
        <w:t xml:space="preserve">screening data were fitted by ordinary least squares with all main effects and two-factor</w:t>
      </w:r>
      <w:r>
        <w:t xml:space="preserve"> </w:t>
      </w:r>
      <w:r>
        <w:t xml:space="preserve">interactions, each effect estimate being twice the corresponding coded coefficient; the</w:t>
      </w:r>
      <w:r>
        <w:t xml:space="preserve"> </w:t>
      </w:r>
      <w:r>
        <w:t xml:space="preserve">response-surface data were fitted with the full quadratic model. Significance was assessed at</w:t>
      </w:r>
      <w:r>
        <w:t xml:space="preserve"> </w:t>
      </w:r>
      <w:r>
        <w:t xml:space="preserve">α = 0.05. Model adequacy was judged by the coefficient of determination and its adjusted and</w:t>
      </w:r>
      <w:r>
        <w:t xml:space="preserve"> </w:t>
      </w:r>
      <w:r>
        <w:t xml:space="preserve">predicted (PRESS-based) forms, the overall F-test, and an ANOVA partition of the residual into</w:t>
      </w:r>
      <w:r>
        <w:t xml:space="preserve"> </w:t>
      </w:r>
      <w:r>
        <w:t xml:space="preserve">lack-of-fit and pure-error components using the replicated centre points; a response with no</w:t>
      </w:r>
      <w:r>
        <w:t xml:space="preserve"> </w:t>
      </w:r>
      <w:r>
        <w:t xml:space="preserve">statistically active factor is reported as robust rather than modelled. Commercial-scale</w:t>
      </w:r>
      <w:r>
        <w:t xml:space="preserve"> </w:t>
      </w:r>
      <w:r>
        <w:t xml:space="preserve">capability was estimated by Monte-Carlo simulation of 2,000</w:t>
      </w:r>
      <w:r>
        <w:t xml:space="preserve"> </w:t>
      </w:r>
      <w:r>
        <w:t xml:space="preserve">batches with each parameter drawn across its normal operating range and propagated through the</w:t>
      </w:r>
      <w:r>
        <w:t xml:space="preserve"> </w:t>
      </w:r>
      <w:r>
        <w:t xml:space="preserve">fitted response-surface models, from which the one-sided process-capability index (Cpk) of each</w:t>
      </w:r>
      <w:r>
        <w:t xml:space="preserve"> </w:t>
      </w:r>
      <w:r>
        <w:t xml:space="preserve">governed attribute was computed.</w:t>
      </w:r>
    </w:p>
    <w:bookmarkEnd w:id="29"/>
    <w:bookmarkEnd w:id="30"/>
    <w:bookmarkStart w:id="37" w:name="study-design"/>
    <w:p>
      <w:pPr>
        <w:pStyle w:val="Heading1"/>
      </w:pPr>
      <w:r>
        <w:t xml:space="preserve">4. Study design</w:t>
      </w:r>
    </w:p>
    <w:bookmarkStart w:id="33" w:name="factors-ranges-and-the-knowledge-space"/>
    <w:p>
      <w:pPr>
        <w:pStyle w:val="Heading2"/>
      </w:pPr>
      <w:r>
        <w:t xml:space="preserve">4.1 Factors, ranges and the knowledge space</w:t>
      </w:r>
    </w:p>
    <w:p>
      <w:pPr>
        <w:pStyle w:val="FirstParagraph"/>
      </w:pPr>
      <w:r>
        <w:t xml:space="preserve">The five characterized parameters, their set-points, normal operating ranges, characterization</w:t>
      </w:r>
      <w:r>
        <w:t xml:space="preserve"> </w:t>
      </w:r>
      <w:r>
        <w:t xml:space="preserve">ranges and final classifications are given in</w:t>
      </w:r>
      <w:r>
        <w:t xml:space="preserve"> </w:t>
      </w:r>
      <w:hyperlink w:anchor="tbl-params">
        <w:r>
          <w:rPr>
            <w:rStyle w:val="Hyperlink"/>
          </w:rPr>
          <w:t xml:space="preserve">Table 6</w:t>
        </w:r>
      </w:hyperlink>
      <w:r>
        <w:t xml:space="preserve">, and the coded legend for the four</w:t>
      </w:r>
      <w:r>
        <w:t xml:space="preserve"> </w:t>
      </w:r>
      <w:r>
        <w:t xml:space="preserve">multivariate factors in</w:t>
      </w:r>
      <w:r>
        <w:t xml:space="preserve"> </w:t>
      </w:r>
      <w:hyperlink w:anchor="tbl-legend">
        <w:r>
          <w:rPr>
            <w:rStyle w:val="Hyperlink"/>
          </w:rPr>
          <w:t xml:space="preserve">Table 7</w:t>
        </w:r>
      </w:hyperlink>
      <w:r>
        <w:t xml:space="preserve">. Each characterization range extends beyond the normal</w:t>
      </w:r>
      <w:r>
        <w:t xml:space="preserve"> </w:t>
      </w:r>
      <w:r>
        <w:t xml:space="preserve">operating range so that the knowledge space is bounded on both sides of the set-point: load pH</w:t>
      </w:r>
      <w:r>
        <w:t xml:space="preserve"> </w:t>
      </w:r>
      <w:r>
        <w:t xml:space="preserve">was varied over 7.2–7.8 around a 7.5 set-point,</w:t>
      </w:r>
      <w:r>
        <w:t xml:space="preserve"> </w:t>
      </w:r>
      <w:r>
        <w:t xml:space="preserve">equilibration/wash-1 conductivity over 1.6–3.6 mS/cm, load conductivity over</w:t>
      </w:r>
      <w:r>
        <w:t xml:space="preserve"> </w:t>
      </w:r>
      <w:r>
        <w:t xml:space="preserve">3–8 mS/cm and protein load over 50–300 g/L resin. The</w:t>
      </w:r>
      <w:r>
        <w:t xml:space="preserve"> </w:t>
      </w:r>
      <w:r>
        <w:t xml:space="preserve">range column is the characterization range and not a proven acceptable range; the proven</w:t>
      </w:r>
      <w:r>
        <w:t xml:space="preserve"> </w:t>
      </w:r>
      <w:r>
        <w:t xml:space="preserve">acceptable ranges are computed per attribute in</w:t>
      </w:r>
      <w:r>
        <w:t xml:space="preserve"> </w:t>
      </w:r>
      <w:hyperlink w:anchor="sec-par">
        <w:r>
          <w:rPr>
            <w:rStyle w:val="Hyperlink"/>
          </w:rPr>
          <w:t xml:space="preserve">Section 7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" w:name="tbl-param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Anion-exchange parameters — set-point, normal operating range, characterization range, final classification and study type.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138"/>
              <w:gridCol w:w="871"/>
              <w:gridCol w:w="1029"/>
              <w:gridCol w:w="871"/>
              <w:gridCol w:w="1188"/>
              <w:gridCol w:w="712"/>
              <w:gridCol w:w="1108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Unit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Set-point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Char. range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Class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Study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Load 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7.35–7.65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7.2–7.8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WC-CPP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multivariate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Equil/Wash-1 conductivity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mS/cm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2.1–3.1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1.6–3.6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WC-CPP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multivariate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Load conductivity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mS/cm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4–7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3–8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WC-CPP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multivariate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Protein load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g/L resin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120–280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50–300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WC-CPP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multivariate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Operating flow rate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cm/hr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300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200–400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150–450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WC-CPP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univariate</w:t>
                  </w:r>
                </w:p>
              </w:tc>
            </w:tr>
          </w:tbl>
          <w:bookmarkEnd w:id="31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" w:name="tbl-legen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7: Coded-factor legend for the multivariate designs.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Code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Unit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Studied in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Load 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screening + RSM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Equil/Wash-1 conductivity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mS/cm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screening + RSM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Load conductivity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mS/cm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screening + RSM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Protein load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g/L resin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screening + RSM</w:t>
                  </w:r>
                </w:p>
              </w:tc>
            </w:tr>
          </w:tbl>
          <w:bookmarkEnd w:id="32"/>
          <w:p/>
        </w:tc>
      </w:tr>
    </w:tbl>
    <w:bookmarkEnd w:id="33"/>
    <w:bookmarkStart w:id="34" w:name="screening-design"/>
    <w:p>
      <w:pPr>
        <w:pStyle w:val="Heading2"/>
      </w:pPr>
      <w:r>
        <w:t xml:space="preserve">4.2 Screening design</w:t>
      </w:r>
    </w:p>
    <w:p>
      <w:pPr>
        <w:pStyle w:val="FirstParagraph"/>
      </w:pPr>
      <w:r>
        <w:t xml:space="preserve">The four multivariate factors were first studied in a two-level full-factorial screening design</w:t>
      </w:r>
      <w:r>
        <w:t xml:space="preserve"> </w:t>
      </w:r>
      <w:r>
        <w:t xml:space="preserve">of 19 runs, including 3 replicated centre points, resolving all</w:t>
      </w:r>
      <w:r>
        <w:t xml:space="preserve"> </w:t>
      </w:r>
      <w:r>
        <w:t xml:space="preserve">four main effects and all six two-factor interactions clear of one another. The screening</w:t>
      </w:r>
      <w:r>
        <w:t xml:space="preserve"> </w:t>
      </w:r>
      <w:r>
        <w:t xml:space="preserve">design’s role is to identify which factors and interactions are active; the magnitudes it</w:t>
      </w:r>
      <w:r>
        <w:t xml:space="preserve"> </w:t>
      </w:r>
      <w:r>
        <w:t xml:space="preserve">returns are refined by the subsequent response-surface model. The full coded design matrix and</w:t>
      </w:r>
      <w:r>
        <w:t xml:space="preserve"> </w:t>
      </w:r>
      <w:r>
        <w:t xml:space="preserve">responses are in Appendix A.</w:t>
      </w:r>
    </w:p>
    <w:bookmarkEnd w:id="34"/>
    <w:bookmarkStart w:id="35" w:name="response-surface-design"/>
    <w:p>
      <w:pPr>
        <w:pStyle w:val="Heading2"/>
      </w:pPr>
      <w:r>
        <w:t xml:space="preserve">4.3 Response-surface design</w:t>
      </w:r>
    </w:p>
    <w:p>
      <w:pPr>
        <w:pStyle w:val="FirstParagraph"/>
      </w:pPr>
      <w:r>
        <w:t xml:space="preserve">The same four factors were then studied in a face-centred central-composite design of</w:t>
      </w:r>
      <w:r>
        <w:t xml:space="preserve"> </w:t>
      </w:r>
      <w:r>
        <w:t xml:space="preserve">28 runs — the factorial points, the axial (face) points that add curvature, and</w:t>
      </w:r>
      <w:r>
        <w:t xml:space="preserve"> </w:t>
      </w:r>
      <w:r>
        <w:t xml:space="preserve">4 replicated centre points — fitted with the full quadratic model. This</w:t>
      </w:r>
      <w:r>
        <w:t xml:space="preserve"> </w:t>
      </w:r>
      <w:r>
        <w:t xml:space="preserve">response-surface model is the predictive, design-space-defining model of the study: it</w:t>
      </w:r>
      <w:r>
        <w:t xml:space="preserve"> </w:t>
      </w:r>
      <w:r>
        <w:t xml:space="preserve">quantifies the main effects, two-factor interactions and curvature and is the basis for the</w:t>
      </w:r>
      <w:r>
        <w:t xml:space="preserve"> </w:t>
      </w:r>
      <w:r>
        <w:t xml:space="preserve">operating region (</w:t>
      </w:r>
      <w:hyperlink w:anchor="sec-ds">
        <w:r>
          <w:rPr>
            <w:rStyle w:val="Hyperlink"/>
          </w:rPr>
          <w:t xml:space="preserve">Section 6</w:t>
        </w:r>
      </w:hyperlink>
      <w:r>
        <w:t xml:space="preserve">) and the proven acceptable ranges (</w:t>
      </w:r>
      <w:hyperlink w:anchor="sec-par">
        <w:r>
          <w:rPr>
            <w:rStyle w:val="Hyperlink"/>
          </w:rPr>
          <w:t xml:space="preserve">Section 7</w:t>
        </w:r>
      </w:hyperlink>
      <w:r>
        <w:t xml:space="preserve">). The full coded matrix</w:t>
      </w:r>
      <w:r>
        <w:t xml:space="preserve"> </w:t>
      </w:r>
      <w:r>
        <w:t xml:space="preserve">and responses are in Appendix B.</w:t>
      </w:r>
    </w:p>
    <w:bookmarkEnd w:id="35"/>
    <w:bookmarkStart w:id="36" w:name="univariate-assessment"/>
    <w:p>
      <w:pPr>
        <w:pStyle w:val="Heading2"/>
      </w:pPr>
      <w:r>
        <w:t xml:space="preserve">4.4 Univariate assessment</w:t>
      </w:r>
    </w:p>
    <w:p>
      <w:pPr>
        <w:pStyle w:val="FirstParagraph"/>
      </w:pPr>
      <w:r>
        <w:t xml:space="preserve">Operating flow rate was assessed univariately across 150–450 cm/hr about its</w:t>
      </w:r>
      <w:r>
        <w:t xml:space="preserve"> </w:t>
      </w:r>
      <w:r>
        <w:t xml:space="preserve">300 cm/hr set-point rather than in the multivariate design, because it</w:t>
      </w:r>
      <w:r>
        <w:t xml:space="preserve"> </w:t>
      </w:r>
      <w:r>
        <w:t xml:space="preserve">influences clearance only through residence time and not through the binding chemistry that</w:t>
      </w:r>
      <w:r>
        <w:t xml:space="preserve"> </w:t>
      </w:r>
      <w:r>
        <w:t xml:space="preserve">couples the other four factors; treating it separately avoids inflating the multivariate design</w:t>
      </w:r>
      <w:r>
        <w:t xml:space="preserve"> </w:t>
      </w:r>
      <w:r>
        <w:t xml:space="preserve">without loss of information. Its assessment confirmed that clearance and recovery are</w:t>
      </w:r>
      <w:r>
        <w:t xml:space="preserve"> </w:t>
      </w:r>
      <w:r>
        <w:t xml:space="preserve">insensitive to flow rate over the studied range, and it is classified from that univariate</w:t>
      </w:r>
      <w:r>
        <w:t xml:space="preserve"> </w:t>
      </w:r>
      <w:r>
        <w:t xml:space="preserve">evidence in</w:t>
      </w:r>
      <w:r>
        <w:t xml:space="preserve"> </w:t>
      </w:r>
      <w:hyperlink w:anchor="sec-class">
        <w:r>
          <w:rPr>
            <w:rStyle w:val="Hyperlink"/>
          </w:rPr>
          <w:t xml:space="preserve">Section 9</w:t>
        </w:r>
      </w:hyperlink>
      <w:r>
        <w:t xml:space="preserve">.</w:t>
      </w:r>
    </w:p>
    <w:bookmarkEnd w:id="36"/>
    <w:bookmarkEnd w:id="37"/>
    <w:bookmarkStart w:id="56" w:name="sec-results"/>
    <w:p>
      <w:pPr>
        <w:pStyle w:val="Heading1"/>
      </w:pPr>
      <w:r>
        <w:t xml:space="preserve">5. Results</w:t>
      </w:r>
    </w:p>
    <w:bookmarkStart w:id="39" w:name="Xa1d357a057988a4668963a3d4bd6b4df2b4673e"/>
    <w:p>
      <w:pPr>
        <w:pStyle w:val="Heading2"/>
      </w:pPr>
      <w:r>
        <w:t xml:space="preserve">5.1 Centre-point performance and reproducibility</w:t>
      </w:r>
    </w:p>
    <w:p>
      <w:pPr>
        <w:pStyle w:val="FirstParagraph"/>
      </w:pPr>
      <w:r>
        <w:t xml:space="preserve">The replicated centre point establishes the pure-error baseline for the study, and its</w:t>
      </w:r>
      <w:r>
        <w:t xml:space="preserve"> </w:t>
      </w:r>
      <w:r>
        <w:t xml:space="preserve">reproducibility is attribute-dependent (</w:t>
      </w:r>
      <w:hyperlink w:anchor="tbl-center">
        <w:r>
          <w:rPr>
            <w:rStyle w:val="Hyperlink"/>
          </w:rPr>
          <w:t xml:space="preserve">Table 8</w:t>
        </w:r>
      </w:hyperlink>
      <w:r>
        <w:t xml:space="preserve">). The viral log-reduction factors and the</w:t>
      </w:r>
      <w:r>
        <w:t xml:space="preserve"> </w:t>
      </w:r>
      <w:r>
        <w:t xml:space="preserve">step yield are highly reproducible at the centre point (%CV of</w:t>
      </w:r>
      <w:r>
        <w:t xml:space="preserve"> </w:t>
      </w:r>
      <w:r>
        <w:t xml:space="preserve">6.7% for XMuLV,</w:t>
      </w:r>
      <w:r>
        <w:t xml:space="preserve"> </w:t>
      </w:r>
      <w:r>
        <w:t xml:space="preserve">6.9% for MVM and</w:t>
      </w:r>
      <w:r>
        <w:t xml:space="preserve"> </w:t>
      </w:r>
      <w:r>
        <w:t xml:space="preserve">1.3% for yield), whereas the pool HCP is</w:t>
      </w:r>
      <w:r>
        <w:t xml:space="preserve"> </w:t>
      </w:r>
      <w:r>
        <w:t xml:space="preserve">the least precise response (%CV 18.2%),</w:t>
      </w:r>
      <w:r>
        <w:t xml:space="preserve"> </w:t>
      </w:r>
      <w:r>
        <w:t xml:space="preserve">consistent with the near-baseline HCP levels this polishing step delivers and with the ELISA’s</w:t>
      </w:r>
      <w:r>
        <w:t xml:space="preserve"> </w:t>
      </w:r>
      <w:r>
        <w:t xml:space="preserve">variability at low analyte concentration. This higher HCP variance is carried through to the</w:t>
      </w:r>
      <w:r>
        <w:t xml:space="preserve"> </w:t>
      </w:r>
      <w:r>
        <w:t xml:space="preserve">lack-of-fit test and is the reason HCP effects near the assay’s precision are hedged below.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8" w:name="tbl-center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8: Centre-point reproducibility of the response-surface design (pure-error basis).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Response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%CV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Pool HCP (ng/mg)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13.7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2.48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18.2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XMuLV LRF (log₁₀)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0.445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6.71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MVM LRF (log₁₀)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0.336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6.86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Step yield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0.966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0.0123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1.27</w:t>
                  </w:r>
                </w:p>
              </w:tc>
            </w:tr>
          </w:tbl>
          <w:bookmarkEnd w:id="38"/>
          <w:p/>
        </w:tc>
      </w:tr>
    </w:tbl>
    <w:bookmarkEnd w:id="39"/>
    <w:bookmarkStart w:id="42" w:name="screening-factor-effects"/>
    <w:p>
      <w:pPr>
        <w:pStyle w:val="Heading2"/>
      </w:pPr>
      <w:r>
        <w:t xml:space="preserve">5.2 Screening: factor effects</w:t>
      </w:r>
    </w:p>
    <w:p>
      <w:pPr>
        <w:pStyle w:val="FirstParagraph"/>
      </w:pPr>
      <w:r>
        <w:t xml:space="preserve">The screening design resolved a small number of large, mechanistically coherent effects and</w:t>
      </w:r>
      <w:r>
        <w:t xml:space="preserve"> </w:t>
      </w:r>
      <w:r>
        <w:t xml:space="preserve">found the remaining terms inactive (</w:t>
      </w:r>
      <w:hyperlink w:anchor="tbl-scr-summary">
        <w:r>
          <w:rPr>
            <w:rStyle w:val="Hyperlink"/>
          </w:rPr>
          <w:t xml:space="preserve">Table 9</w:t>
        </w:r>
      </w:hyperlink>
      <w:r>
        <w:t xml:space="preserve">); the effect estimates for pool HCP are</w:t>
      </w:r>
      <w:r>
        <w:t xml:space="preserve"> </w:t>
      </w:r>
      <w:r>
        <w:t xml:space="preserve">detailed in</w:t>
      </w:r>
      <w:r>
        <w:t xml:space="preserve"> </w:t>
      </w:r>
      <w:hyperlink w:anchor="tbl-scr-hcp">
        <w:r>
          <w:rPr>
            <w:rStyle w:val="Hyperlink"/>
          </w:rPr>
          <w:t xml:space="preserve">Table 10</w:t>
        </w:r>
      </w:hyperlink>
      <w:r>
        <w:t xml:space="preserve">, and the viral and yield responses are described below with their full</w:t>
      </w:r>
      <w:r>
        <w:t xml:space="preserve"> </w:t>
      </w:r>
      <w:r>
        <w:t xml:space="preserve">effect tables in Appendix C. Two factors dominate every governed response, and they are the two</w:t>
      </w:r>
      <w:r>
        <w:t xml:space="preserve"> </w:t>
      </w:r>
      <w:r>
        <w:t xml:space="preserve">the mechanism predicts.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0" w:name="tbl-scr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9: Screening-model adequacy across the four responses.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857"/>
              <w:gridCol w:w="488"/>
              <w:gridCol w:w="684"/>
              <w:gridCol w:w="1075"/>
              <w:gridCol w:w="1173"/>
              <w:gridCol w:w="782"/>
              <w:gridCol w:w="1075"/>
              <w:gridCol w:w="78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Response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Adj. R²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Pred. R²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p-value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RMSE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Pool HCP (ng/mg)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0.966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0.923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0.841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22.6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8.55e-05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2.45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XMuLV LRF (log₁₀)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0.842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-0.106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4.25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0.0257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0.393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MVM LRF (log₁₀)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0.932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0.869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25.8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5.18e-05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0.178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Step yield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0.498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-3.64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0.792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0.642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0.0126</w:t>
                  </w:r>
                </w:p>
              </w:tc>
            </w:tr>
          </w:tbl>
          <w:bookmarkEnd w:id="40"/>
          <w:p/>
        </w:tc>
      </w:tr>
    </w:tbl>
    <w:p>
      <w:pPr>
        <w:pStyle w:val="BodyText"/>
      </w:pPr>
      <w:r>
        <w:t xml:space="preserve">The pool HCP is governed by load pH and equilibration/wash-1 conductivity acting in opposite</w:t>
      </w:r>
      <w:r>
        <w:t xml:space="preserve"> </w:t>
      </w:r>
      <w:r>
        <w:t xml:space="preserve">directions: a higher wash-1 conductivity raises the pool HCP (effect</w:t>
      </w:r>
      <w:r>
        <w:t xml:space="preserve"> </w:t>
      </w:r>
      <w:r>
        <w:t xml:space="preserve">12.1 ng/mg, p</w:t>
      </w:r>
      <w:r>
        <w:t xml:space="preserve"> </w:t>
      </w:r>
      <w:r>
        <w:t xml:space="preserve">&lt; 0.001, poorer clearance) and a higher load pH lowers</w:t>
      </w:r>
      <w:r>
        <w:t xml:space="preserve"> </w:t>
      </w:r>
      <w:r>
        <w:t xml:space="preserve">it (effect -11.9 ng/mg, p</w:t>
      </w:r>
      <w:r>
        <w:t xml:space="preserve"> </w:t>
      </w:r>
      <w:r>
        <w:t xml:space="preserve">&lt; 0.001, better clearance), with a significant load-pH ×</w:t>
      </w:r>
      <w:r>
        <w:t xml:space="preserve"> </w:t>
      </w:r>
      <w:r>
        <w:t xml:space="preserve">wash-1-conductivity interaction (effect -6.6</w:t>
      </w:r>
      <w:r>
        <w:t xml:space="preserve"> </w:t>
      </w:r>
      <w:r>
        <w:t xml:space="preserve">ng/mg, p &lt; 0.001) that means conductivity matters most</w:t>
      </w:r>
      <w:r>
        <w:t xml:space="preserve"> </w:t>
      </w:r>
      <w:r>
        <w:t xml:space="preserve">at low load pH. Notably, the protein load has no significant effect on pool HCP in this</w:t>
      </w:r>
      <w:r>
        <w:t xml:space="preserve"> </w:t>
      </w:r>
      <w:r>
        <w:t xml:space="preserve">representative-load design (effect 0.89 ng/mg,</w:t>
      </w:r>
      <w:r>
        <w:t xml:space="preserve"> </w:t>
      </w:r>
      <w:r>
        <w:t xml:space="preserve">p 0.491), and its interaction with wash-1</w:t>
      </w:r>
      <w:r>
        <w:t xml:space="preserve"> </w:t>
      </w:r>
      <w:r>
        <w:t xml:space="preserve">conductivity is likewise absent (effect 0.22</w:t>
      </w:r>
      <w:r>
        <w:t xml:space="preserve"> </w:t>
      </w:r>
      <w:r>
        <w:t xml:space="preserve">ng/mg, p 0.860) — a result that becomes central to</w:t>
      </w:r>
      <w:r>
        <w:t xml:space="preserve"> </w:t>
      </w:r>
      <w:r>
        <w:t xml:space="preserve">the load-material deviation in</w:t>
      </w:r>
      <w:r>
        <w:t xml:space="preserve"> </w:t>
      </w:r>
      <w:hyperlink w:anchor="sec-dev">
        <w:r>
          <w:rPr>
            <w:rStyle w:val="Hyperlink"/>
          </w:rPr>
          <w:t xml:space="preserve">Section 13</w:t>
        </w:r>
      </w:hyperlink>
      <w:r>
        <w:t xml:space="preserve">, because that same interaction was large and significant</w:t>
      </w:r>
      <w:r>
        <w:t xml:space="preserve"> </w:t>
      </w:r>
      <w:r>
        <w:t xml:space="preserve">in the invalidated first execution.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" w:name="tbl-scr-hcp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10: Screening effect estimates for pool HCP (requalified-load execution).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945"/>
              <w:gridCol w:w="1182"/>
              <w:gridCol w:w="1063"/>
              <w:gridCol w:w="1536"/>
              <w:gridCol w:w="945"/>
              <w:gridCol w:w="1300"/>
              <w:gridCol w:w="945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Effect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Coef.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Std. err.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p-value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Sig.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12.1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6.04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9.85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9.48e-06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-11.9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-5.96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-9.72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1.05e-05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-6.63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-3.32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-5.41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0.000642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-1.66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-0.829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-1.35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0.213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1.65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0.827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1.35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0.214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-1.21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-0.605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-0.986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0.353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0.885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0.443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0.491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-0.498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-0.249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-0.406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0.696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0.261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0.837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0.182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0.86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</w:tbl>
          <w:bookmarkEnd w:id="41"/>
          <w:p/>
        </w:tc>
      </w:tr>
    </w:tbl>
    <w:p>
      <w:pPr>
        <w:pStyle w:val="BodyText"/>
      </w:pPr>
      <w:r>
        <w:t xml:space="preserve">The viral responses share a single governing direction. Both the MVM and XMuLV log-reductions</w:t>
      </w:r>
      <w:r>
        <w:t xml:space="preserve"> </w:t>
      </w:r>
      <w:r>
        <w:t xml:space="preserve">rise with load pH (MVM effect 1.22 log₁₀, p</w:t>
      </w:r>
      <w:r>
        <w:t xml:space="preserve"> </w:t>
      </w:r>
      <w:r>
        <w:t xml:space="preserve">&lt; 0.001; XMuLV effect</w:t>
      </w:r>
      <w:r>
        <w:t xml:space="preserve"> </w:t>
      </w:r>
      <w:r>
        <w:t xml:space="preserve">1.00 log₁₀, p</w:t>
      </w:r>
      <w:r>
        <w:t xml:space="preserve"> </w:t>
      </w:r>
      <w:r>
        <w:t xml:space="preserve">&lt; 0.001) and fall with load conductivity (MVM effect</w:t>
      </w:r>
      <w:r>
        <w:t xml:space="preserve"> </w:t>
      </w:r>
      <w:r>
        <w:t xml:space="preserve">-0.71 log₁₀, p &lt; 0.001;</w:t>
      </w:r>
      <w:r>
        <w:t xml:space="preserve"> </w:t>
      </w:r>
      <w:r>
        <w:t xml:space="preserve">XMuLV effect -0.60 log₁₀, p</w:t>
      </w:r>
      <w:r>
        <w:t xml:space="preserve"> </w:t>
      </w:r>
      <w:r>
        <w:t xml:space="preserve">0.015), exactly as the electrostatic mechanism predicts —</w:t>
      </w:r>
      <w:r>
        <w:t xml:space="preserve"> </w:t>
      </w:r>
      <w:r>
        <w:t xml:space="preserve">stronger binding of the negatively charged virus at higher pH and lower ionic strength. The step</w:t>
      </w:r>
      <w:r>
        <w:t xml:space="preserve"> </w:t>
      </w:r>
      <w:r>
        <w:t xml:space="preserve">yield shows no significant dependence on any factor, consistent with a high-recovery flow-through</w:t>
      </w:r>
      <w:r>
        <w:t xml:space="preserve"> </w:t>
      </w:r>
      <w:r>
        <w:t xml:space="preserve">operation in which the antibody transmits regardless of the chromatographic condition. These</w:t>
      </w:r>
      <w:r>
        <w:t xml:space="preserve"> </w:t>
      </w:r>
      <w:r>
        <w:t xml:space="preserve">screening magnitudes are indicative; the design-space magnitudes are taken from the</w:t>
      </w:r>
      <w:r>
        <w:t xml:space="preserve"> </w:t>
      </w:r>
      <w:r>
        <w:t xml:space="preserve">response-surface models.</w:t>
      </w:r>
    </w:p>
    <w:bookmarkEnd w:id="42"/>
    <w:bookmarkStart w:id="54" w:name="response-surface-models"/>
    <w:p>
      <w:pPr>
        <w:pStyle w:val="Heading2"/>
      </w:pPr>
      <w:r>
        <w:t xml:space="preserve">5.3 Response-surface models</w:t>
      </w:r>
    </w:p>
    <w:p>
      <w:pPr>
        <w:pStyle w:val="FirstParagraph"/>
      </w:pPr>
      <w:r>
        <w:t xml:space="preserve">The response-surface models are adequate across the characterized region and, for the two</w:t>
      </w:r>
      <w:r>
        <w:t xml:space="preserve"> </w:t>
      </w:r>
      <w:r>
        <w:t xml:space="preserve">principal clearance responses, additionally predictive (</w:t>
      </w:r>
      <w:hyperlink w:anchor="tbl-rsm-summary">
        <w:r>
          <w:rPr>
            <w:rStyle w:val="Hyperlink"/>
          </w:rPr>
          <w:t xml:space="preserve">Table 11</w:t>
        </w:r>
      </w:hyperlink>
      <w:r>
        <w:t xml:space="preserve">). The pool-HCP and</w:t>
      </w:r>
      <w:r>
        <w:t xml:space="preserve"> </w:t>
      </w:r>
      <w:r>
        <w:t xml:space="preserve">XMuLV models carry predicted R² of 0.66 and</w:t>
      </w:r>
      <w:r>
        <w:t xml:space="preserve"> </w:t>
      </w:r>
      <w:r>
        <w:t xml:space="preserve">0.62 respectively, so they predict about as well as they</w:t>
      </w:r>
      <w:r>
        <w:t xml:space="preserve"> </w:t>
      </w:r>
      <w:r>
        <w:t xml:space="preserve">fit; the MVM model is adequate (R² = 0.90, adjusted R² =</w:t>
      </w:r>
      <w:r>
        <w:t xml:space="preserve"> </w:t>
      </w:r>
      <w:r>
        <w:t xml:space="preserve">0.79, no significant lack of fit) with a more modest</w:t>
      </w:r>
      <w:r>
        <w:t xml:space="preserve"> </w:t>
      </w:r>
      <w:r>
        <w:t xml:space="preserve">predicted R² (0.39) that reflects the narrower</w:t>
      </w:r>
      <w:r>
        <w:t xml:space="preserve"> </w:t>
      </w:r>
      <w:r>
        <w:t xml:space="preserve">log-reduction range of the MVM spiking assay relative to its reproducibility, and it is</w:t>
      </w:r>
      <w:r>
        <w:t xml:space="preserve"> </w:t>
      </w:r>
      <w:r>
        <w:t xml:space="preserve">corroborated by its strong, highly significant load-pH and load-conductivity main effects. The</w:t>
      </w:r>
      <w:r>
        <w:t xml:space="preserve"> </w:t>
      </w:r>
      <w:r>
        <w:t xml:space="preserve">step-yield response has no active factor (F-test p = 0.59)</w:t>
      </w:r>
      <w:r>
        <w:t xml:space="preserve"> </w:t>
      </w:r>
      <w:r>
        <w:t xml:space="preserve">and is reported as robust rather than modelled. Because the MVM model sets the step’s CQA, its</w:t>
      </w:r>
      <w:r>
        <w:t xml:space="preserve"> </w:t>
      </w:r>
      <w:r>
        <w:t xml:space="preserve">coefficient table and ANOVA partition are given in full (</w:t>
      </w:r>
      <w:hyperlink w:anchor="tbl-rsm-mvm">
        <w:r>
          <w:rPr>
            <w:rStyle w:val="Hyperlink"/>
          </w:rPr>
          <w:t xml:space="preserve">Table 12</w:t>
        </w:r>
      </w:hyperlink>
      <w:r>
        <w:t xml:space="preserve">,</w:t>
      </w:r>
      <w:r>
        <w:t xml:space="preserve"> </w:t>
      </w:r>
      <w:hyperlink w:anchor="tbl-anova-mvm">
        <w:r>
          <w:rPr>
            <w:rStyle w:val="Hyperlink"/>
          </w:rPr>
          <w:t xml:space="preserve">Table 13</w:t>
        </w:r>
      </w:hyperlink>
      <w:r>
        <w:t xml:space="preserve">); the</w:t>
      </w:r>
      <w:r>
        <w:t xml:space="preserve"> </w:t>
      </w:r>
      <w:r>
        <w:t xml:space="preserve">remaining coefficient tables are in Appendix C.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3" w:name="tbl-rsm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11: Response-surface model adequacy across the four responses.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857"/>
              <w:gridCol w:w="488"/>
              <w:gridCol w:w="684"/>
              <w:gridCol w:w="1075"/>
              <w:gridCol w:w="1173"/>
              <w:gridCol w:w="782"/>
              <w:gridCol w:w="1075"/>
              <w:gridCol w:w="78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Response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Adj. R²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Pred. R²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p-value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RMSE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Pool HCP (ng/mg)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0.934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0.864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13.2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1.83e-05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2.65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XMuLV LRF (log₁₀)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0.621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8.69e-05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MVM LRF (log₁₀)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0.898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0.787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0.394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8.14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0.000269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Step yield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0.488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-0.0632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-2.18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0.885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0.589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0.0145</w:t>
                  </w:r>
                </w:p>
              </w:tc>
            </w:tr>
          </w:tbl>
          <w:bookmarkEnd w:id="43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tbl-rsm-mvm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12: Full quadratic-model coefficients for the MVM log-reduction (the CQA the step sets).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Coef.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Std. err.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p-value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Sig.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Intercept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4.85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43.9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1.63e-15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7.48e-06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0.0307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0.407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0.691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-0.564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-7.48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4.65e-06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0.0261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0.735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0.127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1.59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0.136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-0.074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-0.925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0.372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0.0353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0.441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0.666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-0.0339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-0.424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0.679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0.00805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0.101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0.921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-0.0156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-0.195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0.848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-0.322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0.199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-1.61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0.13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0.149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0.199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0.747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0.469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0.199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0.912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0.135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0.199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0.679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0.509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</w:tbl>
          <w:bookmarkEnd w:id="44"/>
          <w:p/>
        </w:tc>
      </w:tr>
    </w:tbl>
    <w:p>
      <w:pPr>
        <w:pStyle w:val="BodyText"/>
      </w:pPr>
      <w:r>
        <w:t xml:space="preserve">The MVM coefficient table confirms the screening reading: the load-pH main effect is the largest</w:t>
      </w:r>
      <w:r>
        <w:t xml:space="preserve"> </w:t>
      </w:r>
      <w:r>
        <w:t xml:space="preserve">term and the load-conductivity main effect the next, both highly significant, with no</w:t>
      </w:r>
      <w:r>
        <w:t xml:space="preserve"> </w:t>
      </w:r>
      <w:r>
        <w:t xml:space="preserve">significant interaction or curvature term — a nearly planar surface over the characterized</w:t>
      </w:r>
      <w:r>
        <w:t xml:space="preserve"> </w:t>
      </w:r>
      <w:r>
        <w:t xml:space="preserve">region. The ANOVA partition (</w:t>
      </w:r>
      <w:hyperlink w:anchor="tbl-anova-mvm">
        <w:r>
          <w:rPr>
            <w:rStyle w:val="Hyperlink"/>
          </w:rPr>
          <w:t xml:space="preserve">Table 13</w:t>
        </w:r>
      </w:hyperlink>
      <w:r>
        <w:t xml:space="preserve">) shows the model sum of squares dominating the</w:t>
      </w:r>
      <w:r>
        <w:t xml:space="preserve"> </w:t>
      </w:r>
      <w:r>
        <w:t xml:space="preserve">residual, and the lack-of-fit component is not significant against pure error (F =</w:t>
      </w:r>
      <w:r>
        <w:t xml:space="preserve"> </w:t>
      </w:r>
      <w:r>
        <w:t xml:space="preserve">0.88, p = 0.62), so the</w:t>
      </w:r>
      <w:r>
        <w:t xml:space="preserve"> </w:t>
      </w:r>
      <w:r>
        <w:t xml:space="preserve">quadratic model is an adequate description of the MVM response and no higher-order structure is</w:t>
      </w:r>
      <w:r>
        <w:t xml:space="preserve"> </w:t>
      </w:r>
      <w:r>
        <w:t xml:space="preserve">indicated.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5" w:name="tbl-anova-mvm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13: ANOVA partition for the MVM response-surface model, with lack-of-fit tested against pure error.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Sum sq.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 sq.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p-value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11.7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0.834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8.14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0.000269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Residual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1.33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0.102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Lack of fit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0.994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0.0994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0.881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0.619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Pure error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nan</w:t>
                  </w:r>
                </w:p>
              </w:tc>
            </w:tr>
          </w:tbl>
          <w:bookmarkEnd w:id="45"/>
          <w:p/>
        </w:tc>
      </w:tr>
    </w:tbl>
    <w:p>
      <w:pPr>
        <w:pStyle w:val="BodyText"/>
      </w:pPr>
      <w:r>
        <w:t xml:space="preserve">The response surfaces over the two governing factors (</w:t>
      </w:r>
      <w:hyperlink w:anchor="fig-contours">
        <w:r>
          <w:rPr>
            <w:rStyle w:val="Hyperlink"/>
          </w:rPr>
          <w:t xml:space="preserve">Figure 1</w:t>
        </w:r>
      </w:hyperlink>
      <w:r>
        <w:t xml:space="preserve">) show the pool HCP</w:t>
      </w:r>
      <w:r>
        <w:t xml:space="preserve"> </w:t>
      </w:r>
      <w:r>
        <w:t xml:space="preserve">descending toward the high-pH / low-wash-conductivity corner and both viral log-reductions</w:t>
      </w:r>
      <w:r>
        <w:t xml:space="preserve"> </w:t>
      </w:r>
      <w:r>
        <w:t xml:space="preserve">rising toward it, so the impurity- and virus-clearance optima coincide and there is no trade-off</w:t>
      </w:r>
      <w:r>
        <w:t xml:space="preserve"> </w:t>
      </w:r>
      <w:r>
        <w:t xml:space="preserve">between them within the studied ranges. The model diagnostics for the MVM response</w:t>
      </w:r>
      <w:r>
        <w:t xml:space="preserve"> </w:t>
      </w:r>
      <w:r>
        <w:t xml:space="preserve">(</w:t>
      </w:r>
      <w:hyperlink w:anchor="fig-diag-mvm">
        <w:r>
          <w:rPr>
            <w:rStyle w:val="Hyperlink"/>
          </w:rPr>
          <w:t xml:space="preserve">Figure 2</w:t>
        </w:r>
      </w:hyperlink>
      <w:r>
        <w:t xml:space="preserve">) show residuals without structure against the predicted value, points on the</w:t>
      </w:r>
      <w:r>
        <w:t xml:space="preserve"> </w:t>
      </w:r>
      <w:r>
        <w:t xml:space="preserve">normal reference line, and actual-versus-predicted scatter on the identity line, supporting the</w:t>
      </w:r>
      <w:r>
        <w:t xml:space="preserve"> </w:t>
      </w:r>
      <w:r>
        <w:t xml:space="preserve">adequacy statement above.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9" w:name="fig-contours"/>
          <w:p>
            <w:pPr>
              <w:pStyle w:val="Compact"/>
              <w:jc w:val="center"/>
            </w:pPr>
            <w:r>
              <w:drawing>
                <wp:inline>
                  <wp:extent cx="5334000" cy="478987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PCR-008_aex_files/figure-docx/fig-contours-output-1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78987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Response-surface predictions over load pH and equilibration/wash-1 conductivity (load conductivity and protein load held at set-point), for pool HCP, XMuLV and MVM log-reduction and step yield.</w:t>
            </w:r>
          </w:p>
          <w:bookmarkEnd w:id="49"/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diag-mvm"/>
          <w:p>
            <w:pPr>
              <w:pStyle w:val="Compact"/>
              <w:jc w:val="center"/>
            </w:pPr>
            <w:r>
              <w:drawing>
                <wp:inline>
                  <wp:extent cx="5334000" cy="1652214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PCR-008_aex_files/figure-docx/fig-diag-mvm-output-1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165221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Model diagnostics for the MVM response-surface model: standardized residuals versus predicted, normal quantile–quantile, and actual versus predicted.</w:t>
            </w:r>
          </w:p>
          <w:bookmarkEnd w:id="53"/>
        </w:tc>
      </w:tr>
    </w:tbl>
    <w:bookmarkEnd w:id="54"/>
    <w:bookmarkStart w:id="55" w:name="mechanistic-interpretation"/>
    <w:p>
      <w:pPr>
        <w:pStyle w:val="Heading2"/>
      </w:pPr>
      <w:r>
        <w:t xml:space="preserve">5.4 Mechanistic interpretation</w:t>
      </w:r>
    </w:p>
    <w:p>
      <w:pPr>
        <w:pStyle w:val="FirstParagraph"/>
      </w:pPr>
      <w:r>
        <w:t xml:space="preserve">The surfaces look as they do because a single physical mechanism governs the step. At the</w:t>
      </w:r>
      <w:r>
        <w:t xml:space="preserve"> </w:t>
      </w:r>
      <w:r>
        <w:t xml:space="preserve">operating pH the antibody carries a slight net positive charge and transmits, while the more</w:t>
      </w:r>
      <w:r>
        <w:t xml:space="preserve"> </w:t>
      </w:r>
      <w:r>
        <w:t xml:space="preserve">acidic host-cell protein, DNA, leached Protein A and model viruses carry net negative charge and</w:t>
      </w:r>
      <w:r>
        <w:t xml:space="preserve"> </w:t>
      </w:r>
      <w:r>
        <w:t xml:space="preserve">bind the positively charged resin; the strength of that binding, and therefore the clearance, is</w:t>
      </w:r>
      <w:r>
        <w:t xml:space="preserve"> </w:t>
      </w:r>
      <w:r>
        <w:t xml:space="preserve">set by the electrostatic environment. Raising the load pH increases the net negative charge of</w:t>
      </w:r>
      <w:r>
        <w:t xml:space="preserve"> </w:t>
      </w:r>
      <w:r>
        <w:t xml:space="preserve">the impurities and virus and strengthens their retention, so the pool HCP falls and the XMuLV</w:t>
      </w:r>
      <w:r>
        <w:t xml:space="preserve"> </w:t>
      </w:r>
      <w:r>
        <w:t xml:space="preserve">and MVM log-reductions rise; raising the wash-1 or the load conductivity screens the charge</w:t>
      </w:r>
      <w:r>
        <w:t xml:space="preserve"> </w:t>
      </w:r>
      <w:r>
        <w:t xml:space="preserve">interaction and weakens retention, so the pool HCP rises and the viral log-reductions fall. The</w:t>
      </w:r>
      <w:r>
        <w:t xml:space="preserve"> </w:t>
      </w:r>
      <w:r>
        <w:t xml:space="preserve">significant load-pH × wash-1-conductivity interaction on HCP is the expected coupling of these</w:t>
      </w:r>
      <w:r>
        <w:t xml:space="preserve"> </w:t>
      </w:r>
      <w:r>
        <w:t xml:space="preserve">two levers — the conductivity penalty is largest where the pH is lowest and the binding already</w:t>
      </w:r>
      <w:r>
        <w:t xml:space="preserve"> </w:t>
      </w:r>
      <w:r>
        <w:t xml:space="preserve">weakest. This is precisely why the impurity and viral load are assured over a multivariate</w:t>
      </w:r>
      <w:r>
        <w:t xml:space="preserve"> </w:t>
      </w:r>
      <w:r>
        <w:t xml:space="preserve">operating region rather than by independent one-dimensional ranges: the acceptable value of any</w:t>
      </w:r>
      <w:r>
        <w:t xml:space="preserve"> </w:t>
      </w:r>
      <w:r>
        <w:t xml:space="preserve">one factor depends on where the others sit, and only a joint region captures that dependence.</w:t>
      </w:r>
      <w:r>
        <w:t xml:space="preserve"> </w:t>
      </w:r>
      <w:r>
        <w:t xml:space="preserve">The absence of a protein-load effect on clearance, over a range extending well above the</w:t>
      </w:r>
      <w:r>
        <w:t xml:space="preserve"> </w:t>
      </w:r>
      <w:r>
        <w:t xml:space="preserve">set-point loading, further indicates that the binding capacity for impurities and virus is not</w:t>
      </w:r>
      <w:r>
        <w:t xml:space="preserve"> </w:t>
      </w:r>
      <w:r>
        <w:t xml:space="preserve">exhausted at the intended load and that the load-related risk lies in the charge-variant quality</w:t>
      </w:r>
      <w:r>
        <w:t xml:space="preserve"> </w:t>
      </w:r>
      <w:r>
        <w:t xml:space="preserve">of the feed rather than in a load set-point.</w:t>
      </w:r>
    </w:p>
    <w:bookmarkEnd w:id="55"/>
    <w:bookmarkEnd w:id="56"/>
    <w:bookmarkStart w:id="57" w:name="sec-ds"/>
    <w:p>
      <w:pPr>
        <w:pStyle w:val="Heading1"/>
      </w:pPr>
      <w:r>
        <w:t xml:space="preserve">6. Design space</w:t>
      </w:r>
    </w:p>
    <w:p>
      <w:pPr>
        <w:pStyle w:val="FirstParagraph"/>
      </w:pPr>
      <w:r>
        <w:t xml:space="preserve">The anion-exchange design space is a multivariate region in the four well-controlled critical</w:t>
      </w:r>
      <w:r>
        <w:t xml:space="preserve"> </w:t>
      </w:r>
      <w:r>
        <w:t xml:space="preserve">process parameters — load pH, equilibration/wash-1 conductivity, load conductivity and protein</w:t>
      </w:r>
      <w:r>
        <w:t xml:space="preserve"> </w:t>
      </w:r>
      <w:r>
        <w:t xml:space="preserve">load — over which the governed attributes remain within acceptance. Its principal planes are the</w:t>
      </w:r>
      <w:r>
        <w:t xml:space="preserve"> </w:t>
      </w:r>
      <w:r>
        <w:t xml:space="preserve">two the mechanism dictates: the load-pH × wash-1-conductivity plane that governs pool HCP, and</w:t>
      </w:r>
      <w:r>
        <w:t xml:space="preserve"> </w:t>
      </w:r>
      <w:r>
        <w:t xml:space="preserve">the load-pH × load-conductivity plane that governs the XMuLV and MVM log-reductions. Within the</w:t>
      </w:r>
      <w:r>
        <w:t xml:space="preserve"> </w:t>
      </w:r>
      <w:r>
        <w:t xml:space="preserve">characterized ranges the impurity and viral optima coincide toward the high-pH, low-conductivity</w:t>
      </w:r>
      <w:r>
        <w:t xml:space="preserve"> </w:t>
      </w:r>
      <w:r>
        <w:t xml:space="preserve">corner, so the region has no interior trade-off; its binding constraints are the corners at</w:t>
      </w:r>
      <w:r>
        <w:t xml:space="preserve"> </w:t>
      </w:r>
      <w:r>
        <w:t xml:space="preserve">which a viral log-reduction is lowest — low load pH combined with high load conductivity — which</w:t>
      </w:r>
      <w:r>
        <w:t xml:space="preserve"> </w:t>
      </w:r>
      <w:r>
        <w:t xml:space="preserve">is the worst case the region must still satisfy, and at which the MVM contribution remains above</w:t>
      </w:r>
      <w:r>
        <w:t xml:space="preserve"> </w:t>
      </w:r>
      <w:r>
        <w:t xml:space="preserve">its back-calculated step floor of 3.28 log₁₀.</w:t>
      </w:r>
    </w:p>
    <w:p>
      <w:pPr>
        <w:pStyle w:val="BodyText"/>
      </w:pPr>
      <w:r>
        <w:t xml:space="preserve">The normal operating range of each parameter lies well inside this characterized region, which</w:t>
      </w:r>
      <w:r>
        <w:t xml:space="preserve"> </w:t>
      </w:r>
      <w:r>
        <w:t xml:space="preserve">in turn lies inside the broader knowledge space bounded by the proven acceptable ranges of</w:t>
      </w:r>
      <w:r>
        <w:t xml:space="preserve"> </w:t>
      </w:r>
      <w:hyperlink w:anchor="sec-par">
        <w:r>
          <w:rPr>
            <w:rStyle w:val="Hyperlink"/>
          </w:rPr>
          <w:t xml:space="preserve">Section 7</w:t>
        </w:r>
      </w:hyperlink>
      <w:r>
        <w:t xml:space="preserve">: load pH is operated at 7.35–7.65 within a characterized</w:t>
      </w:r>
      <w:r>
        <w:t xml:space="preserve"> </w:t>
      </w:r>
      <w:r>
        <w:t xml:space="preserve">7.2–7.8, wash-1 conductivity at 2.1–3.1 within</w:t>
      </w:r>
      <w:r>
        <w:t xml:space="preserve"> </w:t>
      </w:r>
      <w:r>
        <w:t xml:space="preserve">1.6–3.6 mS/cm, load conductivity at 4–7 within</w:t>
      </w:r>
      <w:r>
        <w:t xml:space="preserve"> </w:t>
      </w:r>
      <w:r>
        <w:t xml:space="preserve">3–8 mS/cm, and protein load at 120–280 within</w:t>
      </w:r>
      <w:r>
        <w:t xml:space="preserve"> </w:t>
      </w:r>
      <w:r>
        <w:t xml:space="preserve">50–300 g/L resin. Movement within this operating region is not a change and</w:t>
      </w:r>
      <w:r>
        <w:t xml:space="preserve"> </w:t>
      </w:r>
      <w:r>
        <w:t xml:space="preserve">requires no assessment, whereas movement outside it would be evaluated under the quality system</w:t>
      </w:r>
      <w:r>
        <w:t xml:space="preserve"> </w:t>
      </w:r>
      <w:r>
        <w:t xml:space="preserve">(CMC Biotech Working Group 2009; International Council for Harmonisation 2009)</w:t>
      </w:r>
      <w:r>
        <w:t xml:space="preserve">. The claim is bounded to the characterized factor ranges and to the fitted</w:t>
      </w:r>
      <w:r>
        <w:t xml:space="preserve"> </w:t>
      </w:r>
      <w:r>
        <w:t xml:space="preserve">response-surface models, and rests on the qualification of the scale-down model and its</w:t>
      </w:r>
      <w:r>
        <w:t xml:space="preserve"> </w:t>
      </w:r>
      <w:r>
        <w:t xml:space="preserve">small-scale viral-spiking model (</w:t>
      </w:r>
      <w:hyperlink w:anchor="sec-results">
        <w:r>
          <w:rPr>
            <w:rStyle w:val="Hyperlink"/>
          </w:rPr>
          <w:t xml:space="preserve">Section 5</w:t>
        </w:r>
      </w:hyperlink>
      <w:r>
        <w:t xml:space="preserve">); it is not extrapolated beyond the studied edges.</w:t>
      </w:r>
    </w:p>
    <w:bookmarkEnd w:id="57"/>
    <w:bookmarkStart w:id="71" w:name="sec-par"/>
    <w:p>
      <w:pPr>
        <w:pStyle w:val="Heading1"/>
      </w:pPr>
      <w:r>
        <w:t xml:space="preserve">7. Proven acceptable ranges</w:t>
      </w:r>
    </w:p>
    <w:p>
      <w:pPr>
        <w:pStyle w:val="FirstParagraph"/>
      </w:pPr>
      <w:r>
        <w:t xml:space="preserve">The proven acceptable range (PAR) of each parameter complements the multivariate design space</w:t>
      </w:r>
      <w:r>
        <w:t xml:space="preserve"> </w:t>
      </w:r>
      <w:r>
        <w:t xml:space="preserve">with a per-attribute, per-parameter view: the sub-range of a parameter’s characterization range</w:t>
      </w:r>
      <w:r>
        <w:t xml:space="preserve"> </w:t>
      </w:r>
      <w:r>
        <w:t xml:space="preserve">over which a given CQA stays within its acceptance criterion. The acceptance basis differs by</w:t>
      </w:r>
      <w:r>
        <w:t xml:space="preserve"> </w:t>
      </w:r>
      <w:r>
        <w:t xml:space="preserve">attribute type and is returned by the model rather than assumed. For pool HCP the criterion is</w:t>
      </w:r>
      <w:r>
        <w:t xml:space="preserve"> </w:t>
      </w:r>
      <w:r>
        <w:t xml:space="preserve">the drug-substance specification (≤ 100 ng/mg); for the viral-clearance</w:t>
      </w:r>
      <w:r>
        <w:t xml:space="preserve"> </w:t>
      </w:r>
      <w:r>
        <w:t xml:space="preserve">attributes the criterion is the step-level required log-reduction, back-calculated from the</w:t>
      </w:r>
      <w:r>
        <w:t xml:space="preserve"> </w:t>
      </w:r>
      <w:r>
        <w:t xml:space="preserve">cumulative requirement minus the clearance credited to the other steps —</w:t>
      </w:r>
      <w:r>
        <w:t xml:space="preserve"> </w:t>
      </w:r>
      <w:r>
        <w:t xml:space="preserve">3.28 log₁₀ for MVM and 3.78</w:t>
      </w:r>
      <w:r>
        <w:t xml:space="preserve"> </w:t>
      </w:r>
      <w:r>
        <w:t xml:space="preserve">log₁₀ for XMuLV — reflecting the modular nature of the viral-safety claim. Each parameter is</w:t>
      </w:r>
      <w:r>
        <w:t xml:space="preserve"> </w:t>
      </w:r>
      <w:r>
        <w:t xml:space="preserve">reported with two proven acceptable ranges (</w:t>
      </w:r>
      <w:hyperlink w:anchor="tbl-par">
        <w:r>
          <w:rPr>
            <w:rStyle w:val="Hyperlink"/>
          </w:rPr>
          <w:t xml:space="preserve">Table 14</w:t>
        </w:r>
      </w:hyperlink>
      <w:r>
        <w:t xml:space="preserve">): the at-set-point PAR, holding the other</w:t>
      </w:r>
      <w:r>
        <w:t xml:space="preserve"> </w:t>
      </w:r>
      <w:r>
        <w:t xml:space="preserve">factors at their set-points, and the NOR-propagated PAR, in which the other factors vary within</w:t>
      </w:r>
      <w:r>
        <w:t xml:space="preserve"> </w:t>
      </w:r>
      <w:r>
        <w:t xml:space="preserve">their normal operating ranges by Monte-Carlo of the fitted response-surface model — the</w:t>
      </w:r>
      <w:r>
        <w:t xml:space="preserve"> </w:t>
      </w:r>
      <w:r>
        <w:t xml:space="preserve">reproducible, more conservative robustness criterion.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8" w:name="tbl-par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14: Proven acceptable ranges for each governed CQA × parameter — characterization range and both the at-set-point and NOR-propagated PARs.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446"/>
              <w:gridCol w:w="2056"/>
              <w:gridCol w:w="1142"/>
              <w:gridCol w:w="837"/>
              <w:gridCol w:w="1446"/>
              <w:gridCol w:w="99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CQA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Char. range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Unit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 (set-point)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 (NOR)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Pool HCP (ng/mg)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Load 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7.2–7.8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7.2–7.8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7.2–7.8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Pool HCP (ng/mg)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Equil/Wash-1 conductivity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1.6–3.6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mS/cm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1.6–3.6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1.6–3.6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Pool HCP (ng/mg)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Load conductivity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3–8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mS/cm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3–8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3–8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Pool HCP (ng/mg)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Protein load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50–300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g/L resin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50–300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50–300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XMuLV LRF (log₁₀)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Load 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7.2–7.8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7.2–7.8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7.2–7.8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XMuLV LRF (log₁₀)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Equil/Wash-1 conductivity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1.6–3.6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mS/cm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1.6–3.6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1.6–3.6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XMuLV LRF (log₁₀)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Load conductivity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3–8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mS/cm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3–8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3–8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XMuLV LRF (log₁₀)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Protein load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50–300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g/L resin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50–300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50–300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MVM LRF (log₁₀)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Load 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7.2–7.8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7.2–7.8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7.2–7.8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MVM LRF (log₁₀)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Equil/Wash-1 conductivity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1.6–3.6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mS/cm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1.6–3.6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1.6–3.6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MVM LRF (log₁₀)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Load conductivity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3–8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mS/cm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3–8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3–8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MVM LRF (log₁₀)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Protein load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50–300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g/L resin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50–300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50–300</w:t>
                  </w:r>
                </w:p>
              </w:tc>
            </w:tr>
          </w:tbl>
          <w:bookmarkEnd w:id="58"/>
          <w:p/>
        </w:tc>
      </w:tr>
    </w:tbl>
    <w:p>
      <w:pPr>
        <w:pStyle w:val="BodyText"/>
      </w:pPr>
      <w:r>
        <w:t xml:space="preserve">Across every governed CQA and every multivariate parameter the two proven acceptable ranges</w:t>
      </w:r>
      <w:r>
        <w:t xml:space="preserve"> </w:t>
      </w:r>
      <w:r>
        <w:t xml:space="preserve">coincide with the full characterization range (</w:t>
      </w:r>
      <w:hyperlink w:anchor="tbl-par">
        <w:r>
          <w:rPr>
            <w:rStyle w:val="Hyperlink"/>
          </w:rPr>
          <w:t xml:space="preserve">Table 14</w:t>
        </w:r>
      </w:hyperlink>
      <w:r>
        <w:t xml:space="preserve">): the at-set-point and NOR-propagated</w:t>
      </w:r>
      <w:r>
        <w:t xml:space="preserve"> </w:t>
      </w:r>
      <w:r>
        <w:t xml:space="preserve">PARs each span the entire studied range, for pool HCP, XMuLV and MVM alike. The interpretation is</w:t>
      </w:r>
      <w:r>
        <w:t xml:space="preserve"> </w:t>
      </w:r>
      <w:r>
        <w:t xml:space="preserve">strong and specific. Each parameter’s whole characterization range is proven acceptable for every</w:t>
      </w:r>
      <w:r>
        <w:t xml:space="preserve"> </w:t>
      </w:r>
      <w:r>
        <w:t xml:space="preserve">governed attribute, and remains acceptable even when the other factors co-vary within their</w:t>
      </w:r>
      <w:r>
        <w:t xml:space="preserve"> </w:t>
      </w:r>
      <w:r>
        <w:t xml:space="preserve">normal operating ranges — so no single parameter, moved alone or with the rest of the operating</w:t>
      </w:r>
      <w:r>
        <w:t xml:space="preserve"> </w:t>
      </w:r>
      <w:r>
        <w:t xml:space="preserve">point drifting within the NOR, drives any attribute out of specification anywhere in the studied</w:t>
      </w:r>
      <w:r>
        <w:t xml:space="preserve"> </w:t>
      </w:r>
      <w:r>
        <w:t xml:space="preserve">space. The representative PAR plots make this visible for each governed CQA and its governing</w:t>
      </w:r>
      <w:r>
        <w:t xml:space="preserve"> </w:t>
      </w:r>
      <w:r>
        <w:t xml:space="preserve">factor (</w:t>
      </w:r>
      <w:hyperlink w:anchor="fig-par-hcp">
        <w:r>
          <w:rPr>
            <w:rStyle w:val="Hyperlink"/>
          </w:rPr>
          <w:t xml:space="preserve">Figure 3</w:t>
        </w:r>
      </w:hyperlink>
      <w:r>
        <w:t xml:space="preserve">,</w:t>
      </w:r>
      <w:r>
        <w:t xml:space="preserve"> </w:t>
      </w:r>
      <w:hyperlink w:anchor="fig-par-xmulv">
        <w:r>
          <w:rPr>
            <w:rStyle w:val="Hyperlink"/>
          </w:rPr>
          <w:t xml:space="preserve">Figure 4</w:t>
        </w:r>
      </w:hyperlink>
      <w:r>
        <w:t xml:space="preserve">,</w:t>
      </w:r>
      <w:r>
        <w:t xml:space="preserve"> </w:t>
      </w:r>
      <w:hyperlink w:anchor="fig-par-mvm">
        <w:r>
          <w:rPr>
            <w:rStyle w:val="Hyperlink"/>
          </w:rPr>
          <w:t xml:space="preserve">Figure 5</w:t>
        </w:r>
      </w:hyperlink>
      <w:r>
        <w:t xml:space="preserve">): the acceptable region, shaded, covers the</w:t>
      </w:r>
      <w:r>
        <w:t xml:space="preserve"> </w:t>
      </w:r>
      <w:r>
        <w:t xml:space="preserve">full parameter axis in both the at-set-point and the NOR-propagated panel, with the set-point and</w:t>
      </w:r>
      <w:r>
        <w:t xml:space="preserve"> </w:t>
      </w:r>
      <w:r>
        <w:t xml:space="preserve">normal operating range marked well inside it.</w:t>
      </w:r>
    </w:p>
    <w:p>
      <w:pPr>
        <w:pStyle w:val="BodyText"/>
      </w:pPr>
      <w:r>
        <w:t xml:space="preserve">The relationship to the design space is therefore explicit. The proven acceptable ranges are</w:t>
      </w:r>
      <w:r>
        <w:t xml:space="preserve"> </w:t>
      </w:r>
      <w:r>
        <w:t xml:space="preserve">univariate, NOR-robust statements about one parameter at a time; the design space is the</w:t>
      </w:r>
      <w:r>
        <w:t xml:space="preserve"> </w:t>
      </w:r>
      <w:r>
        <w:t xml:space="preserve">multivariate region that captures the joint dependence among the factors. Because each univariate</w:t>
      </w:r>
      <w:r>
        <w:t xml:space="preserve"> </w:t>
      </w:r>
      <w:r>
        <w:t xml:space="preserve">PAR already spans the full characterization range, the binding constraint on the operating region</w:t>
      </w:r>
      <w:r>
        <w:t xml:space="preserve"> </w:t>
      </w:r>
      <w:r>
        <w:t xml:space="preserve">is not any single-parameter PAR but the multivariate worst-case corner identified in</w:t>
      </w:r>
      <w:r>
        <w:t xml:space="preserve"> </w:t>
      </w:r>
      <w:hyperlink w:anchor="sec-ds">
        <w:r>
          <w:rPr>
            <w:rStyle w:val="Hyperlink"/>
          </w:rPr>
          <w:t xml:space="preserve">Section 6</w:t>
        </w:r>
      </w:hyperlink>
      <w:r>
        <w:t xml:space="preserve"> </w:t>
      </w:r>
      <w:r>
        <w:t xml:space="preserve">—</w:t>
      </w:r>
      <w:r>
        <w:t xml:space="preserve"> </w:t>
      </w:r>
      <w:r>
        <w:t xml:space="preserve">the low-pH, high-conductivity corner at which the viral log-reduction is lowest. This conclusion</w:t>
      </w:r>
      <w:r>
        <w:t xml:space="preserve"> </w:t>
      </w:r>
      <w:r>
        <w:t xml:space="preserve">is bounded to the characterized ranges and the fitted models: it states that no univariate</w:t>
      </w:r>
      <w:r>
        <w:t xml:space="preserve"> </w:t>
      </w:r>
      <w:r>
        <w:t xml:space="preserve">excursion within the studied space breaches acceptance, not that the parameters may be moved</w:t>
      </w:r>
      <w:r>
        <w:t xml:space="preserve"> </w:t>
      </w:r>
      <w:r>
        <w:t xml:space="preserve">without limit.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2" w:name="fig-par-hcp"/>
          <w:p>
            <w:pPr>
              <w:pStyle w:val="Compact"/>
              <w:jc w:val="center"/>
            </w:pPr>
            <w:r>
              <w:drawing>
                <wp:inline>
                  <wp:extent cx="5334000" cy="1845992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PCR-008_aex_files/figure-docx/fig-par-hcp-output-1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184599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Proven acceptable range for pool HCP versus its governing factor (equilibration/wash-1 conductivity): at set-point (left) and with the other factors varying within their NOR (right); acceptable region shaded, set-point and NOR marked.</w:t>
            </w:r>
          </w:p>
          <w:bookmarkEnd w:id="62"/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6" w:name="fig-par-xmulv"/>
          <w:p>
            <w:pPr>
              <w:pStyle w:val="Compact"/>
              <w:jc w:val="center"/>
            </w:pPr>
            <w:r>
              <w:drawing>
                <wp:inline>
                  <wp:extent cx="5334000" cy="1845992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PCR-008_aex_files/figure-docx/fig-par-xmulv-output-1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184599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Proven acceptable range for XMuLV log-reduction versus its governing factor (load pH), at set-point and NOR-propagated.</w:t>
            </w:r>
          </w:p>
          <w:bookmarkEnd w:id="66"/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0" w:name="fig-par-mvm"/>
          <w:p>
            <w:pPr>
              <w:pStyle w:val="Compact"/>
              <w:jc w:val="center"/>
            </w:pPr>
            <w:r>
              <w:drawing>
                <wp:inline>
                  <wp:extent cx="5334000" cy="1845992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PCR-008_aex_files/figure-docx/fig-par-mvm-output-1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184599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Proven acceptable range for MVM log-reduction versus its governing factor (load pH), at set-point and NOR-propagated.</w:t>
            </w:r>
          </w:p>
          <w:bookmarkEnd w:id="70"/>
        </w:tc>
      </w:tr>
    </w:tbl>
    <w:bookmarkEnd w:id="71"/>
    <w:bookmarkStart w:id="73" w:name="sec-cap"/>
    <w:p>
      <w:pPr>
        <w:pStyle w:val="Heading1"/>
      </w:pPr>
      <w:r>
        <w:t xml:space="preserve">8. Process capability and robustness</w:t>
      </w:r>
    </w:p>
    <w:p>
      <w:pPr>
        <w:pStyle w:val="FirstParagraph"/>
      </w:pPr>
      <w:r>
        <w:t xml:space="preserve">The commercial-scale capability of every governed attribute meets its acceptance criterion with</w:t>
      </w:r>
      <w:r>
        <w:t xml:space="preserve"> </w:t>
      </w:r>
      <w:r>
        <w:t xml:space="preserve">margin (</w:t>
      </w:r>
      <w:hyperlink w:anchor="tbl-cap">
        <w:r>
          <w:rPr>
            <w:rStyle w:val="Hyperlink"/>
          </w:rPr>
          <w:t xml:space="preserve">Table 15</w:t>
        </w:r>
      </w:hyperlink>
      <w:r>
        <w:t xml:space="preserve">), estimated by Monte-Carlo simulation of 2,000</w:t>
      </w:r>
      <w:r>
        <w:t xml:space="preserve"> </w:t>
      </w:r>
      <w:r>
        <w:t xml:space="preserve">batches with each parameter drawn across its normal operating range and propagated through the</w:t>
      </w:r>
      <w:r>
        <w:t xml:space="preserve"> </w:t>
      </w:r>
      <w:r>
        <w:t xml:space="preserve">fitted response-surface models. The MVM clearance — the CQA the step sets — is the tightest</w:t>
      </w:r>
      <w:r>
        <w:t xml:space="preserve"> </w:t>
      </w:r>
      <w:r>
        <w:t xml:space="preserve">capability of the entire drug substance: its one-sided Cpk of 1.51</w:t>
      </w:r>
      <w:r>
        <w:t xml:space="preserve"> </w:t>
      </w:r>
      <w:r>
        <w:t xml:space="preserve">is the process minimum (1.51), yet the simulated cumulative MVM</w:t>
      </w:r>
      <w:r>
        <w:t xml:space="preserve"> </w:t>
      </w:r>
      <w:r>
        <w:t xml:space="preserve">clearance (10.4 ± 0.4 log₁₀) sits</w:t>
      </w:r>
      <w:r>
        <w:t xml:space="preserve"> </w:t>
      </w:r>
      <w:r>
        <w:t xml:space="preserve">above its ≥ 8.6 log₁₀ requirement, to which anion exchange</w:t>
      </w:r>
      <w:r>
        <w:t xml:space="preserve"> </w:t>
      </w:r>
      <w:r>
        <w:t xml:space="preserve">contributes its 4.71 log₁₀ as the first and principal MVM-clearance step</w:t>
      </w:r>
      <w:r>
        <w:t xml:space="preserve"> </w:t>
      </w:r>
      <w:r>
        <w:t xml:space="preserve">alongside virus filtration (PCR-009). The XMuLV clearance is comparably capable (Cpk =</w:t>
      </w:r>
      <w:r>
        <w:t xml:space="preserve"> </w:t>
      </w:r>
      <w:r>
        <w:t xml:space="preserve">1.53, cumulative 19.5 log₁₀</w:t>
      </w:r>
      <w:r>
        <w:t xml:space="preserve"> </w:t>
      </w:r>
      <w:r>
        <w:t xml:space="preserve">against a ≥ 16.7 log₁₀ requirement), to which this step contributes</w:t>
      </w:r>
      <w:r>
        <w:t xml:space="preserve"> </w:t>
      </w:r>
      <w:r>
        <w:t xml:space="preserve">5.95 log₁₀ orthogonally to low-pH inactivation (PCR-006) and virus</w:t>
      </w:r>
      <w:r>
        <w:t xml:space="preserve"> </w:t>
      </w:r>
      <w:r>
        <w:t xml:space="preserve">filtration. The pool HCP is highly capable (Cpk = 6.14, mean</w:t>
      </w:r>
      <w:r>
        <w:t xml:space="preserve"> </w:t>
      </w:r>
      <w:r>
        <w:t xml:space="preserve">15.2 ng/mg against a ≤ 100 ng/mg limit),</w:t>
      </w:r>
      <w:r>
        <w:t xml:space="preserve"> </w:t>
      </w:r>
      <w:r>
        <w:t xml:space="preserve">with residual DNA and leached Protein A far inside their limits (Cpk =</w:t>
      </w:r>
      <w:r>
        <w:t xml:space="preserve"> </w:t>
      </w:r>
      <w:r>
        <w:t xml:space="preserve">10.8 and 2785), the</w:t>
      </w:r>
      <w:r>
        <w:t xml:space="preserve"> </w:t>
      </w:r>
      <w:r>
        <w:t xml:space="preserve">latter cleared here after its principal removal at Protein A capture (PCR-005) and cation exchange</w:t>
      </w:r>
      <w:r>
        <w:t xml:space="preserve"> </w:t>
      </w:r>
      <w:r>
        <w:t xml:space="preserve">(PCR-007). The two viral capabilities are the binding ones; the impurity capabilities carry ample</w:t>
      </w:r>
      <w:r>
        <w:t xml:space="preserve"> </w:t>
      </w:r>
      <w:r>
        <w:t xml:space="preserve">margin. These estimates are bounded to the normal operating ranges and to the scale-down and</w:t>
      </w:r>
      <w:r>
        <w:t xml:space="preserve"> </w:t>
      </w:r>
      <w:r>
        <w:t xml:space="preserve">small-scale spiking models, and the cumulative viral figures are consolidated across the three</w:t>
      </w:r>
      <w:r>
        <w:t xml:space="preserve"> </w:t>
      </w:r>
      <w:r>
        <w:t xml:space="preserve">orthogonal viral steps in PCMR-001, not claimed by this step alone.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2" w:name="tbl-cap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15: Commercial-scale capability of the attributes governed by anion exchange.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084"/>
              <w:gridCol w:w="750"/>
              <w:gridCol w:w="666"/>
              <w:gridCol w:w="1167"/>
              <w:gridCol w:w="1333"/>
              <w:gridCol w:w="917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CQA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Crit.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Spec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Acceptance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Mean ± SD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Cpk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Host Cell Protein (HCP)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M-H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upper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0–100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15.2 ± 4.6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Residual DNA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upper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0–0.001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0.0001 ± 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10.8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Leached Protein 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L-M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upper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0–5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0.003 ± 0.0006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2.79e+03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Viral clearance — XMuLV (enveloped)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lower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16.7–30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19.5 ± 0.61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1.53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Viral clearance — MVM (parvovirus)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lower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8.6–20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10.4 ± 0.4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1.51</w:t>
                  </w:r>
                </w:p>
              </w:tc>
            </w:tr>
          </w:tbl>
          <w:bookmarkEnd w:id="72"/>
          <w:p/>
        </w:tc>
      </w:tr>
    </w:tbl>
    <w:bookmarkEnd w:id="73"/>
    <w:bookmarkStart w:id="74" w:name="sec-class"/>
    <w:p>
      <w:pPr>
        <w:pStyle w:val="Heading1"/>
      </w:pPr>
      <w:r>
        <w:t xml:space="preserve">9. Parameter classification</w:t>
      </w:r>
    </w:p>
    <w:p>
      <w:pPr>
        <w:pStyle w:val="FirstParagraph"/>
      </w:pPr>
      <w:r>
        <w:t xml:space="preserve">Each parameter is classified from its demonstrated effect on the governed attributes and the</w:t>
      </w:r>
      <w:r>
        <w:t xml:space="preserve"> </w:t>
      </w:r>
      <w:r>
        <w:t xml:space="preserve">risk it carries within the operating region; the classifications are summarized in</w:t>
      </w:r>
      <w:r>
        <w:t xml:space="preserve"> </w:t>
      </w:r>
      <w:hyperlink w:anchor="tbl-params">
        <w:r>
          <w:rPr>
            <w:rStyle w:val="Hyperlink"/>
          </w:rPr>
          <w:t xml:space="preserve">Table 6</w:t>
        </w:r>
      </w:hyperlink>
      <w:r>
        <w:t xml:space="preserve"> </w:t>
      </w:r>
      <w:r>
        <w:t xml:space="preserve">and justified below.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Load pH — WC-CPP.</w:t>
      </w:r>
      <w:r>
        <w:t xml:space="preserve"> </w:t>
      </w:r>
      <w:r>
        <w:t xml:space="preserve">The dominant lever on both viral log-reductions and, with wash-1</w:t>
      </w:r>
      <w:r>
        <w:t xml:space="preserve"> </w:t>
      </w:r>
      <w:r>
        <w:t xml:space="preserve">conductivity, on pool HCP; it is therefore controlled as a well-controlled critical process</w:t>
      </w:r>
      <w:r>
        <w:t xml:space="preserve"> </w:t>
      </w:r>
      <w:r>
        <w:t xml:space="preserve">parameter, at 7.5 within a 7.35–7.65 normal operating</w:t>
      </w:r>
      <w:r>
        <w:t xml:space="preserve"> </w:t>
      </w:r>
      <w:r>
        <w:t xml:space="preserve">range. Its whole characterization range is a proven acceptable range for every governed CQA</w:t>
      </w:r>
      <w:r>
        <w:t xml:space="preserve"> </w:t>
      </w:r>
      <w:r>
        <w:t xml:space="preserve">(</w:t>
      </w:r>
      <w:hyperlink w:anchor="sec-par">
        <w:r>
          <w:rPr>
            <w:rStyle w:val="Hyperlink"/>
          </w:rPr>
          <w:t xml:space="preserve">Section 7</w:t>
        </w:r>
      </w:hyperlink>
      <w:r>
        <w:t xml:space="preserve">), so the residual risk is fully managed by the routine pH control the NOR represents.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Equilibration/Wash-1 conductivity — WC-CPP.</w:t>
      </w:r>
      <w:r>
        <w:t xml:space="preserve"> </w:t>
      </w:r>
      <w:r>
        <w:t xml:space="preserve">The governing factor for pool HCP and, with</w:t>
      </w:r>
      <w:r>
        <w:t xml:space="preserve"> </w:t>
      </w:r>
      <w:r>
        <w:t xml:space="preserve">load pH, a determinant of impurity clearance; controlled as a WC-CPP at</w:t>
      </w:r>
      <w:r>
        <w:t xml:space="preserve"> </w:t>
      </w:r>
      <w:r>
        <w:t xml:space="preserve">2.6 mS/cm within 2.1–3.1. Its effect is</w:t>
      </w:r>
      <w:r>
        <w:t xml:space="preserve"> </w:t>
      </w:r>
      <w:r>
        <w:t xml:space="preserve">significant but its proven acceptable range spans the full studied range, so the attribute</w:t>
      </w:r>
      <w:r>
        <w:t xml:space="preserve"> </w:t>
      </w:r>
      <w:r>
        <w:t xml:space="preserve">stays in specification across the NOR.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Load conductivity — WC-CPP.</w:t>
      </w:r>
      <w:r>
        <w:t xml:space="preserve"> </w:t>
      </w:r>
      <w:r>
        <w:t xml:space="preserve">The secondary lever on the viral log-reductions, acting in the</w:t>
      </w:r>
      <w:r>
        <w:t xml:space="preserve"> </w:t>
      </w:r>
      <w:r>
        <w:t xml:space="preserve">opposite direction to load pH; controlled as a WC-CPP at 5.5 mS/cm</w:t>
      </w:r>
      <w:r>
        <w:t xml:space="preserve"> </w:t>
      </w:r>
      <w:r>
        <w:t xml:space="preserve">within 4–7. It defines, with load pH, the worst-case corner of the</w:t>
      </w:r>
      <w:r>
        <w:t xml:space="preserve"> </w:t>
      </w:r>
      <w:r>
        <w:t xml:space="preserve">viral design space, which is why it is controlled rather than treated as a general parameter</w:t>
      </w:r>
      <w:r>
        <w:t xml:space="preserve"> </w:t>
      </w:r>
      <w:r>
        <w:t xml:space="preserve">despite its smaller effect.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Protein load — WC-CPP.</w:t>
      </w:r>
      <w:r>
        <w:t xml:space="preserve"> </w:t>
      </w:r>
      <w:r>
        <w:t xml:space="preserve">Carries a credible risk to the impurity and viral load and is</w:t>
      </w:r>
      <w:r>
        <w:t xml:space="preserve"> </w:t>
      </w:r>
      <w:r>
        <w:t xml:space="preserve">therefore controlled as a WC-CPP; in representative-quality load material it showed no</w:t>
      </w:r>
      <w:r>
        <w:t xml:space="preserve"> </w:t>
      </w:r>
      <w:r>
        <w:t xml:space="preserve">significant effect on clearance or recovery over a range extending well above the set-point, so</w:t>
      </w:r>
      <w:r>
        <w:t xml:space="preserve"> </w:t>
      </w:r>
      <w:r>
        <w:t xml:space="preserve">its acceptable range is wide. The characterization localized the load-related risk to the</w:t>
      </w:r>
      <w:r>
        <w:t xml:space="preserve"> </w:t>
      </w:r>
      <w:r>
        <w:t xml:space="preserve">charge-variant quality of the load material (</w:t>
      </w:r>
      <w:hyperlink w:anchor="sec-dev">
        <w:r>
          <w:rPr>
            <w:rStyle w:val="Hyperlink"/>
          </w:rPr>
          <w:t xml:space="preserve">Section 13</w:t>
        </w:r>
      </w:hyperlink>
      <w:r>
        <w:t xml:space="preserve">), which is controlled as a feed-input</w:t>
      </w:r>
      <w:r>
        <w:t xml:space="preserve"> </w:t>
      </w:r>
      <w:r>
        <w:t xml:space="preserve">attribute rather than by a load set-point.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Operating flow rate — WC-CPP.</w:t>
      </w:r>
      <w:r>
        <w:t xml:space="preserve"> </w:t>
      </w:r>
      <w:r>
        <w:t xml:space="preserve">Assessed univariately and found to have no significant effect</w:t>
      </w:r>
      <w:r>
        <w:t xml:space="preserve"> </w:t>
      </w:r>
      <w:r>
        <w:t xml:space="preserve">on clearance or recovery over 150–450 cm/hr; it is nonetheless controlled as a</w:t>
      </w:r>
      <w:r>
        <w:t xml:space="preserve"> </w:t>
      </w:r>
      <w:r>
        <w:t xml:space="preserve">WC-CPP at 300 cm/hr within 200–400, because residence time</w:t>
      </w:r>
      <w:r>
        <w:t xml:space="preserve"> </w:t>
      </w:r>
      <w:r>
        <w:t xml:space="preserve">carries a credible mechanistic risk to a binding-limited clearance step and a wide, evidenced</w:t>
      </w:r>
      <w:r>
        <w:t xml:space="preserve"> </w:t>
      </w:r>
      <w:r>
        <w:t xml:space="preserve">acceptable range is the appropriate control rather than declassification.</w:t>
      </w:r>
    </w:p>
    <w:p>
      <w:pPr>
        <w:pStyle w:val="FirstParagraph"/>
      </w:pPr>
      <w:r>
        <w:t xml:space="preserve">No parameter at this step required the most stringent (full CPP) control, and the step carries no</w:t>
      </w:r>
      <w:r>
        <w:t xml:space="preserve"> </w:t>
      </w:r>
      <w:r>
        <w:t xml:space="preserve">key process parameter: all five parameters are well-controlled critical process parameters, each</w:t>
      </w:r>
      <w:r>
        <w:t xml:space="preserve"> </w:t>
      </w:r>
      <w:r>
        <w:t xml:space="preserve">with a demonstrated effect and an evidenced acceptable range.</w:t>
      </w:r>
    </w:p>
    <w:bookmarkEnd w:id="74"/>
    <w:bookmarkStart w:id="75" w:name="sec-control"/>
    <w:p>
      <w:pPr>
        <w:pStyle w:val="Heading1"/>
      </w:pPr>
      <w:r>
        <w:t xml:space="preserve">10. Contribution to the control strategy</w:t>
      </w:r>
    </w:p>
    <w:p>
      <w:pPr>
        <w:pStyle w:val="FirstParagraph"/>
      </w:pPr>
      <w:r>
        <w:t xml:space="preserve">Anion exchange contributes to the control strategy as the process’s principal parvovirus-</w:t>
      </w:r>
      <w:r>
        <w:t xml:space="preserve"> </w:t>
      </w:r>
      <w:r>
        <w:t xml:space="preserve">clearance step and as a polishing step for enveloped virus and process impurities. Its</w:t>
      </w:r>
      <w:r>
        <w:t xml:space="preserve"> </w:t>
      </w:r>
      <w:r>
        <w:t xml:space="preserve">contributions are: control of the four multivariate WC-CPPs and the flow rate to the normal</w:t>
      </w:r>
      <w:r>
        <w:t xml:space="preserve"> </w:t>
      </w:r>
      <w:r>
        <w:t xml:space="preserve">operating ranges of</w:t>
      </w:r>
      <w:r>
        <w:t xml:space="preserve"> </w:t>
      </w:r>
      <w:hyperlink w:anchor="tbl-params">
        <w:r>
          <w:rPr>
            <w:rStyle w:val="Hyperlink"/>
          </w:rPr>
          <w:t xml:space="preserve">Table 6</w:t>
        </w:r>
      </w:hyperlink>
      <w:r>
        <w:t xml:space="preserve">; in-process monitoring of the flow-through-pool HCP by ELISA</w:t>
      </w:r>
      <w:r>
        <w:t xml:space="preserve"> </w:t>
      </w:r>
      <w:r>
        <w:t xml:space="preserve">(AMV-3012) and UV-triggered pool collection at the corrected set-point established under</w:t>
      </w:r>
      <w:r>
        <w:t xml:space="preserve"> </w:t>
      </w:r>
      <w:hyperlink w:anchor="sec-dev">
        <w:r>
          <w:rPr>
            <w:rStyle w:val="Hyperlink"/>
          </w:rPr>
          <w:t xml:space="preserve">Section 13</w:t>
        </w:r>
      </w:hyperlink>
      <w:r>
        <w:t xml:space="preserve">; verification of the load-material charge-variant quality by icIEF (AMV-3013) as a</w:t>
      </w:r>
      <w:r>
        <w:t xml:space="preserve"> </w:t>
      </w:r>
      <w:r>
        <w:t xml:space="preserve">feed-input control, added as a direct consequence of the load-material deviation; and the resin</w:t>
      </w:r>
      <w:r>
        <w:t xml:space="preserve"> </w:t>
      </w:r>
      <w:r>
        <w:t xml:space="preserve">life-cycle, packing and sanitization controls of SOP-2008. The MVM clearance the step sets is</w:t>
      </w:r>
      <w:r>
        <w:t xml:space="preserve"> </w:t>
      </w:r>
      <w:r>
        <w:t xml:space="preserve">credited toward the cumulative viral-safety claim modularly, alongside the orthogonal</w:t>
      </w:r>
      <w:r>
        <w:t xml:space="preserve"> </w:t>
      </w:r>
      <w:r>
        <w:t xml:space="preserve">contributions of low-pH inactivation (PCR-006) and virus filtration (PCR-009); the</w:t>
      </w:r>
      <w:r>
        <w:t xml:space="preserve"> </w:t>
      </w:r>
      <w:r>
        <w:t xml:space="preserve">enveloped-virus and impurity clearances are likewise partial contributions to attributes also</w:t>
      </w:r>
      <w:r>
        <w:t xml:space="preserve"> </w:t>
      </w:r>
      <w:r>
        <w:t xml:space="preserve">controlled upstream at Protein A capture (PCR-005) and cation exchange (PCR-007). The step does</w:t>
      </w:r>
      <w:r>
        <w:t xml:space="preserve"> </w:t>
      </w:r>
      <w:r>
        <w:t xml:space="preserve">not, by itself, guarantee the cumulative viral-safety claim or the release-level impurity</w:t>
      </w:r>
      <w:r>
        <w:t xml:space="preserve"> </w:t>
      </w:r>
      <w:r>
        <w:t xml:space="preserve">attributes: its role is to provide an orthogonal, robust clearance increment whose consolidation</w:t>
      </w:r>
      <w:r>
        <w:t xml:space="preserve"> </w:t>
      </w:r>
      <w:r>
        <w:t xml:space="preserve">with the other steps is performed in the master report PCMR-001.</w:t>
      </w:r>
    </w:p>
    <w:bookmarkEnd w:id="75"/>
    <w:bookmarkStart w:id="76" w:name="discussion"/>
    <w:p>
      <w:pPr>
        <w:pStyle w:val="Heading1"/>
      </w:pPr>
      <w:r>
        <w:t xml:space="preserve">11. Discussion</w:t>
      </w:r>
    </w:p>
    <w:p>
      <w:pPr>
        <w:pStyle w:val="FirstParagraph"/>
      </w:pPr>
      <w:r>
        <w:t xml:space="preserve">The characterization establishes that the anion-exchange step is well understood and robust</w:t>
      </w:r>
      <w:r>
        <w:t xml:space="preserve"> </w:t>
      </w:r>
      <w:r>
        <w:t xml:space="preserve">across the studied ranges, and that its behaviour is the behaviour prior platform knowledge</w:t>
      </w:r>
      <w:r>
        <w:t xml:space="preserve"> </w:t>
      </w:r>
      <w:r>
        <w:t xml:space="preserve">predicted. A single electrostatic mechanism accounts for every governed response: load pH and</w:t>
      </w:r>
      <w:r>
        <w:t xml:space="preserve"> </w:t>
      </w:r>
      <w:r>
        <w:t xml:space="preserve">conductivity set the strength of impurity and virus binding, the impurity and viral optima</w:t>
      </w:r>
      <w:r>
        <w:t xml:space="preserve"> </w:t>
      </w:r>
      <w:r>
        <w:t xml:space="preserve">coincide, and the step is high-recovery and insensitive to protein load and flow rate over wide</w:t>
      </w:r>
      <w:r>
        <w:t xml:space="preserve"> </w:t>
      </w:r>
      <w:r>
        <w:t xml:space="preserve">ranges. The response-surface models are adequate over the characterized region and, for pool HCP</w:t>
      </w:r>
      <w:r>
        <w:t xml:space="preserve"> </w:t>
      </w:r>
      <w:r>
        <w:t xml:space="preserve">and XMuLV, additionally predictive; the more modest predicted R² of the MVM model is attributable</w:t>
      </w:r>
      <w:r>
        <w:t xml:space="preserve"> </w:t>
      </w:r>
      <w:r>
        <w:t xml:space="preserve">to the narrower dynamic range of the parvovirus spiking assay against its reproducibility, not to</w:t>
      </w:r>
      <w:r>
        <w:t xml:space="preserve"> </w:t>
      </w:r>
      <w:r>
        <w:t xml:space="preserve">model inadequacy, and the MVM classification and design space rest on its strong, highly</w:t>
      </w:r>
      <w:r>
        <w:t xml:space="preserve"> </w:t>
      </w:r>
      <w:r>
        <w:t xml:space="preserve">significant main effects and its non-significant lack of fit. Confidence in these conclusions</w:t>
      </w:r>
      <w:r>
        <w:t xml:space="preserve"> </w:t>
      </w:r>
      <w:r>
        <w:t xml:space="preserve">rests on the qualification of the scale-down model, whose input and output attributes matched</w:t>
      </w:r>
      <w:r>
        <w:t xml:space="preserve"> </w:t>
      </w:r>
      <w:r>
        <w:t xml:space="preserve">at-scale development data, and on the qualified small-scale viral-spiking model.</w:t>
      </w:r>
    </w:p>
    <w:p>
      <w:pPr>
        <w:pStyle w:val="BodyText"/>
      </w:pPr>
      <w:r>
        <w:t xml:space="preserve">Three deviations were recorded, and their treatment is summarized adverse-first in</w:t>
      </w:r>
      <w:r>
        <w:t xml:space="preserve"> </w:t>
      </w:r>
      <w:hyperlink w:anchor="sec-dev">
        <w:r>
          <w:rPr>
            <w:rStyle w:val="Hyperlink"/>
          </w:rPr>
          <w:t xml:space="preserve">Section 13</w:t>
        </w:r>
      </w:hyperlink>
      <w:r>
        <w:t xml:space="preserve">. The</w:t>
      </w:r>
      <w:r>
        <w:t xml:space="preserve"> </w:t>
      </w:r>
      <w:r>
        <w:t xml:space="preserve">most consequential was a non-representative, deamidated load in the first DoE execution, which —</w:t>
      </w:r>
      <w:r>
        <w:t xml:space="preserve"> </w:t>
      </w:r>
      <w:r>
        <w:t xml:space="preserve">through an anomalous protein-load × wash-1-conductivity interaction — drove the flow-through pool</w:t>
      </w:r>
      <w:r>
        <w:t xml:space="preserve"> </w:t>
      </w:r>
      <w:r>
        <w:t xml:space="preserve">out of its in-process limit at the high-load/high-conductivity corner; because an operating</w:t>
      </w:r>
      <w:r>
        <w:t xml:space="preserve"> </w:t>
      </w:r>
      <w:r>
        <w:t xml:space="preserve">region cannot be defined on a non-representative load, the affected designs were invalidated and</w:t>
      </w:r>
      <w:r>
        <w:t xml:space="preserve"> </w:t>
      </w:r>
      <w:r>
        <w:t xml:space="preserve">re-executed in full on a requalified load, and the requalified execution is the analysis reported</w:t>
      </w:r>
      <w:r>
        <w:t xml:space="preserve"> </w:t>
      </w:r>
      <w:r>
        <w:t xml:space="preserve">throughout this document. The two remaining deviations — a permissive UV pool-collection</w:t>
      </w:r>
      <w:r>
        <w:t xml:space="preserve"> </w:t>
      </w:r>
      <w:r>
        <w:t xml:space="preserve">set-point common to both executions, and a single wash-buffer lot released slightly below its pH</w:t>
      </w:r>
      <w:r>
        <w:t xml:space="preserve"> </w:t>
      </w:r>
      <w:r>
        <w:t xml:space="preserve">range — were bounded by argument and, respectively, corrected by modelling and verification runs</w:t>
      </w:r>
      <w:r>
        <w:t xml:space="preserve"> </w:t>
      </w:r>
      <w:r>
        <w:t xml:space="preserve">and retained. The principal limitations of the study are those inherent to Stage-1</w:t>
      </w:r>
      <w:r>
        <w:t xml:space="preserve"> </w:t>
      </w:r>
      <w:r>
        <w:t xml:space="preserve">characterization: the reliance on a scale-down model, the use of a small-scale viral-spiking</w:t>
      </w:r>
      <w:r>
        <w:t xml:space="preserve"> </w:t>
      </w:r>
      <w:r>
        <w:t xml:space="preserve">model whose log-reduction range is narrower than the cumulative claim it supports, and the</w:t>
      </w:r>
      <w:r>
        <w:t xml:space="preserve"> </w:t>
      </w:r>
      <w:r>
        <w:t xml:space="preserve">assessment of resin performance over a limited number of cycles rather than the full life-cycle.</w:t>
      </w:r>
      <w:r>
        <w:t xml:space="preserve"> </w:t>
      </w:r>
      <w:r>
        <w:t xml:space="preserve">Each is managed forward — the scale-down and spiking models by their qualification and by</w:t>
      </w:r>
      <w:r>
        <w:t xml:space="preserve"> </w:t>
      </w:r>
      <w:r>
        <w:t xml:space="preserve">confirmation at scale, and the resin life-cycle by the controls of SOP-2008 and by continued</w:t>
      </w:r>
      <w:r>
        <w:t xml:space="preserve"> </w:t>
      </w:r>
      <w:r>
        <w:t xml:space="preserve">process verification. No parameter required control more stringent than the well-controlled</w:t>
      </w:r>
      <w:r>
        <w:t xml:space="preserve"> </w:t>
      </w:r>
      <w:r>
        <w:t xml:space="preserve">critical designation, which is the appropriate outcome for a step whose attributes remain in</w:t>
      </w:r>
      <w:r>
        <w:t xml:space="preserve"> </w:t>
      </w:r>
      <w:r>
        <w:t xml:space="preserve">specification across their full proven acceptable ranges.</w:t>
      </w:r>
    </w:p>
    <w:bookmarkEnd w:id="76"/>
    <w:bookmarkStart w:id="77" w:name="conclusions"/>
    <w:p>
      <w:pPr>
        <w:pStyle w:val="Heading1"/>
      </w:pPr>
      <w:r>
        <w:t xml:space="preserve">12. Conclusions</w:t>
      </w:r>
    </w:p>
    <w:p>
      <w:pPr>
        <w:pStyle w:val="FirstParagraph"/>
      </w:pPr>
      <w:r>
        <w:t xml:space="preserve">The anion-exchange polishing step is well characterized, well understood and robust across the</w:t>
      </w:r>
      <w:r>
        <w:t xml:space="preserve"> </w:t>
      </w:r>
      <w:r>
        <w:t xml:space="preserve">ranges studied. A multivariate operating region in the four well-controlled critical process</w:t>
      </w:r>
      <w:r>
        <w:t xml:space="preserve"> </w:t>
      </w:r>
      <w:r>
        <w:t xml:space="preserve">parameters was defined over which the governed attributes remain within acceptance; the proven</w:t>
      </w:r>
      <w:r>
        <w:t xml:space="preserve"> </w:t>
      </w:r>
      <w:r>
        <w:t xml:space="preserve">acceptable range of each parameter spans its full characterization range and is robust to NOR</w:t>
      </w:r>
      <w:r>
        <w:t xml:space="preserve"> </w:t>
      </w:r>
      <w:r>
        <w:t xml:space="preserve">co-variation, so the binding constraint on the operating region is the multivariate worst-case</w:t>
      </w:r>
      <w:r>
        <w:t xml:space="preserve"> </w:t>
      </w:r>
      <w:r>
        <w:t xml:space="preserve">corner rather than any univariate range. Every governed attribute meets its commercial-scale</w:t>
      </w:r>
      <w:r>
        <w:t xml:space="preserve"> </w:t>
      </w:r>
      <w:r>
        <w:t xml:space="preserve">acceptance criterion with margin, the tightest being the MVM clearance the step sets (Cpk =</w:t>
      </w:r>
      <w:r>
        <w:t xml:space="preserve"> </w:t>
      </w:r>
      <w:r>
        <w:t xml:space="preserve">1.51, the process minimum), which anion exchange establishes as the</w:t>
      </w:r>
      <w:r>
        <w:t xml:space="preserve"> </w:t>
      </w:r>
      <w:r>
        <w:t xml:space="preserve">first and principal parvovirus-clearance step alongside virus filtration. The three recorded</w:t>
      </w:r>
      <w:r>
        <w:t xml:space="preserve"> </w:t>
      </w:r>
      <w:r>
        <w:t xml:space="preserve">deviations were investigated, impact-assessed and resolved without altering the parameter</w:t>
      </w:r>
      <w:r>
        <w:t xml:space="preserve"> </w:t>
      </w:r>
      <w:r>
        <w:t xml:space="preserve">classifications or the operating region. The step does not by itself deliver the cumulative</w:t>
      </w:r>
      <w:r>
        <w:t xml:space="preserve"> </w:t>
      </w:r>
      <w:r>
        <w:t xml:space="preserve">viral-safety claim; its contribution is consolidated with the other viral and polishing steps in</w:t>
      </w:r>
      <w:r>
        <w:t xml:space="preserve"> </w:t>
      </w:r>
      <w:r>
        <w:t xml:space="preserve">the master report PCMR-001, into which the classifications, operating region and control</w:t>
      </w:r>
      <w:r>
        <w:t xml:space="preserve"> </w:t>
      </w:r>
      <w:r>
        <w:t xml:space="preserve">contributions defined here are carried forward.</w:t>
      </w:r>
    </w:p>
    <w:bookmarkEnd w:id="77"/>
    <w:bookmarkStart w:id="83" w:name="sec-dev"/>
    <w:p>
      <w:pPr>
        <w:pStyle w:val="Heading1"/>
      </w:pPr>
      <w:r>
        <w:t xml:space="preserve">13. Deviations from the plan</w:t>
      </w:r>
    </w:p>
    <w:p>
      <w:pPr>
        <w:pStyle w:val="FirstParagraph"/>
      </w:pPr>
      <w:r>
        <w:t xml:space="preserve">Three deviations were recorded during execution; each was investigated, its root cause</w:t>
      </w:r>
      <w:r>
        <w:t xml:space="preserve"> </w:t>
      </w:r>
      <w:r>
        <w:t xml:space="preserve">established, and its impact on the reported conclusions assessed (</w:t>
      </w:r>
      <w:hyperlink w:anchor="tbl-dev">
        <w:r>
          <w:rPr>
            <w:rStyle w:val="Hyperlink"/>
          </w:rPr>
          <w:t xml:space="preserve">Table 16</w:t>
        </w:r>
      </w:hyperlink>
      <w:r>
        <w:t xml:space="preserve">). One invalidated the</w:t>
      </w:r>
      <w:r>
        <w:t xml:space="preserve"> </w:t>
      </w:r>
      <w:r>
        <w:t xml:space="preserve">first DoE execution and forced a full re-execution, one was a set-point correction common to both</w:t>
      </w:r>
      <w:r>
        <w:t xml:space="preserve"> </w:t>
      </w:r>
      <w:r>
        <w:t xml:space="preserve">executions, and one was a single out-of-range buffer lot retained on a bounded-impact argument.</w:t>
      </w:r>
      <w:r>
        <w:t xml:space="preserve"> </w:t>
      </w:r>
      <w:r>
        <w:t xml:space="preserve">None altered the parameter classifications or the operating region defined above.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8" w:name="tbl-dev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16: Recorded deviations for the anion-exchange characterization.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459"/>
              <w:gridCol w:w="3606"/>
              <w:gridCol w:w="2227"/>
              <w:gridCol w:w="162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Deviation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Summary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Detected during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Disposition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DEV-008-01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Non-representative (deamidated) load in the first DoE execution; designs invalidated and re-executed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load-material charge-variant verification by icIEF (AMV-3013)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invalidated_and_re_executed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DEV-008-02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Trailing-edge UV pool-collection set-point slightly permissive in both executions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post-execution pool-fraction reconciliation (AMV-3012)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corrected_by_modelling_and_verification_runs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DEV-008-03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Equilibration/Wash-1 buffer released below its pH acceptance range on one screening run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buffer release testing per SOP-2103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retained</w:t>
                  </w:r>
                </w:p>
              </w:tc>
            </w:tr>
          </w:tbl>
          <w:bookmarkEnd w:id="78"/>
          <w:p/>
        </w:tc>
      </w:tr>
    </w:tbl>
    <w:bookmarkStart w:id="80" w:name="X9ce8f4dbbf463d12cca1c282eff0752ea602777"/>
    <w:p>
      <w:pPr>
        <w:pStyle w:val="Heading2"/>
      </w:pPr>
      <w:r>
        <w:t xml:space="preserve">13.1 DEV-008-01 — Non-representative (deamidated) load; designs invalidated and re-executed</w:t>
      </w:r>
    </w:p>
    <w:p>
      <w:pPr>
        <w:pStyle w:val="FirstParagraph"/>
      </w:pPr>
      <w:r>
        <w:t xml:space="preserve">In the first execution of the screening and response-surface designs, the anion-exchange load —</w:t>
      </w:r>
      <w:r>
        <w:t xml:space="preserve"> </w:t>
      </w:r>
      <w:r>
        <w:t xml:space="preserve">the cation-exchange eluate — was subsequently found to carry an elevated acidic charge-variant</w:t>
      </w:r>
      <w:r>
        <w:t xml:space="preserve"> </w:t>
      </w:r>
      <w:r>
        <w:t xml:space="preserve">(deamidation) burden of 33.5% by icIEF</w:t>
      </w:r>
      <w:r>
        <w:t xml:space="preserve"> </w:t>
      </w:r>
      <w:r>
        <w:t xml:space="preserve">(AMV-3013), against 21% for</w:t>
      </w:r>
      <w:r>
        <w:t xml:space="preserve"> </w:t>
      </w:r>
      <w:r>
        <w:t xml:space="preserve">representative material, the result of an out-of-trend extended neutralized hold of</w:t>
      </w:r>
      <w:r>
        <w:t xml:space="preserve"> </w:t>
      </w:r>
      <w:r>
        <w:t xml:space="preserve">36 hours (lot LOT-CEX-8842) that promoted asparagine</w:t>
      </w:r>
      <w:r>
        <w:t xml:space="preserve"> </w:t>
      </w:r>
      <w:r>
        <w:t xml:space="preserve">deamidation. In that first execution, at the high-protein-load / high-wash-1-conductivity corner</w:t>
      </w:r>
      <w:r>
        <w:t xml:space="preserve"> </w:t>
      </w:r>
      <w:r>
        <w:t xml:space="preserve">of the design, the flow-through-pool HCP rose sharply above its in-process action limit and the</w:t>
      </w:r>
      <w:r>
        <w:t xml:space="preserve"> </w:t>
      </w:r>
      <w:r>
        <w:t xml:space="preserve">pool purity became unacceptable, through an anomalous protein-load × wash-1-conductivity</w:t>
      </w:r>
      <w:r>
        <w:t xml:space="preserve"> </w:t>
      </w:r>
      <w:r>
        <w:t xml:space="preserve">interaction that is absent from representative material. In the invalidated data the protein-load</w:t>
      </w:r>
      <w:r>
        <w:t xml:space="preserve"> </w:t>
      </w:r>
      <w:r>
        <w:t xml:space="preserve">main effect and its interaction with wash-1 conductivity are both large and significant (effects</w:t>
      </w:r>
      <w:r>
        <w:t xml:space="preserve"> </w:t>
      </w:r>
      <w:r>
        <w:t xml:space="preserve">36 and</w:t>
      </w:r>
      <w:r>
        <w:t xml:space="preserve"> </w:t>
      </w:r>
      <w:r>
        <w:t xml:space="preserve">35 ng/mg, p</w:t>
      </w:r>
      <w:r>
        <w:t xml:space="preserve"> </w:t>
      </w:r>
      <w:r>
        <w:t xml:space="preserve">0.002;</w:t>
      </w:r>
      <w:r>
        <w:t xml:space="preserve"> </w:t>
      </w:r>
      <w:hyperlink w:anchor="tbl-scr-hcp-sup">
        <w:r>
          <w:rPr>
            <w:rStyle w:val="Hyperlink"/>
          </w:rPr>
          <w:t xml:space="preserve">Table 17</w:t>
        </w:r>
      </w:hyperlink>
      <w:r>
        <w:t xml:space="preserve">). Because an</w:t>
      </w:r>
      <w:r>
        <w:t xml:space="preserve"> </w:t>
      </w:r>
      <w:r>
        <w:t xml:space="preserve">acceptable operating region cannot be defined on a non-representative load, the affected screening</w:t>
      </w:r>
      <w:r>
        <w:t xml:space="preserve"> </w:t>
      </w:r>
      <w:r>
        <w:t xml:space="preserve">and response-surface designs were invalidated for operating-region definition and re-executed in</w:t>
      </w:r>
      <w:r>
        <w:t xml:space="preserve"> </w:t>
      </w:r>
      <w:r>
        <w:t xml:space="preserve">full on a requalified, representative load.</w:t>
      </w:r>
    </w:p>
    <w:p>
      <w:pPr>
        <w:pStyle w:val="BodyText"/>
      </w:pPr>
      <w:r>
        <w:t xml:space="preserve">The root cause is confirmed by the requalified data. In the requalified-load design reported</w:t>
      </w:r>
      <w:r>
        <w:t xml:space="preserve"> </w:t>
      </w:r>
      <w:r>
        <w:t xml:space="preserve">throughout this document, the protein-load × wash-1-conductivity interaction is statistically</w:t>
      </w:r>
      <w:r>
        <w:t xml:space="preserve"> </w:t>
      </w:r>
      <w:r>
        <w:t xml:space="preserve">absent (effect 0.22 ng/mg, p =</w:t>
      </w:r>
      <w:r>
        <w:t xml:space="preserve"> </w:t>
      </w:r>
      <w:r>
        <w:t xml:space="preserve">0.86;</w:t>
      </w:r>
      <w:r>
        <w:t xml:space="preserve"> </w:t>
      </w:r>
      <w:hyperlink w:anchor="tbl-scr-hcp">
        <w:r>
          <w:rPr>
            <w:rStyle w:val="Hyperlink"/>
          </w:rPr>
          <w:t xml:space="preserve">Table 10</w:t>
        </w:r>
      </w:hyperlink>
      <w:r>
        <w:t xml:space="preserve">) and the protein-load main</w:t>
      </w:r>
      <w:r>
        <w:t xml:space="preserve"> </w:t>
      </w:r>
      <w:r>
        <w:t xml:space="preserve">effect is likewise non-significant. The anomalous interaction seen in the first execution was</w:t>
      </w:r>
      <w:r>
        <w:t xml:space="preserve"> </w:t>
      </w:r>
      <w:r>
        <w:t xml:space="preserve">therefore an artifact of the degraded (deamidated) load — whose additional acidic charge variants</w:t>
      </w:r>
      <w:r>
        <w:t xml:space="preserve"> </w:t>
      </w:r>
      <w:r>
        <w:t xml:space="preserve">competed for the resin and coupled the protein load to the wash conductivity — and not an</w:t>
      </w:r>
      <w:r>
        <w:t xml:space="preserve"> </w:t>
      </w:r>
      <w:r>
        <w:t xml:space="preserve">intrinsic property of the step. The disposition is that the superseded dataset is retained and</w:t>
      </w:r>
      <w:r>
        <w:t xml:space="preserve"> </w:t>
      </w:r>
      <w:r>
        <w:t xml:space="preserve">referenced for this root-cause confirmation only; the reported analysis, classifications and</w:t>
      </w:r>
      <w:r>
        <w:t xml:space="preserve"> </w:t>
      </w:r>
      <w:r>
        <w:t xml:space="preserve">operating region derive entirely from the requalified execution. The deviation also generated a</w:t>
      </w:r>
      <w:r>
        <w:t xml:space="preserve"> </w:t>
      </w:r>
      <w:r>
        <w:t xml:space="preserve">standing feed-input control: the load-material charge-variant quality is verified by icIEF before</w:t>
      </w:r>
      <w:r>
        <w:t xml:space="preserve"> </w:t>
      </w:r>
      <w:r>
        <w:t xml:space="preserve">the step (</w:t>
      </w:r>
      <w:hyperlink w:anchor="sec-control">
        <w:r>
          <w:rPr>
            <w:rStyle w:val="Hyperlink"/>
          </w:rPr>
          <w:t xml:space="preserve">Section 10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9" w:name="tbl-scr-hcp-sup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17: Pool-HCP screening effects from the invalidated first execution (superseded; shown for root-cause confirmation only).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945"/>
              <w:gridCol w:w="1182"/>
              <w:gridCol w:w="1063"/>
              <w:gridCol w:w="1536"/>
              <w:gridCol w:w="945"/>
              <w:gridCol w:w="1300"/>
              <w:gridCol w:w="945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Effect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Coef.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Std. err.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p-value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Sig.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50.4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25.2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3.89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0.000195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35.6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17.8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3.89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4.57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0.00181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34.8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17.4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3.89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0.00211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-22.7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-11.4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3.89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-2.92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0.0194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-14.6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-7.3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3.89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-1.87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0.0978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-10.2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-5.1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3.89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-1.31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0.227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-9.11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-4.56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3.89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-1.17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0.276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-8.62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-4.31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3.89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0.301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-6.46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-3.23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3.89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-0.83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0.431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5.25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2.62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3.89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0.674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0.519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</w:tbl>
          <w:bookmarkEnd w:id="79"/>
          <w:p/>
        </w:tc>
      </w:tr>
    </w:tbl>
    <w:bookmarkEnd w:id="80"/>
    <w:bookmarkStart w:id="81" w:name="Xd9f51e50814f85600c8a148bc31f727421218ac"/>
    <w:p>
      <w:pPr>
        <w:pStyle w:val="Heading2"/>
      </w:pPr>
      <w:r>
        <w:t xml:space="preserve">13.2 DEV-008-02 — Permissive trailing-edge UV pool-collection set-point</w:t>
      </w:r>
    </w:p>
    <w:p>
      <w:pPr>
        <w:pStyle w:val="FirstParagraph"/>
      </w:pPr>
      <w:r>
        <w:t xml:space="preserve">In both executions the trailing-edge UV set-point that stops pool collection was set slightly</w:t>
      </w:r>
      <w:r>
        <w:t xml:space="preserve"> </w:t>
      </w:r>
      <w:r>
        <w:t xml:space="preserve">permissive, at 180 mAU rather than the intended</w:t>
      </w:r>
      <w:r>
        <w:t xml:space="preserve"> </w:t>
      </w:r>
      <w:r>
        <w:t xml:space="preserve">120 mAU, and was detected on post-execution</w:t>
      </w:r>
      <w:r>
        <w:t xml:space="preserve"> </w:t>
      </w:r>
      <w:r>
        <w:t xml:space="preserve">pool-fraction reconciliation against the HCP assay (AMV-3012). Because the identical set-point was</w:t>
      </w:r>
      <w:r>
        <w:t xml:space="preserve"> </w:t>
      </w:r>
      <w:r>
        <w:t xml:space="preserve">applied to every run, its effect is a common-mode offset: it shifts the absolute</w:t>
      </w:r>
      <w:r>
        <w:t xml:space="preserve"> </w:t>
      </w:r>
      <w:r>
        <w:t xml:space="preserve">flow-through-pool HCP level by an approximately constant amount but does not change the factor</w:t>
      </w:r>
      <w:r>
        <w:t xml:space="preserve"> </w:t>
      </w:r>
      <w:r>
        <w:t xml:space="preserve">effects, the two-factor interactions or the geometry of the operating region, since adding a</w:t>
      </w:r>
      <w:r>
        <w:t xml:space="preserve"> </w:t>
      </w:r>
      <w:r>
        <w:t xml:space="preserve">constant to every response changes only the model intercept and not the coefficients. The</w:t>
      </w:r>
      <w:r>
        <w:t xml:space="preserve"> </w:t>
      </w:r>
      <w:r>
        <w:t xml:space="preserve">parameter classifications and the design-space geometry reported here are therefore unaffected;</w:t>
      </w:r>
      <w:r>
        <w:t xml:space="preserve"> </w:t>
      </w:r>
      <w:r>
        <w:t xml:space="preserve">only the absolute in-process pool-collection set-point required correction. The set-point was</w:t>
      </w:r>
      <w:r>
        <w:t xml:space="preserve"> </w:t>
      </w:r>
      <w:r>
        <w:t xml:space="preserve">corrected to 120 mAU and the correction</w:t>
      </w:r>
      <w:r>
        <w:t xml:space="preserve"> </w:t>
      </w:r>
      <w:r>
        <w:t xml:space="preserve">verified by 3 confirmation runs at the corrected set-point plus</w:t>
      </w:r>
      <w:r>
        <w:t xml:space="preserve"> </w:t>
      </w:r>
      <w:r>
        <w:t xml:space="preserve">2 robustness runs, which bounded the corrected pool-HCP</w:t>
      </w:r>
      <w:r>
        <w:t xml:space="preserve"> </w:t>
      </w:r>
      <w:r>
        <w:t xml:space="preserve">level with a relative 95% confidence half-width of 23.6%. The</w:t>
      </w:r>
      <w:r>
        <w:t xml:space="preserve"> </w:t>
      </w:r>
      <w:r>
        <w:t xml:space="preserve">corrected set-point is the one carried into the control strategy (</w:t>
      </w:r>
      <w:hyperlink w:anchor="sec-control">
        <w:r>
          <w:rPr>
            <w:rStyle w:val="Hyperlink"/>
          </w:rPr>
          <w:t xml:space="preserve">Section 10</w:t>
        </w:r>
      </w:hyperlink>
      <w:r>
        <w:t xml:space="preserve">).</w:t>
      </w:r>
    </w:p>
    <w:bookmarkEnd w:id="81"/>
    <w:bookmarkStart w:id="82" w:name="X58717f818419b11946514ffc06b0ff8b9f2d83c"/>
    <w:p>
      <w:pPr>
        <w:pStyle w:val="Heading2"/>
      </w:pPr>
      <w:r>
        <w:t xml:space="preserve">13.3 DEV-008-03 — Equilibration/Wash-1 buffer released below its pH range</w:t>
      </w:r>
    </w:p>
    <w:p>
      <w:pPr>
        <w:pStyle w:val="FirstParagraph"/>
      </w:pPr>
      <w:r>
        <w:t xml:space="preserve">On one screening run the equilibration/wash-1 buffer lot (LOT-BUF-8815) was released at a</w:t>
      </w:r>
      <w:r>
        <w:t xml:space="preserve"> </w:t>
      </w:r>
      <w:r>
        <w:t xml:space="preserve">measured pH of 7.32, below its</w:t>
      </w:r>
      <w:r>
        <w:t xml:space="preserve"> </w:t>
      </w:r>
      <w:r>
        <w:t xml:space="preserve">7.4 lower acceptance limit and its</w:t>
      </w:r>
      <w:r>
        <w:t xml:space="preserve"> </w:t>
      </w:r>
      <w:r>
        <w:t xml:space="preserve">7.5 target, detected on buffer release testing per</w:t>
      </w:r>
      <w:r>
        <w:t xml:space="preserve"> </w:t>
      </w:r>
      <w:r>
        <w:t xml:space="preserve">SOP-2103; the root cause was a titration-endpoint error at buffer preparation. The deviation was</w:t>
      </w:r>
      <w:r>
        <w:t xml:space="preserve"> </w:t>
      </w:r>
      <w:r>
        <w:t xml:space="preserve">retained. Flow-through clearance at this step is governed by the load pH and the wash-1</w:t>
      </w:r>
      <w:r>
        <w:t xml:space="preserve"> </w:t>
      </w:r>
      <w:r>
        <w:t xml:space="preserve">conductivity, not by the wash-buffer pH per se, and the small buffer-pH offset falls well within</w:t>
      </w:r>
      <w:r>
        <w:t xml:space="preserve"> </w:t>
      </w:r>
      <w:r>
        <w:t xml:space="preserve">the load-pH range the study characterized, so the affected run remains representative of the</w:t>
      </w:r>
      <w:r>
        <w:t xml:space="preserve"> </w:t>
      </w:r>
      <w:r>
        <w:t xml:space="preserve">operating region and does not alter the fitted effects. The impact assessment therefore brackets</w:t>
      </w:r>
      <w:r>
        <w:t xml:space="preserve"> </w:t>
      </w:r>
      <w:r>
        <w:t xml:space="preserve">the excursion within the studied space and confirms that no re-execution of the run was required.</w:t>
      </w:r>
    </w:p>
    <w:bookmarkEnd w:id="82"/>
    <w:bookmarkEnd w:id="83"/>
    <w:bookmarkStart w:id="85" w:name="X77c0ef24ce4de9c1b8c35876c233736670b0bf3"/>
    <w:p>
      <w:pPr>
        <w:pStyle w:val="Heading1"/>
      </w:pPr>
      <w:r>
        <w:t xml:space="preserve">Appendix A — Screening design matrix and responses</w:t>
      </w:r>
    </w:p>
    <w:p>
      <w:pPr>
        <w:pStyle w:val="FirstParagraph"/>
      </w:pPr>
      <w:r>
        <w:t xml:space="preserve">The complete coded screening design and its measured responses are given in</w:t>
      </w:r>
      <w:r>
        <w:t xml:space="preserve"> </w:t>
      </w:r>
      <w:hyperlink w:anchor="tbl-appA">
        <w:r>
          <w:rPr>
            <w:rStyle w:val="Hyperlink"/>
          </w:rPr>
          <w:t xml:space="preserve">Table 18</w:t>
        </w:r>
      </w:hyperlink>
      <w:r>
        <w:t xml:space="preserve">; the factor</w:t>
      </w:r>
      <w:r>
        <w:t xml:space="preserve"> </w:t>
      </w:r>
      <w:r>
        <w:t xml:space="preserve">letters follow</w:t>
      </w:r>
      <w:r>
        <w:t xml:space="preserve"> </w:t>
      </w:r>
      <w:hyperlink w:anchor="tbl-legend">
        <w:r>
          <w:rPr>
            <w:rStyle w:val="Hyperlink"/>
          </w:rPr>
          <w:t xml:space="preserve">Table 7</w:t>
        </w:r>
      </w:hyperlink>
      <w:r>
        <w:t xml:space="preserve">, and centre points are marked in the type column.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4" w:name="tbl-app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18: Coded screening design matrix and responses (requalified execution).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495"/>
              <w:gridCol w:w="777"/>
              <w:gridCol w:w="353"/>
              <w:gridCol w:w="353"/>
              <w:gridCol w:w="353"/>
              <w:gridCol w:w="353"/>
              <w:gridCol w:w="1414"/>
              <w:gridCol w:w="1485"/>
              <w:gridCol w:w="1343"/>
              <w:gridCol w:w="99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Run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Pool HCP (ng/mg)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XMuLV LRF (log₁₀)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MVM LRF (log₁₀)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Step yield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12.5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4.59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15.6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4.43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0.975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12.1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5.47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0.951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14.6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3.96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0.964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35.7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6.34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4.74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0.965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4.83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0.995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29.2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5.92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4.01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0.974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29.8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3.94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0.969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9.62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5.91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0.973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5.61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0.953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8.69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6.61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5.25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0.972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8.04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6.71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4.89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0.973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12.7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6.59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5.91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0.995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8.34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0.981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12.9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6.69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0.966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6.52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5.31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0.965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center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16.2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6.42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0.966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center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17.5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0.975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center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11.6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4.83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0.974</w:t>
                  </w:r>
                </w:p>
              </w:tc>
            </w:tr>
          </w:tbl>
          <w:bookmarkEnd w:id="84"/>
          <w:p/>
        </w:tc>
      </w:tr>
    </w:tbl>
    <w:bookmarkEnd w:id="85"/>
    <w:bookmarkStart w:id="87" w:name="Xc987739a58e5854fe31352d470a2bebef9123c1"/>
    <w:p>
      <w:pPr>
        <w:pStyle w:val="Heading1"/>
      </w:pPr>
      <w:r>
        <w:t xml:space="preserve">Appendix B — Response-surface design matrix and responses</w:t>
      </w:r>
    </w:p>
    <w:p>
      <w:pPr>
        <w:pStyle w:val="FirstParagraph"/>
      </w:pPr>
      <w:r>
        <w:t xml:space="preserve">The complete coded face-centred central-composite design and its responses are given in</w:t>
      </w:r>
      <w:r>
        <w:t xml:space="preserve"> </w:t>
      </w:r>
      <w:hyperlink w:anchor="tbl-appB">
        <w:r>
          <w:rPr>
            <w:rStyle w:val="Hyperlink"/>
          </w:rPr>
          <w:t xml:space="preserve">Table 19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6" w:name="tbl-app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19: Coded response-surface design matrix and responses (requalified execution).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495"/>
              <w:gridCol w:w="777"/>
              <w:gridCol w:w="353"/>
              <w:gridCol w:w="353"/>
              <w:gridCol w:w="353"/>
              <w:gridCol w:w="353"/>
              <w:gridCol w:w="1414"/>
              <w:gridCol w:w="1485"/>
              <w:gridCol w:w="1343"/>
              <w:gridCol w:w="99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Run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Pool HCP (ng/mg)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XMuLV LRF (log₁₀)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MVM LRF (log₁₀)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Step yield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13.5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4.55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0.951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17.3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5.21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0.989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14.1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5.87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4.02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0.995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0.951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28.5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6.53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4.77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0.988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25.5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6.71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4.71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0.963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31.3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5.36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3.91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0.995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32.3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5.06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3.36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0.966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5.66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0.974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8.37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7.83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5.61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0.989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7.56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6.49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0.972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7.43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0.988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17.6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7.18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0.974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8.12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6.33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0.968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13.9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6.58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4.53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13.9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0.973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axial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5.83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0.971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axial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4.91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0.965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axial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8.1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6.42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4.93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0.946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axial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27.5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5.02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0.972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axial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15.6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0.952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axial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15.5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5.93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4.56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axial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6.52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4.81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0.968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axial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14.3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0.952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center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6.59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4.42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0.958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center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10.7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0.975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center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16.3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5.04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0.977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center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12.6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6.86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4.92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0.953</w:t>
                  </w:r>
                </w:p>
              </w:tc>
            </w:tr>
          </w:tbl>
          <w:bookmarkEnd w:id="86"/>
          <w:p/>
        </w:tc>
      </w:tr>
    </w:tbl>
    <w:bookmarkEnd w:id="87"/>
    <w:bookmarkStart w:id="94" w:name="Xa2fac5041b4173f7385fa99ae36b1e5b6f06fdd"/>
    <w:p>
      <w:pPr>
        <w:pStyle w:val="Heading1"/>
      </w:pPr>
      <w:r>
        <w:t xml:space="preserve">Appendix C — Full effect and coefficient tables</w:t>
      </w:r>
    </w:p>
    <w:p>
      <w:pPr>
        <w:pStyle w:val="FirstParagraph"/>
      </w:pPr>
      <w:r>
        <w:t xml:space="preserve">The full screening effect estimates for the XMuLV, MVM and step-yield responses are given in</w:t>
      </w:r>
      <w:r>
        <w:t xml:space="preserve"> </w:t>
      </w:r>
      <w:hyperlink w:anchor="tbl-appC-xmulv">
        <w:r>
          <w:rPr>
            <w:rStyle w:val="Hyperlink"/>
          </w:rPr>
          <w:t xml:space="preserve">Table 20</w:t>
        </w:r>
      </w:hyperlink>
      <w:r>
        <w:t xml:space="preserve">,</w:t>
      </w:r>
      <w:r>
        <w:t xml:space="preserve"> </w:t>
      </w:r>
      <w:hyperlink w:anchor="tbl-appC-mvm">
        <w:r>
          <w:rPr>
            <w:rStyle w:val="Hyperlink"/>
          </w:rPr>
          <w:t xml:space="preserve">Table 21</w:t>
        </w:r>
      </w:hyperlink>
      <w:r>
        <w:t xml:space="preserve"> </w:t>
      </w:r>
      <w:r>
        <w:t xml:space="preserve">and</w:t>
      </w:r>
      <w:r>
        <w:t xml:space="preserve"> </w:t>
      </w:r>
      <w:hyperlink w:anchor="tbl-appC-yield">
        <w:r>
          <w:rPr>
            <w:rStyle w:val="Hyperlink"/>
          </w:rPr>
          <w:t xml:space="preserve">Table 22</w:t>
        </w:r>
      </w:hyperlink>
      <w:r>
        <w:t xml:space="preserve">, and the full response-surface coefficient</w:t>
      </w:r>
      <w:r>
        <w:t xml:space="preserve"> </w:t>
      </w:r>
      <w:r>
        <w:t xml:space="preserve">tables for pool HCP, XMuLV and step yield — those not reproduced in</w:t>
      </w:r>
      <w:r>
        <w:t xml:space="preserve"> </w:t>
      </w:r>
      <w:hyperlink w:anchor="sec-results">
        <w:r>
          <w:rPr>
            <w:rStyle w:val="Hyperlink"/>
          </w:rPr>
          <w:t xml:space="preserve">Section 5</w:t>
        </w:r>
      </w:hyperlink>
      <w:r>
        <w:t xml:space="preserve"> </w:t>
      </w:r>
      <w:r>
        <w:t xml:space="preserve">— in</w:t>
      </w:r>
      <w:r>
        <w:t xml:space="preserve"> </w:t>
      </w:r>
      <w:hyperlink w:anchor="tbl-appC-rsm-hcp">
        <w:r>
          <w:rPr>
            <w:rStyle w:val="Hyperlink"/>
          </w:rPr>
          <w:t xml:space="preserve">Table 23</w:t>
        </w:r>
      </w:hyperlink>
      <w:r>
        <w:t xml:space="preserve">,</w:t>
      </w:r>
      <w:r>
        <w:t xml:space="preserve"> </w:t>
      </w:r>
      <w:hyperlink w:anchor="tbl-appC-rsm-xmulv">
        <w:r>
          <w:rPr>
            <w:rStyle w:val="Hyperlink"/>
          </w:rPr>
          <w:t xml:space="preserve">Table 24</w:t>
        </w:r>
      </w:hyperlink>
      <w:r>
        <w:t xml:space="preserve"> </w:t>
      </w:r>
      <w:r>
        <w:t xml:space="preserve">and</w:t>
      </w:r>
      <w:r>
        <w:t xml:space="preserve"> </w:t>
      </w:r>
      <w:hyperlink w:anchor="tbl-appC-rsm-yield">
        <w:r>
          <w:rPr>
            <w:rStyle w:val="Hyperlink"/>
          </w:rPr>
          <w:t xml:space="preserve">Table 25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8" w:name="tbl-appC-xmulv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20: Screening effect estimates — XMuLV log-reduction.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918"/>
              <w:gridCol w:w="1147"/>
              <w:gridCol w:w="1147"/>
              <w:gridCol w:w="1492"/>
              <w:gridCol w:w="1033"/>
              <w:gridCol w:w="1262"/>
              <w:gridCol w:w="918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Effect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Coef.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Std. err.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p-value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Sig.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0.501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0.0982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0.000934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-0.605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-0.302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0.0982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0.0151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0.134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0.0982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0.209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-0.255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-0.128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0.0982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0.23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0.125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0.0982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1.27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0.24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0.198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0.0991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0.0982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0.342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0.126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0.0632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0.0982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0.643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0.538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-0.0968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-0.0484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0.0982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-0.493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0.635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-0.094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-0.047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0.0982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-0.478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0.645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-0.0169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-0.00844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0.0982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-0.0859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0.934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</w:tbl>
          <w:bookmarkEnd w:id="88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9" w:name="tbl-appC-mvm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21: Screening effect estimates — MVM log-reduction.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931"/>
              <w:gridCol w:w="1164"/>
              <w:gridCol w:w="1164"/>
              <w:gridCol w:w="1514"/>
              <w:gridCol w:w="931"/>
              <w:gridCol w:w="1281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Effect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Coef.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Std. err.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p-value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Sig.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0.0446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13.7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7.83e-07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-0.715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-0.357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0.0446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-8.01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4.32e-05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0.182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0.091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0.0446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2.04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0.0757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0.107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0.0536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0.0446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0.263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-0.0627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-0.0314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0.0446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-0.704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0.502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-0.0451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-0.0226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0.0446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-0.506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0.626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-0.0442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-0.0221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0.0446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-0.496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0.634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0.0334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0.0167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0.0446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0.718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0.0135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0.00677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0.0446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0.152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0.883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-0.0132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-0.00659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0.0446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-0.148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0.886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</w:tbl>
          <w:bookmarkEnd w:id="89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0" w:name="tbl-appC-yiel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22: Screening effect estimates — step yield.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905"/>
              <w:gridCol w:w="1244"/>
              <w:gridCol w:w="1244"/>
              <w:gridCol w:w="1470"/>
              <w:gridCol w:w="905"/>
              <w:gridCol w:w="1244"/>
              <w:gridCol w:w="905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Effect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Coef.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Std. err.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p-value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Sig.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-0.0116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-0.00582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0.00315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-1.85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0.102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0.00743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0.00371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0.00315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1.18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0.272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-0.00715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-0.00357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0.00315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0.29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0.00513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0.00257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0.00315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0.439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-0.00392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-0.00196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0.00315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-0.622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0.551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0.00383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0.00192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0.00315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0.56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0.00346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0.00173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0.00315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0.549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0.598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0.00141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0.000707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0.00315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0.828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-0.00136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-0.000679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0.00315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-0.215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0.835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-0.000663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-0.000332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0.00315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-0.105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0.919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</w:tbl>
          <w:bookmarkEnd w:id="90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1" w:name="tbl-appC-rsm-hcp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23: Response-surface coefficients — pool HCP.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Coef.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Std. err.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p-value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Sig.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Intercept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14.8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0.917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16.2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5.51e-10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-5.34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0.625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-8.54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1.09e-06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0.625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9.89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2.04e-07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0.0399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0.625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0.0637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0.95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0.387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0.625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0.546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-1.45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0.0475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-0.925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0.187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0.0192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0.977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0.226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0.825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-0.559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-0.843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0.415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-0.124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-0.187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0.855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1.91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1.65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0.268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1.65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1.34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0.202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-0.0187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1.65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-0.0113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0.991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-1.98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1.65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0.253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</w:tbl>
          <w:bookmarkEnd w:id="91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2" w:name="tbl-appC-rsm-xmulv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24: Response-surface coefficients — XMuLV log-reduction.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Coef.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Std. err.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p-value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Sig.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Intercept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6.57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60.6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2.51e-17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0.621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8.39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1.33e-06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0.323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-0.554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-7.48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4.6e-06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0.0287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0.388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0.704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-0.0278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0.0785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-0.355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0.729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0.0223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0.0785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0.285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0.78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0.192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0.0785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0.0295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-0.118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0.0785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0.158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0.0577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0.0785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0.735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0.475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-0.0751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0.0785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-0.957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0.356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0.0696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0.356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0.727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-0.328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0.118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0.152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0.779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0.45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0.0761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0.703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</w:tbl>
          <w:bookmarkEnd w:id="92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3" w:name="tbl-appC-rsm-yiel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25: Response-surface coefficients — step yield.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Coef.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Std. err.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p-value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Sig.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Intercept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0.961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0.00501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7.92e-24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-0.000294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0.00342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-0.086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0.933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0.00342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0.0643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0.95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0.00109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0.00342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0.318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0.756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-0.00203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0.00342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-0.594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0.563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-0.00464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0.00362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0.223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-0.00175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0.00362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-0.482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0.637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0.00608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0.00362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0.117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-0.000152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0.00362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-0.042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0.967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-0.00433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0.00362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0.253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-0.00413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0.00362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0.275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0.00932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0.00902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0.32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0.000524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0.00902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0.0581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0.955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0.00152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0.00902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0.869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0.00177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0.00902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0.196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0.847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</w:tbl>
          <w:bookmarkEnd w:id="93"/>
          <w:p/>
        </w:tc>
      </w:tr>
    </w:tbl>
    <w:bookmarkEnd w:id="94"/>
    <w:bookmarkStart w:id="96" w:name="appendix-d-analytical-methods-summary"/>
    <w:p>
      <w:pPr>
        <w:pStyle w:val="Heading1"/>
      </w:pPr>
      <w:r>
        <w:t xml:space="preserve">Appendix D — Analytical methods summary</w:t>
      </w:r>
    </w:p>
    <w:p>
      <w:pPr>
        <w:pStyle w:val="FirstParagraph"/>
      </w:pPr>
      <w:r>
        <w:t xml:space="preserve">The validated analytical methods that measured the step’s responses and load-material quality are</w:t>
      </w:r>
      <w:r>
        <w:t xml:space="preserve"> </w:t>
      </w:r>
      <w:r>
        <w:t xml:space="preserve">summarized in</w:t>
      </w:r>
      <w:r>
        <w:t xml:space="preserve"> </w:t>
      </w:r>
      <w:hyperlink w:anchor="tbl-appD">
        <w:r>
          <w:rPr>
            <w:rStyle w:val="Hyperlink"/>
          </w:rPr>
          <w:t xml:space="preserve">Table 26</w:t>
        </w:r>
      </w:hyperlink>
      <w:r>
        <w:t xml:space="preserve">; method performance and reportable ranges are held in the respective</w:t>
      </w:r>
      <w:r>
        <w:t xml:space="preserve"> </w:t>
      </w:r>
      <w:r>
        <w:t xml:space="preserve">validation reports.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5" w:name="tbl-app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26: Analytical methods supporting the anion-exchange characterization.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492"/>
              <w:gridCol w:w="4246"/>
              <w:gridCol w:w="21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Reference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Title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Host-Cell Protein ELISA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 validation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Residual DNA (qPCR)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 validation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Leached Protein A by ELISA (ppm)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 validation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XMuLV Infectivity Titre (TCID50)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 validation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MVM Infectivity Titre (TCID50/qPCR)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 validation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Charge Variants (icIEF)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 validation</w:t>
                  </w:r>
                </w:p>
              </w:tc>
            </w:tr>
          </w:tbl>
          <w:bookmarkEnd w:id="95"/>
          <w:p/>
        </w:tc>
      </w:tr>
    </w:tbl>
    <w:bookmarkEnd w:id="96"/>
    <w:bookmarkStart w:id="104" w:name="references"/>
    <w:p>
      <w:pPr>
        <w:pStyle w:val="Heading1"/>
      </w:pPr>
      <w:r>
        <w:t xml:space="preserve">References</w:t>
      </w:r>
    </w:p>
    <w:bookmarkStart w:id="103" w:name="refs"/>
    <w:bookmarkStart w:id="97" w:name="ref-amab2009"/>
    <w:p>
      <w:pPr>
        <w:pStyle w:val="Bibliography"/>
      </w:pPr>
      <w:r>
        <w:t xml:space="preserve">CMC Biotech Working Group. 2009.</w:t>
      </w:r>
      <w:r>
        <w:t xml:space="preserve"> </w:t>
      </w:r>
      <w:r>
        <w:rPr>
          <w:i/>
          <w:iCs/>
        </w:rPr>
        <w:t xml:space="preserve">A-Mab: A Case Study in Bioprocess Development</w:t>
      </w:r>
      <w:r>
        <w:t xml:space="preserve">. CASSS.</w:t>
      </w:r>
    </w:p>
    <w:bookmarkEnd w:id="97"/>
    <w:bookmarkStart w:id="98" w:name="ref-ichq8"/>
    <w:p>
      <w:pPr>
        <w:pStyle w:val="Bibliography"/>
      </w:pPr>
      <w:r>
        <w:t xml:space="preserve">International Council for Harmonisation. 2009.</w:t>
      </w:r>
      <w:r>
        <w:t xml:space="preserve"> </w:t>
      </w:r>
      <w:r>
        <w:rPr>
          <w:i/>
          <w:iCs/>
        </w:rPr>
        <w:t xml:space="preserve">ICH Q8(R2): Pharmaceutical Development</w:t>
      </w:r>
      <w:r>
        <w:t xml:space="preserve">. ICH.</w:t>
      </w:r>
    </w:p>
    <w:bookmarkEnd w:id="98"/>
    <w:bookmarkStart w:id="99" w:name="ref-ichq11"/>
    <w:p>
      <w:pPr>
        <w:pStyle w:val="Bibliography"/>
      </w:pPr>
      <w:r>
        <w:t xml:space="preserve">International Council for Harmonisation. 2012.</w:t>
      </w:r>
      <w:r>
        <w:t xml:space="preserve"> </w:t>
      </w:r>
      <w:r>
        <w:rPr>
          <w:i/>
          <w:iCs/>
        </w:rPr>
        <w:t xml:space="preserve">ICH Q11: Development and Manufacture of Drug Substances</w:t>
      </w:r>
      <w:r>
        <w:t xml:space="preserve">. ICH.</w:t>
      </w:r>
    </w:p>
    <w:bookmarkEnd w:id="99"/>
    <w:bookmarkStart w:id="100" w:name="ref-ichq5a"/>
    <w:p>
      <w:pPr>
        <w:pStyle w:val="Bibliography"/>
      </w:pPr>
      <w:r>
        <w:t xml:space="preserve">International Council for Harmonisation. 2023a.</w:t>
      </w:r>
      <w:r>
        <w:t xml:space="preserve"> </w:t>
      </w:r>
      <w:r>
        <w:rPr>
          <w:i/>
          <w:iCs/>
        </w:rPr>
        <w:t xml:space="preserve">ICH Q5A(R2): Viral Safety Evaluation of Biotechnology Products Derived from Cell Lines of Human or Animal Origin</w:t>
      </w:r>
      <w:r>
        <w:t xml:space="preserve">. ICH.</w:t>
      </w:r>
    </w:p>
    <w:bookmarkEnd w:id="100"/>
    <w:bookmarkStart w:id="101" w:name="ref-ichq9"/>
    <w:p>
      <w:pPr>
        <w:pStyle w:val="Bibliography"/>
      </w:pPr>
      <w:r>
        <w:t xml:space="preserve">International Council for Harmonisation. 2023b.</w:t>
      </w:r>
      <w:r>
        <w:t xml:space="preserve"> </w:t>
      </w:r>
      <w:r>
        <w:rPr>
          <w:i/>
          <w:iCs/>
        </w:rPr>
        <w:t xml:space="preserve">ICH Q9(R1): Quality Risk Management</w:t>
      </w:r>
      <w:r>
        <w:t xml:space="preserve">. ICH.</w:t>
      </w:r>
    </w:p>
    <w:bookmarkEnd w:id="101"/>
    <w:bookmarkStart w:id="102" w:name="ref-fda2011"/>
    <w:p>
      <w:pPr>
        <w:pStyle w:val="Bibliography"/>
      </w:pPr>
      <w:r>
        <w:t xml:space="preserve">U.S. Food and Drug Administration. 2011.</w:t>
      </w:r>
      <w:r>
        <w:t xml:space="preserve"> </w:t>
      </w:r>
      <w:r>
        <w:rPr>
          <w:i/>
          <w:iCs/>
        </w:rPr>
        <w:t xml:space="preserve">Guidance for Industry: Process Validation — General Principles and Practices</w:t>
      </w:r>
      <w:r>
        <w:t xml:space="preserve">. FDA.</w:t>
      </w:r>
    </w:p>
    <w:bookmarkEnd w:id="102"/>
    <w:bookmarkEnd w:id="103"/>
    <w:bookmarkEnd w:id="10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6" Target="media/rId46.png" /><Relationship Type="http://schemas.openxmlformats.org/officeDocument/2006/relationships/image" Id="rId50" Target="media/rId50.png" /><Relationship Type="http://schemas.openxmlformats.org/officeDocument/2006/relationships/image" Id="rId59" Target="media/rId59.png" /><Relationship Type="http://schemas.openxmlformats.org/officeDocument/2006/relationships/image" Id="rId67" Target="media/rId67.png" /><Relationship Type="http://schemas.openxmlformats.org/officeDocument/2006/relationships/image" Id="rId63" Target="media/rId6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Process Characterization Report</dc:title>
  <dc:creator>Process Development / Manufacturing Science &amp; Technology (MSAT)</dc:creator>
  <cp:keywords/>
  <dcterms:created xsi:type="dcterms:W3CDTF">2026-07-26T23:10:34Z</dcterms:created>
  <dcterms:modified xsi:type="dcterms:W3CDTF">2026-07-26T23:10:34Z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>references.bib</vt:lpwstr>
  </property>
  <property fmtid="{D5CDD505-2E9C-101B-9397-08002B2CF9AE}" pid="5" name="by-author">
    <vt:lpwstr/>
  </property>
  <property fmtid="{D5CDD505-2E9C-101B-9397-08002B2CF9AE}" pid="6" name="date">
    <vt:lpwstr>2026-07-24</vt:lpwstr>
  </property>
  <property fmtid="{D5CDD505-2E9C-101B-9397-08002B2CF9AE}" pid="7" name="execute">
    <vt:lpwstr/>
  </property>
  <property fmtid="{D5CDD505-2E9C-101B-9397-08002B2CF9AE}" pid="8" name="fig-cap-location">
    <vt:lpwstr>bottom</vt:lpwstr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jupyter">
    <vt:lpwstr>python3</vt:lpwstr>
  </property>
  <property fmtid="{D5CDD505-2E9C-101B-9397-08002B2CF9AE}" pid="13" name="labels">
    <vt:lpwstr/>
  </property>
  <property fmtid="{D5CDD505-2E9C-101B-9397-08002B2CF9AE}" pid="14" name="subtitle">
    <vt:lpwstr>A-Mab Drug Substance — Anion Exchange Chromatography (Step 8) — PCR-008</vt:lpwstr>
  </property>
  <property fmtid="{D5CDD505-2E9C-101B-9397-08002B2CF9AE}" pid="15" name="tbl-cap-location">
    <vt:lpwstr>top</vt:lpwstr>
  </property>
  <property fmtid="{D5CDD505-2E9C-101B-9397-08002B2CF9AE}" pid="16" name="toc-title">
    <vt:lpwstr>Table of contents</vt:lpwstr>
  </property>
</Properties>
</file>