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75.png" ContentType="image/png"/>
  <Override PartName="/word/media/rId83.png" ContentType="image/png"/>
  <Override PartName="/word/media/rId91.png" ContentType="image/png"/>
  <Override PartName="/word/media/rId87.png" ContentType="image/png"/>
  <Override PartName="/word/media/rId109.png" ContentType="image/png"/>
  <Override PartName="/word/media/rId117.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Anion Exchange Chromatography (Step 8) — PCR-008</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PCR-008</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Anion Exchange Chromatography (Step 8)</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PCR-008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AICc</w:t>
            </w:r>
          </w:p>
        </w:tc>
        <w:tc>
          <w:tcPr/>
          <w:p>
            <w:pPr>
              <w:pStyle w:val="Compact"/>
              <w:jc w:val="left"/>
            </w:pPr>
            <w:r>
              <w:t xml:space="preserve">Akaike’s information criterion with the small-sample correction</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ANOVA</w:t>
            </w:r>
          </w:p>
        </w:tc>
        <w:tc>
          <w:tcPr/>
          <w:p>
            <w:pPr>
              <w:pStyle w:val="Compact"/>
              <w:jc w:val="left"/>
            </w:pPr>
            <w:r>
              <w:t xml:space="preserve">analysis of variance</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CA</w:t>
            </w:r>
          </w:p>
        </w:tc>
        <w:tc>
          <w:tcPr/>
          <w:p>
            <w:pPr>
              <w:pStyle w:val="Compact"/>
              <w:jc w:val="left"/>
            </w:pPr>
            <w:r>
              <w:t xml:space="preserve">corrective action</w:t>
            </w:r>
          </w:p>
        </w:tc>
      </w:tr>
      <w:tr>
        <w:tc>
          <w:tcPr/>
          <w:p>
            <w:pPr>
              <w:pStyle w:val="Compact"/>
              <w:jc w:val="left"/>
            </w:pPr>
            <w:r>
              <w:t xml:space="preserve">Char. range</w:t>
            </w:r>
          </w:p>
        </w:tc>
        <w:tc>
          <w:tcPr/>
          <w:p>
            <w:pPr>
              <w:pStyle w:val="Compact"/>
              <w:jc w:val="left"/>
            </w:pPr>
            <w:r>
              <w:t xml:space="preserve">characterized range</w:t>
            </w:r>
          </w:p>
        </w:tc>
      </w:tr>
      <w:tr>
        <w:tc>
          <w:tcPr/>
          <w:p>
            <w:pPr>
              <w:pStyle w:val="Compact"/>
              <w:jc w:val="left"/>
            </w:pPr>
            <w:r>
              <w:t xml:space="preserve">CHO</w:t>
            </w:r>
          </w:p>
        </w:tc>
        <w:tc>
          <w:tcPr/>
          <w:p>
            <w:pPr>
              <w:pStyle w:val="Compact"/>
              <w:jc w:val="left"/>
            </w:pPr>
            <w:r>
              <w:t xml:space="preserve">Chinese hamster ovary</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Equil/Wash-1</w:t>
            </w:r>
          </w:p>
        </w:tc>
        <w:tc>
          <w:tcPr/>
          <w:p>
            <w:pPr>
              <w:pStyle w:val="Compact"/>
              <w:jc w:val="left"/>
            </w:pPr>
            <w:r>
              <w:t xml:space="preserve">equilibration and first wash buffer</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mAU</w:t>
            </w:r>
          </w:p>
        </w:tc>
        <w:tc>
          <w:tcPr/>
          <w:p>
            <w:pPr>
              <w:pStyle w:val="Compact"/>
              <w:jc w:val="left"/>
            </w:pPr>
            <w:r>
              <w:t xml:space="preserve">milli-absorbance unit</w:t>
            </w:r>
          </w:p>
        </w:tc>
      </w:tr>
      <w:tr>
        <w:tc>
          <w:tcPr/>
          <w:p>
            <w:pPr>
              <w:pStyle w:val="Compact"/>
              <w:jc w:val="left"/>
            </w:pPr>
            <w:r>
              <w:t xml:space="preserve">Mfg</w:t>
            </w:r>
          </w:p>
        </w:tc>
        <w:tc>
          <w:tcPr/>
          <w:p>
            <w:pPr>
              <w:pStyle w:val="Compact"/>
              <w:jc w:val="left"/>
            </w:pPr>
            <w:r>
              <w:t xml:space="preserve">manufacturing scale</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n.a.</w:t>
            </w:r>
          </w:p>
        </w:tc>
        <w:tc>
          <w:tcPr/>
          <w:p>
            <w:pPr>
              <w:pStyle w:val="Compact"/>
              <w:jc w:val="left"/>
            </w:pPr>
            <w:r>
              <w:t xml:space="preserve">not applicable</w:t>
            </w:r>
          </w:p>
        </w:tc>
      </w:tr>
      <w:tr>
        <w:tc>
          <w:tcPr/>
          <w:p>
            <w:pPr>
              <w:pStyle w:val="Compact"/>
              <w:jc w:val="left"/>
            </w:pPr>
            <w:r>
              <w:t xml:space="preserve">n.t.</w:t>
            </w:r>
          </w:p>
        </w:tc>
        <w:tc>
          <w:tcPr/>
          <w:p>
            <w:pPr>
              <w:pStyle w:val="Compact"/>
              <w:jc w:val="left"/>
            </w:pPr>
            <w:r>
              <w:t xml:space="preserve">not tested</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ppm</w:t>
            </w:r>
          </w:p>
        </w:tc>
        <w:tc>
          <w:tcPr/>
          <w:p>
            <w:pPr>
              <w:pStyle w:val="Compact"/>
              <w:jc w:val="left"/>
            </w:pPr>
            <w:r>
              <w:t xml:space="preserve">parts per million (ng per mg of antibody)</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SDM</w:t>
            </w:r>
          </w:p>
        </w:tc>
        <w:tc>
          <w:tcPr/>
          <w:p>
            <w:pPr>
              <w:pStyle w:val="Compact"/>
              <w:jc w:val="left"/>
            </w:pPr>
            <w:r>
              <w:t xml:space="preserve">scale-down model</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fifty percent tissue culture infectious dose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UV</w:t>
            </w:r>
          </w:p>
        </w:tc>
        <w:tc>
          <w:tcPr/>
          <w:p>
            <w:pPr>
              <w:pStyle w:val="Compact"/>
              <w:jc w:val="left"/>
            </w:pPr>
            <w:r>
              <w:t xml:space="preserve">ultraviolet</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leukaemia virus</w:t>
            </w:r>
          </w:p>
        </w:tc>
      </w:tr>
    </w:tbl>
    <w:p>
      <w:r>
        <w:br w:type="page"/>
      </w:r>
    </w:p>
    <w:bookmarkEnd w:id="22"/>
    <w:bookmarkStart w:id="23" w:name="executive-summary"/>
    <w:p>
      <w:pPr>
        <w:pStyle w:val="Heading1"/>
      </w:pPr>
      <w:r>
        <w:t xml:space="preserve">Executive summary</w:t>
      </w:r>
    </w:p>
    <w:p>
      <w:pPr>
        <w:pStyle w:val="FirstParagraph"/>
      </w:pPr>
      <w:r>
        <w:t xml:space="preserve">This report presents the Stage 1 process characterization of the anion exchange step, Step 8 of the A-Mab drug substance process, for a commercial bioreactor scale of 15,000 L. The step is operated in flow-through mode and is the last chromatography step before virus filtration. It clears host cell protein, residual DNA, leached Protein A and virus. The register of critical quality attributes assigns to it the cumulative clearance of minute virus of mice (MVM), and it contributes a claim to the clearance of xenotropic murine leukaemia virus (XMuLV). The studies were run under the characterization plan PCP-008 in a scale-down model qualified under SOP-1001. They follow the lifecycle approach to process validation</w:t>
      </w:r>
      <w:r>
        <w:t xml:space="preserve"> </w:t>
      </w:r>
      <w:r>
        <w:t xml:space="preserve">(U.S. Food and Drug Administration 2011)</w:t>
      </w:r>
      <w:r>
        <w:t xml:space="preserve">, ICH Q8(R2), Q9(R1) and Q11</w:t>
      </w:r>
      <w:r>
        <w:t xml:space="preserve"> </w:t>
      </w:r>
      <w:r>
        <w:t xml:space="preserve">(International Council for Harmonisation 2009, 2023b, 2012)</w:t>
      </w:r>
      <w:r>
        <w:t xml:space="preserve">, ICH Q5A(R2) for the viral clearance claims</w:t>
      </w:r>
      <w:r>
        <w:t xml:space="preserve"> </w:t>
      </w:r>
      <w:r>
        <w:t xml:space="preserve">(International Council for Harmonisation 2023a)</w:t>
      </w:r>
      <w:r>
        <w:t xml:space="preserve"> </w:t>
      </w:r>
      <w:r>
        <w:t xml:space="preserve">and the A-Mab case study</w:t>
      </w:r>
      <w:r>
        <w:t xml:space="preserve"> </w:t>
      </w:r>
      <w:r>
        <w:t xml:space="preserve">(CMC Biotech Working Group 2009)</w:t>
      </w:r>
      <w:r>
        <w:t xml:space="preserve">. This Version 2.0 is issued under two QA investigations. INV-001 found that the acceptance criteria of Version 1.0 had been set after the data were seen. INV-002 found that the response-surface models did not meet the model adequacy criteria of the master plan.</w:t>
      </w:r>
    </w:p>
    <w:p>
      <w:pPr>
        <w:pStyle w:val="BodyText"/>
      </w:pPr>
      <w:r>
        <w:t xml:space="preserve">Four parameters (load pH, Equil/Wash-1 conductivity, load conductivity and protein load) were studied in a screening design of 19 runs and a response-surface design of 28 runs. In September 2026 the response-surface design was augmented by 12 runs, a number the model adequacy investigation INV-002 calculated. Operating flow rate was assessed one factor at a time. The first execution of both designs ran on a deamidated load and was invalidated, and both designs were re-executed on a requalified load. This is study event DEV-008-01. A study event is an event during execution that Version 1.0 recorded under a DEV number.</w:t>
      </w:r>
    </w:p>
    <w:p>
      <w:pPr>
        <w:pStyle w:val="BodyText"/>
      </w:pPr>
      <w:r>
        <w:t xml:space="preserve">Each response-surface output was analysed by the model selection of INV-002 corrective action CA3, and every selected model meets each adequacy criterion of the master plan PCMP-001 §7.2 that applies to it. Pool host cell protein is modelled on the log scale and depends on load pH and Equil/Wash-1 conductivity. The log reduction factors (LRFs) of both viruses depend on load pH and load conductivity, and the XMuLV model also carries the interaction of load pH and protein load. The selected response-surface models of step yield and fragments contain no term, so they show no effect of the parameters within the ranges studied. The screening model of fragments carried one significant term, the interaction of load pH and protein load (−0.064 percentage points, p = 0.029). Every output with a criterion met its intermediate acceptance criterion at every combination of NOR low, set-point and NOR high, at manufacturing scale where an offset is known (pool host cell protein). For pool host cell protein the upper end of the 95 % prediction interval of a single run, a one-sided 97.5 % limit, reached at most 29.4 ng/mg against 100 ng/mg. At the least favourable combination the mean XMuLV LRF was 5.86 log10 against the step claim of 5.5 log10, and the mean MVM LRF 4.24 log10 against 4 log10.</w:t>
      </w:r>
    </w:p>
    <w:p>
      <w:pPr>
        <w:pStyle w:val="BodyText"/>
      </w:pPr>
      <w:r>
        <w:t xml:space="preserve">The design space covers 95.0 % of a grid over the characterized region and contains the whole NOR. It is drawn on the single-batch limit for the quality attributes and on the mean prediction for viral clearance. The single-batch limit is the 95 % prediction interval of a single run, which each batch must meet. MVM clearance bounds the design space where load pH is low and load conductivity high. Every proven acceptable range contains its NOR. The NOR-propagated range of a parameter is the range over which an attribute meets its criterion while the other parameters move within their NORs. For XMuLV and MVM the NOR-propagated range of load pH ends inside the characterized range, 0.135 and 0.1275 pH units below the lower end of the NOR. The scale-down model is qualified for pool host cell protein, the one compared output with a criterion at this step.</w:t>
      </w:r>
    </w:p>
    <w:p>
      <w:pPr>
        <w:pStyle w:val="BodyText"/>
      </w:pPr>
      <w:r>
        <w:t xml:space="preserve">The host cell protein clearance of the step was verified against its platform worst case of 4-fold. A platform worst case is the lowest clearance, or the largest increase, that a step gave for the earlier antibodies X-Mab, Y-Mab and Z-Mab. At manufacturing scale, with the offset of the scale-down model at its estimate, the one-sided 95 % prediction bound of a single batch is 4.18-fold. It replaced the platform value and widened the host cell protein criteria of the Protein A pool and the cation exchange pool to 16,719 and 418 ng/mg. The bound does not depend on a single run. It does depend on the model selection, because the plan’s full quadratic model fails the limit on overfitting. It is also sensitive to the offset. With the offset at the unfavourable end of its 90 % interval it would be 3.08-fold, below the platform value.</w:t>
      </w:r>
    </w:p>
    <w:p>
      <w:pPr>
        <w:pStyle w:val="BodyText"/>
      </w:pPr>
      <w:r>
        <w:t xml:space="preserve">All five parameters were classified as well-controlled critical process parameters (WC-CPP). In the integrated process model of 2,000 simulated batches, the cumulative MVM clearance has the lowest Cpk of the attributes this step sets or clears, 1.51, above the target of 1.33. No simulated batch fell outside any of their criteria. The record holds three study events from the execution (DEV-008-01 to DEV-008-03) and 10 discrepancies from the plan (PD-008-01 to PD-008-10). Three of them are changes to the work, namely the augmentation, the model selection and a flow-rate study run without its centre run. The others record requirements of the plan that were not met. They concern the qualification of the scale-down model, virus assay controls, the qualification of the load, records of execution, measurements and analyses not made and the coding of protein load. One more, PD-008-10, records the approaches this report applies where the plan sets no threshold, and the analyses it adds to those of the plan. The results roll up into the master report PCMR-001, which consolidates the cumulative viral clearance claim.</w:t>
      </w:r>
    </w:p>
    <w:bookmarkEnd w:id="23"/>
    <w:bookmarkStart w:id="30" w:name="sec-intro"/>
    <w:p>
      <w:pPr>
        <w:pStyle w:val="Heading1"/>
      </w:pPr>
      <w:r>
        <w:t xml:space="preserve">1. Introduction</w:t>
      </w:r>
    </w:p>
    <w:bookmarkStart w:id="25" w:name="sec-product"/>
    <w:p>
      <w:pPr>
        <w:pStyle w:val="Heading2"/>
      </w:pPr>
      <w:r>
        <w:t xml:space="preserve">1.1 Product and unit operation</w:t>
      </w:r>
    </w:p>
    <w:p>
      <w:pPr>
        <w:pStyle w:val="FirstParagraph"/>
      </w:pPr>
      <w:r>
        <w:t xml:space="preserve">A-Mab is a humanized IgG1 monoclonal antibody whose primary mechanism of action is antibody-dependent cellular cytotoxicity</w:t>
      </w:r>
      <w:r>
        <w:t xml:space="preserve"> </w:t>
      </w:r>
      <w:r>
        <w:t xml:space="preserve">(CMC Biotech Working Group 2009)</w:t>
      </w:r>
      <w:r>
        <w:t xml:space="preserve">. It is purified on the platform train of Protein A capture, low-pH viral inactivation, cation exchange, anion exchange, virus filtration and UF/DF. The process is being transferred from the development site in Cambridge, MA to the commercial drug substance site in Grafton, WI under the Process Transfer Plan PTP-001. The commercial process runs at a bioreactor scale of 15,000 L.</w:t>
      </w:r>
    </w:p>
    <w:p>
      <w:pPr>
        <w:pStyle w:val="BodyText"/>
      </w:pPr>
      <w:r>
        <w:t xml:space="preserve">Anion exchange chromatography is Step 8 of the train. The resin carries a quaternary amine ligand with a fixed positive charge. At the load pH the antibody carries a net positive charge and passes through the bed, while species that carry a net negative charge bind. These are residual DNA, the acidic part of the host cell protein population, leached Protein A and virus particles. The column is equilibrated, loaded with the cation exchange pool adjusted to its target pH and conductivity, and chased with the first wash buffer. The pool is collected from the start of the load to the end of the chase. The step processes the cation exchange pool of a single batch at commercial scale (PCP-008 §1).</w:t>
      </w:r>
    </w:p>
    <w:p>
      <w:pPr>
        <w:pStyle w:val="BodyText"/>
      </w:pPr>
      <w:r>
        <w:t xml:space="preserve">The register of critical quality attributes assigns the cumulative MVM clearance to this step (</w:t>
      </w:r>
      <w:hyperlink w:anchor="tbl-cqa">
        <w:r>
          <w:rPr>
            <w:rStyle w:val="Hyperlink"/>
          </w:rPr>
          <w:t xml:space="preserve">Table 3</w:t>
        </w:r>
      </w:hyperlink>
      <w:r>
        <w:t xml:space="preserve">). The step also contributes a modular XMuLV clearance claim. It clears host cell protein, residual DNA and leached Protein A, which are formed upstream and cleared by more than one step, and fragments are judged in its pool.</w:t>
      </w:r>
      <w:r>
        <w:t xml:space="preserve"> </w:t>
      </w:r>
      <w:hyperlink w:anchor="tbl-related">
        <w:r>
          <w:rPr>
            <w:rStyle w:val="Hyperlink"/>
          </w:rPr>
          <w:t xml:space="preserve">Table 1</w:t>
        </w:r>
      </w:hyperlink>
      <w:r>
        <w:t xml:space="preserve"> </w:t>
      </w:r>
      <w:r>
        <w:t xml:space="preserve">lists the documents this report rests on and those that use it.</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1: Documents related to this report.</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PCP-008</w:t>
                  </w:r>
                </w:p>
              </w:tc>
              <w:tc>
                <w:tcPr/>
                <w:p>
                  <w:pPr>
                    <w:pStyle w:val="Compact"/>
                    <w:jc w:val="left"/>
                    <w:jc w:val="center"/>
                  </w:pPr>
                  <w:r>
                    <w:t xml:space="preserve">Process Characterization Plan (Anion Exchange Chromatography (Step 8))</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r>
              <w:tc>
                <w:tcPr/>
                <w:p>
                  <w:pPr>
                    <w:pStyle w:val="Compact"/>
                    <w:jc w:val="left"/>
                    <w:jc w:val="center"/>
                  </w:pPr>
                  <w:r>
                    <w:t xml:space="preserve">INV-002</w:t>
                  </w:r>
                </w:p>
              </w:tc>
              <w:tc>
                <w:tcPr/>
                <w:p>
                  <w:pPr>
                    <w:pStyle w:val="Compact"/>
                    <w:jc w:val="left"/>
                    <w:jc w:val="center"/>
                  </w:pPr>
                  <w:r>
                    <w:t xml:space="preserve">Investigation Report (Response-surface models below the model-adequacy criteria of PCMP-001 Version 2.0)</w:t>
                  </w:r>
                </w:p>
              </w:tc>
              <w:tc>
                <w:tcPr/>
                <w:p>
                  <w:pPr>
                    <w:pStyle w:val="Compact"/>
                    <w:jc w:val="left"/>
                    <w:jc w:val="center"/>
                  </w:pPr>
                  <w:r>
                    <w:t xml:space="preserve">Model adequacy of the response-surface designs</w:t>
                  </w:r>
                </w:p>
              </w:tc>
            </w:tr>
          </w:tbl>
          <w:bookmarkEnd w:id="24"/>
          <w:p/>
        </w:tc>
      </w:tr>
    </w:tbl>
    <w:bookmarkEnd w:id="25"/>
    <w:bookmarkStart w:id="26" w:name="sec-objectives"/>
    <w:p>
      <w:pPr>
        <w:pStyle w:val="Heading2"/>
      </w:pPr>
      <w:r>
        <w:t xml:space="preserve">1.2 Objectives</w:t>
      </w:r>
    </w:p>
    <w:p>
      <w:pPr>
        <w:pStyle w:val="FirstParagraph"/>
      </w:pPr>
      <w:r>
        <w:t xml:space="preserve">The study had six objectives, as PCP-008 §2 states them:</w:t>
      </w:r>
    </w:p>
    <w:p>
      <w:pPr>
        <w:pStyle w:val="Compact"/>
        <w:numPr>
          <w:ilvl w:val="0"/>
          <w:numId w:val="1001"/>
        </w:numPr>
      </w:pPr>
      <w:r>
        <w:t xml:space="preserve">Quantify the effect of each studied parameter on pool host cell protein, on the LRFs of XMuLV and MVM, and on step yield, over the ranges of</w:t>
      </w:r>
      <w:r>
        <w:t xml:space="preserve"> </w:t>
      </w:r>
      <w:hyperlink w:anchor="tbl-params">
        <w:r>
          <w:rPr>
            <w:rStyle w:val="Hyperlink"/>
          </w:rPr>
          <w:t xml:space="preserve">Table 8</w:t>
        </w:r>
      </w:hyperlink>
      <w:r>
        <w:t xml:space="preserve">, and the effect of each multivariate parameter on fragments.</w:t>
      </w:r>
    </w:p>
    <w:p>
      <w:pPr>
        <w:pStyle w:val="Compact"/>
        <w:numPr>
          <w:ilvl w:val="0"/>
          <w:numId w:val="1001"/>
        </w:numPr>
      </w:pPr>
      <w:r>
        <w:t xml:space="preserve">Define the multivariate operating region within which every attribute with a criterion meets it, a quality attribute on the single-batch limit and viral clearance on its mean prediction, as PCMP-001 Version 2.0 draws its design space, and state where the boundary of that region lies.</w:t>
      </w:r>
    </w:p>
    <w:p>
      <w:pPr>
        <w:pStyle w:val="Compact"/>
        <w:numPr>
          <w:ilvl w:val="0"/>
          <w:numId w:val="1001"/>
        </w:numPr>
      </w:pPr>
      <w:r>
        <w:t xml:space="preserve">Establish a proven acceptable range for each parameter and each attribute with a criterion, and confirm that the NOR falls inside it.</w:t>
      </w:r>
    </w:p>
    <w:p>
      <w:pPr>
        <w:pStyle w:val="Compact"/>
        <w:numPr>
          <w:ilvl w:val="0"/>
          <w:numId w:val="1001"/>
        </w:numPr>
      </w:pPr>
      <w:r>
        <w:t xml:space="preserve">Classify each parameter under the parameter classification procedure SOP-4001 from the effects demonstrated in the study and from the capability with which the parameter can be held.</w:t>
      </w:r>
    </w:p>
    <w:p>
      <w:pPr>
        <w:pStyle w:val="Compact"/>
        <w:numPr>
          <w:ilvl w:val="0"/>
          <w:numId w:val="1001"/>
        </w:numPr>
      </w:pPr>
      <w:r>
        <w:t xml:space="preserve">Determine whether the step meets its platform claims for both model viruses at the worst case within the NOR, and justify the Stage 2 ranges and this step’s part of the control strategy.</w:t>
      </w:r>
    </w:p>
    <w:p>
      <w:pPr>
        <w:pStyle w:val="Compact"/>
        <w:numPr>
          <w:ilvl w:val="0"/>
          <w:numId w:val="1001"/>
        </w:numPr>
      </w:pPr>
      <w:r>
        <w:t xml:space="preserve">Verify the host cell protein clearance of this step against its platform worst case, 4-fold, on which the host cell protein criteria of the upstream steps rely.</w:t>
      </w:r>
    </w:p>
    <w:bookmarkEnd w:id="26"/>
    <w:bookmarkStart w:id="27" w:name="sec-regulatory"/>
    <w:p>
      <w:pPr>
        <w:pStyle w:val="Heading2"/>
      </w:pPr>
      <w:r>
        <w:t xml:space="preserve">1.3 Regulatory and scientific basis</w:t>
      </w:r>
    </w:p>
    <w:p>
      <w:pPr>
        <w:pStyle w:val="FirstParagraph"/>
      </w:pPr>
      <w:r>
        <w:t xml:space="preserve">The study is part of Stage 1, process design, of the lifecycle approach to process validation</w:t>
      </w:r>
      <w:r>
        <w:t xml:space="preserve"> </w:t>
      </w:r>
      <w:r>
        <w:t xml:space="preserve">(U.S. Food and Drug Administration 2011)</w:t>
      </w:r>
      <w:r>
        <w:t xml:space="preserve">. It follows the enhanced approach of ICH Q8(R2) and ICH Q11</w:t>
      </w:r>
      <w:r>
        <w:t xml:space="preserve"> </w:t>
      </w:r>
      <w:r>
        <w:t xml:space="preserve">(International Council for Harmonisation 2009, 2012)</w:t>
      </w:r>
      <w:r>
        <w:t xml:space="preserve">. Prior knowledge and risk assessment identify the parameters that may affect the critical quality attributes, and designed studies measure and bound those effects. Criticality is treated as a continuum, as ICH Q8(R2) describes it, and the risk assessment follows ICH Q9(R1)</w:t>
      </w:r>
      <w:r>
        <w:t xml:space="preserve"> </w:t>
      </w:r>
      <w:r>
        <w:t xml:space="preserve">(International Council for Harmonisation 2023b)</w:t>
      </w:r>
      <w:r>
        <w:t xml:space="preserve">. The viral clearance of this step is a modular claim under ICH Q5A(R2)</w:t>
      </w:r>
      <w:r>
        <w:t xml:space="preserve"> </w:t>
      </w:r>
      <w:r>
        <w:t xml:space="preserve">(International Council for Harmonisation 2023a)</w:t>
      </w:r>
      <w:r>
        <w:t xml:space="preserve">. Each claimed step is studied in its own spiking model, and the cumulative claim is consolidated in PCMR-001. The process model, the attribute framework and the risk method come from the A-Mab case study</w:t>
      </w:r>
      <w:r>
        <w:t xml:space="preserve"> </w:t>
      </w:r>
      <w:r>
        <w:t xml:space="preserve">(CMC Biotech Working Group 2009)</w:t>
      </w:r>
      <w:r>
        <w:t xml:space="preserve">.</w:t>
      </w:r>
    </w:p>
    <w:p>
      <w:pPr>
        <w:pStyle w:val="BodyText"/>
      </w:pPr>
      <w:r>
        <w:t xml:space="preserve">This report states its results against PCP-008 Version 2.0 and the master plan PCMP-001 Version 2.0. The procedures and method validations it cites are listed in</w:t>
      </w:r>
      <w:r>
        <w:t xml:space="preserve"> </w:t>
      </w:r>
      <w:hyperlink w:anchor="tbl-sops">
        <w:r>
          <w:rPr>
            <w:rStyle w:val="Hyperlink"/>
          </w:rPr>
          <w:t xml:space="preserve">Table 5</w:t>
        </w:r>
      </w:hyperlink>
      <w:r>
        <w:t xml:space="preserve">.</w:t>
      </w:r>
    </w:p>
    <w:bookmarkEnd w:id="27"/>
    <w:bookmarkStart w:id="29" w:name="sec-changes"/>
    <w:p>
      <w:pPr>
        <w:pStyle w:val="Heading2"/>
      </w:pPr>
      <w:r>
        <w:t xml:space="preserve">1.4 Changes in this revision</w:t>
      </w:r>
    </w:p>
    <w:p>
      <w:pPr>
        <w:pStyle w:val="FirstParagraph"/>
      </w:pPr>
      <w:r>
        <w:t xml:space="preserve">Version 1.0 of this report was approved on 2026-07-24. Version 2.0 is issued under the QA investigation INV-001, which QA opened on 2026-08-03 after its review of the master report PCMR-001 Version 1.0 for BLA readiness and closed on 2026-09-18 with the classification major. INV-001 found that the criteria used to judge each step in the proven acceptable range analysis had been set after the data were seen and were in no approved plan (INV-001 finding 1). Version 1.0 of this report judged pool host cell protein against 21.7 ng/mg. That limit was the drug substance limit carried back through the nominal clearance of the later steps of this campaign and divided by a margin of 4.6 (INV-001 finding 2). Version 1.0 judged the two viruses against the cumulative requirement minus the nominal clearance of the other steps. These limits were applied at analysis and appear in no approved plan. Version 2.0 judges the step against the intermediate acceptance criteria that PCMP-001 Version 2.0 derives a priori (</w:t>
      </w:r>
      <w:hyperlink w:anchor="tbl-criteria-change">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criteria-change"/>
          <w:p>
            <w:pPr>
              <w:jc w:val="center"/>
            </w:pPr>
            <w:pPr>
              <w:jc w:val="start"/>
              <w:spacing w:before="200"/>
              <w:pStyle w:val="ImageCaption"/>
            </w:pPr>
            <w:r>
              <w:t xml:space="preserve">Table 2: Acceptance criteria for the step outputs in Version 1.0 and Version 2.0, anion exchange.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Host cell protein (ng/mg)</w:t>
                  </w:r>
                </w:p>
              </w:tc>
              <w:tc>
                <w:tcPr/>
                <w:p>
                  <w:pPr>
                    <w:pStyle w:val="Compact"/>
                    <w:jc w:val="center"/>
                  </w:pPr>
                  <w:r>
                    <w:t xml:space="preserve">≤ 21.7</w:t>
                  </w:r>
                </w:p>
              </w:tc>
              <w:tc>
                <w:tcPr/>
                <w:p>
                  <w:pPr>
                    <w:pStyle w:val="Compact"/>
                    <w:jc w:val="center"/>
                  </w:pPr>
                  <w:r>
                    <w:t xml:space="preserve">R1, margin 4.6</w:t>
                  </w:r>
                </w:p>
              </w:tc>
              <w:tc>
                <w:tcPr/>
                <w:p>
                  <w:pPr>
                    <w:pStyle w:val="Compact"/>
                    <w:jc w:val="center"/>
                  </w:pPr>
                  <w:r>
                    <w:t xml:space="preserve">≤ 100</w:t>
                  </w:r>
                </w:p>
              </w:tc>
              <w:tc>
                <w:tcPr/>
                <w:p>
                  <w:pPr>
                    <w:pStyle w:val="Compact"/>
                    <w:jc w:val="center"/>
                  </w:pPr>
                  <w:r>
                    <w:t xml:space="preserve">Drug substance</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b)</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p>
                  <w:pPr>
                    <w:pStyle w:val="Compact"/>
                    <w:jc w:val="center"/>
                  </w:pPr>
                  <w:r>
                    <w:t xml:space="preserve">MVM clearance (log10)</w:t>
                  </w:r>
                </w:p>
              </w:tc>
              <w:tc>
                <w:tcPr/>
                <w:p>
                  <w:pPr>
                    <w:pStyle w:val="Compact"/>
                    <w:jc w:val="center"/>
                  </w:pPr>
                  <w:r>
                    <w:t xml:space="preserve">≥ 3.28</w:t>
                  </w:r>
                </w:p>
              </w:tc>
              <w:tc>
                <w:tcPr/>
                <w:p>
                  <w:pPr>
                    <w:pStyle w:val="Compact"/>
                    <w:jc w:val="center"/>
                  </w:pPr>
                  <w:r>
                    <w:t xml:space="preserve">R3</w:t>
                  </w:r>
                </w:p>
              </w:tc>
              <w:tc>
                <w:tcPr/>
                <w:p>
                  <w:pPr>
                    <w:pStyle w:val="Compact"/>
                    <w:jc w:val="center"/>
                  </w:pPr>
                  <w:r>
                    <w:t xml:space="preserve">≥ 4.00</w:t>
                  </w:r>
                </w:p>
              </w:tc>
              <w:tc>
                <w:tcPr/>
                <w:p>
                  <w:pPr>
                    <w:pStyle w:val="Compact"/>
                    <w:jc w:val="center"/>
                  </w:pPr>
                  <w:r>
                    <w:t xml:space="preserve">Platform claim</w:t>
                  </w:r>
                </w:p>
              </w:tc>
            </w:tr>
            <w:tr>
              <w:tc>
                <w:tcPr/>
                <w:p>
                  <w:pPr>
                    <w:pStyle w:val="Compact"/>
                    <w:jc w:val="center"/>
                  </w:pPr>
                  <w:r>
                    <w:t xml:space="preserve">XMuLV clearance (log10)</w:t>
                  </w:r>
                </w:p>
              </w:tc>
              <w:tc>
                <w:tcPr/>
                <w:p>
                  <w:pPr>
                    <w:pStyle w:val="Compact"/>
                    <w:jc w:val="center"/>
                  </w:pPr>
                  <w:r>
                    <w:t xml:space="preserve">≥ 3.78</w:t>
                  </w:r>
                </w:p>
              </w:tc>
              <w:tc>
                <w:tcPr/>
                <w:p>
                  <w:pPr>
                    <w:pStyle w:val="Compact"/>
                    <w:jc w:val="center"/>
                  </w:pPr>
                  <w:r>
                    <w:t xml:space="preserve">R3</w:t>
                  </w:r>
                </w:p>
              </w:tc>
              <w:tc>
                <w:tcPr/>
                <w:p>
                  <w:pPr>
                    <w:pStyle w:val="Compact"/>
                    <w:jc w:val="center"/>
                  </w:pPr>
                  <w:r>
                    <w:t xml:space="preserve">≥ 5.50</w:t>
                  </w:r>
                </w:p>
              </w:tc>
              <w:tc>
                <w:tcPr/>
                <w:p>
                  <w:pPr>
                    <w:pStyle w:val="Compact"/>
                    <w:jc w:val="center"/>
                  </w:pPr>
                  <w:r>
                    <w:t xml:space="preserve">Platform claim</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r>
              <w:tc>
                <w:tcPr>
                  <w:gridSpan w:val="5"/>
                </w:tcPr>
                <w:p>
                  <w:pPr>
                    <w:pStyle w:val="Compact"/>
                    <w:jc w:val="center"/>
                  </w:pPr>
                  <w:r>
                    <w:rPr>
                      <w:vertAlign w:val="superscript"/>
                    </w:rPr>
                    <w:t xml:space="preserve">R3</w:t>
                  </w:r>
                  <w:r>
                    <w:t xml:space="preserve"> </w:t>
                  </w:r>
                  <w:r>
                    <w:t xml:space="preserve">Version 1.0 rule: requirement − nominal of other steps.</w:t>
                  </w:r>
                </w:p>
              </w:tc>
            </w:tr>
          </w:tbl>
          <w:bookmarkEnd w:id="28"/>
          <w:p/>
        </w:tc>
      </w:tr>
    </w:tbl>
    <w:p>
      <w:pPr>
        <w:pStyle w:val="BodyText"/>
      </w:pPr>
      <w:r>
        <w:t xml:space="preserve">The host cell protein criterion of Version 2.0 is wider than the Version 1.0 limit, and the two viral clearance criteria are stricter. Fragments are judged at this step for the first time, by nrCE-SDS, under the method decision AMD-001 of 2026-03-20, which set nrCE-SDS as the method for fragments.</w:t>
      </w:r>
    </w:p>
    <w:p>
      <w:pPr>
        <w:pStyle w:val="BodyText"/>
      </w:pPr>
      <w:r>
        <w:t xml:space="preserve">The proven acceptable ranges moved with the criteria. Against the Version 1.0 limit, as Version 1.0 computed it, the NOR-propagated ranges of load pH and Equil/Wash-1 conductivity for pool host cell protein were 7.45–7.8 and 1.6–2.8 mS/cm, and neither contained its NOR. Against the Version 2.0 criterion every range for pool host cell protein spans the characterized range. Against the stricter viral clearance criteria the NOR-propagated ranges of load pH end at 7.215 for XMuLV and 7.2225 for MVM, inside the characterized range and below the NOR (</w:t>
      </w:r>
      <w:hyperlink w:anchor="sec-par">
        <w:r>
          <w:rPr>
            <w:rStyle w:val="Hyperlink"/>
          </w:rPr>
          <w:t xml:space="preserve">Section 7</w:t>
        </w:r>
      </w:hyperlink>
      <w:r>
        <w:t xml:space="preserve">).</w:t>
      </w:r>
    </w:p>
    <w:p>
      <w:pPr>
        <w:pStyle w:val="BodyText"/>
      </w:pPr>
      <w:r>
        <w:t xml:space="preserve">Version 2.0 is also issued under the investigation INV-002 (opened 2026-08-31, closed 2026-09-28, classification minor), which applied the model adequacy criteria of PCMP-001 §7.2 to the response-surface models. The plan’s full quadratic models of all four outputs with a criterion failed its limit on overfitting. Under INV-002 the response-surface design was augmented, and every output is analysed by model selection (</w:t>
      </w:r>
      <w:hyperlink w:anchor="sec-stats">
        <w:r>
          <w:rPr>
            <w:rStyle w:val="Hyperlink"/>
          </w:rPr>
          <w:t xml:space="preserve">Section 3.5</w:t>
        </w:r>
      </w:hyperlink>
      <w:r>
        <w:t xml:space="preserve">). The scale-down model is now qualified for each output by its offset from manufacturing scale (</w:t>
      </w:r>
      <w:hyperlink w:anchor="sec-sdm">
        <w:r>
          <w:rPr>
            <w:rStyle w:val="Hyperlink"/>
          </w:rPr>
          <w:t xml:space="preserve">Section 3.1</w:t>
        </w:r>
      </w:hyperlink>
      <w:r>
        <w:t xml:space="preserve">). The host cell protein clearance of the step is verified against its platform worst case, and that verification widened two criteria of upstream steps (</w:t>
      </w:r>
      <w:hyperlink w:anchor="sec-verification">
        <w:r>
          <w:rPr>
            <w:rStyle w:val="Hyperlink"/>
          </w:rPr>
          <w:t xml:space="preserve">Section 7.5</w:t>
        </w:r>
      </w:hyperlink>
      <w:r>
        <w:t xml:space="preserve">). The record separates the study events of the execution from the discrepancies from the plan (</w:t>
      </w:r>
      <w:hyperlink w:anchor="sec-record">
        <w:r>
          <w:rPr>
            <w:rStyle w:val="Hyperlink"/>
          </w:rPr>
          <w:t xml:space="preserve">Section 13</w:t>
        </w:r>
      </w:hyperlink>
      <w:r>
        <w:t xml:space="preserve">). The execution window of every study is given (</w:t>
      </w:r>
      <w:hyperlink w:anchor="tbl-studies">
        <w:r>
          <w:rPr>
            <w:rStyle w:val="Hyperlink"/>
          </w:rPr>
          <w:t xml:space="preserve">Table 7</w:t>
        </w:r>
      </w:hyperlink>
      <w:r>
        <w:t xml:space="preserve">), as INV-001 preventive action PA3 asks of every study record. No NOR or set-point of this step changed at Version 2.0.</w:t>
      </w:r>
    </w:p>
    <w:bookmarkEnd w:id="29"/>
    <w:bookmarkEnd w:id="30"/>
    <w:bookmarkStart w:id="35" w:name="sec-prior"/>
    <w:p>
      <w:pPr>
        <w:pStyle w:val="Heading1"/>
      </w:pPr>
      <w:r>
        <w:t xml:space="preserve">2. Prior knowledge and quality risk basis</w:t>
      </w:r>
    </w:p>
    <w:bookmarkStart w:id="31" w:name="sec-platform"/>
    <w:p>
      <w:pPr>
        <w:pStyle w:val="Heading2"/>
      </w:pPr>
      <w:r>
        <w:t xml:space="preserve">2.1 Platform and prior-product knowledge</w:t>
      </w:r>
    </w:p>
    <w:p>
      <w:pPr>
        <w:pStyle w:val="FirstParagraph"/>
      </w:pPr>
      <w:r>
        <w:t xml:space="preserve">The platform anion exchange step has been used to manufacture three earlier humanized IgG1 antibodies, X-Mab, Y-Mab and Z-Mab, and to supply A-Mab clinical studies</w:t>
      </w:r>
      <w:r>
        <w:t xml:space="preserve"> </w:t>
      </w:r>
      <w:r>
        <w:t xml:space="preserve">(CMC Biotech Working Group 2009)</w:t>
      </w:r>
      <w:r>
        <w:t xml:space="preserve">. That experience established the mode of operation, the buffer system and the clearance the step delivers. It also gave the two platform worst cases of this step on which the criteria of the upstream steps rely, a host cell protein clearance of at least 4-fold and a leached Protein A clearance of at least 10-fold (PCMP-001 §7.3). The platform claims of the step are 5.5 log10 for XMuLV and 4 log10 for MVM (PCMP-001 §7.4).</w:t>
      </w:r>
    </w:p>
    <w:p>
      <w:pPr>
        <w:pStyle w:val="BodyText"/>
      </w:pPr>
      <w:r>
        <w:t xml:space="preserve">Whether an impurity binds depends on its net charge at the load pH and on how strongly the ionic strength of the buffer shields that charge. At a higher load pH the pH lies above the isoelectric point of more of the host cell proteins, so more of them carry a net negative charge and bind. A higher load pH also makes the acidic impurities and the virus particles more negative, so they bind more strongly. Load pH is therefore expected to lower pool host cell protein and to raise both LRFs. The antibody, whose isoelectric point lies well above the load pH, stays positively charged and passes through. Step yield is therefore not expected to depend on load pH within the range studied.</w:t>
      </w:r>
    </w:p>
    <w:p>
      <w:pPr>
        <w:pStyle w:val="BodyText"/>
      </w:pPr>
      <w:r>
        <w:t xml:space="preserve">A higher conductivity of the equilibration and first wash buffer shields the electrostatic interaction and lets weakly bound host cell protein and virus particles through. Equil/Wash-1 conductivity is therefore expected to raise pool host cell protein and to lower both LRFs. Load conductivity acts by the same shielding during the load and is expected to act in the same directions. The salt shields the charge that load pH gives an acidic host cell protein. How much a rise in conductivity weakens its binding therefore depends on how much charge the protein carries at the load pH. For this reason PCP-008 §4.1 expected the effect of Equil/Wash-1 conductivity on host cell protein to depend on load pH.</w:t>
      </w:r>
    </w:p>
    <w:p>
      <w:pPr>
        <w:pStyle w:val="BodyText"/>
      </w:pPr>
      <w:r>
        <w:t xml:space="preserve">Protein load sets the impurity mass applied per litre of resin. Pool host cell protein is expressed per milligram of antibody, so a higher load raises it only where the bound impurity approaches the capacity of the ligand. Within the range studied the impurity mass is expected to stay below that capacity, and no effect of protein load is expected. Operating flow rate sets the residence time in the bed. Host cell proteins and DNA are much smaller than virus particles and reach the ligand quickly, so only a small effect is expected for them. Virus particles diffuse slowly to the ligand. They are the species most likely to show an effect of flow rate, at the shortest residence time.</w:t>
      </w:r>
    </w:p>
    <w:p>
      <w:pPr>
        <w:pStyle w:val="BodyText"/>
      </w:pPr>
      <w:r>
        <w:t xml:space="preserve">Residual DNA is a polyanion at every pH the step could run at and binds the ligand strongly. Its clearance is expected to be large and robust to the parameters. Leached Protein A is acidic and binds while the antibody passes through. Fragments of the antibody carry its positive charge at the load pH and flow through with it. They are therefore expected to leave the step at the level at which they enter it. On the platform no step after cation exchange changes the fragment level (PCMP-001 §7.3). This study measured fragments in the pool only, so that expectation was not tested here.</w:t>
      </w:r>
    </w:p>
    <w:p>
      <w:pPr>
        <w:pStyle w:val="BodyText"/>
      </w:pPr>
      <w:r>
        <w:t xml:space="preserve">For both model viruses, clearance is expected to fall as the load pH drops toward the point at which the particle surface loses its negative charge, and as conductivity rises. The XMuLV claim of this step is orthogonal to that of low-pH inactivation, which acts on the viral envelope and not on the surface charge. MVM is not inactivated by low pH, so this step and the virus filter carry the whole MVM claim (PCMP-001 §7.4).</w:t>
      </w:r>
    </w:p>
    <w:bookmarkEnd w:id="31"/>
    <w:bookmarkStart w:id="33" w:name="sec-cqas"/>
    <w:p>
      <w:pPr>
        <w:pStyle w:val="Heading2"/>
      </w:pPr>
      <w:r>
        <w:t xml:space="preserve">2.2 Quality attributes in scope</w:t>
      </w:r>
    </w:p>
    <w:p>
      <w:pPr>
        <w:pStyle w:val="FirstParagraph"/>
      </w:pPr>
      <w:hyperlink w:anchor="tbl-cqa">
        <w:r>
          <w:rPr>
            <w:rStyle w:val="Hyperlink"/>
          </w:rPr>
          <w:t xml:space="preserve">Table 3</w:t>
        </w:r>
      </w:hyperlink>
      <w:r>
        <w:t xml:space="preserve"> </w:t>
      </w:r>
      <w:r>
        <w:t xml:space="preserve">lists the attributes to which the step contributes, with their drug substance criteria and their criticality. Criticality was assigned with Tool #1 of the A-Mab case study, from the impact of each attribute on safety and efficacy and the uncertainty in that impact</w:t>
      </w:r>
      <w:r>
        <w:t xml:space="preserve"> </w:t>
      </w:r>
      <w:r>
        <w:t xml:space="preserve">(CMC Biotech Working Group 2009)</w:t>
      </w:r>
      <w:r>
        <w:t xml:space="preserve">. All 11 attributes of the register are critical quality attributes, at levels of criticality from very low to very high (PCMP-001 §3). An effect on host cell protein or on fragments is therefore an effect on a critical quality attribute when the parameters are classified (</w:t>
      </w:r>
      <w:hyperlink w:anchor="sec-classification">
        <w:r>
          <w:rPr>
            <w:rStyle w:val="Hyperlink"/>
          </w:rPr>
          <w:t xml:space="preserve">Section 9</w:t>
        </w:r>
      </w:hyperlink>
      <w:r>
        <w:t xml:space="preserve">). The two viral clearance attributes carry very high criticality by rule, because a viral contamination would harm the patient directly (PCMP-001 §3).</w:t>
      </w:r>
    </w:p>
    <w:tbl>
      <w:tblPr>
        <w:tblStyle w:val="Table"/>
        <w:tblW w:type="pct" w:w="5000"/>
        <w:tblLayout w:type="fixed"/>
        <w:tblLook w:firstRow="0" w:lastRow="0" w:firstColumn="0" w:lastColumn="0" w:noHBand="0" w:noVBand="0" w:val="0000"/>
      </w:tblPr>
      <w:tblGrid>
        <w:gridCol w:w="7920"/>
      </w:tblGrid>
      <w:tr>
        <w:tc>
          <w:tcPr/>
          <w:bookmarkStart w:id="32" w:name="tbl-cqa"/>
          <w:p>
            <w:pPr>
              <w:jc w:val="center"/>
            </w:pPr>
            <w:pPr>
              <w:jc w:val="start"/>
              <w:spacing w:before="200"/>
              <w:pStyle w:val="ImageCaption"/>
            </w:pPr>
            <w:r>
              <w:t xml:space="preserve">Table 3: Quality attributes to which the anion exchange step contributes, with their drug 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Role</w:t>
                  </w:r>
                </w:p>
              </w:tc>
              <w:tc>
                <w:tcPr/>
                <w:p>
                  <w:pPr>
                    <w:pStyle w:val="Compact"/>
                    <w:jc w:val="center"/>
                  </w:pPr>
                  <w:r>
                    <w:t xml:space="preserve">Attribute</w:t>
                  </w:r>
                </w:p>
              </w:tc>
              <w:tc>
                <w:tcPr/>
                <w:p>
                  <w:pPr>
                    <w:pStyle w:val="Compact"/>
                    <w:jc w:val="center"/>
                  </w:pPr>
                  <w:r>
                    <w:t xml:space="preserve">Category</w:t>
                  </w:r>
                </w:p>
              </w:tc>
              <w:tc>
                <w:tcPr/>
                <w:p>
                  <w:pPr>
                    <w:pStyle w:val="Compact"/>
                    <w:jc w:val="center"/>
                  </w:pPr>
                  <w:r>
                    <w:t xml:space="preserve">Drug substance</w:t>
                  </w:r>
                  <w:r>
                    <w:br/>
                  </w:r>
                  <w:r>
                    <w:t xml:space="preserve">criterion</w:t>
                  </w:r>
                </w:p>
              </w:tc>
              <w:tc>
                <w:tcPr/>
                <w:p>
                  <w:pPr>
                    <w:pStyle w:val="Compact"/>
                    <w:jc w:val="center"/>
                  </w:pPr>
                  <w:r>
                    <w:t xml:space="preserve">Criticality</w:t>
                  </w:r>
                </w:p>
              </w:tc>
              <w:tc>
                <w:tcPr/>
                <w:p>
                  <w:pPr>
                    <w:pStyle w:val="Compact"/>
                    <w:jc w:val="center"/>
                  </w:pPr>
                  <w:r>
                    <w:t xml:space="preserve">Tool #1</w:t>
                  </w:r>
                  <w:r>
                    <w:br/>
                  </w:r>
                  <w:r>
                    <w:t xml:space="preserve">score</w:t>
                  </w:r>
                </w:p>
              </w:tc>
            </w:tr>
            <w:tr>
              <w:tc>
                <w:tcPr/>
                <w:p>
                  <w:pPr>
                    <w:pStyle w:val="Compact"/>
                    <w:jc w:val="center"/>
                  </w:pPr>
                  <w:r>
                    <w:t xml:space="preserve">Set at this step (cumulative claim)</w:t>
                  </w:r>
                </w:p>
              </w:tc>
              <w:tc>
                <w:tcPr/>
                <w:p>
                  <w:pPr>
                    <w:pStyle w:val="Compact"/>
                    <w:jc w:val="center"/>
                  </w:pPr>
                  <w:r>
                    <w:t xml:space="preserve">Viral clearance — MVM (parvovirus)</w:t>
                  </w:r>
                </w:p>
              </w:tc>
              <w:tc>
                <w:tcPr/>
                <w:p>
                  <w:pPr>
                    <w:pStyle w:val="Compact"/>
                    <w:jc w:val="center"/>
                  </w:pPr>
                  <w:r>
                    <w:t xml:space="preserve">viral safety</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r>
            <w:tr>
              <w:tc>
                <w:tcPr/>
                <w:p>
                  <w:pPr>
                    <w:pStyle w:val="Compact"/>
                    <w:jc w:val="center"/>
                  </w:pPr>
                  <w:r>
                    <w:t xml:space="preserve">Contributes a claim</w:t>
                  </w:r>
                </w:p>
              </w:tc>
              <w:tc>
                <w:tcPr/>
                <w:p>
                  <w:pPr>
                    <w:pStyle w:val="Compact"/>
                    <w:jc w:val="center"/>
                  </w:pPr>
                  <w:r>
                    <w:t xml:space="preserve">Viral clearance — XMuLV (enveloped)</w:t>
                  </w:r>
                </w:p>
              </w:tc>
              <w:tc>
                <w:tcPr/>
                <w:p>
                  <w:pPr>
                    <w:pStyle w:val="Compact"/>
                    <w:jc w:val="center"/>
                  </w:pPr>
                  <w:r>
                    <w:t xml:space="preserve">viral safety</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r>
            <w:tr>
              <w:tc>
                <w:tcPr>
                  <w:vMerge w:val="restart"/>
                </w:tcPr>
                <w:p>
                  <w:pPr>
                    <w:pStyle w:val="Compact"/>
                    <w:jc w:val="center"/>
                  </w:pPr>
                  <w:r>
                    <w:t xml:space="preserve">Cleared</w:t>
                  </w:r>
                </w:p>
              </w:tc>
              <w:tc>
                <w:tcPr/>
                <w:p>
                  <w:pPr>
                    <w:pStyle w:val="Compact"/>
                    <w:jc w:val="center"/>
                  </w:pPr>
                  <w:r>
                    <w:t xml:space="preserve">Host Cell Protein (HCP)</w:t>
                  </w:r>
                </w:p>
              </w:tc>
              <w:tc>
                <w:tcPr/>
                <w:p>
                  <w:pPr>
                    <w:pStyle w:val="Compact"/>
                    <w:jc w:val="center"/>
                  </w:pPr>
                  <w:r>
                    <w:t xml:space="preserve">process impurity</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process impurity</w:t>
                  </w:r>
                </w:p>
              </w:tc>
              <w:tc>
                <w:tcPr/>
                <w:p>
                  <w:pPr>
                    <w:pStyle w:val="Compact"/>
                    <w:jc w:val="center"/>
                  </w:pPr>
                  <w:r>
                    <w:t xml:space="preserve">≤ 0.001 ng/dose</w:t>
                  </w:r>
                  <w:r>
                    <w:rPr>
                      <w:vertAlign w:val="superscript"/>
                    </w:rPr>
                    <w:t xml:space="preserve">a)</w:t>
                  </w:r>
                </w:p>
              </w:tc>
              <w:tc>
                <w:tcPr/>
                <w:p>
                  <w:pPr>
                    <w:pStyle w:val="Compact"/>
                    <w:jc w:val="center"/>
                  </w:pPr>
                  <w:r>
                    <w:t xml:space="preserve">VL</w:t>
                  </w:r>
                </w:p>
              </w:tc>
              <w:tc>
                <w:tcPr/>
                <w:p>
                  <w:pPr>
                    <w:pStyle w:val="Compact"/>
                    <w:jc w:val="center"/>
                  </w:pPr>
                  <w:r>
                    <w:t xml:space="preserve">6</w:t>
                  </w:r>
                </w:p>
              </w:tc>
            </w:tr>
            <w:tr>
              <w:tc>
                <w:tcPr>
                  <w:gridSpan w:val="1"/>
                  <w:vMerge w:val="continue"/>
                </w:tcPr>
                <w:p>
                  <w:pPr/>
                </w:p>
              </w:tc>
              <w:tc>
                <w:tcPr/>
                <w:p>
                  <w:pPr>
                    <w:pStyle w:val="Compact"/>
                    <w:jc w:val="center"/>
                  </w:pPr>
                  <w:r>
                    <w:t xml:space="preserve">Leached Protein A</w:t>
                  </w:r>
                </w:p>
              </w:tc>
              <w:tc>
                <w:tcPr/>
                <w:p>
                  <w:pPr>
                    <w:pStyle w:val="Compact"/>
                    <w:jc w:val="center"/>
                  </w:pPr>
                  <w:r>
                    <w:t xml:space="preserve">process impurity</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r>
            <w:tr>
              <w:tc>
                <w:tcPr/>
                <w:p>
                  <w:pPr>
                    <w:pStyle w:val="Compact"/>
                    <w:jc w:val="center"/>
                  </w:pPr>
                  <w:r>
                    <w:t xml:space="preserve">Judged in the pool</w:t>
                  </w:r>
                </w:p>
              </w:tc>
              <w:tc>
                <w:tcPr/>
                <w:p>
                  <w:pPr>
                    <w:pStyle w:val="Compact"/>
                    <w:jc w:val="center"/>
                  </w:pPr>
                  <w:r>
                    <w:t xml:space="preserve">Fragments (LMW, clipped species)</w:t>
                  </w:r>
                </w:p>
              </w:tc>
              <w:tc>
                <w:tcPr/>
                <w:p>
                  <w:pPr>
                    <w:pStyle w:val="Compact"/>
                    <w:jc w:val="center"/>
                  </w:pPr>
                  <w:r>
                    <w:t xml:space="preserve">size variant</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gridSpan w:val="6"/>
                </w:tcPr>
                <w:p>
                  <w:pPr>
                    <w:pStyle w:val="Compact"/>
                    <w:jc w:val="center"/>
                  </w:pPr>
                  <w:r>
                    <w:rPr>
                      <w:vertAlign w:val="superscript"/>
                    </w:rPr>
                    <w:t xml:space="preserve">a)</w:t>
                  </w:r>
                  <w:r>
                    <w:t xml:space="preserve"> </w:t>
                  </w:r>
                  <w:r>
                    <w:t xml:space="preserve">Per dose of 700 mg, the A-Mab weekly dose of 10 mg/kg for a reference adult of 70 kg. The body weight is an assumption of this campaign.</w:t>
                  </w:r>
                </w:p>
              </w:tc>
            </w:tr>
            <w:tr>
              <w:tc>
                <w:tcPr>
                  <w:gridSpan w:val="6"/>
                </w:tcPr>
                <w:p>
                  <w:pPr>
                    <w:pStyle w:val="Compact"/>
                    <w:jc w:val="center"/>
                  </w:pPr>
                  <w:r>
                    <w:t xml:space="preserve">Criticality from Tool #1 of the A-Mab case study. VL, very low. L, low. M, moderate. H, high. VH, very high. L-M and M-H lie between two levels. The viral clearance attributes are very high by rule.</w:t>
                  </w:r>
                </w:p>
              </w:tc>
            </w:tr>
          </w:tbl>
          <w:bookmarkEnd w:id="32"/>
          <w:p/>
        </w:tc>
      </w:tr>
    </w:tbl>
    <w:p>
      <w:pPr>
        <w:pStyle w:val="BodyText"/>
      </w:pPr>
      <w:r>
        <w:t xml:space="preserve">The criteria that apply to the outputs of this step are the intermediate acceptance criteria of</w:t>
      </w:r>
      <w:r>
        <w:t xml:space="preserve"> </w:t>
      </w:r>
      <w:hyperlink w:anchor="sec-par-basis">
        <w:r>
          <w:rPr>
            <w:rStyle w:val="Hyperlink"/>
          </w:rPr>
          <w:t xml:space="preserve">Section 7.1</w:t>
        </w:r>
      </w:hyperlink>
      <w:r>
        <w:t xml:space="preserve">. For pool host cell protein and fragments they equal the drug substance criteria, and for viral clearance they are the claims of this step. The cumulative requirements of 16.7 log10 for XMuLV and 8.6 log10 for MVM are met by the sum of the claims of several steps. This step contributes one of three claims for XMuLV and one of two for MVM. Residual DNA and leached Protein A have no intermediate acceptance criterion at this step and were monitored, not modelled (PCP-008 §5.4). Step yield is a process performance attribute and carries no criterion.</w:t>
      </w:r>
    </w:p>
    <w:bookmarkEnd w:id="33"/>
    <w:bookmarkStart w:id="34" w:name="sec-risk"/>
    <w:p>
      <w:pPr>
        <w:pStyle w:val="Heading2"/>
      </w:pPr>
      <w:r>
        <w:t xml:space="preserve">2.3 Risk-based prioritization and parameter selection</w:t>
      </w:r>
    </w:p>
    <w:p>
      <w:pPr>
        <w:pStyle w:val="FirstParagraph"/>
      </w:pPr>
      <w:r>
        <w:t xml:space="preserve">The risk assessment RA-001 ranked each parameter on its potential impact on a critical quality attribute and on its potential to interact with other parameters. Parameters ranked high on both were assigned to the designed studies, and parameters ranked high on impact but low on interaction to a univariate assessment. For this step, 4 parameters went to the designs and 1 to a univariate assessment (</w:t>
      </w:r>
      <w:hyperlink w:anchor="tbl-params">
        <w:r>
          <w:rPr>
            <w:rStyle w:val="Hyperlink"/>
          </w:rPr>
          <w:t xml:space="preserve">Table 8</w:t>
        </w:r>
      </w:hyperlink>
      <w:r>
        <w:t xml:space="preserve">). Load pH, Equil/Wash-1 conductivity and load conductivity ranked highest, because together they set how strongly an acidic host cell protein binds. Protein load was included because the impurity mass loaded onto the column scales with it and the ligand has a finite capacity. Operating flow rate was assessed one factor at a time. Host cell proteins and DNA are expected to bind fast relative to the residence time at every flow rate in the range. Virus particles are the species</w:t>
      </w:r>
      <w:r>
        <w:t xml:space="preserve"> </w:t>
      </w:r>
      <w:hyperlink w:anchor="sec-platform">
        <w:r>
          <w:rPr>
            <w:rStyle w:val="Hyperlink"/>
          </w:rPr>
          <w:t xml:space="preserve">Section 2.1</w:t>
        </w:r>
      </w:hyperlink>
      <w:r>
        <w:t xml:space="preserve"> </w:t>
      </w:r>
      <w:r>
        <w:t xml:space="preserve">expects to respond to flow rate, so the flow-rate study included a spiked run at the shortest residence time.</w:t>
      </w:r>
    </w:p>
    <w:p>
      <w:pPr>
        <w:pStyle w:val="BodyText"/>
      </w:pPr>
      <w:r>
        <w:t xml:space="preserve">The load is the cation exchange pool, whose attributes are set by the preceding step and characterized under PCP-007. This study varied the parameters of the anion exchange step and did not vary the quality of its load.</w:t>
      </w:r>
    </w:p>
    <w:bookmarkEnd w:id="34"/>
    <w:bookmarkEnd w:id="35"/>
    <w:bookmarkStart w:id="51" w:name="sec-methods"/>
    <w:p>
      <w:pPr>
        <w:pStyle w:val="Heading1"/>
      </w:pPr>
      <w:r>
        <w:t xml:space="preserve">3. Materials and methods</w:t>
      </w:r>
    </w:p>
    <w:bookmarkStart w:id="37" w:name="sec-sdm"/>
    <w:p>
      <w:pPr>
        <w:pStyle w:val="Heading2"/>
      </w:pPr>
      <w:r>
        <w:t xml:space="preserve">3.1 Scale-down model and its qualification</w:t>
      </w:r>
    </w:p>
    <w:p>
      <w:pPr>
        <w:pStyle w:val="FirstParagraph"/>
      </w:pPr>
      <w:r>
        <w:t xml:space="preserve">The studies were executed on a scale-down model of the commercial anion exchange column, qualified under SOP-1001 and operated under SOP-2011. The model keeps the bed height, the linear flow velocity, the protein load in grams of antibody per litre of resin, and the equilibration, load, wash and chase volumes in column volumes. Scaling on these variables holds the residence time and the impurity mass per unit of ligand equal to those of the commercial step. The resin, the buffers and the packing method are the same as at commercial scale.</w:t>
      </w:r>
    </w:p>
    <w:p>
      <w:pPr>
        <w:pStyle w:val="BodyText"/>
      </w:pPr>
      <w:r>
        <w:t xml:space="preserve">The qualification study S-AEX-SDM (2026-02-04 to 2026-02-13) compared 3 scale-down runs at set-point with 5 batches at manufacturing scale. It ended before the first execution of the designs began on 2026-02-16, as PCP-008 §5.1 requires. It compared step yield, pool host cell protein, column efficiency and peak asymmetry. It also measured residual DNA and leached Protein A in the pools, and every one of those results was below the limit of quantitation (LOQ) at both scales, so no offset could be estimated for either. The pressure across the bed, which PCP-008 §5.1 lists among the compared outputs, was not measured.</w:t>
      </w:r>
    </w:p>
    <w:p>
      <w:pPr>
        <w:pStyle w:val="BodyText"/>
      </w:pPr>
      <w:r>
        <w:t xml:space="preserve">The offset of an output is the mean of the scale-down runs minus the mean of the manufacturing batches, with its two-sided 90 % confidence interval, each end of which is a one-sided 95 % bound (PCMP-001 §7.1). Pool host cell protein is modelled on the log scale (</w:t>
      </w:r>
      <w:hyperlink w:anchor="sec-stats">
        <w:r>
          <w:rPr>
            <w:rStyle w:val="Hyperlink"/>
          </w:rPr>
          <w:t xml:space="preserve">Section 3.5</w:t>
        </w:r>
      </w:hyperlink>
      <w:r>
        <w:t xml:space="preserve">). Its offset is therefore the ratio of the geometric means, and a scale-down value is divided by it. The model is qualified for an output when the conclusion against its criterion over the NOR is the same with the offset at either end of its interval. That conclusion is whether the output meets its criterion at every combination of NOR low, set-point and NOR high of the four multivariate parameters.</w:t>
      </w:r>
    </w:p>
    <w:tbl>
      <w:tblPr>
        <w:tblStyle w:val="Table"/>
        <w:tblW w:type="pct" w:w="5000"/>
        <w:tblLayout w:type="fixed"/>
        <w:tblLook w:firstRow="0" w:lastRow="0" w:firstColumn="0" w:lastColumn="0" w:noHBand="0" w:noVBand="0" w:val="0000"/>
      </w:tblPr>
      <w:tblGrid>
        <w:gridCol w:w="7920"/>
      </w:tblGrid>
      <w:tr>
        <w:tc>
          <w:tcPr/>
          <w:bookmarkStart w:id="36" w:name="tbl-sdm-offsets"/>
          <w:p>
            <w:pPr>
              <w:jc w:val="center"/>
            </w:pPr>
            <w:pPr>
              <w:jc w:val="start"/>
              <w:spacing w:before="200"/>
              <w:pStyle w:val="ImageCaption"/>
            </w:pPr>
            <w:r>
              <w:t xml:space="preserve">Table 4: Offsets of the scale-down models (scale-down minus manufacturing scale) and the qualification of each model for each output, anion exchange.</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vMerge w:val="restart"/>
                </w:tcPr>
                <w:p>
                  <w:pPr>
                    <w:pStyle w:val="Compact"/>
                    <w:jc w:val="center"/>
                  </w:pPr>
                  <w:r>
                    <w:t xml:space="preserve">3</w:t>
                  </w:r>
                </w:p>
              </w:tc>
              <w:tc>
                <w:tcPr>
                  <w:vMerge w:val="restart"/>
                </w:tcPr>
                <w:p>
                  <w:pPr>
                    <w:pStyle w:val="Compact"/>
                    <w:jc w:val="center"/>
                  </w:pPr>
                  <w:r>
                    <w:t xml:space="preserve">5</w:t>
                  </w:r>
                </w:p>
              </w:tc>
              <w:tc>
                <w:tcPr/>
                <w:p>
                  <w:pPr>
                    <w:pStyle w:val="Compact"/>
                    <w:jc w:val="center"/>
                  </w:pPr>
                  <w:r>
                    <w:t xml:space="preserve">13.9</w:t>
                  </w:r>
                  <w:r>
                    <w:rPr>
                      <w:vertAlign w:val="superscript"/>
                    </w:rPr>
                    <w:t xml:space="preserve">a)</w:t>
                  </w:r>
                </w:p>
              </w:tc>
              <w:tc>
                <w:tcPr/>
                <w:p>
                  <w:pPr>
                    <w:pStyle w:val="Compact"/>
                    <w:jc w:val="center"/>
                  </w:pPr>
                  <w:r>
                    <w:t xml:space="preserve">14.2</w:t>
                  </w:r>
                  <w:r>
                    <w:rPr>
                      <w:vertAlign w:val="superscript"/>
                    </w:rPr>
                    <w:t xml:space="preserve">a)</w:t>
                  </w:r>
                </w:p>
              </w:tc>
              <w:tc>
                <w:tcPr/>
                <w:p>
                  <w:pPr>
                    <w:pStyle w:val="Compact"/>
                    <w:jc w:val="center"/>
                  </w:pPr>
                  <w:r>
                    <w:t xml:space="preserve">×0.979</w:t>
                  </w:r>
                  <w:r>
                    <w:rPr>
                      <w:vertAlign w:val="superscript"/>
                    </w:rPr>
                    <w:t xml:space="preserve">a)</w:t>
                  </w:r>
                </w:p>
              </w:tc>
              <w:tc>
                <w:tcPr/>
                <w:p>
                  <w:pPr>
                    <w:pStyle w:val="Compact"/>
                    <w:jc w:val="center"/>
                  </w:pPr>
                  <w:r>
                    <w:t xml:space="preserve">×0.723 to ×1.328</w:t>
                  </w:r>
                </w:p>
              </w:tc>
              <w:tc>
                <w:tcPr/>
                <w:p>
                  <w:pPr>
                    <w:pStyle w:val="Compact"/>
                    <w:jc w:val="center"/>
                  </w:pPr>
                  <w:r>
                    <w:t xml:space="preserve">Yes / Yes / Yes</w:t>
                  </w:r>
                </w:p>
              </w:tc>
              <w:tc>
                <w:tcPr/>
                <w:p>
                  <w:pPr>
                    <w:pStyle w:val="Compact"/>
                    <w:jc w:val="center"/>
                  </w:pPr>
                  <w:r>
                    <w:t xml:space="preserve">Yes</w:t>
                  </w:r>
                </w:p>
              </w:tc>
            </w:tr>
            <w:tr>
              <w:tc>
                <w:tcPr/>
                <w:p>
                  <w:pPr>
                    <w:pStyle w:val="Compact"/>
                    <w:jc w:val="center"/>
                  </w:pPr>
                  <w:r>
                    <w:t xml:space="preserve">Step yield (%)</w:t>
                  </w:r>
                </w:p>
              </w:tc>
              <w:tc>
                <w:tcPr>
                  <w:gridSpan w:val="1"/>
                  <w:vMerge w:val="continue"/>
                </w:tcPr>
                <w:p>
                  <w:pPr/>
                </w:p>
              </w:tc>
              <w:tc>
                <w:tcPr>
                  <w:gridSpan w:val="1"/>
                  <w:vMerge w:val="continue"/>
                </w:tcPr>
                <w:p>
                  <w:pPr/>
                </w:p>
              </w:tc>
              <w:tc>
                <w:tcPr/>
                <w:p>
                  <w:pPr>
                    <w:pStyle w:val="Compact"/>
                    <w:jc w:val="center"/>
                  </w:pPr>
                  <w:r>
                    <w:t xml:space="preserve">98.1</w:t>
                  </w:r>
                </w:p>
              </w:tc>
              <w:tc>
                <w:tcPr/>
                <w:p>
                  <w:pPr>
                    <w:pStyle w:val="Compact"/>
                    <w:jc w:val="center"/>
                  </w:pPr>
                  <w:r>
                    <w:t xml:space="preserve">97.5</w:t>
                  </w:r>
                </w:p>
              </w:tc>
              <w:tc>
                <w:tcPr/>
                <w:p>
                  <w:pPr>
                    <w:pStyle w:val="Compact"/>
                    <w:jc w:val="center"/>
                  </w:pPr>
                  <w:r>
                    <w:t xml:space="preserve">0.6</w:t>
                  </w:r>
                </w:p>
              </w:tc>
              <w:tc>
                <w:tcPr/>
                <w:p>
                  <w:pPr>
                    <w:pStyle w:val="Compact"/>
                    <w:jc w:val="center"/>
                  </w:pPr>
                  <w:r>
                    <w:t xml:space="preserve">−1.5 to 2.7</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Column efficiency (plates/m)</w:t>
                  </w:r>
                </w:p>
              </w:tc>
              <w:tc>
                <w:tcPr>
                  <w:gridSpan w:val="1"/>
                  <w:vMerge w:val="continue"/>
                </w:tcPr>
                <w:p>
                  <w:pPr/>
                </w:p>
              </w:tc>
              <w:tc>
                <w:tcPr>
                  <w:gridSpan w:val="1"/>
                  <w:vMerge w:val="continue"/>
                </w:tcPr>
                <w:p>
                  <w:pPr/>
                </w:p>
              </w:tc>
              <w:tc>
                <w:tcPr/>
                <w:p>
                  <w:pPr>
                    <w:pStyle w:val="Compact"/>
                    <w:jc w:val="center"/>
                  </w:pPr>
                  <w:r>
                    <w:t xml:space="preserve">2,472</w:t>
                  </w:r>
                </w:p>
              </w:tc>
              <w:tc>
                <w:tcPr/>
                <w:p>
                  <w:pPr>
                    <w:pStyle w:val="Compact"/>
                    <w:jc w:val="center"/>
                  </w:pPr>
                  <w:r>
                    <w:t xml:space="preserve">2,731</w:t>
                  </w:r>
                </w:p>
              </w:tc>
              <w:tc>
                <w:tcPr/>
                <w:p>
                  <w:pPr>
                    <w:pStyle w:val="Compact"/>
                    <w:jc w:val="center"/>
                  </w:pPr>
                  <w:r>
                    <w:t xml:space="preserve">−259</w:t>
                  </w:r>
                </w:p>
              </w:tc>
              <w:tc>
                <w:tcPr/>
                <w:p>
                  <w:pPr>
                    <w:pStyle w:val="Compact"/>
                    <w:jc w:val="center"/>
                  </w:pPr>
                  <w:r>
                    <w:t xml:space="preserve">−514 to −4</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p>
                  <w:pPr>
                    <w:pStyle w:val="Compact"/>
                    <w:jc w:val="center"/>
                  </w:pPr>
                  <w:r>
                    <w:t xml:space="preserve">Peak asymmetry</w:t>
                  </w:r>
                </w:p>
              </w:tc>
              <w:tc>
                <w:tcPr>
                  <w:gridSpan w:val="1"/>
                  <w:vMerge w:val="continue"/>
                </w:tcPr>
                <w:p>
                  <w:pPr/>
                </w:p>
              </w:tc>
              <w:tc>
                <w:tcPr>
                  <w:gridSpan w:val="1"/>
                  <w:vMerge w:val="continue"/>
                </w:tcPr>
                <w:p>
                  <w:pPr/>
                </w:p>
              </w:tc>
              <w:tc>
                <w:tcPr/>
                <w:p>
                  <w:pPr>
                    <w:pStyle w:val="Compact"/>
                    <w:jc w:val="center"/>
                  </w:pPr>
                  <w:r>
                    <w:t xml:space="preserve">1.22</w:t>
                  </w:r>
                </w:p>
              </w:tc>
              <w:tc>
                <w:tcPr/>
                <w:p>
                  <w:pPr>
                    <w:pStyle w:val="Compact"/>
                    <w:jc w:val="center"/>
                  </w:pPr>
                  <w:r>
                    <w:t xml:space="preserve">1.20</w:t>
                  </w:r>
                </w:p>
              </w:tc>
              <w:tc>
                <w:tcPr/>
                <w:p>
                  <w:pPr>
                    <w:pStyle w:val="Compact"/>
                    <w:jc w:val="center"/>
                  </w:pPr>
                  <w:r>
                    <w:t xml:space="preserve">0.03</w:t>
                  </w:r>
                </w:p>
              </w:tc>
              <w:tc>
                <w:tcPr/>
                <w:p>
                  <w:pPr>
                    <w:pStyle w:val="Compact"/>
                    <w:jc w:val="center"/>
                  </w:pPr>
                  <w:r>
                    <w:t xml:space="preserve">−0.11 to 0.16</w:t>
                  </w:r>
                </w:p>
              </w:tc>
              <w:tc>
                <w:tcPr/>
                <w:p>
                  <w:pPr>
                    <w:pStyle w:val="Compact"/>
                    <w:jc w:val="center"/>
                  </w:pPr>
                  <w:r>
                    <w:t xml:space="preserve">no criterion</w:t>
                  </w:r>
                  <w:r>
                    <w:rPr>
                      <w:vertAlign w:val="superscript"/>
                    </w:rPr>
                    <w:t xml:space="preserve">b)</w:t>
                  </w:r>
                </w:p>
              </w:tc>
              <w:tc>
                <w:tcPr/>
                <w:p>
                  <w:pPr>
                    <w:pStyle w:val="Compact"/>
                    <w:jc w:val="center"/>
                  </w:pPr>
                  <w:r>
                    <w:t xml:space="preserve">n.a.</w:t>
                  </w:r>
                  <w:r>
                    <w:rPr>
                      <w:vertAlign w:val="superscript"/>
                    </w:rPr>
                    <w:t xml:space="preserve">b)</w:t>
                  </w:r>
                </w:p>
              </w:tc>
            </w:tr>
            <w:tr>
              <w:tc>
                <w:tcPr>
                  <w:gridSpan w:val="9"/>
                </w:tcPr>
                <w:p>
                  <w:pPr>
                    <w:pStyle w:val="Compact"/>
                    <w:jc w:val="center"/>
                  </w:pPr>
                  <w:r>
                    <w:rPr>
                      <w:vertAlign w:val="superscript"/>
                    </w:rPr>
                    <w:t xml:space="preserve">a)</w:t>
                  </w:r>
                  <w:r>
                    <w:t xml:space="preserve"> </w:t>
                  </w:r>
                  <w:r>
                    <w:t xml:space="preserve">Modelled on the log scale: geometric means, and the offset as the ratio of the scale-down to the manufacturing geometric mean. The manufacturing-scale value is the scale-down value divided by the ratio.</w:t>
                  </w:r>
                </w:p>
              </w:tc>
            </w:tr>
            <w:tr>
              <w:tc>
                <w:tcPr>
                  <w:gridSpan w:val="9"/>
                </w:tcPr>
                <w:p>
                  <w:pPr>
                    <w:pStyle w:val="Compact"/>
                    <w:jc w:val="center"/>
                  </w:pPr>
                  <w:r>
                    <w:rPr>
                      <w:vertAlign w:val="superscript"/>
                    </w:rPr>
                    <w:t xml:space="preserve">b)</w:t>
                  </w:r>
                  <w:r>
                    <w:t xml:space="preserve"> </w:t>
                  </w:r>
                  <w:r>
                    <w:t xml:space="preserve">The output has no acceptance criterion at this step, so no conclusion depends on its offset and qualification does not apply. The offset is recorded.</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6"/>
          <w:p/>
        </w:tc>
      </w:tr>
    </w:tbl>
    <w:p>
      <w:pPr>
        <w:pStyle w:val="BodyText"/>
      </w:pPr>
      <w:hyperlink w:anchor="tbl-sdm-offsets">
        <w:r>
          <w:rPr>
            <w:rStyle w:val="Hyperlink"/>
          </w:rPr>
          <w:t xml:space="preserve">Table 4</w:t>
        </w:r>
      </w:hyperlink>
      <w:r>
        <w:t xml:space="preserve"> </w:t>
      </w:r>
      <w:r>
        <w:t xml:space="preserve">gives the offsets. Pool host cell protein, the only compared output with a criterion at this step, has a ratio of 0.979 (90 % interval 0.723 to 1.328). Its criterion is met over the NOR with the offset at its estimate and at both ends of the interval, so the scale-down model is qualified for pool host cell protein. The other compared outputs have no criterion at this step, and their offsets are recorded. The scale-down column gave fewer plates per metre than the manufacturing columns, and the 90 % interval of that difference excludes zero. No conclusion of this report depends on column efficiency.</w:t>
      </w:r>
    </w:p>
    <w:p>
      <w:pPr>
        <w:pStyle w:val="BodyText"/>
      </w:pPr>
      <w:r>
        <w:t xml:space="preserve">The qualification did not compare fragments or viral clearance at the two scales. Their offset is unknown, not zero, and they are judged as the scale-down model gives them (PCMP-001 §7.1). For fragments, the representativeness rests on the expectation of</w:t>
      </w:r>
      <w:r>
        <w:t xml:space="preserve"> </w:t>
      </w:r>
      <w:hyperlink w:anchor="sec-platform">
        <w:r>
          <w:rPr>
            <w:rStyle w:val="Hyperlink"/>
          </w:rPr>
          <w:t xml:space="preserve">Section 2.1</w:t>
        </w:r>
      </w:hyperlink>
      <w:r>
        <w:t xml:space="preserve"> </w:t>
      </w:r>
      <w:r>
        <w:t xml:space="preserve">that the step does not change the fragment level of its load. For viral clearance it rests on the spiking model. The spiking runs were made in the same scale-down model, and together they form a small-scale spiking study as ICH Q5A(R2) describes it</w:t>
      </w:r>
      <w:r>
        <w:t xml:space="preserve"> </w:t>
      </w:r>
      <w:r>
        <w:t xml:space="preserve">(International Council for Harmonisation 2023a)</w:t>
      </w:r>
      <w:r>
        <w:t xml:space="preserve">. PCP-008 §5.1 required a qualification of the spiking model, showing that the spiked load matched the unspiked load in protein concentration, pH and conductivity and that the spike volume stayed below the fraction at which those attributes move. Neither that qualification nor the bed pressure is in the record of this study (PD-008-04).</w:t>
      </w:r>
    </w:p>
    <w:p>
      <w:pPr>
        <w:pStyle w:val="BodyText"/>
      </w:pPr>
      <w:r>
        <w:t xml:space="preserve">The centre points of each design were separate runs of the step. Their replicates estimate pure error, against which lack of fit is tested (</w:t>
      </w:r>
      <w:hyperlink w:anchor="sec-centre">
        <w:r>
          <w:rPr>
            <w:rStyle w:val="Hyperlink"/>
          </w:rPr>
          <w:t xml:space="preserve">Section 5.1</w:t>
        </w:r>
      </w:hyperlink>
      <w:r>
        <w:t xml:space="preserve">).</w:t>
      </w:r>
    </w:p>
    <w:bookmarkEnd w:id="37"/>
    <w:bookmarkStart w:id="38" w:name="sec-operation"/>
    <w:p>
      <w:pPr>
        <w:pStyle w:val="Heading2"/>
      </w:pPr>
      <w:r>
        <w:t xml:space="preserve">3.2 Operation</w:t>
      </w:r>
    </w:p>
    <w:p>
      <w:pPr>
        <w:pStyle w:val="FirstParagraph"/>
      </w:pPr>
      <w:r>
        <w:t xml:space="preserve">The step was operated as at commercial scale, under SOP-2011. The column was equilibrated with the equilibration buffer, loaded with the cation exchange pool adjusted to the target pH and conductivity of the run, and chased with the first wash buffer. The pool was collected from the start of the load to the end of the chase, which a trailing-edge UV set-point ends (</w:t>
      </w:r>
      <w:hyperlink w:anchor="sec-dev02">
        <w:r>
          <w:rPr>
            <w:rStyle w:val="Hyperlink"/>
          </w:rPr>
          <w:t xml:space="preserve">Section 13.1.2</w:t>
        </w:r>
      </w:hyperlink>
      <w:r>
        <w:t xml:space="preserve">). PCP-008 §5.2 requires the resin, the buffers and the column packing to meet platform specification under SOP-2008 and the site buffer procedure, and they are not characterized here. The record does not show that they did. It does not name the chromatography system on which the studies ran or its calibration, the resin lot, the acceptance of the packed column, or the buffer lot and analyst of each run (PD-008-07). PCP-008 §11 also states that the record names no instrumented system for these studies. One buffer lot was released below its pH range (</w:t>
      </w:r>
      <w:hyperlink w:anchor="sec-dev03">
        <w:r>
          <w:rPr>
            <w:rStyle w:val="Hyperlink"/>
          </w:rPr>
          <w:t xml:space="preserve">Section 13.1.3</w:t>
        </w:r>
      </w:hyperlink>
      <w:r>
        <w:t xml:space="preserve">).</w:t>
      </w:r>
    </w:p>
    <w:p>
      <w:pPr>
        <w:pStyle w:val="BodyText"/>
      </w:pPr>
      <w:r>
        <w:t xml:space="preserve">The re-executed screening and response-surface designs ran on one requalified load lot, LOT-CEX-8851. The first, invalidated execution ran on lot LOT-CEX-8842 (</w:t>
      </w:r>
      <w:hyperlink w:anchor="sec-dev01">
        <w:r>
          <w:rPr>
            <w:rStyle w:val="Hyperlink"/>
          </w:rPr>
          <w:t xml:space="preserve">Section 13.1.1</w:t>
        </w:r>
      </w:hyperlink>
      <w:r>
        <w:t xml:space="preserve">). The record does not name the load lot of the qualification study, of the flow-rate study or of the augmentation runs of September 2026. Lot LOT-CEX-8851 had expired on 2026-04-12, before the flow-rate study and the augmentation began. The record therefore holds no comparison of load lots, which PCP-008 §6.3 requires (PD-008-06). The block term of the models estimates a shift between the planned runs and the augmentation runs (</w:t>
      </w:r>
      <w:hyperlink w:anchor="sec-reeval">
        <w:r>
          <w:rPr>
            <w:rStyle w:val="Hyperlink"/>
          </w:rPr>
          <w:t xml:space="preserve">Section 5.3.3</w:t>
        </w:r>
      </w:hyperlink>
      <w:r>
        <w:t xml:space="preserve">).</w:t>
      </w:r>
    </w:p>
    <w:bookmarkEnd w:id="38"/>
    <w:bookmarkStart w:id="41" w:name="sec-analytical"/>
    <w:p>
      <w:pPr>
        <w:pStyle w:val="Heading2"/>
      </w:pPr>
      <w:r>
        <w:t xml:space="preserve">3.3 Analytical methods</w:t>
      </w:r>
    </w:p>
    <w:p>
      <w:pPr>
        <w:pStyle w:val="FirstParagraph"/>
      </w:pPr>
      <w:r>
        <w:t xml:space="preserve">Every response was measured by a validated method (</w:t>
      </w:r>
      <w:hyperlink w:anchor="tbl-sops">
        <w:r>
          <w:rPr>
            <w:rStyle w:val="Hyperlink"/>
          </w:rPr>
          <w:t xml:space="preserve">Table 5</w:t>
        </w:r>
      </w:hyperlink>
      <w:r>
        <w:t xml:space="preserve">). Pool host cell protein was measured by ELISA (AMV-3012) and is reported in nanograms per milligram of antibody. Step yield is the mass of antibody in the pool divided by the mass loaded, each from the protein concentration by absorbance at 280 nm (AMV-3019) and the volume. Residual DNA was measured by qPCR (AMV-3014) and leached Protein A by ELISA (AMV-3016). The infectivity of XMuLV was measured by TCID50 (AMV-3017) and that of MVM by TCID50 with a qPCR confirmation (AMV-3018). The charge variant profile of the load was measured by icIEF (AMV-3013). Fragments were measured by nrCE-SDS (AMV-3020, under SOP-3015), the method that AMD-001 set for every study that measures fragments, at every step, from 2026-03-20 (PCMP-001 §7.8). The re-executed designs ran after that date and measured fragments by nrCE-SDS, and the invalidated first execution had measured them by SEC (</w:t>
      </w:r>
      <w:hyperlink w:anchor="tbl-methods-by-study">
        <w:r>
          <w:rPr>
            <w:rStyle w:val="Hyperlink"/>
          </w:rPr>
          <w:t xml:space="preserve">Table 6</w:t>
        </w:r>
      </w:hyperlink>
      <w:r>
        <w:t xml:space="preserve">). Aggregate was not a response of the designs, because PCMP-001 sets no aggregate criterion at this step.</w:t>
      </w:r>
    </w:p>
    <w:tbl>
      <w:tblPr>
        <w:tblStyle w:val="Table"/>
        <w:tblW w:type="pct" w:w="5000"/>
        <w:tblLayout w:type="fixed"/>
        <w:tblLook w:firstRow="0" w:lastRow="0" w:firstColumn="0" w:lastColumn="0" w:noHBand="0" w:noVBand="0" w:val="0000"/>
      </w:tblPr>
      <w:tblGrid>
        <w:gridCol w:w="7920"/>
      </w:tblGrid>
      <w:tr>
        <w:tc>
          <w:tcPr/>
          <w:bookmarkStart w:id="39" w:name="tbl-sops"/>
          <w:p>
            <w:pPr>
              <w:jc w:val="center"/>
            </w:pPr>
            <w:pPr>
              <w:jc w:val="start"/>
              <w:spacing w:before="200"/>
              <w:pStyle w:val="ImageCaption"/>
            </w:pPr>
            <w:r>
              <w:t xml:space="preserve">Table 5: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SOP-2011</w:t>
                  </w:r>
                </w:p>
              </w:tc>
              <w:tc>
                <w:tcPr/>
                <w:p>
                  <w:pPr>
                    <w:pStyle w:val="Compact"/>
                    <w:jc w:val="center"/>
                  </w:pPr>
                  <w:r>
                    <w:t xml:space="preserve">Operation of the Anion-Exchange Polishing Chromatography Step</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AMV-3018</w:t>
                  </w:r>
                </w:p>
              </w:tc>
              <w:tc>
                <w:tcPr/>
                <w:p>
                  <w:pPr>
                    <w:pStyle w:val="Compact"/>
                    <w:jc w:val="center"/>
                  </w:pPr>
                  <w:r>
                    <w:t xml:space="preserve">MVM Infectivity Titre (TCID50/qPCR)</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tbl-methods-by-study"/>
          <w:p>
            <w:pPr>
              <w:jc w:val="center"/>
            </w:pPr>
            <w:pPr>
              <w:jc w:val="start"/>
              <w:spacing w:before="200"/>
              <w:pStyle w:val="ImageCaption"/>
            </w:pPr>
            <w:r>
              <w:t xml:space="preserve">Table 6: Methods used for size variants in the designed studies, anion exchange.</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not measured</w:t>
                  </w:r>
                  <w:r>
                    <w:rPr>
                      <w:vertAlign w:val="superscript"/>
                    </w:rPr>
                    <w:t xml:space="preserve">a)</w:t>
                  </w:r>
                </w:p>
              </w:tc>
            </w:tr>
            <w:tr>
              <w:tc>
                <w:tcPr/>
                <w:p>
                  <w:pPr>
                    <w:pStyle w:val="Compact"/>
                    <w:jc w:val="center"/>
                  </w:pPr>
                  <w:r>
                    <w:t xml:space="preserve">Fragments, LMW</w:t>
                  </w:r>
                </w:p>
              </w:tc>
              <w:tc>
                <w:tcPr/>
                <w:p>
                  <w:pPr>
                    <w:pStyle w:val="Compact"/>
                    <w:jc w:val="center"/>
                  </w:pPr>
                  <w:r>
                    <w:t xml:space="preserve">nrCE-SDS</w:t>
                  </w:r>
                  <w:r>
                    <w:rPr>
                      <w:vertAlign w:val="superscript"/>
                    </w:rPr>
                    <w:t xml:space="preserve">b)</w:t>
                  </w:r>
                </w:p>
              </w:tc>
              <w:tc>
                <w:tcPr/>
                <w:p>
                  <w:pPr>
                    <w:pStyle w:val="Compact"/>
                    <w:jc w:val="center"/>
                  </w:pPr>
                  <w:r>
                    <w:t xml:space="preserve">nrCE-SDS</w:t>
                  </w:r>
                  <w:r>
                    <w:rPr>
                      <w:vertAlign w:val="superscript"/>
                    </w:rPr>
                    <w:t xml:space="preserve">b)</w:t>
                  </w:r>
                </w:p>
              </w:tc>
            </w:tr>
            <w:tr>
              <w:tc>
                <w:tcPr>
                  <w:gridSpan w:val="3"/>
                </w:tcPr>
                <w:p>
                  <w:pPr>
                    <w:pStyle w:val="Compact"/>
                    <w:jc w:val="center"/>
                  </w:pPr>
                  <w:r>
                    <w:rPr>
                      <w:vertAlign w:val="superscript"/>
                    </w:rPr>
                    <w:t xml:space="preserve">a)</w:t>
                  </w:r>
                  <w:r>
                    <w:t xml:space="preserve"> </w:t>
                  </w:r>
                  <w:r>
                    <w:t xml:space="preserve">Aggregate was not measured in the designs at this step.</w:t>
                  </w:r>
                </w:p>
              </w:tc>
            </w:tr>
            <w:tr>
              <w:tc>
                <w:tcPr>
                  <w:gridSpan w:val="3"/>
                </w:tcPr>
                <w:p>
                  <w:pPr>
                    <w:pStyle w:val="Compact"/>
                    <w:jc w:val="center"/>
                  </w:pPr>
                  <w:r>
                    <w:rPr>
                      <w:vertAlign w:val="superscript"/>
                    </w:rPr>
                    <w:t xml:space="preserve">b)</w:t>
                  </w:r>
                  <w:r>
                    <w:t xml:space="preserve"> </w:t>
                  </w:r>
                  <w:r>
                    <w:t xml:space="preserve">Re-executed design (DEV-008-01). The invalidated first execution measured fragments by SEC.</w:t>
                  </w:r>
                </w:p>
              </w:tc>
            </w:tr>
          </w:tbl>
          <w:bookmarkEnd w:id="40"/>
          <w:p/>
        </w:tc>
      </w:tr>
    </w:tbl>
    <w:p>
      <w:pPr>
        <w:pStyle w:val="BodyText"/>
      </w:pPr>
      <w:r>
        <w:t xml:space="preserve">The precision of each method bounds the smallest effect the study can resolve, because method variability enters the residual of each model and is not separated from process variability (Appendix D). The repeatability of the infectivity assays is 0.3 log10 for XMuLV and 0.32 log10 for MVM, and the precision of the host cell protein ELISA is 9.5 % of the level.</w:t>
      </w:r>
    </w:p>
    <w:bookmarkEnd w:id="41"/>
    <w:bookmarkStart w:id="42" w:name="sec-sampling"/>
    <w:p>
      <w:pPr>
        <w:pStyle w:val="Heading2"/>
      </w:pPr>
      <w:r>
        <w:t xml:space="preserve">3.4 Sampling plan</w:t>
      </w:r>
    </w:p>
    <w:p>
      <w:pPr>
        <w:pStyle w:val="FirstParagraph"/>
      </w:pPr>
      <w:r>
        <w:t xml:space="preserve">The flow-through pool of every run was sampled, and the pool sample carries the responses. PCP-008 §5.4 also planned a load sample of every run. The load results in the record are residual DNA and leached Protein A on the 28 planned response-surface runs, the acidic variants of the two load lots by icIEF, and the infectivity of the spiked load behind each LRF. The record does not show that load and pool samples were retained frozen, as the same section planned. The screening design included 3 centre points and the response-surface design 4, each a separate run of the step. Residual DNA and leached Protein A were measured in the load and the pool of every planned response-surface run and in the pools of the qualification runs. The augmentation runs measured pool host cell protein, step yield and fragments. They measured no viral clearance, because the augmentation design that the model adequacy investigation INV-002 decided included no spiked runs. They measured no residual DNA or leached Protein A either, which PCP-008 §5.4 requires on every response-surface run (PD-008-08).</w:t>
      </w:r>
    </w:p>
    <w:p>
      <w:pPr>
        <w:pStyle w:val="BodyText"/>
      </w:pPr>
      <w:r>
        <w:t xml:space="preserve">Viral clearance runs were sampled at the spiked load and at the pool. Each LRF is the log10 ratio of the total infectivity in the spiked load to that in the pool (PCP-008 §5.4)</w:t>
      </w:r>
      <w:r>
        <w:t xml:space="preserve"> </w:t>
      </w:r>
      <w:r>
        <w:t xml:space="preserve">(International Council for Harmonisation 2023a)</w:t>
      </w:r>
      <w:r>
        <w:t xml:space="preserve">. PCP-008 §5.4 also required cytotoxicity and interference controls for each matrix, and the detection limit of the assay with any result that reached it. The record of this study holds the LRFs and not those controls (PD-008-05).</w:t>
      </w:r>
    </w:p>
    <w:bookmarkEnd w:id="42"/>
    <w:bookmarkStart w:id="50" w:name="sec-stats"/>
    <w:p>
      <w:pPr>
        <w:pStyle w:val="Heading2"/>
      </w:pPr>
      <w:r>
        <w:t xml:space="preserve">3.5 Statistical methods</w:t>
      </w:r>
    </w:p>
    <w:bookmarkStart w:id="43" w:name="coding-and-the-screening-model"/>
    <w:p>
      <w:pPr>
        <w:pStyle w:val="Heading3"/>
      </w:pPr>
      <w:r>
        <w:t xml:space="preserve">3.5.1 Coding and the screening model</w:t>
      </w:r>
    </w:p>
    <w:p>
      <w:pPr>
        <w:pStyle w:val="FirstParagraph"/>
      </w:pPr>
      <w:r>
        <w:t xml:space="preserve">Each multivariate parameter was coded so that the ends of its characterized range are −1 and +1 and its middle is 0. For load pH, Equil/Wash-1 conductivity and load conductivity the middle of the range is the set-point. For protein load the middle is 175 g/L resin, and the set-point is 200 g/L resin. PCP-008 §5.5 placed the set-point at 0, and for protein load the design was laid out about the middle of its range instead (PD-008-09).</w:t>
      </w:r>
    </w:p>
    <w:p>
      <w:pPr>
        <w:pStyle w:val="BodyText"/>
      </w:pPr>
      <w:r>
        <w:t xml:space="preserve">The screening data were fitted by ordinary least squares with every main effect and every two-factor interaction in coded units. An effect is twice the coded coefficient, which is the change in the response across the characterized range. A term is significant when its p-value is below 0.05 (PCMP-001 §6.2). The screening model identifies effects. It is not the predictive model, and no range is derived from it.</w:t>
      </w:r>
    </w:p>
    <w:bookmarkEnd w:id="43"/>
    <w:bookmarkStart w:id="44" w:name="X13023118f62a0bf5c3a36c1700b40bb32f52971"/>
    <w:p>
      <w:pPr>
        <w:pStyle w:val="Heading3"/>
      </w:pPr>
      <w:r>
        <w:t xml:space="preserve">3.5.2 The response-surface models and their selection</w:t>
      </w:r>
    </w:p>
    <w:p>
      <w:pPr>
        <w:pStyle w:val="FirstParagraph"/>
      </w:pPr>
      <w:r>
        <w:t xml:space="preserve">PCP-008 planned the full quadratic model in the four multivariate parameters. Each output was instead analysed by the model selection of INV-002 corrective action CA3</w:t>
      </w:r>
      <w:r>
        <w:t xml:space="preserve"> </w:t>
      </w:r>
      <w:r>
        <w:t xml:space="preserve">(Montgomery 2017)</w:t>
      </w:r>
      <w:r>
        <w:t xml:space="preserve">. This report records that change as the discrepancy PD-008-02 (</w:t>
      </w:r>
      <w:hyperlink w:anchor="sec-discrepancies">
        <w:r>
          <w:rPr>
            <w:rStyle w:val="Hyperlink"/>
          </w:rPr>
          <w:t xml:space="preserve">Section 13.2</w:t>
        </w:r>
      </w:hyperlink>
      <w:r>
        <w:t xml:space="preserve">). The selection has four parts.</w:t>
      </w:r>
    </w:p>
    <w:p>
      <w:pPr>
        <w:pStyle w:val="Compact"/>
        <w:numPr>
          <w:ilvl w:val="0"/>
          <w:numId w:val="1002"/>
        </w:numPr>
      </w:pPr>
      <w:r>
        <w:t xml:space="preserve">The scale. The Box-Cox profile of the full quadratic model</w:t>
      </w:r>
      <w:r>
        <w:t xml:space="preserve"> </w:t>
      </w:r>
      <w:r>
        <w:t xml:space="preserve">(Box and Cox 1964)</w:t>
      </w:r>
      <w:r>
        <w:t xml:space="preserve"> </w:t>
      </w:r>
      <w:r>
        <w:t xml:space="preserve">chooses the log scale where its 95 % interval for λ contains 0 and excludes 1, and the raw scale otherwise.</w:t>
      </w:r>
    </w:p>
    <w:p>
      <w:pPr>
        <w:pStyle w:val="Compact"/>
        <w:numPr>
          <w:ilvl w:val="0"/>
          <w:numId w:val="1002"/>
        </w:numPr>
      </w:pPr>
      <w:r>
        <w:t xml:space="preserve">The model. Among all hierarchical submodels of the full quadratic, the one with the lowest AICc is selected. A hierarchical submodel contains an interaction only with both its main effects and a square only with its main effect. For four parameters there are 1,337 candidates, and every one was fitted.</w:t>
      </w:r>
    </w:p>
    <w:p>
      <w:pPr>
        <w:pStyle w:val="Compact"/>
        <w:numPr>
          <w:ilvl w:val="0"/>
          <w:numId w:val="1002"/>
        </w:numPr>
      </w:pPr>
      <w:r>
        <w:t xml:space="preserve">The block. Where the design has a second block, the augmentation runs, a block term is kept in every candidate.</w:t>
      </w:r>
    </w:p>
    <w:p>
      <w:pPr>
        <w:pStyle w:val="Compact"/>
        <w:numPr>
          <w:ilvl w:val="0"/>
          <w:numId w:val="1002"/>
        </w:numPr>
      </w:pPr>
      <w:r>
        <w:t xml:space="preserve">The check. The selected model is judged against the four adequacy criteria of PCMP-001 §7.2 given below.</w:t>
      </w:r>
    </w:p>
    <w:p>
      <w:pPr>
        <w:pStyle w:val="FirstParagraph"/>
      </w:pPr>
      <w:r>
        <w:t xml:space="preserve">AICc is Akaike’s information criterion with the small-sample correction</w:t>
      </w:r>
      <w:r>
        <w:t xml:space="preserve"> </w:t>
      </w:r>
      <w:r>
        <w:t xml:space="preserve">(Hurvich and Tsai 1989; Burnham and Anderson 2002)</w:t>
      </w:r>
      <w:r>
        <w:t xml:space="preserve">. It estimates how well a model would predict new runs, and it penalises every estimated coefficient. Its correction raises that penalty when the runs are few for the number of terms, as they are in these designs, so that the criterion does not favour too many terms. Here the residual variance is counted as one of the estimated parameters. This report counts the terms of a model without the intercept and the block term.</w:t>
      </w:r>
    </w:p>
    <w:p>
      <w:pPr>
        <w:pStyle w:val="BodyText"/>
      </w:pPr>
      <w:r>
        <w:t xml:space="preserve">The search is exhaustive. A stepwise search changes one term at a time and stops when no single change lowers AICc, so it stops where only a combination of changes would lower AICc further. Across the outputs of the campaign, a backward stepwise search would have stopped at a worse model for 9 of 21 outputs and a forward search for 6 (INV-002). At this step a forward search would have stopped at a worse model for XMuLV, and a backward search for MVM and for fragments. INV-002 had first refitted the failing models it did not augment by backward elimination on p-values, on the raw scale (its corrective action CA2). Corrective action CA3, adopted on 2026-09-15, replaced that refit with the selection described here.</w:t>
      </w:r>
    </w:p>
    <w:p>
      <w:pPr>
        <w:pStyle w:val="BodyText"/>
      </w:pPr>
      <w:r>
        <w:t xml:space="preserve">Where other models lie within 2 AICc units of the selected one, the selected model decides, and the other models are reported as a sensitivity (</w:t>
      </w:r>
      <w:hyperlink w:anchor="sec-near">
        <w:r>
          <w:rPr>
            <w:rStyle w:val="Hyperlink"/>
          </w:rPr>
          <w:t xml:space="preserve">Section 5.3.4</w:t>
        </w:r>
      </w:hyperlink>
      <w:r>
        <w:t xml:space="preserve">). A feature that only some of them carry is not treated as an established effect.</w:t>
      </w:r>
    </w:p>
    <w:bookmarkEnd w:id="44"/>
    <w:bookmarkStart w:id="45" w:name="the-log-scale"/>
    <w:p>
      <w:pPr>
        <w:pStyle w:val="Heading3"/>
      </w:pPr>
      <w:r>
        <w:t xml:space="preserve">3.5.3 The log scale</w:t>
      </w:r>
    </w:p>
    <w:p>
      <w:pPr>
        <w:pStyle w:val="FirstParagraph"/>
      </w:pPr>
      <w:r>
        <w:t xml:space="preserve">Pool host cell protein is the one output modelled on the log scale. Its Box-Cox λ is 0.31, with a 95 % interval from −0.25 to 0.92, which contains 0 and excludes 1. On the log scale the model is</w:t>
      </w:r>
      <w:r>
        <w:t xml:space="preserve"> </w:t>
      </w:r>
      <m:oMath>
        <m:r>
          <m:rPr>
            <m:sty m:val="p"/>
          </m:rPr>
          <m:t>ln</m:t>
        </m:r>
        <m:r>
          <m:t>y</m:t>
        </m:r>
        <m:r>
          <m:rPr>
            <m:sty m:val="p"/>
          </m:rPr>
          <m:t>=</m:t>
        </m:r>
        <m:sSub>
          <m:e>
            <m:r>
              <m:t>b</m:t>
            </m:r>
          </m:e>
          <m:sub>
            <m:r>
              <m:t>0</m:t>
            </m:r>
          </m:sub>
        </m:sSub>
        <m:r>
          <m:rPr>
            <m:sty m:val="p"/>
          </m:rPr>
          <m:t>+</m:t>
        </m:r>
        <m:sSub>
          <m:e>
            <m:r>
              <m:t>b</m:t>
            </m:r>
          </m:e>
          <m:sub>
            <m:r>
              <m:t>1</m:t>
            </m:r>
          </m:sub>
        </m:sSub>
        <m:sSub>
          <m:e>
            <m:r>
              <m:t>x</m:t>
            </m:r>
          </m:e>
          <m:sub>
            <m:r>
              <m:t>1</m:t>
            </m:r>
          </m:sub>
        </m:sSub>
        <m:r>
          <m:rPr>
            <m:sty m:val="p"/>
          </m:rPr>
          <m:t>+</m:t>
        </m:r>
        <m:sSub>
          <m:e>
            <m:r>
              <m:t>b</m:t>
            </m:r>
          </m:e>
          <m:sub>
            <m:r>
              <m:t>2</m:t>
            </m:r>
          </m:sub>
        </m:sSub>
        <m:sSub>
          <m:e>
            <m:r>
              <m:t>x</m:t>
            </m:r>
          </m:e>
          <m:sub>
            <m:r>
              <m:t>2</m:t>
            </m:r>
          </m:sub>
        </m:sSub>
        <m:r>
          <m:rPr>
            <m:sty m:val="p"/>
          </m:rPr>
          <m:t>+</m:t>
        </m:r>
        <m:r>
          <m:rPr>
            <m:sty m:val="p"/>
          </m:rPr>
          <m:t>…</m:t>
        </m:r>
        <m:r>
          <m:rPr>
            <m:sty m:val="p"/>
          </m:rPr>
          <m:t>+</m:t>
        </m:r>
        <m:r>
          <m:t>e</m:t>
        </m:r>
      </m:oMath>
      <w:r>
        <w:t xml:space="preserve">. Transformed back it is</w:t>
      </w:r>
      <w:r>
        <w:t xml:space="preserve"> </w:t>
      </w:r>
      <m:oMath>
        <m:r>
          <m:t>y</m:t>
        </m:r>
        <m:r>
          <m:rPr>
            <m:sty m:val="p"/>
          </m:rPr>
          <m:t>=</m:t>
        </m:r>
        <m:sSup>
          <m:e>
            <m:r>
              <m:t>e</m:t>
            </m:r>
          </m:e>
          <m:sup>
            <m:sSub>
              <m:e>
                <m:r>
                  <m:t>b</m:t>
                </m:r>
              </m:e>
              <m:sub>
                <m:r>
                  <m:t>0</m:t>
                </m:r>
              </m:sub>
            </m:sSub>
          </m:sup>
        </m:sSup>
        <m:r>
          <m:rPr>
            <m:sty m:val="p"/>
          </m:rPr>
          <m:t>⋅</m:t>
        </m:r>
        <m:sSup>
          <m:e>
            <m:r>
              <m:t>e</m:t>
            </m:r>
          </m:e>
          <m:sup>
            <m:sSub>
              <m:e>
                <m:r>
                  <m:t>b</m:t>
                </m:r>
              </m:e>
              <m:sub>
                <m:r>
                  <m:t>1</m:t>
                </m:r>
              </m:sub>
            </m:sSub>
            <m:sSub>
              <m:e>
                <m:r>
                  <m:t>x</m:t>
                </m:r>
              </m:e>
              <m:sub>
                <m:r>
                  <m:t>1</m:t>
                </m:r>
              </m:sub>
            </m:sSub>
          </m:sup>
        </m:sSup>
        <m:r>
          <m:rPr>
            <m:sty m:val="p"/>
          </m:rPr>
          <m:t>⋅</m:t>
        </m:r>
        <m:sSup>
          <m:e>
            <m:r>
              <m:t>e</m:t>
            </m:r>
          </m:e>
          <m:sup>
            <m:sSub>
              <m:e>
                <m:r>
                  <m:t>b</m:t>
                </m:r>
              </m:e>
              <m:sub>
                <m:r>
                  <m:t>2</m:t>
                </m:r>
              </m:sub>
            </m:sSub>
            <m:sSub>
              <m:e>
                <m:r>
                  <m:t>x</m:t>
                </m:r>
              </m:e>
              <m:sub>
                <m:r>
                  <m:t>2</m:t>
                </m:r>
              </m:sub>
            </m:sSub>
          </m:sup>
        </m:sSup>
        <m:r>
          <m:rPr>
            <m:sty m:val="p"/>
          </m:rPr>
          <m:t>⋯</m:t>
        </m:r>
        <m:sSup>
          <m:e>
            <m:r>
              <m:t>e</m:t>
            </m:r>
          </m:e>
          <m:sup>
            <m:r>
              <m:t>e</m:t>
            </m:r>
          </m:sup>
        </m:sSup>
      </m:oMath>
      <w:r>
        <w:t xml:space="preserve">. Each parameter therefore multiplies the output by a fixed factor,</w:t>
      </w:r>
      <w:r>
        <w:t xml:space="preserve"> </w:t>
      </w:r>
      <m:oMath>
        <m:sSup>
          <m:e>
            <m:r>
              <m:t>e</m:t>
            </m:r>
          </m:e>
          <m:sup>
            <m:r>
              <m:t>b</m:t>
            </m:r>
          </m:sup>
        </m:sSup>
      </m:oMath>
      <w:r>
        <w:t xml:space="preserve"> </w:t>
      </w:r>
      <w:r>
        <w:t xml:space="preserve">per coded unit and</w:t>
      </w:r>
      <w:r>
        <w:t xml:space="preserve"> </w:t>
      </w:r>
      <m:oMath>
        <m:sSup>
          <m:e>
            <m:r>
              <m:t>e</m:t>
            </m:r>
          </m:e>
          <m:sup>
            <m:r>
              <m:t>2</m:t>
            </m:r>
            <m:r>
              <m:t>b</m:t>
            </m:r>
          </m:sup>
        </m:sSup>
      </m:oMath>
      <w:r>
        <w:t xml:space="preserve"> </w:t>
      </w:r>
      <w:r>
        <w:t xml:space="preserve">from the low to the high end of its range. The error of a single run multiplies it too, so its size in ng/mg grows with the level.</w:t>
      </w:r>
    </w:p>
    <w:p>
      <w:pPr>
        <w:pStyle w:val="BodyText"/>
      </w:pPr>
      <w:r>
        <w:t xml:space="preserve">Two properties of the step and the assay make this form likely. A purification step removes a share of what is present, so a parameter changes the share and not a fixed amount. The precision of the host cell protein ELISA is a percentage of the level (9.5 %), so the scatter of the results grows with the level. Least squares, and the t-tests, F-tests and prediction intervals built on it, assume residuals that are independent and normally distributed, with mean zero and the same variance over the whole range studied. With the selected terms fitted on the raw scale, the residual standard deviation is 2.26 ng/mg in the lower half of the predictions and 3.06 ng/mg in the upper half. On the log scale the two halves give 0.144 and 0.127, about the same.</w:t>
      </w:r>
    </w:p>
    <w:p>
      <w:pPr>
        <w:pStyle w:val="BodyText"/>
      </w:pPr>
      <w:r>
        <w:t xml:space="preserve">The criterion stays in its own unit, ng/mg, and the effects are fold changes. The scale-down offset is a ratio of geometric means (</w:t>
      </w:r>
      <w:hyperlink w:anchor="sec-sdm">
        <w:r>
          <w:rPr>
            <w:rStyle w:val="Hyperlink"/>
          </w:rPr>
          <w:t xml:space="preserve">Section 3.1</w:t>
        </w:r>
      </w:hyperlink>
      <w:r>
        <w:t xml:space="preserve">). A prediction interval is calculated on the log scale and transformed back. It keeps its 95 % coverage, because the probability that</w:t>
      </w:r>
      <w:r>
        <w:t xml:space="preserve"> </w:t>
      </w:r>
      <m:oMath>
        <m:r>
          <m:rPr>
            <m:sty m:val="p"/>
          </m:rPr>
          <m:t>ln</m:t>
        </m:r>
        <m:r>
          <m:t>y</m:t>
        </m:r>
      </m:oMath>
      <w:r>
        <w:t xml:space="preserve"> </w:t>
      </w:r>
      <w:r>
        <w:t xml:space="preserve">lies between two values is the probability that</w:t>
      </w:r>
      <w:r>
        <w:t xml:space="preserve"> </w:t>
      </w:r>
      <m:oMath>
        <m:r>
          <m:t>y</m:t>
        </m:r>
      </m:oMath>
      <w:r>
        <w:t xml:space="preserve"> </w:t>
      </w:r>
      <w:r>
        <w:t xml:space="preserve">lies between their antilogs, and on the log scale the assumption of constant variance holds. The interval is asymmetric. At the least favourable combination within the NOR the predicted value is 21.9 ng/mg at manufacturing scale, and the 95 % interval of a single run runs from 16.3 to 29.4 ng/mg, 7.5 above it and 5.6 below. The predicted value is the median of the output, its geometric mean, and not its arithmetic mean. The upper prediction limit, which decides against an upper criterion, is not affected by that. Near an upper criterion, where the level is high, a raw-scale model would understate the scatter, because its residual standard deviation is pooled over all levels.</w:t>
      </w:r>
    </w:p>
    <w:bookmarkEnd w:id="45"/>
    <w:bookmarkStart w:id="46" w:name="model-adequacy"/>
    <w:p>
      <w:pPr>
        <w:pStyle w:val="Heading3"/>
      </w:pPr>
      <w:r>
        <w:t xml:space="preserve">3.5.4 Model adequacy</w:t>
      </w:r>
    </w:p>
    <w:p>
      <w:pPr>
        <w:pStyle w:val="FirstParagraph"/>
      </w:pPr>
      <w:r>
        <w:t xml:space="preserve">PCMP-001 §7.2 sets four criteria for a model to be adequate for prediction:</w:t>
      </w:r>
    </w:p>
    <w:p>
      <w:pPr>
        <w:pStyle w:val="Compact"/>
        <w:numPr>
          <w:ilvl w:val="0"/>
          <w:numId w:val="1003"/>
        </w:numPr>
      </w:pPr>
      <w:r>
        <w:t xml:space="preserve">The model F-test is significant at α = 0.05.</w:t>
      </w:r>
    </w:p>
    <w:p>
      <w:pPr>
        <w:pStyle w:val="Compact"/>
        <w:numPr>
          <w:ilvl w:val="0"/>
          <w:numId w:val="1003"/>
        </w:numPr>
      </w:pPr>
      <w:r>
        <w:t xml:space="preserve">Lack of fit against pure error is not significant at α = 0.05.</w:t>
      </w:r>
    </w:p>
    <w:p>
      <w:pPr>
        <w:pStyle w:val="Compact"/>
        <w:numPr>
          <w:ilvl w:val="0"/>
          <w:numId w:val="1003"/>
        </w:numPr>
      </w:pPr>
      <w:r>
        <w:t xml:space="preserve">Predicted R² falls short of R² by no more than 0.20, the limit on overfitting.</w:t>
      </w:r>
    </w:p>
    <w:p>
      <w:pPr>
        <w:pStyle w:val="Compact"/>
        <w:numPr>
          <w:ilvl w:val="0"/>
          <w:numId w:val="1003"/>
        </w:numPr>
      </w:pPr>
      <w:r>
        <w:t xml:space="preserve">The residuals show no pattern against the predicted values or the run order, and no single run dominates the fit.</w:t>
      </w:r>
    </w:p>
    <w:p>
      <w:pPr>
        <w:pStyle w:val="FirstParagraph"/>
      </w:pPr>
      <w:r>
        <w:t xml:space="preserve">PCMP-001 §7.2 does not say how the model F-test criterion applies to a model with no term. Such a model has no F-test, and this report reads that criterion as not applicable to it.</w:t>
      </w:r>
    </w:p>
    <w:p>
      <w:pPr>
        <w:pStyle w:val="BodyText"/>
      </w:pPr>
      <w:r>
        <w:t xml:space="preserve">The fourth criterion was tested as every Version 2.0 plan states it. The absolute residuals were regressed on the predicted values, and the residuals on the order of execution, each at α = 0.05. The runs of the second block continue the order of the first. A run with a Cook’s distance above 4/n, where n is the number of runs, was examined by deleting it and repeating the judgement over the NOR. The model fails the criterion only where a run’s Cook’s distance exceeds the median of the F distribution with p and n − p degrees of freedom, where p is the number of estimated coefficients, the intercept and the block included. Each model is reported with R², adjusted R² and predicted R², the last computed from the prediction error sum of squares</w:t>
      </w:r>
      <w:r>
        <w:t xml:space="preserve"> </w:t>
      </w:r>
      <w:r>
        <w:t xml:space="preserve">(Montgomery 2017)</w:t>
      </w:r>
      <w:r>
        <w:t xml:space="preserve">.</w:t>
      </w:r>
    </w:p>
    <w:bookmarkEnd w:id="46"/>
    <w:bookmarkStart w:id="47" w:name="judgement-over-the-nor"/>
    <w:p>
      <w:pPr>
        <w:pStyle w:val="Heading3"/>
      </w:pPr>
      <w:r>
        <w:t xml:space="preserve">3.5.5 Judgement over the NOR</w:t>
      </w:r>
    </w:p>
    <w:p>
      <w:pPr>
        <w:pStyle w:val="FirstParagraph"/>
      </w:pPr>
      <w:r>
        <w:t xml:space="preserve">A quality attribute is judged on a single batch, because its criterion applies to each batch. At every combination of NOR low, set-point and NOR high of the four multivariate parameters (81 combinations), the exact 95 % prediction interval of a single run is computed from the selected model, with the coefficient and residual uncertainty. The interval is two-sided, so its upper end is a one-sided 97.5 % limit. A quality attribute meets its criterion over the NOR when every interval lies within it at manufacturing scale. Viral clearance is judged on the mean predicted LRF at the least favourable of the 81 combinations, because viral clearance is validated at worst-case conditions (PCMP-001 §6.4). The limits of its 95 % prediction interval of a single run are given for information only. Pool host cell protein is divided by its offset before it is judged. Fragments and viral clearance have no offset and are judged as the scale-down model gives them.</w:t>
      </w:r>
    </w:p>
    <w:bookmarkEnd w:id="47"/>
    <w:bookmarkStart w:id="48" w:name="X97d03de5464c3defc8f765696088d4bdafe5375"/>
    <w:p>
      <w:pPr>
        <w:pStyle w:val="Heading3"/>
      </w:pPr>
      <w:r>
        <w:t xml:space="preserve">3.5.6 Proven acceptable ranges and the design space</w:t>
      </w:r>
    </w:p>
    <w:p>
      <w:pPr>
        <w:pStyle w:val="FirstParagraph"/>
      </w:pPr>
      <w:r>
        <w:t xml:space="preserve">Two analyses were run for each pair of a parameter and an attribute with a criterion (PCMP-001 §6.4). The first, in the column headed</w:t>
      </w:r>
      <w:r>
        <w:t xml:space="preserve"> </w:t>
      </w:r>
      <w:r>
        <w:t xml:space="preserve">“PAR (set-point)”</w:t>
      </w:r>
      <w:r>
        <w:t xml:space="preserve">, is a univariate range over which the mean prediction meets the criterion, scanned across the characterized range. The second, the NOR-propagated analysis, scans the parameter over 81 grid points while the other parameters vary within their NORs. For a quality attribute, each other parameter is drawn 2,000 times from a normal distribution centred on its set-point, with a standard deviation of one sixth of the width of its NOR, clipped to the characterized range. Each draw carries the model residual and the uncertainty of the coefficients, and the range is where the 97.5th percentile of the simulated batches stays within an upper criterion. For viral clearance the other parameters are set to each of their 27 combinations of NOR low, set-point and NOR high, and the range is where the lowest mean prediction meets the claim. A range is reported only where it is contiguous and contains the set-point, and only from an adequate model. The simulation uses a fixed seed (20240724). The NOR-propagated range is the one that supports a claim.</w:t>
      </w:r>
    </w:p>
    <w:p>
      <w:pPr>
        <w:pStyle w:val="BodyText"/>
      </w:pPr>
      <w:r>
        <w:t xml:space="preserve">The design space is drawn on a grid of 11 levels per parameter across the characterized range (14,641 points). A grid point lies inside when the 95 % prediction interval of a single run lies within the criterion for each quality attribute and the mean prediction meets the claim for each viral clearance output (PCMP-001 §6.2).</w:t>
      </w:r>
    </w:p>
    <w:bookmarkEnd w:id="48"/>
    <w:bookmarkStart w:id="49" w:name="capability-and-other-comparisons"/>
    <w:p>
      <w:pPr>
        <w:pStyle w:val="Heading3"/>
      </w:pPr>
      <w:r>
        <w:t xml:space="preserve">3.5.7 Capability and other comparisons</w:t>
      </w:r>
    </w:p>
    <w:p>
      <w:pPr>
        <w:pStyle w:val="FirstParagraph"/>
      </w:pPr>
      <w:r>
        <w:t xml:space="preserve">Capability at commercial scale is estimated from the integrated process model of the train (PCMP-001 §6.5). The model runs 2,000 simulated batches through every step, with each process parameter drawn as in the NOR-propagated analysis. It reports Cpk against each drug substance criterion and the probability that the drug substance is out of specification.</w:t>
      </w:r>
    </w:p>
    <w:p>
      <w:pPr>
        <w:pStyle w:val="BodyText"/>
      </w:pPr>
      <w:r>
        <w:t xml:space="preserve">PCP-008 §7 sets no numerical threshold for an effect of flow rate or for an effect attributed to the infectivity assay, and it leaves the approach to this report (PD-008-10). An effect of flow rate on pool host cell protein or step yield was tested by a two-sided t-test of the difference between the two ends of the range at α = 0.05, the level PCMP-001 sets for model terms, and the difference is given with its 95 % confidence interval. A spiked run was compared with the claim and with the 95 % prediction interval of a single run at the set-point from the response-surface model. An apparent effect on an LRF no larger than the repeatability of its infectivity assay is attributed to the assay. The same discrepancy records four analyses this report adds to those of the plan. They are the models within 2 AICc units of each selected model (</w:t>
      </w:r>
      <w:hyperlink w:anchor="sec-near">
        <w:r>
          <w:rPr>
            <w:rStyle w:val="Hyperlink"/>
          </w:rPr>
          <w:t xml:space="preserve">Section 5.3.4</w:t>
        </w:r>
      </w:hyperlink>
      <w:r>
        <w:t xml:space="preserve">), a test of the interaction of load pH and Equil/Wash-1 conductivity between the two designs (</w:t>
      </w:r>
      <w:hyperlink w:anchor="sec-near">
        <w:r>
          <w:rPr>
            <w:rStyle w:val="Hyperlink"/>
          </w:rPr>
          <w:t xml:space="preserve">Section 5.3.4</w:t>
        </w:r>
      </w:hyperlink>
      <w:r>
        <w:t xml:space="preserve">), the sensitivity of the verification bound to the offset (</w:t>
      </w:r>
      <w:hyperlink w:anchor="sec-verification">
        <w:r>
          <w:rPr>
            <w:rStyle w:val="Hyperlink"/>
          </w:rPr>
          <w:t xml:space="preserve">Section 7.5</w:t>
        </w:r>
      </w:hyperlink>
      <w:r>
        <w:t xml:space="preserve">) and the deletion of each screening run in turn (</w:t>
      </w:r>
      <w:hyperlink w:anchor="sec-dev03">
        <w:r>
          <w:rPr>
            <w:rStyle w:val="Hyperlink"/>
          </w:rPr>
          <w:t xml:space="preserve">Section 13.1.3</w:t>
        </w:r>
      </w:hyperlink>
      <w:r>
        <w:t xml:space="preserve">).</w:t>
      </w:r>
    </w:p>
    <w:bookmarkEnd w:id="49"/>
    <w:bookmarkEnd w:id="50"/>
    <w:bookmarkEnd w:id="51"/>
    <w:bookmarkStart w:id="58" w:name="sec-design"/>
    <w:p>
      <w:pPr>
        <w:pStyle w:val="Heading1"/>
      </w:pPr>
      <w:r>
        <w:t xml:space="preserve">4. Study design</w:t>
      </w:r>
    </w:p>
    <w:p>
      <w:pPr>
        <w:pStyle w:val="FirstParagraph"/>
      </w:pPr>
      <w:hyperlink w:anchor="tbl-studies">
        <w:r>
          <w:rPr>
            <w:rStyle w:val="Hyperlink"/>
          </w:rPr>
          <w:t xml:space="preserve">Table 7</w:t>
        </w:r>
      </w:hyperlink>
      <w:r>
        <w:t xml:space="preserve"> </w:t>
      </w:r>
      <w:r>
        <w:t xml:space="preserve">gives the execution window of every study of this step. The augmentation was made during the Version 2.0 re-analysis, after Version 1.0 of this report had been approved on 2026-07-24, and every other study ended before that date.</w:t>
      </w:r>
    </w:p>
    <w:tbl>
      <w:tblPr>
        <w:tblStyle w:val="Table"/>
        <w:tblW w:type="pct" w:w="5000"/>
        <w:tblLayout w:type="fixed"/>
        <w:tblLook w:firstRow="0" w:lastRow="0" w:firstColumn="0" w:lastColumn="0" w:noHBand="0" w:noVBand="0" w:val="0000"/>
      </w:tblPr>
      <w:tblGrid>
        <w:gridCol w:w="7920"/>
      </w:tblGrid>
      <w:tr>
        <w:tc>
          <w:tcPr/>
          <w:bookmarkStart w:id="52" w:name="tbl-studies"/>
          <w:p>
            <w:pPr>
              <w:jc w:val="center"/>
            </w:pPr>
            <w:pPr>
              <w:jc w:val="start"/>
              <w:spacing w:before="200"/>
              <w:pStyle w:val="ImageCaption"/>
            </w:pPr>
            <w:r>
              <w:t xml:space="preserve">Table 7: Execution windows of the studies of the anion exchange step.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Period</w:t>
                  </w:r>
                </w:p>
              </w:tc>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vMerge w:val="restart"/>
                </w:tcPr>
                <w:p>
                  <w:pPr>
                    <w:pStyle w:val="Compact"/>
                    <w:jc w:val="center"/>
                  </w:pPr>
                  <w:r>
                    <w:t xml:space="preserve">Characterization</w:t>
                  </w:r>
                </w:p>
              </w:tc>
              <w:tc>
                <w:tcPr/>
                <w:p>
                  <w:pPr>
                    <w:pStyle w:val="Compact"/>
                    <w:jc w:val="center"/>
                  </w:pPr>
                  <w:r>
                    <w:t xml:space="preserve">S-AEX-SDM</w:t>
                  </w:r>
                </w:p>
              </w:tc>
              <w:tc>
                <w:tcPr/>
                <w:p>
                  <w:pPr>
                    <w:pStyle w:val="Compact"/>
                    <w:jc w:val="center"/>
                  </w:pPr>
                  <w:r>
                    <w:t xml:space="preserve">Scale-down model qualification</w:t>
                  </w:r>
                </w:p>
              </w:tc>
              <w:tc>
                <w:tcPr/>
                <w:p>
                  <w:pPr>
                    <w:pStyle w:val="Compact"/>
                    <w:jc w:val="center"/>
                  </w:pPr>
                  <w:r>
                    <w:t xml:space="preserve">2026-02-04</w:t>
                  </w:r>
                </w:p>
              </w:tc>
              <w:tc>
                <w:tcPr/>
                <w:p>
                  <w:pPr>
                    <w:pStyle w:val="Compact"/>
                    <w:jc w:val="center"/>
                  </w:pPr>
                  <w:r>
                    <w:t xml:space="preserve">2026-02-13</w:t>
                  </w:r>
                </w:p>
              </w:tc>
            </w:tr>
            <w:tr>
              <w:tc>
                <w:tcPr>
                  <w:gridSpan w:val="1"/>
                  <w:vMerge w:val="continue"/>
                </w:tcPr>
                <w:p>
                  <w:pPr/>
                </w:p>
              </w:tc>
              <w:tc>
                <w:tcPr/>
                <w:p>
                  <w:pPr>
                    <w:pStyle w:val="Compact"/>
                    <w:jc w:val="center"/>
                  </w:pPr>
                  <w:r>
                    <w:t xml:space="preserve">S-AEX-SUP</w:t>
                  </w:r>
                </w:p>
              </w:tc>
              <w:tc>
                <w:tcPr/>
                <w:p>
                  <w:pPr>
                    <w:pStyle w:val="Compact"/>
                    <w:jc w:val="center"/>
                  </w:pPr>
                  <w:r>
                    <w:t xml:space="preserve">Screening and response-surface designs, first execution, invalidated (DEV-008-01)</w:t>
                  </w:r>
                </w:p>
              </w:tc>
              <w:tc>
                <w:tcPr/>
                <w:p>
                  <w:pPr>
                    <w:pStyle w:val="Compact"/>
                    <w:jc w:val="center"/>
                  </w:pPr>
                  <w:r>
                    <w:t xml:space="preserve">2026-02-16</w:t>
                  </w:r>
                </w:p>
              </w:tc>
              <w:tc>
                <w:tcPr/>
                <w:p>
                  <w:pPr>
                    <w:pStyle w:val="Compact"/>
                    <w:jc w:val="center"/>
                  </w:pPr>
                  <w:r>
                    <w:t xml:space="preserve">2026-03-04</w:t>
                  </w:r>
                </w:p>
              </w:tc>
            </w:tr>
            <w:tr>
              <w:tc>
                <w:tcPr>
                  <w:gridSpan w:val="1"/>
                  <w:vMerge w:val="continue"/>
                </w:tcPr>
                <w:p>
                  <w:pPr/>
                </w:p>
              </w:tc>
              <w:tc>
                <w:tcPr/>
                <w:p>
                  <w:pPr>
                    <w:pStyle w:val="Compact"/>
                    <w:jc w:val="center"/>
                  </w:pPr>
                  <w:r>
                    <w:t xml:space="preserve">S-AEX-SCR</w:t>
                  </w:r>
                </w:p>
              </w:tc>
              <w:tc>
                <w:tcPr/>
                <w:p>
                  <w:pPr>
                    <w:pStyle w:val="Compact"/>
                    <w:jc w:val="center"/>
                  </w:pPr>
                  <w:r>
                    <w:t xml:space="preserve">Screening design</w:t>
                  </w:r>
                </w:p>
              </w:tc>
              <w:tc>
                <w:tcPr/>
                <w:p>
                  <w:pPr>
                    <w:pStyle w:val="Compact"/>
                    <w:jc w:val="center"/>
                  </w:pPr>
                  <w:r>
                    <w:t xml:space="preserve">2026-03-23</w:t>
                  </w:r>
                </w:p>
              </w:tc>
              <w:tc>
                <w:tcPr/>
                <w:p>
                  <w:pPr>
                    <w:pStyle w:val="Compact"/>
                    <w:jc w:val="center"/>
                  </w:pPr>
                  <w:r>
                    <w:t xml:space="preserve">2026-03-31</w:t>
                  </w:r>
                </w:p>
              </w:tc>
            </w:tr>
            <w:tr>
              <w:tc>
                <w:tcPr>
                  <w:gridSpan w:val="1"/>
                  <w:vMerge w:val="continue"/>
                </w:tcPr>
                <w:p>
                  <w:pPr/>
                </w:p>
              </w:tc>
              <w:tc>
                <w:tcPr/>
                <w:p>
                  <w:pPr>
                    <w:pStyle w:val="Compact"/>
                    <w:jc w:val="center"/>
                  </w:pPr>
                  <w:r>
                    <w:t xml:space="preserve">S-AEX-RSM</w:t>
                  </w:r>
                </w:p>
              </w:tc>
              <w:tc>
                <w:tcPr/>
                <w:p>
                  <w:pPr>
                    <w:pStyle w:val="Compact"/>
                    <w:jc w:val="center"/>
                  </w:pPr>
                  <w:r>
                    <w:t xml:space="preserve">Response-surface design</w:t>
                  </w:r>
                </w:p>
              </w:tc>
              <w:tc>
                <w:tcPr/>
                <w:p>
                  <w:pPr>
                    <w:pStyle w:val="Compact"/>
                    <w:jc w:val="center"/>
                  </w:pPr>
                  <w:r>
                    <w:t xml:space="preserve">2026-04-01</w:t>
                  </w:r>
                </w:p>
              </w:tc>
              <w:tc>
                <w:tcPr/>
                <w:p>
                  <w:pPr>
                    <w:pStyle w:val="Compact"/>
                    <w:jc w:val="center"/>
                  </w:pPr>
                  <w:r>
                    <w:t xml:space="preserve">2026-04-10</w:t>
                  </w:r>
                </w:p>
              </w:tc>
            </w:tr>
            <w:tr>
              <w:tc>
                <w:tcPr>
                  <w:gridSpan w:val="1"/>
                  <w:vMerge w:val="continue"/>
                </w:tcPr>
                <w:p>
                  <w:pPr/>
                </w:p>
              </w:tc>
              <w:tc>
                <w:tcPr/>
                <w:p>
                  <w:pPr>
                    <w:pStyle w:val="Compact"/>
                    <w:jc w:val="center"/>
                  </w:pPr>
                  <w:r>
                    <w:t xml:space="preserve">S-AEX-UNI</w:t>
                  </w:r>
                </w:p>
              </w:tc>
              <w:tc>
                <w:tcPr/>
                <w:p>
                  <w:pPr>
                    <w:pStyle w:val="Compact"/>
                    <w:jc w:val="center"/>
                  </w:pPr>
                  <w:r>
                    <w:t xml:space="preserve">Univariate assessment of operating flow rate</w:t>
                  </w:r>
                </w:p>
              </w:tc>
              <w:tc>
                <w:tcPr/>
                <w:p>
                  <w:pPr>
                    <w:pStyle w:val="Compact"/>
                    <w:jc w:val="center"/>
                  </w:pPr>
                  <w:r>
                    <w:t xml:space="preserve">2026-04-13</w:t>
                  </w:r>
                </w:p>
              </w:tc>
              <w:tc>
                <w:tcPr/>
                <w:p>
                  <w:pPr>
                    <w:pStyle w:val="Compact"/>
                    <w:jc w:val="center"/>
                  </w:pPr>
                  <w:r>
                    <w:t xml:space="preserve">2026-04-17</w:t>
                  </w:r>
                </w:p>
              </w:tc>
            </w:tr>
            <w:tr>
              <w:tc>
                <w:tcPr/>
                <w:p>
                  <w:pPr>
                    <w:pStyle w:val="Compact"/>
                    <w:jc w:val="center"/>
                  </w:pPr>
                  <w:r>
                    <w:t xml:space="preserve">Version 2.0 re-analysis</w:t>
                  </w:r>
                </w:p>
              </w:tc>
              <w:tc>
                <w:tcPr/>
                <w:p>
                  <w:pPr>
                    <w:pStyle w:val="Compact"/>
                    <w:jc w:val="center"/>
                  </w:pPr>
                  <w:r>
                    <w:t xml:space="preserve">S-AEX-AUG</w:t>
                  </w:r>
                </w:p>
              </w:tc>
              <w:tc>
                <w:tcPr/>
                <w:p>
                  <w:pPr>
                    <w:pStyle w:val="Compact"/>
                    <w:jc w:val="center"/>
                  </w:pPr>
                  <w:r>
                    <w:t xml:space="preserve">Augmentation of the response-surface design (PD-008-01)</w:t>
                  </w:r>
                </w:p>
              </w:tc>
              <w:tc>
                <w:tcPr/>
                <w:p>
                  <w:pPr>
                    <w:pStyle w:val="Compact"/>
                    <w:jc w:val="center"/>
                  </w:pPr>
                  <w:r>
                    <w:t xml:space="preserve">2026-09-10</w:t>
                  </w:r>
                </w:p>
              </w:tc>
              <w:tc>
                <w:tcPr/>
                <w:p>
                  <w:pPr>
                    <w:pStyle w:val="Compact"/>
                    <w:jc w:val="center"/>
                  </w:pPr>
                  <w:r>
                    <w:t xml:space="preserve">2026-09-24</w:t>
                  </w:r>
                </w:p>
              </w:tc>
            </w:tr>
          </w:tbl>
          <w:bookmarkEnd w:id="52"/>
          <w:p/>
        </w:tc>
      </w:tr>
    </w:tbl>
    <w:bookmarkStart w:id="54" w:name="sec-factors"/>
    <w:p>
      <w:pPr>
        <w:pStyle w:val="Heading2"/>
      </w:pPr>
      <w:r>
        <w:t xml:space="preserve">4.1 Factors, ranges and the knowledge space</w:t>
      </w:r>
    </w:p>
    <w:p>
      <w:pPr>
        <w:pStyle w:val="FirstParagraph"/>
      </w:pPr>
      <w:hyperlink w:anchor="tbl-params">
        <w:r>
          <w:rPr>
            <w:rStyle w:val="Hyperlink"/>
          </w:rPr>
          <w:t xml:space="preserve">Table 8</w:t>
        </w:r>
      </w:hyperlink>
      <w:r>
        <w:t xml:space="preserve"> </w:t>
      </w:r>
      <w:r>
        <w:t xml:space="preserve">lists the parameters with their set-points, NORs and characterized ranges, the study type RA-001 assigned and the letter code of each multivariate parameter. The characterized range is wider than the NOR at both ends for every parameter. The edge of the operating region therefore lies inside the data, and a proven acceptable range is claimed only over settings that were run</w:t>
      </w:r>
      <w:r>
        <w:t xml:space="preserve"> </w:t>
      </w:r>
      <w:r>
        <w:t xml:space="preserve">(CMC Biotech Working Group 2009)</w:t>
      </w:r>
      <w:r>
        <w:t xml:space="preserve">.</w:t>
      </w:r>
    </w:p>
    <w:tbl>
      <w:tblPr>
        <w:tblStyle w:val="Table"/>
        <w:tblW w:type="pct" w:w="5000"/>
        <w:tblLayout w:type="fixed"/>
        <w:tblLook w:firstRow="0" w:lastRow="0" w:firstColumn="0" w:lastColumn="0" w:noHBand="0" w:noVBand="0" w:val="0000"/>
      </w:tblPr>
      <w:tblGrid>
        <w:gridCol w:w="7920"/>
      </w:tblGrid>
      <w:tr>
        <w:tc>
          <w:tcPr/>
          <w:bookmarkStart w:id="53" w:name="tbl-params"/>
          <w:p>
            <w:pPr>
              <w:jc w:val="center"/>
            </w:pPr>
            <w:pPr>
              <w:jc w:val="start"/>
              <w:spacing w:before="200"/>
              <w:pStyle w:val="ImageCaption"/>
            </w:pPr>
            <w:r>
              <w:t xml:space="preserve">Table 8: Parameters, ranges and study type for the anion exchange characterization.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Study type</w:t>
                  </w:r>
                </w:p>
              </w:tc>
              <w:tc>
                <w:tcPr/>
                <w:p>
                  <w:pPr>
                    <w:pStyle w:val="Compact"/>
                    <w:jc w:val="center"/>
                  </w:pPr>
                  <w:r>
                    <w:t xml:space="preserve">Code</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Characterized</w:t>
                  </w:r>
                  <w:r>
                    <w:br/>
                  </w:r>
                  <w:r>
                    <w:t xml:space="preserve">range</w:t>
                  </w:r>
                </w:p>
              </w:tc>
            </w:tr>
            <w:tr>
              <w:tc>
                <w:tcPr>
                  <w:vMerge w:val="restart"/>
                </w:tcPr>
                <w:p>
                  <w:pPr>
                    <w:pStyle w:val="Compact"/>
                    <w:jc w:val="center"/>
                  </w:pPr>
                  <w:r>
                    <w:t xml:space="preserve">Designed experiments</w:t>
                  </w:r>
                </w:p>
              </w:tc>
              <w:tc>
                <w:tcPr/>
                <w:p>
                  <w:pPr>
                    <w:pStyle w:val="Compact"/>
                    <w:jc w:val="center"/>
                  </w:pPr>
                  <w:r>
                    <w:t xml:space="preserve">A</w:t>
                  </w:r>
                </w:p>
              </w:tc>
              <w:tc>
                <w:tcPr/>
                <w:p>
                  <w:pPr>
                    <w:pStyle w:val="Compact"/>
                    <w:jc w:val="center"/>
                  </w:pPr>
                  <w:r>
                    <w:t xml:space="preserve">Load pH</w:t>
                  </w:r>
                </w:p>
              </w:tc>
              <w:tc>
                <w:tcPr/>
                <w:p>
                  <w:pPr>
                    <w:pStyle w:val="Compact"/>
                    <w:jc w:val="center"/>
                  </w:pPr>
                  <w:r>
                    <w:t xml:space="preserve">pH</w:t>
                  </w:r>
                </w:p>
              </w:tc>
              <w:tc>
                <w:tcPr/>
                <w:p>
                  <w:pPr>
                    <w:pStyle w:val="Compact"/>
                    <w:jc w:val="center"/>
                  </w:pPr>
                  <w:r>
                    <w:t xml:space="preserve">7.5</w:t>
                  </w:r>
                </w:p>
              </w:tc>
              <w:tc>
                <w:tcPr/>
                <w:p>
                  <w:pPr>
                    <w:pStyle w:val="Compact"/>
                    <w:jc w:val="center"/>
                  </w:pPr>
                  <w:r>
                    <w:t xml:space="preserve">7.35–7.65</w:t>
                  </w:r>
                </w:p>
              </w:tc>
              <w:tc>
                <w:tcPr/>
                <w:p>
                  <w:pPr>
                    <w:pStyle w:val="Compact"/>
                    <w:jc w:val="center"/>
                  </w:pPr>
                  <w:r>
                    <w:t xml:space="preserve">7.2–7.8</w:t>
                  </w:r>
                </w:p>
              </w:tc>
            </w:tr>
            <w:tr>
              <w:tc>
                <w:tcPr>
                  <w:gridSpan w:val="1"/>
                  <w:vMerge w:val="continue"/>
                </w:tcPr>
                <w:p>
                  <w:pPr/>
                </w:p>
              </w:tc>
              <w:tc>
                <w:tcPr/>
                <w:p>
                  <w:pPr>
                    <w:pStyle w:val="Compact"/>
                    <w:jc w:val="center"/>
                  </w:pPr>
                  <w:r>
                    <w:t xml:space="preserve">B</w:t>
                  </w:r>
                </w:p>
              </w:tc>
              <w:tc>
                <w:tcPr/>
                <w:p>
                  <w:pPr>
                    <w:pStyle w:val="Compact"/>
                    <w:jc w:val="center"/>
                  </w:pPr>
                  <w:r>
                    <w:t xml:space="preserve">Equil/Wash-1 conductivity</w:t>
                  </w:r>
                </w:p>
              </w:tc>
              <w:tc>
                <w:tcPr/>
                <w:p>
                  <w:pPr>
                    <w:pStyle w:val="Compact"/>
                    <w:jc w:val="center"/>
                  </w:pPr>
                  <w:r>
                    <w:t xml:space="preserve">mS/cm</w:t>
                  </w:r>
                </w:p>
              </w:tc>
              <w:tc>
                <w:tcPr/>
                <w:p>
                  <w:pPr>
                    <w:pStyle w:val="Compact"/>
                    <w:jc w:val="center"/>
                  </w:pPr>
                  <w:r>
                    <w:t xml:space="preserve">2.6</w:t>
                  </w:r>
                </w:p>
              </w:tc>
              <w:tc>
                <w:tcPr/>
                <w:p>
                  <w:pPr>
                    <w:pStyle w:val="Compact"/>
                    <w:jc w:val="center"/>
                  </w:pPr>
                  <w:r>
                    <w:t xml:space="preserve">2.1–3.1</w:t>
                  </w:r>
                </w:p>
              </w:tc>
              <w:tc>
                <w:tcPr/>
                <w:p>
                  <w:pPr>
                    <w:pStyle w:val="Compact"/>
                    <w:jc w:val="center"/>
                  </w:pPr>
                  <w:r>
                    <w:t xml:space="preserve">1.6–3.6</w:t>
                  </w:r>
                </w:p>
              </w:tc>
            </w:tr>
            <w:tr>
              <w:tc>
                <w:tcPr>
                  <w:gridSpan w:val="1"/>
                  <w:vMerge w:val="continue"/>
                </w:tcPr>
                <w:p>
                  <w:pPr/>
                </w:p>
              </w:tc>
              <w:tc>
                <w:tcPr/>
                <w:p>
                  <w:pPr>
                    <w:pStyle w:val="Compact"/>
                    <w:jc w:val="center"/>
                  </w:pPr>
                  <w:r>
                    <w:t xml:space="preserve">C</w:t>
                  </w:r>
                </w:p>
              </w:tc>
              <w:tc>
                <w:tcPr/>
                <w:p>
                  <w:pPr>
                    <w:pStyle w:val="Compact"/>
                    <w:jc w:val="center"/>
                  </w:pPr>
                  <w:r>
                    <w:t xml:space="preserve">Load conductivity</w:t>
                  </w:r>
                </w:p>
              </w:tc>
              <w:tc>
                <w:tcPr/>
                <w:p>
                  <w:pPr>
                    <w:pStyle w:val="Compact"/>
                    <w:jc w:val="center"/>
                  </w:pPr>
                  <w:r>
                    <w:t xml:space="preserve">mS/cm</w:t>
                  </w:r>
                </w:p>
              </w:tc>
              <w:tc>
                <w:tcPr/>
                <w:p>
                  <w:pPr>
                    <w:pStyle w:val="Compact"/>
                    <w:jc w:val="center"/>
                  </w:pPr>
                  <w:r>
                    <w:t xml:space="preserve">5.5</w:t>
                  </w:r>
                </w:p>
              </w:tc>
              <w:tc>
                <w:tcPr/>
                <w:p>
                  <w:pPr>
                    <w:pStyle w:val="Compact"/>
                    <w:jc w:val="center"/>
                  </w:pPr>
                  <w:r>
                    <w:t xml:space="preserve">4–7</w:t>
                  </w:r>
                </w:p>
              </w:tc>
              <w:tc>
                <w:tcPr/>
                <w:p>
                  <w:pPr>
                    <w:pStyle w:val="Compact"/>
                    <w:jc w:val="center"/>
                  </w:pPr>
                  <w:r>
                    <w:t xml:space="preserve">3–8</w:t>
                  </w:r>
                </w:p>
              </w:tc>
            </w:tr>
            <w:tr>
              <w:tc>
                <w:tcPr>
                  <w:gridSpan w:val="1"/>
                  <w:vMerge w:val="continue"/>
                </w:tcPr>
                <w:p>
                  <w:pPr/>
                </w:p>
              </w:tc>
              <w:tc>
                <w:tcPr/>
                <w:p>
                  <w:pPr>
                    <w:pStyle w:val="Compact"/>
                    <w:jc w:val="center"/>
                  </w:pPr>
                  <w:r>
                    <w:t xml:space="preserve">D</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200</w:t>
                  </w:r>
                </w:p>
              </w:tc>
              <w:tc>
                <w:tcPr/>
                <w:p>
                  <w:pPr>
                    <w:pStyle w:val="Compact"/>
                    <w:jc w:val="center"/>
                  </w:pPr>
                  <w:r>
                    <w:t xml:space="preserve">120–280</w:t>
                  </w:r>
                </w:p>
              </w:tc>
              <w:tc>
                <w:tcPr/>
                <w:p>
                  <w:pPr>
                    <w:pStyle w:val="Compact"/>
                    <w:jc w:val="center"/>
                  </w:pPr>
                  <w:r>
                    <w:t xml:space="preserve">50–300</w:t>
                  </w:r>
                </w:p>
              </w:tc>
            </w:tr>
            <w:tr>
              <w:tc>
                <w:tcPr/>
                <w:p>
                  <w:pPr>
                    <w:pStyle w:val="Compact"/>
                    <w:jc w:val="center"/>
                  </w:pPr>
                  <w:r>
                    <w:t xml:space="preserve">One factor at a time</w:t>
                  </w:r>
                </w:p>
              </w:tc>
              <w:tc>
                <w:tcPr/>
                <w:p>
                  <w:pPr>
                    <w:pStyle w:val="Compact"/>
                    <w:jc w:val="center"/>
                  </w:pPr>
                  <w:r>
                    <w:t xml:space="preserve">–</w:t>
                  </w:r>
                </w:p>
              </w:tc>
              <w:tc>
                <w:tcPr/>
                <w:p>
                  <w:pPr>
                    <w:pStyle w:val="Compact"/>
                    <w:jc w:val="center"/>
                  </w:pPr>
                  <w:r>
                    <w:t xml:space="preserve">Operating flow rate</w:t>
                  </w:r>
                </w:p>
              </w:tc>
              <w:tc>
                <w:tcPr/>
                <w:p>
                  <w:pPr>
                    <w:pStyle w:val="Compact"/>
                    <w:jc w:val="center"/>
                  </w:pPr>
                  <w:r>
                    <w:t xml:space="preserve">cm/hr</w:t>
                  </w:r>
                </w:p>
              </w:tc>
              <w:tc>
                <w:tcPr/>
                <w:p>
                  <w:pPr>
                    <w:pStyle w:val="Compact"/>
                    <w:jc w:val="center"/>
                  </w:pPr>
                  <w:r>
                    <w:t xml:space="preserve">300</w:t>
                  </w:r>
                </w:p>
              </w:tc>
              <w:tc>
                <w:tcPr/>
                <w:p>
                  <w:pPr>
                    <w:pStyle w:val="Compact"/>
                    <w:jc w:val="center"/>
                  </w:pPr>
                  <w:r>
                    <w:t xml:space="preserve">200–400</w:t>
                  </w:r>
                </w:p>
              </w:tc>
              <w:tc>
                <w:tcPr/>
                <w:p>
                  <w:pPr>
                    <w:pStyle w:val="Compact"/>
                    <w:jc w:val="center"/>
                  </w:pPr>
                  <w:r>
                    <w:t xml:space="preserve">150–450</w:t>
                  </w:r>
                </w:p>
              </w:tc>
            </w:tr>
          </w:tbl>
          <w:bookmarkEnd w:id="53"/>
          <w:p/>
        </w:tc>
      </w:tr>
    </w:tbl>
    <w:p>
      <w:pPr>
        <w:pStyle w:val="BodyText"/>
      </w:pPr>
      <w:r>
        <w:t xml:space="preserve">The load pH range lies below the pH at which a fraction of the antibody would begin to bind and yield would fall. The range of Equil/Wash-1 conductivity reflects the spread that buffer preparation and column equilibration can produce, and the range of load conductivity reflects what the preceding step delivers (PCP-008 §6.1). The centre points of both designs, and the axial runs of the response-surface design on every parameter they do not vary, sit at coded 0, the middle of each characterized range (</w:t>
      </w:r>
      <w:hyperlink w:anchor="sec-stats">
        <w:r>
          <w:rPr>
            <w:rStyle w:val="Hyperlink"/>
          </w:rPr>
          <w:t xml:space="preserve">Section 3.5</w:t>
        </w:r>
      </w:hyperlink>
      <w:r>
        <w:t xml:space="preserve">). For protein load that is 175 g/L resin, below the set-point of 200 g/L resin, because the characterized range of protein load extends further below its set-point than above it.</w:t>
      </w:r>
    </w:p>
    <w:bookmarkEnd w:id="54"/>
    <w:bookmarkStart w:id="55" w:name="sec-screening-design"/>
    <w:p>
      <w:pPr>
        <w:pStyle w:val="Heading2"/>
      </w:pPr>
      <w:r>
        <w:t xml:space="preserve">4.2 Screening design</w:t>
      </w:r>
    </w:p>
    <w:p>
      <w:pPr>
        <w:pStyle w:val="FirstParagraph"/>
      </w:pPr>
      <w:r>
        <w:t xml:space="preserve">The four multivariate parameters were studied in a two-level full factorial design of 16 runs with 3 centre points, 19 runs in all (study S-AEX-SCR, 2026-03-23 to 2026-03-31). A full factorial in four parameters estimates every main effect and every two-factor interaction without confounding, which the expected interaction of load pH and Equil/Wash-1 conductivity requires. The centre points estimate pure error and give a test for curvature. The runs were executed in randomized order on load lot LOT-CEX-8851 (Appendix A).</w:t>
      </w:r>
    </w:p>
    <w:bookmarkEnd w:id="55"/>
    <w:bookmarkStart w:id="56" w:name="sec-rsm-design"/>
    <w:p>
      <w:pPr>
        <w:pStyle w:val="Heading2"/>
      </w:pPr>
      <w:r>
        <w:t xml:space="preserve">4.3 Response-surface design</w:t>
      </w:r>
    </w:p>
    <w:p>
      <w:pPr>
        <w:pStyle w:val="FirstParagraph"/>
      </w:pPr>
      <w:r>
        <w:t xml:space="preserve">The same parameters were studied in a face-centred central composite design of 28 runs (study S-AEX-RSM, 2026-04-01 to 2026-04-10), on the same load lot. The design adds 8 axial runs at the faces of the cube to the 16 factorial runs and 4 centre points, so every run lies inside the characterized range. Its quadratic terms allow for clearance that rises more steeply over part of the load pH range (Appendix B).</w:t>
      </w:r>
    </w:p>
    <w:p>
      <w:pPr>
        <w:pStyle w:val="BodyText"/>
      </w:pPr>
      <w:r>
        <w:t xml:space="preserve">In September 2026 the design was augmented by 12 runs in a D-optimal augmentation</w:t>
      </w:r>
      <w:r>
        <w:t xml:space="preserve"> </w:t>
      </w:r>
      <w:r>
        <w:t xml:space="preserve">(Fedorov 1972)</w:t>
      </w:r>
      <w:r>
        <w:t xml:space="preserve">, study S-AEX-AUG (2026-09-10 to 2026-09-24), executed as a second block and numbered 29 to 40. INV-002 decided its rule on 2026-09-02, before any new run. It calculated the number of runs as the smallest augmentation that gives a probability of at least 0.90 that the plan’s full quadratic model of pool host cell protein, with a block term and fitted on all runs, meets two criteria of PCMP-001 §7.2, the lack of fit test and the limit on overfitting. The plan did not foresee the augmentation, and it is recorded as the discrepancy PD-008-01 (</w:t>
      </w:r>
      <w:hyperlink w:anchor="sec-discrepancies">
        <w:r>
          <w:rPr>
            <w:rStyle w:val="Hyperlink"/>
          </w:rPr>
          <w:t xml:space="preserve">Section 13.2</w:t>
        </w:r>
      </w:hyperlink>
      <w:r>
        <w:t xml:space="preserve">).</w:t>
      </w:r>
    </w:p>
    <w:bookmarkEnd w:id="56"/>
    <w:bookmarkStart w:id="57" w:name="sec-uni-design"/>
    <w:p>
      <w:pPr>
        <w:pStyle w:val="Heading2"/>
      </w:pPr>
      <w:r>
        <w:t xml:space="preserve">4.4 Univariate assessment</w:t>
      </w:r>
    </w:p>
    <w:p>
      <w:pPr>
        <w:pStyle w:val="FirstParagraph"/>
      </w:pPr>
      <w:r>
        <w:t xml:space="preserve">Operating flow rate was assessed one factor at a time, with the other parameters at their set-points as PCP-008 §6.4 sets (study S-AEX-UNI, 2026-04-13 to 2026-04-17). Each end of its characterized range, 150 and 450 cm/hr, was run in duplicate, and pool host cell protein and step yield were measured on each run. One spiked run at the upper end, the shortest residence time, measured the LRFs of both viruses. PCP-008 §6.4 planned the low, the centre and the high setting. No run was made at the centre, and the qualification runs at set-point serve as the reference (PD-008-03). A univariate assessment cannot resolve an interaction between flow rate and another parameter. Its claims therefore rest on the assumption that the effect of flow rate does not depend on where the other parameters sit.</w:t>
      </w:r>
    </w:p>
    <w:bookmarkEnd w:id="57"/>
    <w:bookmarkEnd w:id="58"/>
    <w:bookmarkStart w:id="102" w:name="sec-results"/>
    <w:p>
      <w:pPr>
        <w:pStyle w:val="Heading1"/>
      </w:pPr>
      <w:r>
        <w:t xml:space="preserve">5. Results</w:t>
      </w:r>
    </w:p>
    <w:bookmarkStart w:id="60" w:name="sec-centre"/>
    <w:p>
      <w:pPr>
        <w:pStyle w:val="Heading2"/>
      </w:pPr>
      <w:r>
        <w:t xml:space="preserve">5.1 Centre-point performance and reproducibility</w:t>
      </w:r>
    </w:p>
    <w:p>
      <w:pPr>
        <w:pStyle w:val="FirstParagraph"/>
      </w:pPr>
      <w:hyperlink w:anchor="tbl-centre">
        <w:r>
          <w:rPr>
            <w:rStyle w:val="Hyperlink"/>
          </w:rPr>
          <w:t xml:space="preserve">Table 9</w:t>
        </w:r>
      </w:hyperlink>
      <w:r>
        <w:t xml:space="preserve"> </w:t>
      </w:r>
      <w:r>
        <w:t xml:space="preserve">gives the mean and the spread of the centre points of both designs. Pool host cell protein is the least precise output in relative terms. Its coefficient of variation in the response-surface design is 18.2 %, against a precision of the ELISA of 9.5 %. The standard deviations of the LRFs at the centre point, 0.445 log10 for XMuLV and 0.336 log10 for MVM, are larger than the repeatability of the infectivity assays, 0.3 and 0.32 log10.</w:t>
      </w:r>
    </w:p>
    <w:tbl>
      <w:tblPr>
        <w:tblStyle w:val="Table"/>
        <w:tblW w:type="pct" w:w="5000"/>
        <w:tblLayout w:type="fixed"/>
        <w:tblLook w:firstRow="0" w:lastRow="0" w:firstColumn="0" w:lastColumn="0" w:noHBand="0" w:noVBand="0" w:val="0000"/>
      </w:tblPr>
      <w:tblGrid>
        <w:gridCol w:w="7920"/>
      </w:tblGrid>
      <w:tr>
        <w:tc>
          <w:tcPr/>
          <w:bookmarkStart w:id="59" w:name="tbl-centre"/>
          <w:p>
            <w:pPr>
              <w:jc w:val="center"/>
            </w:pPr>
            <w:pPr>
              <w:jc w:val="start"/>
              <w:spacing w:before="200"/>
              <w:pStyle w:val="ImageCaption"/>
            </w:pPr>
            <w:r>
              <w:t xml:space="preserve">Table 9: Centre-point reproducibility of the anion exchange designs.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Design</w:t>
                  </w:r>
                </w:p>
              </w:tc>
              <w:tc>
                <w:tcPr/>
                <w:p>
                  <w:pPr>
                    <w:pStyle w:val="Compact"/>
                    <w:jc w:val="center"/>
                  </w:pPr>
                  <w:r>
                    <w:t xml:space="preserve">Output</w:t>
                  </w:r>
                </w:p>
              </w:tc>
              <w:tc>
                <w:tcPr/>
                <w:p>
                  <w:pPr>
                    <w:pStyle w:val="Compact"/>
                    <w:jc w:val="center"/>
                  </w:pPr>
                  <w:r>
                    <w:t xml:space="preserve">Centre</w:t>
                  </w:r>
                  <w:r>
                    <w:br/>
                  </w:r>
                  <w:r>
                    <w:t xml:space="preserve">runs</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 (%)</w:t>
                  </w:r>
                </w:p>
              </w:tc>
            </w:tr>
            <w:tr>
              <w:tc>
                <w:tcPr>
                  <w:vMerge w:val="restart"/>
                </w:tcPr>
                <w:p>
                  <w:pPr>
                    <w:pStyle w:val="Compact"/>
                    <w:jc w:val="center"/>
                  </w:pPr>
                  <w:r>
                    <w:t xml:space="preserve">Screening</w:t>
                  </w:r>
                </w:p>
              </w:tc>
              <w:tc>
                <w:tcPr/>
                <w:p>
                  <w:pPr>
                    <w:pStyle w:val="Compact"/>
                    <w:jc w:val="center"/>
                  </w:pPr>
                  <w:r>
                    <w:t xml:space="preserve">Pool host cell protein (ng/mg)</w:t>
                  </w:r>
                </w:p>
              </w:tc>
              <w:tc>
                <w:tcPr/>
                <w:p>
                  <w:pPr>
                    <w:pStyle w:val="Compact"/>
                    <w:jc w:val="center"/>
                  </w:pPr>
                  <w:r>
                    <w:t xml:space="preserve">3</w:t>
                  </w:r>
                </w:p>
              </w:tc>
              <w:tc>
                <w:tcPr/>
                <w:p>
                  <w:pPr>
                    <w:pStyle w:val="Compact"/>
                    <w:jc w:val="center"/>
                  </w:pPr>
                  <w:r>
                    <w:t xml:space="preserve">15.1</w:t>
                  </w:r>
                </w:p>
              </w:tc>
              <w:tc>
                <w:tcPr/>
                <w:p>
                  <w:pPr>
                    <w:pStyle w:val="Compact"/>
                    <w:jc w:val="center"/>
                  </w:pPr>
                  <w:r>
                    <w:t xml:space="preserve">3.11</w:t>
                  </w:r>
                </w:p>
              </w:tc>
              <w:tc>
                <w:tcPr/>
                <w:p>
                  <w:pPr>
                    <w:pStyle w:val="Compact"/>
                    <w:jc w:val="center"/>
                  </w:pPr>
                  <w:r>
                    <w:t xml:space="preserve">20.6</w:t>
                  </w:r>
                </w:p>
              </w:tc>
            </w:tr>
            <w:tr>
              <w:tc>
                <w:tcPr>
                  <w:gridSpan w:val="1"/>
                  <w:vMerge w:val="continue"/>
                </w:tcPr>
                <w:p>
                  <w:pPr/>
                </w:p>
              </w:tc>
              <w:tc>
                <w:tcPr/>
                <w:p>
                  <w:pPr>
                    <w:pStyle w:val="Compact"/>
                    <w:jc w:val="center"/>
                  </w:pPr>
                  <w:r>
                    <w:t xml:space="preserve">XMuLV LRF (log10)</w:t>
                  </w:r>
                </w:p>
              </w:tc>
              <w:tc>
                <w:tcPr/>
                <w:p>
                  <w:pPr>
                    <w:pStyle w:val="Compact"/>
                    <w:jc w:val="center"/>
                  </w:pPr>
                  <w:r>
                    <w:t xml:space="preserve">3</w:t>
                  </w:r>
                </w:p>
              </w:tc>
              <w:tc>
                <w:tcPr/>
                <w:p>
                  <w:pPr>
                    <w:pStyle w:val="Compact"/>
                    <w:jc w:val="center"/>
                  </w:pPr>
                  <w:r>
                    <w:t xml:space="preserve">6.39</w:t>
                  </w:r>
                </w:p>
              </w:tc>
              <w:tc>
                <w:tcPr/>
                <w:p>
                  <w:pPr>
                    <w:pStyle w:val="Compact"/>
                    <w:jc w:val="center"/>
                  </w:pPr>
                  <w:r>
                    <w:t xml:space="preserve">0.426</w:t>
                  </w:r>
                </w:p>
              </w:tc>
              <w:tc>
                <w:tcPr/>
                <w:p>
                  <w:pPr>
                    <w:pStyle w:val="Compact"/>
                    <w:jc w:val="center"/>
                  </w:pPr>
                  <w:r>
                    <w:t xml:space="preserve">n.a.</w:t>
                  </w:r>
                  <w:r>
                    <w:rPr>
                      <w:vertAlign w:val="superscript"/>
                    </w:rPr>
                    <w:t xml:space="preserve">a)</w:t>
                  </w:r>
                </w:p>
              </w:tc>
            </w:tr>
            <w:tr>
              <w:tc>
                <w:tcPr>
                  <w:gridSpan w:val="1"/>
                  <w:vMerge w:val="continue"/>
                </w:tcPr>
                <w:p>
                  <w:pPr/>
                </w:p>
              </w:tc>
              <w:tc>
                <w:tcPr/>
                <w:p>
                  <w:pPr>
                    <w:pStyle w:val="Compact"/>
                    <w:jc w:val="center"/>
                  </w:pPr>
                  <w:r>
                    <w:t xml:space="preserve">MVM LRF (log10)</w:t>
                  </w:r>
                </w:p>
              </w:tc>
              <w:tc>
                <w:tcPr/>
                <w:p>
                  <w:pPr>
                    <w:pStyle w:val="Compact"/>
                    <w:jc w:val="center"/>
                  </w:pPr>
                  <w:r>
                    <w:t xml:space="preserve">3</w:t>
                  </w:r>
                </w:p>
              </w:tc>
              <w:tc>
                <w:tcPr/>
                <w:p>
                  <w:pPr>
                    <w:pStyle w:val="Compact"/>
                    <w:jc w:val="center"/>
                  </w:pPr>
                  <w:r>
                    <w:t xml:space="preserve">4.81</w:t>
                  </w:r>
                </w:p>
              </w:tc>
              <w:tc>
                <w:tcPr/>
                <w:p>
                  <w:pPr>
                    <w:pStyle w:val="Compact"/>
                    <w:jc w:val="center"/>
                  </w:pPr>
                  <w:r>
                    <w:t xml:space="preserve">0.268</w:t>
                  </w:r>
                </w:p>
              </w:tc>
              <w:tc>
                <w:tcPr/>
                <w:p>
                  <w:pPr>
                    <w:pStyle w:val="Compact"/>
                    <w:jc w:val="center"/>
                  </w:pPr>
                  <w:r>
                    <w:t xml:space="preserve">n.a.</w:t>
                  </w:r>
                  <w:r>
                    <w:rPr>
                      <w:vertAlign w:val="superscript"/>
                    </w:rPr>
                    <w:t xml:space="preserve">a)</w:t>
                  </w:r>
                </w:p>
              </w:tc>
            </w:tr>
            <w:tr>
              <w:tc>
                <w:tcPr>
                  <w:gridSpan w:val="1"/>
                  <w:vMerge w:val="continue"/>
                </w:tcPr>
                <w:p>
                  <w:pPr/>
                </w:p>
              </w:tc>
              <w:tc>
                <w:tcPr/>
                <w:p>
                  <w:pPr>
                    <w:pStyle w:val="Compact"/>
                    <w:jc w:val="center"/>
                  </w:pPr>
                  <w:r>
                    <w:t xml:space="preserve">Step yield (%)</w:t>
                  </w:r>
                </w:p>
              </w:tc>
              <w:tc>
                <w:tcPr/>
                <w:p>
                  <w:pPr>
                    <w:pStyle w:val="Compact"/>
                    <w:jc w:val="center"/>
                  </w:pPr>
                  <w:r>
                    <w:t xml:space="preserve">3</w:t>
                  </w:r>
                </w:p>
              </w:tc>
              <w:tc>
                <w:tcPr/>
                <w:p>
                  <w:pPr>
                    <w:pStyle w:val="Compact"/>
                    <w:jc w:val="center"/>
                  </w:pPr>
                  <w:r>
                    <w:t xml:space="preserve">97.2</w:t>
                  </w:r>
                </w:p>
              </w:tc>
              <w:tc>
                <w:tcPr/>
                <w:p>
                  <w:pPr>
                    <w:pStyle w:val="Compact"/>
                    <w:jc w:val="center"/>
                  </w:pPr>
                  <w:r>
                    <w:t xml:space="preserve">0.523</w:t>
                  </w:r>
                </w:p>
              </w:tc>
              <w:tc>
                <w:tcPr/>
                <w:p>
                  <w:pPr>
                    <w:pStyle w:val="Compact"/>
                    <w:jc w:val="center"/>
                  </w:pPr>
                  <w:r>
                    <w:t xml:space="preserve">0.5</w:t>
                  </w:r>
                </w:p>
              </w:tc>
            </w:tr>
            <w:tr>
              <w:tc>
                <w:tcPr>
                  <w:gridSpan w:val="1"/>
                  <w:vMerge w:val="continue"/>
                </w:tcPr>
                <w:p>
                  <w:pPr/>
                </w:p>
              </w:tc>
              <w:tc>
                <w:tcPr/>
                <w:p>
                  <w:pPr>
                    <w:pStyle w:val="Compact"/>
                    <w:jc w:val="center"/>
                  </w:pPr>
                  <w:r>
                    <w:t xml:space="preserve">Fragments, LMW (%)</w:t>
                  </w:r>
                </w:p>
              </w:tc>
              <w:tc>
                <w:tcPr/>
                <w:p>
                  <w:pPr>
                    <w:pStyle w:val="Compact"/>
                    <w:jc w:val="center"/>
                  </w:pPr>
                  <w:r>
                    <w:t xml:space="preserve">3</w:t>
                  </w:r>
                </w:p>
              </w:tc>
              <w:tc>
                <w:tcPr/>
                <w:p>
                  <w:pPr>
                    <w:pStyle w:val="Compact"/>
                    <w:jc w:val="center"/>
                  </w:pPr>
                  <w:r>
                    <w:t xml:space="preserve">0.67</w:t>
                  </w:r>
                </w:p>
              </w:tc>
              <w:tc>
                <w:tcPr/>
                <w:p>
                  <w:pPr>
                    <w:pStyle w:val="Compact"/>
                    <w:jc w:val="center"/>
                  </w:pPr>
                  <w:r>
                    <w:t xml:space="preserve">0.051</w:t>
                  </w:r>
                </w:p>
              </w:tc>
              <w:tc>
                <w:tcPr/>
                <w:p>
                  <w:pPr>
                    <w:pStyle w:val="Compact"/>
                    <w:jc w:val="center"/>
                  </w:pPr>
                  <w:r>
                    <w:t xml:space="preserve">7.7</w:t>
                  </w:r>
                </w:p>
              </w:tc>
            </w:tr>
            <w:tr>
              <w:tc>
                <w:tcPr>
                  <w:vMerge w:val="restart"/>
                </w:tcPr>
                <w:p>
                  <w:pPr>
                    <w:pStyle w:val="Compact"/>
                    <w:jc w:val="center"/>
                  </w:pPr>
                  <w:r>
                    <w:t xml:space="preserve">Response surface</w:t>
                  </w:r>
                </w:p>
              </w:tc>
              <w:tc>
                <w:tcPr/>
                <w:p>
                  <w:pPr>
                    <w:pStyle w:val="Compact"/>
                    <w:jc w:val="center"/>
                  </w:pPr>
                  <w:r>
                    <w:t xml:space="preserve">Pool host cell protein (ng/mg)</w:t>
                  </w:r>
                </w:p>
              </w:tc>
              <w:tc>
                <w:tcPr/>
                <w:p>
                  <w:pPr>
                    <w:pStyle w:val="Compact"/>
                    <w:jc w:val="center"/>
                  </w:pPr>
                  <w:r>
                    <w:t xml:space="preserve">4</w:t>
                  </w:r>
                </w:p>
              </w:tc>
              <w:tc>
                <w:tcPr/>
                <w:p>
                  <w:pPr>
                    <w:pStyle w:val="Compact"/>
                    <w:jc w:val="center"/>
                  </w:pPr>
                  <w:r>
                    <w:t xml:space="preserve">13.7</w:t>
                  </w:r>
                </w:p>
              </w:tc>
              <w:tc>
                <w:tcPr/>
                <w:p>
                  <w:pPr>
                    <w:pStyle w:val="Compact"/>
                    <w:jc w:val="center"/>
                  </w:pPr>
                  <w:r>
                    <w:t xml:space="preserve">2.48</w:t>
                  </w:r>
                </w:p>
              </w:tc>
              <w:tc>
                <w:tcPr/>
                <w:p>
                  <w:pPr>
                    <w:pStyle w:val="Compact"/>
                    <w:jc w:val="center"/>
                  </w:pPr>
                  <w:r>
                    <w:t xml:space="preserve">18.2</w:t>
                  </w:r>
                </w:p>
              </w:tc>
            </w:tr>
            <w:tr>
              <w:tc>
                <w:tcPr>
                  <w:gridSpan w:val="1"/>
                  <w:vMerge w:val="continue"/>
                </w:tcPr>
                <w:p>
                  <w:pPr/>
                </w:p>
              </w:tc>
              <w:tc>
                <w:tcPr/>
                <w:p>
                  <w:pPr>
                    <w:pStyle w:val="Compact"/>
                    <w:jc w:val="center"/>
                  </w:pPr>
                  <w:r>
                    <w:t xml:space="preserve">XMuLV LRF (log10)</w:t>
                  </w:r>
                </w:p>
              </w:tc>
              <w:tc>
                <w:tcPr/>
                <w:p>
                  <w:pPr>
                    <w:pStyle w:val="Compact"/>
                    <w:jc w:val="center"/>
                  </w:pPr>
                  <w:r>
                    <w:t xml:space="preserve">4</w:t>
                  </w:r>
                </w:p>
              </w:tc>
              <w:tc>
                <w:tcPr/>
                <w:p>
                  <w:pPr>
                    <w:pStyle w:val="Compact"/>
                    <w:jc w:val="center"/>
                  </w:pPr>
                  <w:r>
                    <w:t xml:space="preserve">6.63</w:t>
                  </w:r>
                </w:p>
              </w:tc>
              <w:tc>
                <w:tcPr/>
                <w:p>
                  <w:pPr>
                    <w:pStyle w:val="Compact"/>
                    <w:jc w:val="center"/>
                  </w:pPr>
                  <w:r>
                    <w:t xml:space="preserve">0.445</w:t>
                  </w:r>
                </w:p>
              </w:tc>
              <w:tc>
                <w:tcPr/>
                <w:p>
                  <w:pPr>
                    <w:pStyle w:val="Compact"/>
                    <w:jc w:val="center"/>
                  </w:pPr>
                  <w:r>
                    <w:t xml:space="preserve">n.a.</w:t>
                  </w:r>
                  <w:r>
                    <w:rPr>
                      <w:vertAlign w:val="superscript"/>
                    </w:rPr>
                    <w:t xml:space="preserve">a)</w:t>
                  </w:r>
                </w:p>
              </w:tc>
            </w:tr>
            <w:tr>
              <w:tc>
                <w:tcPr>
                  <w:gridSpan w:val="1"/>
                  <w:vMerge w:val="continue"/>
                </w:tcPr>
                <w:p>
                  <w:pPr/>
                </w:p>
              </w:tc>
              <w:tc>
                <w:tcPr/>
                <w:p>
                  <w:pPr>
                    <w:pStyle w:val="Compact"/>
                    <w:jc w:val="center"/>
                  </w:pPr>
                  <w:r>
                    <w:t xml:space="preserve">MVM LRF (log10)</w:t>
                  </w:r>
                </w:p>
              </w:tc>
              <w:tc>
                <w:tcPr/>
                <w:p>
                  <w:pPr>
                    <w:pStyle w:val="Compact"/>
                    <w:jc w:val="center"/>
                  </w:pPr>
                  <w:r>
                    <w:t xml:space="preserve">4</w:t>
                  </w:r>
                </w:p>
              </w:tc>
              <w:tc>
                <w:tcPr/>
                <w:p>
                  <w:pPr>
                    <w:pStyle w:val="Compact"/>
                    <w:jc w:val="center"/>
                  </w:pPr>
                  <w:r>
                    <w:t xml:space="preserve">4.90</w:t>
                  </w:r>
                </w:p>
              </w:tc>
              <w:tc>
                <w:tcPr/>
                <w:p>
                  <w:pPr>
                    <w:pStyle w:val="Compact"/>
                    <w:jc w:val="center"/>
                  </w:pPr>
                  <w:r>
                    <w:t xml:space="preserve">0.336</w:t>
                  </w:r>
                </w:p>
              </w:tc>
              <w:tc>
                <w:tcPr/>
                <w:p>
                  <w:pPr>
                    <w:pStyle w:val="Compact"/>
                    <w:jc w:val="center"/>
                  </w:pPr>
                  <w:r>
                    <w:t xml:space="preserve">n.a.</w:t>
                  </w:r>
                  <w:r>
                    <w:rPr>
                      <w:vertAlign w:val="superscript"/>
                    </w:rPr>
                    <w:t xml:space="preserve">a)</w:t>
                  </w:r>
                </w:p>
              </w:tc>
            </w:tr>
            <w:tr>
              <w:tc>
                <w:tcPr>
                  <w:gridSpan w:val="1"/>
                  <w:vMerge w:val="continue"/>
                </w:tcPr>
                <w:p>
                  <w:pPr/>
                </w:p>
              </w:tc>
              <w:tc>
                <w:tcPr/>
                <w:p>
                  <w:pPr>
                    <w:pStyle w:val="Compact"/>
                    <w:jc w:val="center"/>
                  </w:pPr>
                  <w:r>
                    <w:t xml:space="preserve">Step yield (%)</w:t>
                  </w:r>
                </w:p>
              </w:tc>
              <w:tc>
                <w:tcPr/>
                <w:p>
                  <w:pPr>
                    <w:pStyle w:val="Compact"/>
                    <w:jc w:val="center"/>
                  </w:pPr>
                  <w:r>
                    <w:t xml:space="preserve">4</w:t>
                  </w:r>
                </w:p>
              </w:tc>
              <w:tc>
                <w:tcPr/>
                <w:p>
                  <w:pPr>
                    <w:pStyle w:val="Compact"/>
                    <w:jc w:val="center"/>
                  </w:pPr>
                  <w:r>
                    <w:t xml:space="preserve">96.6</w:t>
                  </w:r>
                </w:p>
              </w:tc>
              <w:tc>
                <w:tcPr/>
                <w:p>
                  <w:pPr>
                    <w:pStyle w:val="Compact"/>
                    <w:jc w:val="center"/>
                  </w:pPr>
                  <w:r>
                    <w:t xml:space="preserve">1.229</w:t>
                  </w:r>
                </w:p>
              </w:tc>
              <w:tc>
                <w:tcPr/>
                <w:p>
                  <w:pPr>
                    <w:pStyle w:val="Compact"/>
                    <w:jc w:val="center"/>
                  </w:pPr>
                  <w:r>
                    <w:t xml:space="preserve">1.3</w:t>
                  </w:r>
                </w:p>
              </w:tc>
            </w:tr>
            <w:tr>
              <w:tc>
                <w:tcPr>
                  <w:gridSpan w:val="1"/>
                  <w:vMerge w:val="continue"/>
                </w:tcPr>
                <w:p>
                  <w:pPr/>
                </w:p>
              </w:tc>
              <w:tc>
                <w:tcPr/>
                <w:p>
                  <w:pPr>
                    <w:pStyle w:val="Compact"/>
                    <w:jc w:val="center"/>
                  </w:pPr>
                  <w:r>
                    <w:t xml:space="preserve">Fragments, LMW (%)</w:t>
                  </w:r>
                </w:p>
              </w:tc>
              <w:tc>
                <w:tcPr/>
                <w:p>
                  <w:pPr>
                    <w:pStyle w:val="Compact"/>
                    <w:jc w:val="center"/>
                  </w:pPr>
                  <w:r>
                    <w:t xml:space="preserve">4</w:t>
                  </w:r>
                </w:p>
              </w:tc>
              <w:tc>
                <w:tcPr/>
                <w:p>
                  <w:pPr>
                    <w:pStyle w:val="Compact"/>
                    <w:jc w:val="center"/>
                  </w:pPr>
                  <w:r>
                    <w:t xml:space="preserve">0.61</w:t>
                  </w:r>
                </w:p>
              </w:tc>
              <w:tc>
                <w:tcPr/>
                <w:p>
                  <w:pPr>
                    <w:pStyle w:val="Compact"/>
                    <w:jc w:val="center"/>
                  </w:pPr>
                  <w:r>
                    <w:t xml:space="preserve">0.097</w:t>
                  </w:r>
                </w:p>
              </w:tc>
              <w:tc>
                <w:tcPr/>
                <w:p>
                  <w:pPr>
                    <w:pStyle w:val="Compact"/>
                    <w:jc w:val="center"/>
                  </w:pPr>
                  <w:r>
                    <w:t xml:space="preserve">15.9</w:t>
                  </w:r>
                </w:p>
              </w:tc>
            </w:tr>
            <w:tr>
              <w:tc>
                <w:tcPr>
                  <w:gridSpan w:val="6"/>
                </w:tcPr>
                <w:p>
                  <w:pPr>
                    <w:pStyle w:val="Compact"/>
                    <w:jc w:val="center"/>
                  </w:pPr>
                  <w:r>
                    <w:rPr>
                      <w:vertAlign w:val="superscript"/>
                    </w:rPr>
                    <w:t xml:space="preserve">a)</w:t>
                  </w:r>
                  <w:r>
                    <w:t xml:space="preserve"> </w:t>
                  </w:r>
                  <w:r>
                    <w:t xml:space="preserve">Not given for a log reduction factor, which is already on a log scale.</w:t>
                  </w:r>
                </w:p>
              </w:tc>
            </w:tr>
            <w:tr>
              <w:tc>
                <w:tcPr>
                  <w:gridSpan w:val="6"/>
                </w:tcPr>
                <w:p>
                  <w:pPr>
                    <w:pStyle w:val="Compact"/>
                    <w:jc w:val="center"/>
                  </w:pPr>
                  <w:r>
                    <w:t xml:space="preserve">SD, standard deviation. CV, coefficient of variation.</w:t>
                  </w:r>
                </w:p>
              </w:tc>
            </w:tr>
          </w:tbl>
          <w:bookmarkEnd w:id="59"/>
          <w:p/>
        </w:tc>
      </w:tr>
    </w:tbl>
    <w:bookmarkEnd w:id="60"/>
    <w:bookmarkStart w:id="62" w:name="sec-screening"/>
    <w:p>
      <w:pPr>
        <w:pStyle w:val="Heading2"/>
      </w:pPr>
      <w:r>
        <w:t xml:space="preserve">5.2 Screening: factor effects</w:t>
      </w:r>
    </w:p>
    <w:p>
      <w:pPr>
        <w:pStyle w:val="FirstParagraph"/>
      </w:pPr>
      <w:hyperlink w:anchor="tbl-screening">
        <w:r>
          <w:rPr>
            <w:rStyle w:val="Hyperlink"/>
          </w:rPr>
          <w:t xml:space="preserve">Table 10</w:t>
        </w:r>
      </w:hyperlink>
      <w:r>
        <w:t xml:space="preserve"> </w:t>
      </w:r>
      <w:r>
        <w:t xml:space="preserve">summarises the screening models and gives the terms significant at 0.05. Load pH and Equil/Wash-1 conductivity acted on pool host cell protein in opposite directions, with effects of −11.9 and +12.1 ng/mg across their ranges, and their interaction was significant (−6.6 ng/mg). Load pH raised both LRFs and load conductivity lowered them. No term was significant for step yield. For fragments the interaction of load pH and protein load was significant (−0.064 percentage points, p = 0.029) in a model whose F-test was not significant (p = 0.160). The full effect tables are in Appendix C.</w:t>
      </w:r>
    </w:p>
    <w:tbl>
      <w:tblPr>
        <w:tblStyle w:val="Table"/>
        <w:tblW w:type="pct" w:w="5000"/>
        <w:tblLayout w:type="fixed"/>
        <w:tblLook w:firstRow="0" w:lastRow="0" w:firstColumn="0" w:lastColumn="0" w:noHBand="0" w:noVBand="0" w:val="0000"/>
      </w:tblPr>
      <w:tblGrid>
        <w:gridCol w:w="7920"/>
      </w:tblGrid>
      <w:tr>
        <w:tc>
          <w:tcPr/>
          <w:bookmarkStart w:id="61" w:name="tbl-screening"/>
          <w:p>
            <w:pPr>
              <w:jc w:val="center"/>
            </w:pPr>
            <w:pPr>
              <w:jc w:val="start"/>
              <w:spacing w:before="200"/>
              <w:pStyle w:val="ImageCaption"/>
            </w:pPr>
            <w:r>
              <w:t xml:space="preserve">Table 10: Screening models of the anion exchange outputs.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R²</w:t>
                  </w:r>
                </w:p>
              </w:tc>
              <w:tc>
                <w:tcPr/>
                <w:p>
                  <w:pPr>
                    <w:pStyle w:val="Compact"/>
                    <w:jc w:val="center"/>
                  </w:pPr>
                  <w:r>
                    <w:t xml:space="preserve">Adj. R²</w:t>
                  </w:r>
                </w:p>
              </w:tc>
              <w:tc>
                <w:tcPr/>
                <w:p>
                  <w:pPr>
                    <w:pStyle w:val="Compact"/>
                    <w:jc w:val="center"/>
                  </w:pPr>
                  <w:r>
                    <w:t xml:space="preserve">Pred. R²</w:t>
                  </w:r>
                </w:p>
              </w:tc>
              <w:tc>
                <w:tcPr/>
                <w:p>
                  <w:pPr>
                    <w:pStyle w:val="Compact"/>
                    <w:jc w:val="center"/>
                  </w:pPr>
                  <w:r>
                    <w:t xml:space="preserve">Model p</w:t>
                  </w:r>
                </w:p>
              </w:tc>
              <w:tc>
                <w:tcPr/>
                <w:p>
                  <w:pPr>
                    <w:pStyle w:val="Compact"/>
                    <w:jc w:val="center"/>
                  </w:pPr>
                  <w:r>
                    <w:t xml:space="preserve">Lack of</w:t>
                  </w:r>
                  <w:r>
                    <w:br/>
                  </w:r>
                  <w:r>
                    <w:t xml:space="preserve">fit p</w:t>
                  </w:r>
                </w:p>
              </w:tc>
              <w:tc>
                <w:tcPr/>
                <w:p>
                  <w:pPr>
                    <w:pStyle w:val="Compact"/>
                    <w:jc w:val="center"/>
                  </w:pPr>
                  <w:r>
                    <w:t xml:space="preserve">Terms significant at 0.05</w:t>
                  </w:r>
                  <w:r>
                    <w:br/>
                  </w:r>
                  <w:r>
                    <w:t xml:space="preserve">(effect across the range)</w:t>
                  </w:r>
                </w:p>
              </w:tc>
            </w:tr>
            <w:tr>
              <w:tc>
                <w:tcPr/>
                <w:p>
                  <w:pPr>
                    <w:pStyle w:val="Compact"/>
                    <w:jc w:val="center"/>
                  </w:pPr>
                  <w:r>
                    <w:t xml:space="preserve">Pool host cell protein (ng/mg)</w:t>
                  </w:r>
                </w:p>
              </w:tc>
              <w:tc>
                <w:tcPr/>
                <w:p>
                  <w:pPr>
                    <w:pStyle w:val="Compact"/>
                    <w:jc w:val="center"/>
                  </w:pPr>
                  <w:r>
                    <w:t xml:space="preserve">0.97</w:t>
                  </w:r>
                </w:p>
              </w:tc>
              <w:tc>
                <w:tcPr/>
                <w:p>
                  <w:pPr>
                    <w:pStyle w:val="Compact"/>
                    <w:jc w:val="center"/>
                  </w:pPr>
                  <w:r>
                    <w:t xml:space="preserve">0.92</w:t>
                  </w:r>
                </w:p>
              </w:tc>
              <w:tc>
                <w:tcPr/>
                <w:p>
                  <w:pPr>
                    <w:pStyle w:val="Compact"/>
                    <w:jc w:val="center"/>
                  </w:pPr>
                  <w:r>
                    <w:t xml:space="preserve">0.84</w:t>
                  </w:r>
                </w:p>
              </w:tc>
              <w:tc>
                <w:tcPr/>
                <w:p>
                  <w:pPr>
                    <w:pStyle w:val="Compact"/>
                    <w:jc w:val="center"/>
                  </w:pPr>
                  <w:r>
                    <w:t xml:space="preserve">&lt; 0.001</w:t>
                  </w:r>
                </w:p>
              </w:tc>
              <w:tc>
                <w:tcPr/>
                <w:p>
                  <w:pPr>
                    <w:pStyle w:val="Compact"/>
                    <w:jc w:val="center"/>
                  </w:pPr>
                  <w:r>
                    <w:t xml:space="preserve">0.787</w:t>
                  </w:r>
                </w:p>
              </w:tc>
              <w:tc>
                <w:tcPr/>
                <w:p>
                  <w:pPr>
                    <w:pStyle w:val="Compact"/>
                    <w:jc w:val="center"/>
                  </w:pPr>
                  <w:r>
                    <w:t xml:space="preserve">B (+12.1), A (−11.9), AB (−6.6)</w:t>
                  </w:r>
                </w:p>
              </w:tc>
            </w:tr>
            <w:tr>
              <w:tc>
                <w:tcPr/>
                <w:p>
                  <w:pPr>
                    <w:pStyle w:val="Compact"/>
                    <w:jc w:val="center"/>
                  </w:pPr>
                  <w:r>
                    <w:t xml:space="preserve">XMuLV LRF (log10)</w:t>
                  </w:r>
                </w:p>
              </w:tc>
              <w:tc>
                <w:tcPr/>
                <w:p>
                  <w:pPr>
                    <w:pStyle w:val="Compact"/>
                    <w:jc w:val="center"/>
                  </w:pPr>
                  <w:r>
                    <w:t xml:space="preserve">0.84</w:t>
                  </w:r>
                </w:p>
              </w:tc>
              <w:tc>
                <w:tcPr/>
                <w:p>
                  <w:pPr>
                    <w:pStyle w:val="Compact"/>
                    <w:jc w:val="center"/>
                  </w:pPr>
                  <w:r>
                    <w:t xml:space="preserve">0.64</w:t>
                  </w:r>
                </w:p>
              </w:tc>
              <w:tc>
                <w:tcPr/>
                <w:p>
                  <w:pPr>
                    <w:pStyle w:val="Compact"/>
                    <w:jc w:val="center"/>
                  </w:pPr>
                  <w:r>
                    <w:t xml:space="preserve">−0.11</w:t>
                  </w:r>
                </w:p>
              </w:tc>
              <w:tc>
                <w:tcPr/>
                <w:p>
                  <w:pPr>
                    <w:pStyle w:val="Compact"/>
                    <w:jc w:val="center"/>
                  </w:pPr>
                  <w:r>
                    <w:t xml:space="preserve">0.026</w:t>
                  </w:r>
                </w:p>
              </w:tc>
              <w:tc>
                <w:tcPr/>
                <w:p>
                  <w:pPr>
                    <w:pStyle w:val="Compact"/>
                    <w:jc w:val="center"/>
                  </w:pPr>
                  <w:r>
                    <w:t xml:space="preserve">0.648</w:t>
                  </w:r>
                </w:p>
              </w:tc>
              <w:tc>
                <w:tcPr/>
                <w:p>
                  <w:pPr>
                    <w:pStyle w:val="Compact"/>
                    <w:jc w:val="center"/>
                  </w:pPr>
                  <w:r>
                    <w:t xml:space="preserve">A (+1.00), C (−0.60)</w:t>
                  </w:r>
                </w:p>
              </w:tc>
            </w:tr>
            <w:tr>
              <w:tc>
                <w:tcPr/>
                <w:p>
                  <w:pPr>
                    <w:pStyle w:val="Compact"/>
                    <w:jc w:val="center"/>
                  </w:pPr>
                  <w:r>
                    <w:t xml:space="preserve">MVM LRF (log10)</w:t>
                  </w:r>
                </w:p>
              </w:tc>
              <w:tc>
                <w:tcPr/>
                <w:p>
                  <w:pPr>
                    <w:pStyle w:val="Compact"/>
                    <w:jc w:val="center"/>
                  </w:pPr>
                  <w:r>
                    <w:t xml:space="preserve">0.97</w:t>
                  </w:r>
                </w:p>
              </w:tc>
              <w:tc>
                <w:tcPr/>
                <w:p>
                  <w:pPr>
                    <w:pStyle w:val="Compact"/>
                    <w:jc w:val="center"/>
                  </w:pPr>
                  <w:r>
                    <w:t xml:space="preserve">0.93</w:t>
                  </w:r>
                </w:p>
              </w:tc>
              <w:tc>
                <w:tcPr/>
                <w:p>
                  <w:pPr>
                    <w:pStyle w:val="Compact"/>
                    <w:jc w:val="center"/>
                  </w:pPr>
                  <w:r>
                    <w:t xml:space="preserve">0.87</w:t>
                  </w:r>
                </w:p>
              </w:tc>
              <w:tc>
                <w:tcPr/>
                <w:p>
                  <w:pPr>
                    <w:pStyle w:val="Compact"/>
                    <w:jc w:val="center"/>
                  </w:pPr>
                  <w:r>
                    <w:t xml:space="preserve">&lt; 0.001</w:t>
                  </w:r>
                </w:p>
              </w:tc>
              <w:tc>
                <w:tcPr/>
                <w:p>
                  <w:pPr>
                    <w:pStyle w:val="Compact"/>
                    <w:jc w:val="center"/>
                  </w:pPr>
                  <w:r>
                    <w:t xml:space="preserve">0.918</w:t>
                  </w:r>
                </w:p>
              </w:tc>
              <w:tc>
                <w:tcPr/>
                <w:p>
                  <w:pPr>
                    <w:pStyle w:val="Compact"/>
                    <w:jc w:val="center"/>
                  </w:pPr>
                  <w:r>
                    <w:t xml:space="preserve">A (+1.22), C (−0.71)</w:t>
                  </w:r>
                </w:p>
              </w:tc>
            </w:tr>
            <w:tr>
              <w:tc>
                <w:tcPr/>
                <w:p>
                  <w:pPr>
                    <w:pStyle w:val="Compact"/>
                    <w:jc w:val="center"/>
                  </w:pPr>
                  <w:r>
                    <w:t xml:space="preserve">Step yield (%)</w:t>
                  </w:r>
                </w:p>
              </w:tc>
              <w:tc>
                <w:tcPr/>
                <w:p>
                  <w:pPr>
                    <w:pStyle w:val="Compact"/>
                    <w:jc w:val="center"/>
                  </w:pPr>
                  <w:r>
                    <w:t xml:space="preserve">0.50</w:t>
                  </w:r>
                </w:p>
              </w:tc>
              <w:tc>
                <w:tcPr/>
                <w:p>
                  <w:pPr>
                    <w:pStyle w:val="Compact"/>
                    <w:jc w:val="center"/>
                  </w:pPr>
                  <w:r>
                    <w:t xml:space="preserve">−0.13</w:t>
                  </w:r>
                </w:p>
              </w:tc>
              <w:tc>
                <w:tcPr/>
                <w:p>
                  <w:pPr>
                    <w:pStyle w:val="Compact"/>
                    <w:jc w:val="center"/>
                  </w:pPr>
                  <w:r>
                    <w:t xml:space="preserve">−3.64</w:t>
                  </w:r>
                </w:p>
              </w:tc>
              <w:tc>
                <w:tcPr/>
                <w:p>
                  <w:pPr>
                    <w:pStyle w:val="Compact"/>
                    <w:jc w:val="center"/>
                  </w:pPr>
                  <w:r>
                    <w:t xml:space="preserve">0.642</w:t>
                  </w:r>
                </w:p>
              </w:tc>
              <w:tc>
                <w:tcPr/>
                <w:p>
                  <w:pPr>
                    <w:pStyle w:val="Compact"/>
                    <w:jc w:val="center"/>
                  </w:pPr>
                  <w:r>
                    <w:t xml:space="preserve">0.124</w:t>
                  </w:r>
                </w:p>
              </w:tc>
              <w:tc>
                <w:tcPr/>
                <w:p>
                  <w:pPr>
                    <w:pStyle w:val="Compact"/>
                    <w:jc w:val="center"/>
                  </w:pPr>
                  <w:r>
                    <w:t xml:space="preserve">none</w:t>
                  </w:r>
                </w:p>
              </w:tc>
            </w:tr>
            <w:tr>
              <w:tc>
                <w:tcPr/>
                <w:p>
                  <w:pPr>
                    <w:pStyle w:val="Compact"/>
                    <w:jc w:val="center"/>
                  </w:pPr>
                  <w:r>
                    <w:t xml:space="preserve">Fragments, LMW (%)</w:t>
                  </w:r>
                </w:p>
              </w:tc>
              <w:tc>
                <w:tcPr/>
                <w:p>
                  <w:pPr>
                    <w:pStyle w:val="Compact"/>
                    <w:jc w:val="center"/>
                  </w:pPr>
                  <w:r>
                    <w:t xml:space="preserve">0.72</w:t>
                  </w:r>
                </w:p>
              </w:tc>
              <w:tc>
                <w:tcPr/>
                <w:p>
                  <w:pPr>
                    <w:pStyle w:val="Compact"/>
                    <w:jc w:val="center"/>
                  </w:pPr>
                  <w:r>
                    <w:t xml:space="preserve">0.37</w:t>
                  </w:r>
                </w:p>
              </w:tc>
              <w:tc>
                <w:tcPr/>
                <w:p>
                  <w:pPr>
                    <w:pStyle w:val="Compact"/>
                    <w:jc w:val="center"/>
                  </w:pPr>
                  <w:r>
                    <w:t xml:space="preserve">−0.64</w:t>
                  </w:r>
                </w:p>
              </w:tc>
              <w:tc>
                <w:tcPr/>
                <w:p>
                  <w:pPr>
                    <w:pStyle w:val="Compact"/>
                    <w:jc w:val="center"/>
                  </w:pPr>
                  <w:r>
                    <w:t xml:space="preserve">0.160</w:t>
                  </w:r>
                </w:p>
              </w:tc>
              <w:tc>
                <w:tcPr/>
                <w:p>
                  <w:pPr>
                    <w:pStyle w:val="Compact"/>
                    <w:jc w:val="center"/>
                  </w:pPr>
                  <w:r>
                    <w:t xml:space="preserve">0.636</w:t>
                  </w:r>
                </w:p>
              </w:tc>
              <w:tc>
                <w:tcPr/>
                <w:p>
                  <w:pPr>
                    <w:pStyle w:val="Compact"/>
                    <w:jc w:val="center"/>
                  </w:pPr>
                  <w:r>
                    <w:t xml:space="preserve">AD (−0.06)</w:t>
                  </w:r>
                </w:p>
              </w:tc>
            </w:tr>
            <w:tr>
              <w:tc>
                <w:tcPr>
                  <w:gridSpan w:val="7"/>
                </w:tcPr>
                <w:p>
                  <w:pPr>
                    <w:pStyle w:val="Compact"/>
                    <w:jc w:val="center"/>
                  </w:pPr>
                  <w:r>
                    <w:t xml:space="preserve">A, load pH. B, Equil/Wash-1 conductivity. C, load conductivity. D, protein load. An effect is the change in the output, in its unit, from the low to the high end of the characterized range of the parameter.</w:t>
                  </w:r>
                </w:p>
              </w:tc>
            </w:tr>
          </w:tbl>
          <w:bookmarkEnd w:id="61"/>
          <w:p/>
        </w:tc>
      </w:tr>
    </w:tbl>
    <w:p>
      <w:pPr>
        <w:pStyle w:val="BodyText"/>
      </w:pPr>
      <w:r>
        <w:t xml:space="preserve">The directions agree with the expectations of</w:t>
      </w:r>
      <w:r>
        <w:t xml:space="preserve"> </w:t>
      </w:r>
      <w:hyperlink w:anchor="sec-platform">
        <w:r>
          <w:rPr>
            <w:rStyle w:val="Hyperlink"/>
          </w:rPr>
          <w:t xml:space="preserve">Section 2.1</w:t>
        </w:r>
      </w:hyperlink>
      <w:r>
        <w:t xml:space="preserve"> </w:t>
      </w:r>
      <w:r>
        <w:t xml:space="preserve">for load pH and Equil/Wash-1 conductivity on host cell protein, and for load pH and load conductivity on both viruses. No effect of load conductivity on host cell protein and no effect of Equil/Wash-1 conductivity on either virus was detected, although</w:t>
      </w:r>
      <w:r>
        <w:t xml:space="preserve"> </w:t>
      </w:r>
      <w:hyperlink w:anchor="sec-platform">
        <w:r>
          <w:rPr>
            <w:rStyle w:val="Hyperlink"/>
          </w:rPr>
          <w:t xml:space="preserve">Section 2.1</w:t>
        </w:r>
      </w:hyperlink>
      <w:r>
        <w:t xml:space="preserve"> </w:t>
      </w:r>
      <w:r>
        <w:t xml:space="preserve">expected both. The screening models of the XMuLV LRF, step yield and fragments have a negative predicted R², so they do not predict. This type of design identifies effects but cannot fit curvature, and the response-surface model gives the magnitudes.</w:t>
      </w:r>
    </w:p>
    <w:bookmarkEnd w:id="62"/>
    <w:bookmarkStart w:id="96" w:name="sec-rsm"/>
    <w:p>
      <w:pPr>
        <w:pStyle w:val="Heading2"/>
      </w:pPr>
      <w:r>
        <w:t xml:space="preserve">5.3 Response-surface models</w:t>
      </w:r>
    </w:p>
    <w:bookmarkStart w:id="65" w:name="sec-selected"/>
    <w:p>
      <w:pPr>
        <w:pStyle w:val="Heading3"/>
      </w:pPr>
      <w:r>
        <w:t xml:space="preserve">5.3.1 Selected models and their adequacy</w:t>
      </w:r>
    </w:p>
    <w:p>
      <w:pPr>
        <w:pStyle w:val="FirstParagraph"/>
      </w:pPr>
      <w:hyperlink w:anchor="tbl-rsm-models">
        <w:r>
          <w:rPr>
            <w:rStyle w:val="Hyperlink"/>
          </w:rPr>
          <w:t xml:space="preserve">Table 11</w:t>
        </w:r>
      </w:hyperlink>
      <w:r>
        <w:t xml:space="preserve"> </w:t>
      </w:r>
      <w:r>
        <w:t xml:space="preserve">gives the selected model of each output, and</w:t>
      </w:r>
      <w:r>
        <w:t xml:space="preserve"> </w:t>
      </w:r>
      <w:hyperlink w:anchor="tbl-adequacy">
        <w:r>
          <w:rPr>
            <w:rStyle w:val="Hyperlink"/>
          </w:rPr>
          <w:t xml:space="preserve">Table 12</w:t>
        </w:r>
      </w:hyperlink>
      <w:r>
        <w:t xml:space="preserve"> </w:t>
      </w:r>
      <w:r>
        <w:t xml:space="preserve">judges it against each of the four criteria of PCMP-001 §7.2. Every selected model meets each criterion that applies to it.</w:t>
      </w:r>
    </w:p>
    <w:tbl>
      <w:tblPr>
        <w:tblStyle w:val="Table"/>
        <w:tblW w:type="pct" w:w="5000"/>
        <w:tblLayout w:type="fixed"/>
        <w:tblLook w:firstRow="0" w:lastRow="0" w:firstColumn="0" w:lastColumn="0" w:noHBand="0" w:noVBand="0" w:val="0000"/>
      </w:tblPr>
      <w:tblGrid>
        <w:gridCol w:w="7920"/>
      </w:tblGrid>
      <w:tr>
        <w:tc>
          <w:tcPr/>
          <w:bookmarkStart w:id="63" w:name="tbl-rsm-models"/>
          <w:p>
            <w:pPr>
              <w:jc w:val="center"/>
            </w:pPr>
            <w:pPr>
              <w:jc w:val="start"/>
              <w:spacing w:before="200"/>
              <w:pStyle w:val="ImageCaption"/>
            </w:pPr>
            <w:r>
              <w:t xml:space="preserve">Table 11: Selected response-surface models of the anion exchange outputs.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Scale</w:t>
                  </w:r>
                </w:p>
              </w:tc>
              <w:tc>
                <w:tcPr/>
                <w:p>
                  <w:pPr>
                    <w:pStyle w:val="Compact"/>
                    <w:jc w:val="center"/>
                  </w:pPr>
                  <w:r>
                    <w:t xml:space="preserve">Runs</w:t>
                  </w:r>
                </w:p>
              </w:tc>
              <w:tc>
                <w:tcPr/>
                <w:p>
                  <w:pPr>
                    <w:pStyle w:val="Compact"/>
                    <w:jc w:val="center"/>
                  </w:pPr>
                  <w:r>
                    <w:t xml:space="preserve">Terms</w:t>
                  </w:r>
                </w:p>
              </w:tc>
              <w:tc>
                <w:tcPr/>
                <w:p>
                  <w:pPr>
                    <w:pStyle w:val="Compact"/>
                    <w:jc w:val="center"/>
                  </w:pPr>
                  <w:r>
                    <w:t xml:space="preserve">R²</w:t>
                  </w:r>
                </w:p>
              </w:tc>
              <w:tc>
                <w:tcPr/>
                <w:p>
                  <w:pPr>
                    <w:pStyle w:val="Compact"/>
                    <w:jc w:val="center"/>
                  </w:pPr>
                  <w:r>
                    <w:t xml:space="preserve">Adj. R²</w:t>
                  </w:r>
                </w:p>
              </w:tc>
              <w:tc>
                <w:tcPr/>
                <w:p>
                  <w:pPr>
                    <w:pStyle w:val="Compact"/>
                    <w:jc w:val="center"/>
                  </w:pPr>
                  <w:r>
                    <w:t xml:space="preserve">Pred. R²</w:t>
                  </w:r>
                </w:p>
              </w:tc>
            </w:tr>
            <w:tr>
              <w:tc>
                <w:tcPr/>
                <w:p>
                  <w:pPr>
                    <w:pStyle w:val="Compact"/>
                    <w:jc w:val="center"/>
                  </w:pPr>
                  <w:r>
                    <w:t xml:space="preserve">Pool host cell protein (ng/mg)</w:t>
                  </w:r>
                </w:p>
              </w:tc>
              <w:tc>
                <w:tcPr/>
                <w:p>
                  <w:pPr>
                    <w:pStyle w:val="Compact"/>
                    <w:jc w:val="center"/>
                  </w:pPr>
                  <w:r>
                    <w:t xml:space="preserve">Log</w:t>
                  </w:r>
                </w:p>
              </w:tc>
              <w:tc>
                <w:tcPr/>
                <w:p>
                  <w:pPr>
                    <w:pStyle w:val="Compact"/>
                    <w:jc w:val="center"/>
                  </w:pPr>
                  <w:r>
                    <w:t xml:space="preserve">40</w:t>
                  </w:r>
                </w:p>
              </w:tc>
              <w:tc>
                <w:tcPr/>
                <w:p>
                  <w:pPr>
                    <w:pStyle w:val="Compact"/>
                    <w:jc w:val="center"/>
                  </w:pPr>
                  <w:r>
                    <w:t xml:space="preserve">Load pH and Equil/Wash-1 conductivity, block</w:t>
                  </w:r>
                </w:p>
              </w:tc>
              <w:tc>
                <w:tcPr/>
                <w:p>
                  <w:pPr>
                    <w:pStyle w:val="Compact"/>
                    <w:jc w:val="center"/>
                  </w:pPr>
                  <w:r>
                    <w:t xml:space="preserve">0.90</w:t>
                  </w:r>
                </w:p>
              </w:tc>
              <w:tc>
                <w:tcPr/>
                <w:p>
                  <w:pPr>
                    <w:pStyle w:val="Compact"/>
                    <w:jc w:val="center"/>
                  </w:pPr>
                  <w:r>
                    <w:t xml:space="preserve">0.90</w:t>
                  </w:r>
                </w:p>
              </w:tc>
              <w:tc>
                <w:tcPr/>
                <w:p>
                  <w:pPr>
                    <w:pStyle w:val="Compact"/>
                    <w:jc w:val="center"/>
                  </w:pPr>
                  <w:r>
                    <w:t xml:space="preserve">0.88</w:t>
                  </w:r>
                </w:p>
              </w:tc>
            </w:tr>
            <w:tr>
              <w:tc>
                <w:tcPr/>
                <w:p>
                  <w:pPr>
                    <w:pStyle w:val="Compact"/>
                    <w:jc w:val="center"/>
                  </w:pPr>
                  <w:r>
                    <w:t xml:space="preserve">XMuLV LRF (log10)</w:t>
                  </w:r>
                </w:p>
              </w:tc>
              <w:tc>
                <w:tcPr/>
                <w:p>
                  <w:pPr>
                    <w:pStyle w:val="Compact"/>
                    <w:jc w:val="center"/>
                  </w:pPr>
                  <w:r>
                    <w:t xml:space="preserve">Raw</w:t>
                  </w:r>
                </w:p>
              </w:tc>
              <w:tc>
                <w:tcPr/>
                <w:p>
                  <w:pPr>
                    <w:pStyle w:val="Compact"/>
                    <w:jc w:val="center"/>
                  </w:pPr>
                  <w:r>
                    <w:t xml:space="preserve">28</w:t>
                  </w:r>
                </w:p>
              </w:tc>
              <w:tc>
                <w:tcPr/>
                <w:p>
                  <w:pPr>
                    <w:pStyle w:val="Compact"/>
                    <w:jc w:val="center"/>
                  </w:pPr>
                  <w:r>
                    <w:t xml:space="preserve">Load pH, load conductivity, protein load and load pH × protein load</w:t>
                  </w:r>
                </w:p>
              </w:tc>
              <w:tc>
                <w:tcPr/>
                <w:p>
                  <w:pPr>
                    <w:pStyle w:val="Compact"/>
                    <w:jc w:val="center"/>
                  </w:pPr>
                  <w:r>
                    <w:t xml:space="preserve">0.86</w:t>
                  </w:r>
                </w:p>
              </w:tc>
              <w:tc>
                <w:tcPr/>
                <w:p>
                  <w:pPr>
                    <w:pStyle w:val="Compact"/>
                    <w:jc w:val="center"/>
                  </w:pPr>
                  <w:r>
                    <w:t xml:space="preserve">0.84</w:t>
                  </w:r>
                </w:p>
              </w:tc>
              <w:tc>
                <w:tcPr/>
                <w:p>
                  <w:pPr>
                    <w:pStyle w:val="Compact"/>
                    <w:jc w:val="center"/>
                  </w:pPr>
                  <w:r>
                    <w:t xml:space="preserve">0.80</w:t>
                  </w:r>
                </w:p>
              </w:tc>
            </w:tr>
            <w:tr>
              <w:tc>
                <w:tcPr/>
                <w:p>
                  <w:pPr>
                    <w:pStyle w:val="Compact"/>
                    <w:jc w:val="center"/>
                  </w:pPr>
                  <w:r>
                    <w:t xml:space="preserve">MVM LRF (log10)</w:t>
                  </w:r>
                </w:p>
              </w:tc>
              <w:tc>
                <w:tcPr/>
                <w:p>
                  <w:pPr>
                    <w:pStyle w:val="Compact"/>
                    <w:jc w:val="center"/>
                  </w:pPr>
                  <w:r>
                    <w:t xml:space="preserve">Raw</w:t>
                  </w:r>
                </w:p>
              </w:tc>
              <w:tc>
                <w:tcPr/>
                <w:p>
                  <w:pPr>
                    <w:pStyle w:val="Compact"/>
                    <w:jc w:val="center"/>
                  </w:pPr>
                  <w:r>
                    <w:t xml:space="preserve">28</w:t>
                  </w:r>
                </w:p>
              </w:tc>
              <w:tc>
                <w:tcPr/>
                <w:p>
                  <w:pPr>
                    <w:pStyle w:val="Compact"/>
                    <w:jc w:val="center"/>
                  </w:pPr>
                  <w:r>
                    <w:t xml:space="preserve">Load pH and load conductivity</w:t>
                  </w:r>
                </w:p>
              </w:tc>
              <w:tc>
                <w:tcPr/>
                <w:p>
                  <w:pPr>
                    <w:pStyle w:val="Compact"/>
                    <w:jc w:val="center"/>
                  </w:pPr>
                  <w:r>
                    <w:t xml:space="preserve">0.84</w:t>
                  </w:r>
                </w:p>
              </w:tc>
              <w:tc>
                <w:tcPr/>
                <w:p>
                  <w:pPr>
                    <w:pStyle w:val="Compact"/>
                    <w:jc w:val="center"/>
                  </w:pPr>
                  <w:r>
                    <w:t xml:space="preserve">0.83</w:t>
                  </w:r>
                </w:p>
              </w:tc>
              <w:tc>
                <w:tcPr/>
                <w:p>
                  <w:pPr>
                    <w:pStyle w:val="Compact"/>
                    <w:jc w:val="center"/>
                  </w:pPr>
                  <w:r>
                    <w:t xml:space="preserve">0.80</w:t>
                  </w:r>
                </w:p>
              </w:tc>
            </w:tr>
            <w:tr>
              <w:tc>
                <w:tcPr/>
                <w:p>
                  <w:pPr>
                    <w:pStyle w:val="Compact"/>
                    <w:jc w:val="center"/>
                  </w:pPr>
                  <w:r>
                    <w:t xml:space="preserve">Step yield (%)</w:t>
                  </w:r>
                </w:p>
              </w:tc>
              <w:tc>
                <w:tcPr/>
                <w:p>
                  <w:pPr>
                    <w:pStyle w:val="Compact"/>
                    <w:jc w:val="center"/>
                  </w:pPr>
                  <w:r>
                    <w:t xml:space="preserve">Raw</w:t>
                  </w:r>
                </w:p>
              </w:tc>
              <w:tc>
                <w:tcPr/>
                <w:p>
                  <w:pPr>
                    <w:pStyle w:val="Compact"/>
                    <w:jc w:val="center"/>
                  </w:pPr>
                  <w:r>
                    <w:t xml:space="preserve">40</w:t>
                  </w:r>
                </w:p>
              </w:tc>
              <w:tc>
                <w:tcPr/>
                <w:p>
                  <w:pPr>
                    <w:pStyle w:val="Compact"/>
                    <w:jc w:val="center"/>
                  </w:pPr>
                  <w:r>
                    <w:t xml:space="preserve">None, block</w:t>
                  </w:r>
                </w:p>
              </w:tc>
              <w:tc>
                <w:tcPr/>
                <w:p>
                  <w:pPr>
                    <w:pStyle w:val="Compact"/>
                    <w:jc w:val="center"/>
                  </w:pPr>
                  <w:r>
                    <w:t xml:space="preserve">0.00</w:t>
                  </w:r>
                </w:p>
              </w:tc>
              <w:tc>
                <w:tcPr/>
                <w:p>
                  <w:pPr>
                    <w:pStyle w:val="Compact"/>
                    <w:jc w:val="center"/>
                  </w:pPr>
                  <w:r>
                    <w:t xml:space="preserve">−0.02</w:t>
                  </w:r>
                </w:p>
              </w:tc>
              <w:tc>
                <w:tcPr/>
                <w:p>
                  <w:pPr>
                    <w:pStyle w:val="Compact"/>
                    <w:jc w:val="center"/>
                  </w:pPr>
                  <w:r>
                    <w:t xml:space="preserve">−0.11</w:t>
                  </w:r>
                </w:p>
              </w:tc>
            </w:tr>
            <w:tr>
              <w:tc>
                <w:tcPr/>
                <w:p>
                  <w:pPr>
                    <w:pStyle w:val="Compact"/>
                    <w:jc w:val="center"/>
                  </w:pPr>
                  <w:r>
                    <w:t xml:space="preserve">Fragments, LMW (%)</w:t>
                  </w:r>
                </w:p>
              </w:tc>
              <w:tc>
                <w:tcPr/>
                <w:p>
                  <w:pPr>
                    <w:pStyle w:val="Compact"/>
                    <w:jc w:val="center"/>
                  </w:pPr>
                  <w:r>
                    <w:t xml:space="preserve">Raw</w:t>
                  </w:r>
                </w:p>
              </w:tc>
              <w:tc>
                <w:tcPr/>
                <w:p>
                  <w:pPr>
                    <w:pStyle w:val="Compact"/>
                    <w:jc w:val="center"/>
                  </w:pPr>
                  <w:r>
                    <w:t xml:space="preserve">40</w:t>
                  </w:r>
                </w:p>
              </w:tc>
              <w:tc>
                <w:tcPr/>
                <w:p>
                  <w:pPr>
                    <w:pStyle w:val="Compact"/>
                    <w:jc w:val="center"/>
                  </w:pPr>
                  <w:r>
                    <w:t xml:space="preserve">None, block</w:t>
                  </w:r>
                </w:p>
              </w:tc>
              <w:tc>
                <w:tcPr/>
                <w:p>
                  <w:pPr>
                    <w:pStyle w:val="Compact"/>
                    <w:jc w:val="center"/>
                  </w:pPr>
                  <w:r>
                    <w:t xml:space="preserve">0.07</w:t>
                  </w:r>
                </w:p>
              </w:tc>
              <w:tc>
                <w:tcPr/>
                <w:p>
                  <w:pPr>
                    <w:pStyle w:val="Compact"/>
                    <w:jc w:val="center"/>
                  </w:pPr>
                  <w:r>
                    <w:t xml:space="preserve">0.05</w:t>
                  </w:r>
                </w:p>
              </w:tc>
              <w:tc>
                <w:tcPr/>
                <w:p>
                  <w:pPr>
                    <w:pStyle w:val="Compact"/>
                    <w:jc w:val="center"/>
                  </w:pPr>
                  <w:r>
                    <w:t xml:space="preserve">−0.04</w:t>
                  </w:r>
                </w:p>
              </w:tc>
            </w:tr>
            <w:tr>
              <w:tc>
                <w:tcPr>
                  <w:gridSpan w:val="7"/>
                </w:tcPr>
                <w:p>
                  <w:pPr>
                    <w:pStyle w:val="Compact"/>
                    <w:jc w:val="center"/>
                  </w:pPr>
                  <w:r>
                    <w:t xml:space="preserve">Selected by the model selection of INV-002 corrective action CA3. A block term is kept where the runs include the augmentation. Terms are counted without the intercept and the block.</w:t>
                  </w:r>
                </w:p>
              </w:tc>
            </w:tr>
          </w:tbl>
          <w:bookmarkEnd w:id="63"/>
          <w:p/>
        </w:tc>
      </w:tr>
    </w:tbl>
    <w:p>
      <w:pPr>
        <w:pStyle w:val="BodyText"/>
      </w:pPr>
      <w:r>
        <w:t xml:space="preserve">Pool host cell protein is modelled on the log scale on all 40 runs, with load pH, Equil/Wash-1 conductivity and a block term. The XMuLV LRF is modelled on the raw scale on the 28 planned runs, with load pH, load conductivity, protein load and the interaction of load pH and protein load. Protein load enters that model through the interaction, and its main effect is kept for hierarchy (p = 0.687). The MVM LRF is modelled on the raw scale with load pH and load conductivity. The selected models of step yield and fragments contain no term besides the block, so the response-surface data show no dependence of either output on the parameters within the ranges studied, at the precision of the runs. The screening model of fragments carried one significant term, the interaction of load pH and protein load (</w:t>
      </w:r>
      <w:hyperlink w:anchor="sec-screening">
        <w:r>
          <w:rPr>
            <w:rStyle w:val="Hyperlink"/>
          </w:rPr>
          <w:t xml:space="preserve">Section 5.2</w:t>
        </w:r>
      </w:hyperlink>
      <w:r>
        <w:t xml:space="preserve">). These two models have no F-test, so the model F-test criterion does not apply to them (</w:t>
      </w:r>
      <w:hyperlink w:anchor="sec-stats">
        <w:r>
          <w:rPr>
            <w:rStyle w:val="Hyperlink"/>
          </w:rPr>
          <w:t xml:space="preserve">Section 3.5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tbl-adequacy"/>
          <w:p>
            <w:pPr>
              <w:jc w:val="center"/>
            </w:pPr>
            <w:pPr>
              <w:jc w:val="start"/>
              <w:spacing w:before="200"/>
              <w:pStyle w:val="ImageCaption"/>
            </w:pPr>
            <w:r>
              <w:t xml:space="preserve">Table 12: Selected response-surface models of the anion exchange outputs against the four adequacy criteria.</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Output</w:t>
                  </w:r>
                </w:p>
              </w:tc>
              <w:tc>
                <w:tcPr>
                  <w:gridSpan w:val="6"/>
                </w:tcPr>
                <w:p>
                  <w:pPr>
                    <w:pStyle w:val="Compact"/>
                    <w:jc w:val="center"/>
                  </w:pPr>
                  <w:r>
                    <w:t xml:space="preserve">Criterion of PCMP-001 §7.2</w:t>
                  </w:r>
                </w:p>
              </w:tc>
              <w:tc>
                <w:tcPr>
                  <w:vMerge w:val="restart"/>
                </w:tcPr>
                <w:p>
                  <w:pPr>
                    <w:pStyle w:val="Compact"/>
                    <w:jc w:val="center"/>
                  </w:pPr>
                  <w:r>
                    <w:t xml:space="preserve">Adequate</w:t>
                  </w:r>
                </w:p>
              </w:tc>
            </w:tr>
            <w:tr>
              <w:trPr>
                <w:tblHeader w:val="on"/>
              </w:trPr>
              <w:tc>
                <w:tcPr>
                  <w:gridSpan w:val="1"/>
                  <w:vMerge w:val="continue"/>
                </w:tcPr>
                <w:p>
                  <w:pPr/>
                </w:p>
              </w:tc>
              <w:tc>
                <w:tcPr/>
                <w:p>
                  <w:pPr>
                    <w:pStyle w:val="Compact"/>
                    <w:jc w:val="center"/>
                  </w:pPr>
                  <w:r>
                    <w:t xml:space="preserve">1. F-test p</w:t>
                  </w:r>
                </w:p>
              </w:tc>
              <w:tc>
                <w:tcPr/>
                <w:p>
                  <w:pPr>
                    <w:pStyle w:val="Compact"/>
                    <w:jc w:val="center"/>
                  </w:pPr>
                  <w:r>
                    <w:t xml:space="preserve">2. Lack of</w:t>
                  </w:r>
                  <w:r>
                    <w:br/>
                  </w:r>
                  <w:r>
                    <w:t xml:space="preserve">fit p</w:t>
                  </w:r>
                </w:p>
              </w:tc>
              <w:tc>
                <w:tcPr/>
                <w:p>
                  <w:pPr>
                    <w:pStyle w:val="Compact"/>
                    <w:jc w:val="center"/>
                  </w:pPr>
                  <w:r>
                    <w:t xml:space="preserve">3. R² minus</w:t>
                  </w:r>
                  <w:r>
                    <w:br/>
                  </w:r>
                  <w:r>
                    <w:t xml:space="preserve">pred. R²</w:t>
                  </w:r>
                </w:p>
              </w:tc>
              <w:tc>
                <w:tcPr/>
                <w:p>
                  <w:pPr>
                    <w:pStyle w:val="Compact"/>
                    <w:jc w:val="center"/>
                  </w:pPr>
                  <w:r>
                    <w:t xml:space="preserve">4. Absolute</w:t>
                  </w:r>
                  <w:r>
                    <w:br/>
                  </w:r>
                  <w:r>
                    <w:t xml:space="preserve">residuals p</w:t>
                  </w:r>
                </w:p>
              </w:tc>
              <w:tc>
                <w:tcPr/>
                <w:p>
                  <w:pPr>
                    <w:pStyle w:val="Compact"/>
                    <w:jc w:val="center"/>
                  </w:pPr>
                  <w:r>
                    <w:t xml:space="preserve">4. Order p</w:t>
                  </w:r>
                </w:p>
              </w:tc>
              <w:tc>
                <w:tcPr/>
                <w:p>
                  <w:pPr>
                    <w:pStyle w:val="Compact"/>
                    <w:jc w:val="center"/>
                  </w:pPr>
                  <w:r>
                    <w:t xml:space="preserve">4. Largest Cook's</w:t>
                  </w:r>
                  <w:r>
                    <w:br/>
                  </w:r>
                  <w:r>
                    <w:t xml:space="preserve">distance, run</w:t>
                  </w:r>
                </w:p>
              </w:tc>
              <w:tc>
                <w:tcPr>
                  <w:gridSpan w:val="1"/>
                  <w:vMerge w:val="continue"/>
                </w:tcPr>
                <w:p>
                  <w:pPr/>
                </w:p>
              </w:tc>
            </w:tr>
            <w:tr>
              <w:tc>
                <w:tcPr/>
                <w:p>
                  <w:pPr>
                    <w:pStyle w:val="Compact"/>
                    <w:jc w:val="center"/>
                  </w:pPr>
                  <w:r>
                    <w:t xml:space="preserve">Pool host cell protein (ng/mg)</w:t>
                  </w:r>
                </w:p>
              </w:tc>
              <w:tc>
                <w:tcPr/>
                <w:p>
                  <w:pPr>
                    <w:pStyle w:val="Compact"/>
                    <w:jc w:val="center"/>
                  </w:pPr>
                  <w:r>
                    <w:t xml:space="preserve">&lt; 0.001</w:t>
                  </w:r>
                </w:p>
              </w:tc>
              <w:tc>
                <w:tcPr/>
                <w:p>
                  <w:pPr>
                    <w:pStyle w:val="Compact"/>
                    <w:jc w:val="center"/>
                  </w:pPr>
                  <w:r>
                    <w:t xml:space="preserve">0.842</w:t>
                  </w:r>
                </w:p>
              </w:tc>
              <w:tc>
                <w:tcPr/>
                <w:p>
                  <w:pPr>
                    <w:pStyle w:val="Compact"/>
                    <w:jc w:val="center"/>
                  </w:pPr>
                  <w:r>
                    <w:t xml:space="preserve">0.02</w:t>
                  </w:r>
                </w:p>
              </w:tc>
              <w:tc>
                <w:tcPr/>
                <w:p>
                  <w:pPr>
                    <w:pStyle w:val="Compact"/>
                    <w:jc w:val="center"/>
                  </w:pPr>
                  <w:r>
                    <w:t xml:space="preserve">0.420</w:t>
                  </w:r>
                </w:p>
              </w:tc>
              <w:tc>
                <w:tcPr/>
                <w:p>
                  <w:pPr>
                    <w:pStyle w:val="Compact"/>
                    <w:jc w:val="center"/>
                  </w:pPr>
                  <w:r>
                    <w:t xml:space="preserve">0.455</w:t>
                  </w:r>
                </w:p>
              </w:tc>
              <w:tc>
                <w:tcPr/>
                <w:p>
                  <w:pPr>
                    <w:pStyle w:val="Compact"/>
                    <w:jc w:val="center"/>
                  </w:pPr>
                  <w:r>
                    <w:t xml:space="preserve">0.101 (9)</w:t>
                  </w:r>
                </w:p>
              </w:tc>
              <w:tc>
                <w:tcPr/>
                <w:p>
                  <w:pPr>
                    <w:pStyle w:val="Compact"/>
                    <w:jc w:val="center"/>
                  </w:pPr>
                  <w:r>
                    <w:t xml:space="preserve">Yes</w:t>
                  </w:r>
                </w:p>
              </w:tc>
            </w:tr>
            <w:tr>
              <w:tc>
                <w:tcPr/>
                <w:p>
                  <w:pPr>
                    <w:pStyle w:val="Compact"/>
                    <w:jc w:val="center"/>
                  </w:pPr>
                  <w:r>
                    <w:t xml:space="preserve">XMuLV LRF (log10)</w:t>
                  </w:r>
                </w:p>
              </w:tc>
              <w:tc>
                <w:tcPr/>
                <w:p>
                  <w:pPr>
                    <w:pStyle w:val="Compact"/>
                    <w:jc w:val="center"/>
                  </w:pPr>
                  <w:r>
                    <w:t xml:space="preserve">&lt; 0.001</w:t>
                  </w:r>
                </w:p>
              </w:tc>
              <w:tc>
                <w:tcPr/>
                <w:p>
                  <w:pPr>
                    <w:pStyle w:val="Compact"/>
                    <w:jc w:val="center"/>
                  </w:pPr>
                  <w:r>
                    <w:t xml:space="preserve">0.928</w:t>
                  </w:r>
                </w:p>
              </w:tc>
              <w:tc>
                <w:tcPr/>
                <w:p>
                  <w:pPr>
                    <w:pStyle w:val="Compact"/>
                    <w:jc w:val="center"/>
                  </w:pPr>
                  <w:r>
                    <w:t xml:space="preserve">0.06</w:t>
                  </w:r>
                </w:p>
              </w:tc>
              <w:tc>
                <w:tcPr/>
                <w:p>
                  <w:pPr>
                    <w:pStyle w:val="Compact"/>
                    <w:jc w:val="center"/>
                  </w:pPr>
                  <w:r>
                    <w:t xml:space="preserve">0.789</w:t>
                  </w:r>
                </w:p>
              </w:tc>
              <w:tc>
                <w:tcPr/>
                <w:p>
                  <w:pPr>
                    <w:pStyle w:val="Compact"/>
                    <w:jc w:val="center"/>
                  </w:pPr>
                  <w:r>
                    <w:t xml:space="preserve">0.816</w:t>
                  </w:r>
                </w:p>
              </w:tc>
              <w:tc>
                <w:tcPr/>
                <w:p>
                  <w:pPr>
                    <w:pStyle w:val="Compact"/>
                    <w:jc w:val="center"/>
                  </w:pPr>
                  <w:r>
                    <w:t xml:space="preserve">0.244 (16)</w:t>
                  </w:r>
                </w:p>
              </w:tc>
              <w:tc>
                <w:tcPr/>
                <w:p>
                  <w:pPr>
                    <w:pStyle w:val="Compact"/>
                    <w:jc w:val="center"/>
                  </w:pPr>
                  <w:r>
                    <w:t xml:space="preserve">Yes</w:t>
                  </w:r>
                </w:p>
              </w:tc>
            </w:tr>
            <w:tr>
              <w:tc>
                <w:tcPr/>
                <w:p>
                  <w:pPr>
                    <w:pStyle w:val="Compact"/>
                    <w:jc w:val="center"/>
                  </w:pPr>
                  <w:r>
                    <w:t xml:space="preserve">MVM LRF (log10)</w:t>
                  </w:r>
                </w:p>
              </w:tc>
              <w:tc>
                <w:tcPr/>
                <w:p>
                  <w:pPr>
                    <w:pStyle w:val="Compact"/>
                    <w:jc w:val="center"/>
                  </w:pPr>
                  <w:r>
                    <w:t xml:space="preserve">&lt; 0.001</w:t>
                  </w:r>
                </w:p>
              </w:tc>
              <w:tc>
                <w:tcPr/>
                <w:p>
                  <w:pPr>
                    <w:pStyle w:val="Compact"/>
                    <w:jc w:val="center"/>
                  </w:pPr>
                  <w:r>
                    <w:t xml:space="preserve">0.747</w:t>
                  </w:r>
                </w:p>
              </w:tc>
              <w:tc>
                <w:tcPr/>
                <w:p>
                  <w:pPr>
                    <w:pStyle w:val="Compact"/>
                    <w:jc w:val="center"/>
                  </w:pPr>
                  <w:r>
                    <w:t xml:space="preserve">0.04</w:t>
                  </w:r>
                </w:p>
              </w:tc>
              <w:tc>
                <w:tcPr/>
                <w:p>
                  <w:pPr>
                    <w:pStyle w:val="Compact"/>
                    <w:jc w:val="center"/>
                  </w:pPr>
                  <w:r>
                    <w:t xml:space="preserve">0.225</w:t>
                  </w:r>
                </w:p>
              </w:tc>
              <w:tc>
                <w:tcPr/>
                <w:p>
                  <w:pPr>
                    <w:pStyle w:val="Compact"/>
                    <w:jc w:val="center"/>
                  </w:pPr>
                  <w:r>
                    <w:t xml:space="preserve">0.178</w:t>
                  </w:r>
                </w:p>
              </w:tc>
              <w:tc>
                <w:tcPr/>
                <w:p>
                  <w:pPr>
                    <w:pStyle w:val="Compact"/>
                    <w:jc w:val="center"/>
                  </w:pPr>
                  <w:r>
                    <w:t xml:space="preserve">0.120 (8)</w:t>
                  </w:r>
                </w:p>
              </w:tc>
              <w:tc>
                <w:tcPr/>
                <w:p>
                  <w:pPr>
                    <w:pStyle w:val="Compact"/>
                    <w:jc w:val="center"/>
                  </w:pPr>
                  <w:r>
                    <w:t xml:space="preserve">Yes</w:t>
                  </w:r>
                </w:p>
              </w:tc>
            </w:tr>
            <w:tr>
              <w:tc>
                <w:tcPr/>
                <w:p>
                  <w:pPr>
                    <w:pStyle w:val="Compact"/>
                    <w:jc w:val="center"/>
                  </w:pPr>
                  <w:r>
                    <w:t xml:space="preserve">Step yield (%)</w:t>
                  </w:r>
                </w:p>
              </w:tc>
              <w:tc>
                <w:tcPr/>
                <w:p>
                  <w:pPr>
                    <w:pStyle w:val="Compact"/>
                    <w:jc w:val="center"/>
                  </w:pPr>
                  <w:r>
                    <w:t xml:space="preserve">n.a.</w:t>
                  </w:r>
                </w:p>
              </w:tc>
              <w:tc>
                <w:tcPr/>
                <w:p>
                  <w:pPr>
                    <w:pStyle w:val="Compact"/>
                    <w:jc w:val="center"/>
                  </w:pPr>
                  <w:r>
                    <w:t xml:space="preserve">0.455</w:t>
                  </w:r>
                </w:p>
              </w:tc>
              <w:tc>
                <w:tcPr/>
                <w:p>
                  <w:pPr>
                    <w:pStyle w:val="Compact"/>
                    <w:jc w:val="center"/>
                  </w:pPr>
                  <w:r>
                    <w:t xml:space="preserve">0.11</w:t>
                  </w:r>
                </w:p>
              </w:tc>
              <w:tc>
                <w:tcPr/>
                <w:p>
                  <w:pPr>
                    <w:pStyle w:val="Compact"/>
                    <w:jc w:val="center"/>
                  </w:pPr>
                  <w:r>
                    <w:t xml:space="preserve">n.a.</w:t>
                  </w:r>
                </w:p>
              </w:tc>
              <w:tc>
                <w:tcPr/>
                <w:p>
                  <w:pPr>
                    <w:pStyle w:val="Compact"/>
                    <w:jc w:val="center"/>
                  </w:pPr>
                  <w:r>
                    <w:t xml:space="preserve">0.890</w:t>
                  </w:r>
                </w:p>
              </w:tc>
              <w:tc>
                <w:tcPr/>
                <w:p>
                  <w:pPr>
                    <w:pStyle w:val="Compact"/>
                    <w:jc w:val="center"/>
                  </w:pPr>
                  <w:r>
                    <w:t xml:space="preserve">0.178 (38)</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n.a.</w:t>
                  </w:r>
                </w:p>
              </w:tc>
              <w:tc>
                <w:tcPr/>
                <w:p>
                  <w:pPr>
                    <w:pStyle w:val="Compact"/>
                    <w:jc w:val="center"/>
                  </w:pPr>
                  <w:r>
                    <w:t xml:space="preserve">0.923</w:t>
                  </w:r>
                </w:p>
              </w:tc>
              <w:tc>
                <w:tcPr/>
                <w:p>
                  <w:pPr>
                    <w:pStyle w:val="Compact"/>
                    <w:jc w:val="center"/>
                  </w:pPr>
                  <w:r>
                    <w:t xml:space="preserve">0.11</w:t>
                  </w:r>
                </w:p>
              </w:tc>
              <w:tc>
                <w:tcPr/>
                <w:p>
                  <w:pPr>
                    <w:pStyle w:val="Compact"/>
                    <w:jc w:val="center"/>
                  </w:pPr>
                  <w:r>
                    <w:t xml:space="preserve">n.a.</w:t>
                  </w:r>
                </w:p>
              </w:tc>
              <w:tc>
                <w:tcPr/>
                <w:p>
                  <w:pPr>
                    <w:pStyle w:val="Compact"/>
                    <w:jc w:val="center"/>
                  </w:pPr>
                  <w:r>
                    <w:t xml:space="preserve">0.714</w:t>
                  </w:r>
                </w:p>
              </w:tc>
              <w:tc>
                <w:tcPr/>
                <w:p>
                  <w:pPr>
                    <w:pStyle w:val="Compact"/>
                    <w:jc w:val="center"/>
                  </w:pPr>
                  <w:r>
                    <w:t xml:space="preserve">0.150 (23)</w:t>
                  </w:r>
                </w:p>
              </w:tc>
              <w:tc>
                <w:tcPr/>
                <w:p>
                  <w:pPr>
                    <w:pStyle w:val="Compact"/>
                    <w:jc w:val="center"/>
                  </w:pPr>
                  <w:r>
                    <w:t xml:space="preserve">Yes</w:t>
                  </w:r>
                </w:p>
              </w:tc>
            </w:tr>
            <w:tr>
              <w:tc>
                <w:tcPr>
                  <w:gridSpan w:val="8"/>
                </w:tcPr>
                <w:p>
                  <w:pPr>
                    <w:pStyle w:val="Compact"/>
                    <w:jc w:val="center"/>
                  </w:pPr>
                  <w:r>
                    <w:t xml:space="preserve">Criteria 1 and 2 at α = 0.05. Criterion 3 at most 0.20. Criterion 4, the regressions of the absolute residuals on the predicted values and of the residuals on the run order at α = 0.05, and Cook's distance, which fails a model only above the median of F(p, n − p).</w:t>
                  </w:r>
                </w:p>
              </w:tc>
            </w:tr>
            <w:tr>
              <w:tc>
                <w:tcPr>
                  <w:gridSpan w:val="8"/>
                </w:tcPr>
                <w:p>
                  <w:pPr>
                    <w:pStyle w:val="Compact"/>
                    <w:jc w:val="center"/>
                  </w:pPr>
                  <w:r>
                    <w:t xml:space="preserve">n.a., not applicable. A model with no term has no F-test, and its predictions do not vary, so the regression of the absolute residuals is not made.</w:t>
                  </w:r>
                </w:p>
              </w:tc>
            </w:tr>
          </w:tbl>
          <w:bookmarkEnd w:id="64"/>
          <w:p/>
        </w:tc>
      </w:tr>
    </w:tbl>
    <w:p>
      <w:pPr>
        <w:pStyle w:val="BodyText"/>
      </w:pPr>
      <w:r>
        <w:t xml:space="preserve">The residual regressions found no trend for any output. Cook’s distance flagged at least one run in every model except that of MVM, and no run exceeded the median of the F distribution, so no model fails the fourth criterion (</w:t>
      </w:r>
      <w:hyperlink w:anchor="sec-influence">
        <w:r>
          <w:rPr>
            <w:rStyle w:val="Hyperlink"/>
          </w:rPr>
          <w:t xml:space="preserve">Section 5.3.5</w:t>
        </w:r>
      </w:hyperlink>
      <w:r>
        <w:t xml:space="preserve">).</w:t>
      </w:r>
    </w:p>
    <w:bookmarkEnd w:id="65"/>
    <w:bookmarkStart w:id="68" w:name="sec-coef"/>
    <w:p>
      <w:pPr>
        <w:pStyle w:val="Heading3"/>
      </w:pPr>
      <w:r>
        <w:t xml:space="preserve">5.3.2 Coefficients, analysis of variance and effect sizes</w:t>
      </w:r>
    </w:p>
    <w:p>
      <w:pPr>
        <w:pStyle w:val="FirstParagraph"/>
      </w:pPr>
      <w:hyperlink w:anchor="tbl-coef">
        <w:r>
          <w:rPr>
            <w:rStyle w:val="Hyperlink"/>
          </w:rPr>
          <w:t xml:space="preserve">Table 13</w:t>
        </w:r>
      </w:hyperlink>
      <w:r>
        <w:t xml:space="preserve"> </w:t>
      </w:r>
      <w:r>
        <w:t xml:space="preserve">gives the coefficients of the three models with terms, and</w:t>
      </w:r>
      <w:r>
        <w:t xml:space="preserve"> </w:t>
      </w:r>
      <w:hyperlink w:anchor="tbl-anova">
        <w:r>
          <w:rPr>
            <w:rStyle w:val="Hyperlink"/>
          </w:rPr>
          <w:t xml:space="preserve">Table 14</w:t>
        </w:r>
      </w:hyperlink>
      <w:r>
        <w:t xml:space="preserve"> </w:t>
      </w:r>
      <w:r>
        <w:t xml:space="preserve">their analysis of variance with the lack of fit test.</w:t>
      </w:r>
    </w:p>
    <w:tbl>
      <w:tblPr>
        <w:tblStyle w:val="Table"/>
        <w:tblW w:type="pct" w:w="5000"/>
        <w:tblLayout w:type="fixed"/>
        <w:tblLook w:firstRow="0" w:lastRow="0" w:firstColumn="0" w:lastColumn="0" w:noHBand="0" w:noVBand="0" w:val="0000"/>
      </w:tblPr>
      <w:tblGrid>
        <w:gridCol w:w="7920"/>
      </w:tblGrid>
      <w:tr>
        <w:tc>
          <w:tcPr/>
          <w:bookmarkStart w:id="66" w:name="tbl-coef"/>
          <w:p>
            <w:pPr>
              <w:jc w:val="center"/>
            </w:pPr>
            <w:pPr>
              <w:jc w:val="start"/>
              <w:spacing w:before="200"/>
              <w:pStyle w:val="ImageCaption"/>
            </w:pPr>
            <w:r>
              <w:t xml:space="preserve">Table 13: Coefficients of the selected response-surface models with terms.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w:t>
                  </w:r>
                </w:p>
              </w:tc>
            </w:tr>
            <w:tr>
              <w:tc>
                <w:tcPr>
                  <w:vMerge w:val="restart"/>
                </w:tcPr>
                <w:p>
                  <w:pPr>
                    <w:pStyle w:val="Compact"/>
                    <w:jc w:val="center"/>
                  </w:pPr>
                  <w:r>
                    <w:t xml:space="preserve">Pool host cell protein (ln ng/mg)</w:t>
                  </w:r>
                </w:p>
              </w:tc>
              <w:tc>
                <w:tcPr/>
                <w:p>
                  <w:pPr>
                    <w:pStyle w:val="Compact"/>
                    <w:jc w:val="center"/>
                  </w:pPr>
                  <w:r>
                    <w:t xml:space="preserve">Intercept</w:t>
                  </w:r>
                </w:p>
              </w:tc>
              <w:tc>
                <w:tcPr/>
                <w:p>
                  <w:pPr>
                    <w:pStyle w:val="Compact"/>
                    <w:jc w:val="center"/>
                  </w:pPr>
                  <w:r>
                    <w:t xml:space="preserve">2.7074</w:t>
                  </w:r>
                </w:p>
              </w:tc>
              <w:tc>
                <w:tcPr/>
                <w:p>
                  <w:pPr>
                    <w:pStyle w:val="Compact"/>
                    <w:jc w:val="center"/>
                  </w:pPr>
                  <w:r>
                    <w:t xml:space="preserve">0.0245</w:t>
                  </w:r>
                </w:p>
              </w:tc>
              <w:tc>
                <w:tcPr/>
                <w:p>
                  <w:pPr>
                    <w:pStyle w:val="Compact"/>
                    <w:jc w:val="center"/>
                  </w:pPr>
                  <w:r>
                    <w:t xml:space="preserve">110.72</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−0.3398</w:t>
                  </w:r>
                </w:p>
              </w:tc>
              <w:tc>
                <w:tcPr/>
                <w:p>
                  <w:pPr>
                    <w:pStyle w:val="Compact"/>
                    <w:jc w:val="center"/>
                  </w:pPr>
                  <w:r>
                    <w:t xml:space="preserve">0.0268</w:t>
                  </w:r>
                </w:p>
              </w:tc>
              <w:tc>
                <w:tcPr/>
                <w:p>
                  <w:pPr>
                    <w:pStyle w:val="Compact"/>
                    <w:jc w:val="center"/>
                  </w:pPr>
                  <w:r>
                    <w:t xml:space="preserve">−12.69</w:t>
                  </w:r>
                </w:p>
              </w:tc>
              <w:tc>
                <w:tcPr/>
                <w:p>
                  <w:pPr>
                    <w:pStyle w:val="Compact"/>
                    <w:jc w:val="center"/>
                  </w:pPr>
                  <w:r>
                    <w:t xml:space="preserve">&lt; 0.001</w:t>
                  </w:r>
                </w:p>
              </w:tc>
            </w:tr>
            <w:tr>
              <w:tc>
                <w:tcPr>
                  <w:gridSpan w:val="1"/>
                  <w:vMerge w:val="continue"/>
                </w:tcPr>
                <w:p>
                  <w:pPr/>
                </w:p>
              </w:tc>
              <w:tc>
                <w:tcPr/>
                <w:p>
                  <w:pPr>
                    <w:pStyle w:val="Compact"/>
                    <w:jc w:val="center"/>
                  </w:pPr>
                  <w:r>
                    <w:t xml:space="preserve">B</w:t>
                  </w:r>
                </w:p>
              </w:tc>
              <w:tc>
                <w:tcPr/>
                <w:p>
                  <w:pPr>
                    <w:pStyle w:val="Compact"/>
                    <w:jc w:val="center"/>
                  </w:pPr>
                  <w:r>
                    <w:t xml:space="preserve">0.3784</w:t>
                  </w:r>
                </w:p>
              </w:tc>
              <w:tc>
                <w:tcPr/>
                <w:p>
                  <w:pPr>
                    <w:pStyle w:val="Compact"/>
                    <w:jc w:val="center"/>
                  </w:pPr>
                  <w:r>
                    <w:t xml:space="preserve">0.0273</w:t>
                  </w:r>
                </w:p>
              </w:tc>
              <w:tc>
                <w:tcPr/>
                <w:p>
                  <w:pPr>
                    <w:pStyle w:val="Compact"/>
                    <w:jc w:val="center"/>
                  </w:pPr>
                  <w:r>
                    <w:t xml:space="preserve">13.85</w:t>
                  </w:r>
                </w:p>
              </w:tc>
              <w:tc>
                <w:tcPr/>
                <w:p>
                  <w:pPr>
                    <w:pStyle w:val="Compact"/>
                    <w:jc w:val="center"/>
                  </w:pPr>
                  <w:r>
                    <w:t xml:space="preserve">&lt; 0.001</w:t>
                  </w:r>
                </w:p>
              </w:tc>
            </w:tr>
            <w:tr>
              <w:tc>
                <w:tcPr>
                  <w:gridSpan w:val="1"/>
                  <w:vMerge w:val="continue"/>
                </w:tcPr>
                <w:p>
                  <w:pPr/>
                </w:p>
              </w:tc>
              <w:tc>
                <w:tcPr/>
                <w:p>
                  <w:pPr>
                    <w:pStyle w:val="Compact"/>
                    <w:jc w:val="center"/>
                  </w:pPr>
                  <w:r>
                    <w:t xml:space="preserve">Block</w:t>
                  </w:r>
                </w:p>
              </w:tc>
              <w:tc>
                <w:tcPr/>
                <w:p>
                  <w:pPr>
                    <w:pStyle w:val="Compact"/>
                    <w:jc w:val="center"/>
                  </w:pPr>
                  <w:r>
                    <w:t xml:space="preserve">0.0156</w:t>
                  </w:r>
                </w:p>
              </w:tc>
              <w:tc>
                <w:tcPr/>
                <w:p>
                  <w:pPr>
                    <w:pStyle w:val="Compact"/>
                    <w:jc w:val="center"/>
                  </w:pPr>
                  <w:r>
                    <w:t xml:space="preserve">0.0245</w:t>
                  </w:r>
                </w:p>
              </w:tc>
              <w:tc>
                <w:tcPr/>
                <w:p>
                  <w:pPr>
                    <w:pStyle w:val="Compact"/>
                    <w:jc w:val="center"/>
                  </w:pPr>
                  <w:r>
                    <w:t xml:space="preserve">0.64</w:t>
                  </w:r>
                </w:p>
              </w:tc>
              <w:tc>
                <w:tcPr/>
                <w:p>
                  <w:pPr>
                    <w:pStyle w:val="Compact"/>
                    <w:jc w:val="center"/>
                  </w:pPr>
                  <w:r>
                    <w:t xml:space="preserve">0.526</w:t>
                  </w:r>
                </w:p>
              </w:tc>
            </w:tr>
            <w:tr>
              <w:tc>
                <w:tcPr>
                  <w:vMerge w:val="restart"/>
                </w:tcPr>
                <w:p>
                  <w:pPr>
                    <w:pStyle w:val="Compact"/>
                    <w:jc w:val="center"/>
                  </w:pPr>
                  <w:r>
                    <w:t xml:space="preserve">XMuLV LRF (log10)</w:t>
                  </w:r>
                </w:p>
              </w:tc>
              <w:tc>
                <w:tcPr/>
                <w:p>
                  <w:pPr>
                    <w:pStyle w:val="Compact"/>
                    <w:jc w:val="center"/>
                  </w:pPr>
                  <w:r>
                    <w:t xml:space="preserve">Intercept</w:t>
                  </w:r>
                </w:p>
              </w:tc>
              <w:tc>
                <w:tcPr/>
                <w:p>
                  <w:pPr>
                    <w:pStyle w:val="Compact"/>
                    <w:jc w:val="center"/>
                  </w:pPr>
                  <w:r>
                    <w:t xml:space="preserve">6.5541</w:t>
                  </w:r>
                </w:p>
              </w:tc>
              <w:tc>
                <w:tcPr/>
                <w:p>
                  <w:pPr>
                    <w:pStyle w:val="Compact"/>
                    <w:jc w:val="center"/>
                  </w:pPr>
                  <w:r>
                    <w:t xml:space="preserve">0.0565</w:t>
                  </w:r>
                </w:p>
              </w:tc>
              <w:tc>
                <w:tcPr/>
                <w:p>
                  <w:pPr>
                    <w:pStyle w:val="Compact"/>
                    <w:jc w:val="center"/>
                  </w:pPr>
                  <w:r>
                    <w:t xml:space="preserve">116.00</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0.6205</w:t>
                  </w:r>
                </w:p>
              </w:tc>
              <w:tc>
                <w:tcPr/>
                <w:p>
                  <w:pPr>
                    <w:pStyle w:val="Compact"/>
                    <w:jc w:val="center"/>
                  </w:pPr>
                  <w:r>
                    <w:t xml:space="preserve">0.0705</w:t>
                  </w:r>
                </w:p>
              </w:tc>
              <w:tc>
                <w:tcPr/>
                <w:p>
                  <w:pPr>
                    <w:pStyle w:val="Compact"/>
                    <w:jc w:val="center"/>
                  </w:pPr>
                  <w:r>
                    <w:t xml:space="preserve">8.81</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−0.5537</w:t>
                  </w:r>
                </w:p>
              </w:tc>
              <w:tc>
                <w:tcPr/>
                <w:p>
                  <w:pPr>
                    <w:pStyle w:val="Compact"/>
                    <w:jc w:val="center"/>
                  </w:pPr>
                  <w:r>
                    <w:t xml:space="preserve">0.0705</w:t>
                  </w:r>
                </w:p>
              </w:tc>
              <w:tc>
                <w:tcPr/>
                <w:p>
                  <w:pPr>
                    <w:pStyle w:val="Compact"/>
                    <w:jc w:val="center"/>
                  </w:pPr>
                  <w:r>
                    <w:t xml:space="preserve">−7.86</w:t>
                  </w:r>
                </w:p>
              </w:tc>
              <w:tc>
                <w:tcPr/>
                <w:p>
                  <w:pPr>
                    <w:pStyle w:val="Compact"/>
                    <w:jc w:val="center"/>
                  </w:pPr>
                  <w:r>
                    <w:t xml:space="preserve">&lt; 0.001</w:t>
                  </w:r>
                </w:p>
              </w:tc>
            </w:tr>
            <w:tr>
              <w:tc>
                <w:tcPr>
                  <w:gridSpan w:val="1"/>
                  <w:vMerge w:val="continue"/>
                </w:tcPr>
                <w:p>
                  <w:pPr/>
                </w:p>
              </w:tc>
              <w:tc>
                <w:tcPr/>
                <w:p>
                  <w:pPr>
                    <w:pStyle w:val="Compact"/>
                    <w:jc w:val="center"/>
                  </w:pPr>
                  <w:r>
                    <w:t xml:space="preserve">D</w:t>
                  </w:r>
                </w:p>
              </w:tc>
              <w:tc>
                <w:tcPr/>
                <w:p>
                  <w:pPr>
                    <w:pStyle w:val="Compact"/>
                    <w:jc w:val="center"/>
                  </w:pPr>
                  <w:r>
                    <w:t xml:space="preserve">0.0287</w:t>
                  </w:r>
                </w:p>
              </w:tc>
              <w:tc>
                <w:tcPr/>
                <w:p>
                  <w:pPr>
                    <w:pStyle w:val="Compact"/>
                    <w:jc w:val="center"/>
                  </w:pPr>
                  <w:r>
                    <w:t xml:space="preserve">0.0705</w:t>
                  </w:r>
                </w:p>
              </w:tc>
              <w:tc>
                <w:tcPr/>
                <w:p>
                  <w:pPr>
                    <w:pStyle w:val="Compact"/>
                    <w:jc w:val="center"/>
                  </w:pPr>
                  <w:r>
                    <w:t xml:space="preserve">0.41</w:t>
                  </w:r>
                </w:p>
              </w:tc>
              <w:tc>
                <w:tcPr/>
                <w:p>
                  <w:pPr>
                    <w:pStyle w:val="Compact"/>
                    <w:jc w:val="center"/>
                  </w:pPr>
                  <w:r>
                    <w:t xml:space="preserve">0.687</w:t>
                  </w:r>
                </w:p>
              </w:tc>
            </w:tr>
            <w:tr>
              <w:tc>
                <w:tcPr>
                  <w:gridSpan w:val="1"/>
                  <w:vMerge w:val="continue"/>
                </w:tcPr>
                <w:p>
                  <w:pPr/>
                </w:p>
              </w:tc>
              <w:tc>
                <w:tcPr/>
                <w:p>
                  <w:pPr>
                    <w:pStyle w:val="Compact"/>
                    <w:jc w:val="center"/>
                  </w:pPr>
                  <w:r>
                    <w:t xml:space="preserve">AD</w:t>
                  </w:r>
                </w:p>
              </w:tc>
              <w:tc>
                <w:tcPr/>
                <w:p>
                  <w:pPr>
                    <w:pStyle w:val="Compact"/>
                    <w:jc w:val="center"/>
                  </w:pPr>
                  <w:r>
                    <w:t xml:space="preserve">0.1918</w:t>
                  </w:r>
                </w:p>
              </w:tc>
              <w:tc>
                <w:tcPr/>
                <w:p>
                  <w:pPr>
                    <w:pStyle w:val="Compact"/>
                    <w:jc w:val="center"/>
                  </w:pPr>
                  <w:r>
                    <w:t xml:space="preserve">0.0747</w:t>
                  </w:r>
                </w:p>
              </w:tc>
              <w:tc>
                <w:tcPr/>
                <w:p>
                  <w:pPr>
                    <w:pStyle w:val="Compact"/>
                    <w:jc w:val="center"/>
                  </w:pPr>
                  <w:r>
                    <w:t xml:space="preserve">2.57</w:t>
                  </w:r>
                </w:p>
              </w:tc>
              <w:tc>
                <w:tcPr/>
                <w:p>
                  <w:pPr>
                    <w:pStyle w:val="Compact"/>
                    <w:jc w:val="center"/>
                  </w:pPr>
                  <w:r>
                    <w:t xml:space="preserve">0.017</w:t>
                  </w:r>
                </w:p>
              </w:tc>
            </w:tr>
            <w:tr>
              <w:tc>
                <w:tcPr>
                  <w:vMerge w:val="restart"/>
                </w:tcPr>
                <w:p>
                  <w:pPr>
                    <w:pStyle w:val="Compact"/>
                    <w:jc w:val="center"/>
                  </w:pPr>
                  <w:r>
                    <w:t xml:space="preserve">MVM LRF (log10)</w:t>
                  </w:r>
                </w:p>
              </w:tc>
              <w:tc>
                <w:tcPr/>
                <w:p>
                  <w:pPr>
                    <w:pStyle w:val="Compact"/>
                    <w:jc w:val="center"/>
                  </w:pPr>
                  <w:r>
                    <w:t xml:space="preserve">Intercept</w:t>
                  </w:r>
                </w:p>
              </w:tc>
              <w:tc>
                <w:tcPr/>
                <w:p>
                  <w:pPr>
                    <w:pStyle w:val="Compact"/>
                    <w:jc w:val="center"/>
                  </w:pPr>
                  <w:r>
                    <w:t xml:space="preserve">4.8449</w:t>
                  </w:r>
                </w:p>
              </w:tc>
              <w:tc>
                <w:tcPr/>
                <w:p>
                  <w:pPr>
                    <w:pStyle w:val="Compact"/>
                    <w:jc w:val="center"/>
                  </w:pPr>
                  <w:r>
                    <w:t xml:space="preserve">0.0540</w:t>
                  </w:r>
                </w:p>
              </w:tc>
              <w:tc>
                <w:tcPr/>
                <w:p>
                  <w:pPr>
                    <w:pStyle w:val="Compact"/>
                    <w:jc w:val="center"/>
                  </w:pPr>
                  <w:r>
                    <w:t xml:space="preserve">89.71</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0.5394</w:t>
                  </w:r>
                </w:p>
              </w:tc>
              <w:tc>
                <w:tcPr/>
                <w:p>
                  <w:pPr>
                    <w:pStyle w:val="Compact"/>
                    <w:jc w:val="center"/>
                  </w:pPr>
                  <w:r>
                    <w:t xml:space="preserve">0.0674</w:t>
                  </w:r>
                </w:p>
              </w:tc>
              <w:tc>
                <w:tcPr/>
                <w:p>
                  <w:pPr>
                    <w:pStyle w:val="Compact"/>
                    <w:jc w:val="center"/>
                  </w:pPr>
                  <w:r>
                    <w:t xml:space="preserve">8.01</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−0.5641</w:t>
                  </w:r>
                </w:p>
              </w:tc>
              <w:tc>
                <w:tcPr/>
                <w:p>
                  <w:pPr>
                    <w:pStyle w:val="Compact"/>
                    <w:jc w:val="center"/>
                  </w:pPr>
                  <w:r>
                    <w:t xml:space="preserve">0.0674</w:t>
                  </w:r>
                </w:p>
              </w:tc>
              <w:tc>
                <w:tcPr/>
                <w:p>
                  <w:pPr>
                    <w:pStyle w:val="Compact"/>
                    <w:jc w:val="center"/>
                  </w:pPr>
                  <w:r>
                    <w:t xml:space="preserve">−8.38</w:t>
                  </w:r>
                </w:p>
              </w:tc>
              <w:tc>
                <w:tcPr/>
                <w:p>
                  <w:pPr>
                    <w:pStyle w:val="Compact"/>
                    <w:jc w:val="center"/>
                  </w:pPr>
                  <w:r>
                    <w:t xml:space="preserve">&lt; 0.001</w:t>
                  </w:r>
                </w:p>
              </w:tc>
            </w:tr>
            <w:tr>
              <w:tc>
                <w:tcPr>
                  <w:gridSpan w:val="6"/>
                </w:tcPr>
                <w:p>
                  <w:pPr>
                    <w:pStyle w:val="Compact"/>
                    <w:jc w:val="center"/>
                  </w:pPr>
                  <w:r>
                    <w:t xml:space="preserve">Coded units. A, load pH. B, Equil/Wash-1 conductivity. C, load conductivity. D, protein load. AD, the interaction of A and D. Block, the augmentation runs against the planned runs, coded −1 and +1. Pool host cell protein is on the natural log scale.</w:t>
                  </w:r>
                </w:p>
              </w:tc>
            </w:tr>
          </w:tbl>
          <w:bookmarkEnd w:id="6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7" w:name="tbl-anova"/>
          <w:p>
            <w:pPr>
              <w:jc w:val="center"/>
            </w:pPr>
            <w:pPr>
              <w:jc w:val="start"/>
              <w:spacing w:before="200"/>
              <w:pStyle w:val="ImageCaption"/>
            </w:pPr>
            <w:r>
              <w:t xml:space="preserve">Table 14: Analysis of variance of the selected response-surface models with terms.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Source</w:t>
                  </w:r>
                </w:p>
              </w:tc>
              <w:tc>
                <w:tcPr/>
                <w:p>
                  <w:pPr>
                    <w:pStyle w:val="Compact"/>
                    <w:jc w:val="center"/>
                  </w:pPr>
                  <w:r>
                    <w:t xml:space="preserve">Sum of</w:t>
                  </w:r>
                  <w:r>
                    <w:br/>
                  </w:r>
                  <w:r>
                    <w:t xml:space="preserve">squares</w:t>
                  </w:r>
                </w:p>
              </w:tc>
              <w:tc>
                <w:tcPr/>
                <w:p>
                  <w:pPr>
                    <w:pStyle w:val="Compact"/>
                    <w:jc w:val="center"/>
                  </w:pPr>
                  <w:r>
                    <w:t xml:space="preserve">df</w:t>
                  </w:r>
                </w:p>
              </w:tc>
              <w:tc>
                <w:tcPr/>
                <w:p>
                  <w:pPr>
                    <w:pStyle w:val="Compact"/>
                    <w:jc w:val="center"/>
                  </w:pPr>
                  <w:r>
                    <w:t xml:space="preserve">Mean</w:t>
                  </w:r>
                  <w:r>
                    <w:br/>
                  </w:r>
                  <w:r>
                    <w:t xml:space="preserve">square</w:t>
                  </w:r>
                </w:p>
              </w:tc>
              <w:tc>
                <w:tcPr/>
                <w:p>
                  <w:pPr>
                    <w:pStyle w:val="Compact"/>
                    <w:jc w:val="center"/>
                  </w:pPr>
                  <w:r>
                    <w:t xml:space="preserve">F</w:t>
                  </w:r>
                </w:p>
              </w:tc>
              <w:tc>
                <w:tcPr/>
                <w:p>
                  <w:pPr>
                    <w:pStyle w:val="Compact"/>
                    <w:jc w:val="center"/>
                  </w:pPr>
                  <w:r>
                    <w:t xml:space="preserve">p</w:t>
                  </w:r>
                </w:p>
              </w:tc>
            </w:tr>
            <w:tr>
              <w:tc>
                <w:tcPr>
                  <w:vMerge w:val="restart"/>
                </w:tcPr>
                <w:p>
                  <w:pPr>
                    <w:pStyle w:val="Compact"/>
                    <w:jc w:val="center"/>
                  </w:pPr>
                  <w:r>
                    <w:t xml:space="preserve">Pool host cell protein</w:t>
                  </w:r>
                </w:p>
              </w:tc>
              <w:tc>
                <w:tcPr/>
                <w:p>
                  <w:pPr>
                    <w:pStyle w:val="Compact"/>
                    <w:jc w:val="center"/>
                  </w:pPr>
                  <w:r>
                    <w:t xml:space="preserve">Model</w:t>
                  </w:r>
                </w:p>
              </w:tc>
              <w:tc>
                <w:tcPr/>
                <w:p>
                  <w:pPr>
                    <w:pStyle w:val="Compact"/>
                    <w:jc w:val="center"/>
                  </w:pPr>
                  <w:r>
                    <w:t xml:space="preserve">6.8622</w:t>
                  </w:r>
                </w:p>
              </w:tc>
              <w:tc>
                <w:tcPr/>
                <w:p>
                  <w:pPr>
                    <w:pStyle w:val="Compact"/>
                    <w:jc w:val="center"/>
                  </w:pPr>
                  <w:r>
                    <w:t xml:space="preserve">3</w:t>
                  </w:r>
                </w:p>
              </w:tc>
              <w:tc>
                <w:tcPr/>
                <w:p>
                  <w:pPr>
                    <w:pStyle w:val="Compact"/>
                    <w:jc w:val="center"/>
                  </w:pPr>
                  <w:r>
                    <w:t xml:space="preserve">2.2874</w:t>
                  </w:r>
                </w:p>
              </w:tc>
              <w:tc>
                <w:tcPr/>
                <w:p>
                  <w:pPr>
                    <w:pStyle w:val="Compact"/>
                    <w:jc w:val="center"/>
                  </w:pPr>
                  <w:r>
                    <w:t xml:space="preserve">114.10</w:t>
                  </w:r>
                </w:p>
              </w:tc>
              <w:tc>
                <w:tcPr/>
                <w:p>
                  <w:pPr>
                    <w:pStyle w:val="Compact"/>
                    <w:jc w:val="center"/>
                  </w:pPr>
                  <w:r>
                    <w:t xml:space="preserve">&lt; 0.001</w:t>
                  </w:r>
                </w:p>
              </w:tc>
            </w:tr>
            <w:tr>
              <w:tc>
                <w:tcPr>
                  <w:gridSpan w:val="1"/>
                  <w:vMerge w:val="continue"/>
                </w:tcPr>
                <w:p>
                  <w:pPr/>
                </w:p>
              </w:tc>
              <w:tc>
                <w:tcPr/>
                <w:p>
                  <w:pPr>
                    <w:pStyle w:val="Compact"/>
                    <w:jc w:val="center"/>
                  </w:pPr>
                  <w:r>
                    <w:t xml:space="preserve">Residual</w:t>
                  </w:r>
                </w:p>
              </w:tc>
              <w:tc>
                <w:tcPr/>
                <w:p>
                  <w:pPr>
                    <w:pStyle w:val="Compact"/>
                    <w:jc w:val="center"/>
                  </w:pPr>
                  <w:r>
                    <w:t xml:space="preserve">0.7217</w:t>
                  </w:r>
                </w:p>
              </w:tc>
              <w:tc>
                <w:tcPr/>
                <w:p>
                  <w:pPr>
                    <w:pStyle w:val="Compact"/>
                    <w:jc w:val="center"/>
                  </w:pPr>
                  <w:r>
                    <w:t xml:space="preserve">36</w:t>
                  </w:r>
                </w:p>
              </w:tc>
              <w:tc>
                <w:tcPr/>
                <w:p>
                  <w:pPr>
                    <w:pStyle w:val="Compact"/>
                    <w:jc w:val="center"/>
                  </w:pPr>
                  <w:r>
                    <w:t xml:space="preserve">0.0200</w:t>
                  </w:r>
                </w:p>
              </w:tc>
              <w:tc>
                <w:tcPr/>
                <w:p>
                  <w:pPr>
                    <w:pStyle w:val="Compact"/>
                  </w:pPr>
                </w:p>
              </w:tc>
              <w:tc>
                <w:tcPr/>
                <w:p>
                  <w:pPr>
                    <w:pStyle w:val="Compact"/>
                  </w:pPr>
                </w:p>
              </w:tc>
            </w:tr>
            <w:tr>
              <w:tc>
                <w:tcPr>
                  <w:gridSpan w:val="1"/>
                  <w:vMerge w:val="continue"/>
                </w:tcPr>
                <w:p>
                  <w:pPr/>
                </w:p>
              </w:tc>
              <w:tc>
                <w:tcPr/>
                <w:p>
                  <w:pPr>
                    <w:pStyle w:val="Compact"/>
                    <w:jc w:val="center"/>
                  </w:pPr>
                  <w:r>
                    <w:t xml:space="preserve">Lack of fit</w:t>
                  </w:r>
                </w:p>
              </w:tc>
              <w:tc>
                <w:tcPr/>
                <w:p>
                  <w:pPr>
                    <w:pStyle w:val="Compact"/>
                    <w:jc w:val="center"/>
                  </w:pPr>
                  <w:r>
                    <w:t xml:space="preserve">0.6179</w:t>
                  </w:r>
                </w:p>
              </w:tc>
              <w:tc>
                <w:tcPr/>
                <w:p>
                  <w:pPr>
                    <w:pStyle w:val="Compact"/>
                    <w:jc w:val="center"/>
                  </w:pPr>
                  <w:r>
                    <w:t xml:space="preserve">33</w:t>
                  </w:r>
                </w:p>
              </w:tc>
              <w:tc>
                <w:tcPr/>
                <w:p>
                  <w:pPr>
                    <w:pStyle w:val="Compact"/>
                    <w:jc w:val="center"/>
                  </w:pPr>
                  <w:r>
                    <w:t xml:space="preserve">0.0187</w:t>
                  </w:r>
                </w:p>
              </w:tc>
              <w:tc>
                <w:tcPr/>
                <w:p>
                  <w:pPr>
                    <w:pStyle w:val="Compact"/>
                    <w:jc w:val="center"/>
                  </w:pPr>
                  <w:r>
                    <w:t xml:space="preserve">0.54</w:t>
                  </w:r>
                </w:p>
              </w:tc>
              <w:tc>
                <w:tcPr/>
                <w:p>
                  <w:pPr>
                    <w:pStyle w:val="Compact"/>
                    <w:jc w:val="center"/>
                  </w:pPr>
                  <w:r>
                    <w:t xml:space="preserve">0.842</w:t>
                  </w:r>
                </w:p>
              </w:tc>
            </w:tr>
            <w:tr>
              <w:tc>
                <w:tcPr>
                  <w:gridSpan w:val="1"/>
                  <w:vMerge w:val="continue"/>
                </w:tcPr>
                <w:p>
                  <w:pPr/>
                </w:p>
              </w:tc>
              <w:tc>
                <w:tcPr/>
                <w:p>
                  <w:pPr>
                    <w:pStyle w:val="Compact"/>
                    <w:jc w:val="center"/>
                  </w:pPr>
                  <w:r>
                    <w:t xml:space="preserve">Pure error</w:t>
                  </w:r>
                </w:p>
              </w:tc>
              <w:tc>
                <w:tcPr/>
                <w:p>
                  <w:pPr>
                    <w:pStyle w:val="Compact"/>
                    <w:jc w:val="center"/>
                  </w:pPr>
                  <w:r>
                    <w:t xml:space="preserve">0.1039</w:t>
                  </w:r>
                </w:p>
              </w:tc>
              <w:tc>
                <w:tcPr/>
                <w:p>
                  <w:pPr>
                    <w:pStyle w:val="Compact"/>
                    <w:jc w:val="center"/>
                  </w:pPr>
                  <w:r>
                    <w:t xml:space="preserve">3</w:t>
                  </w:r>
                </w:p>
              </w:tc>
              <w:tc>
                <w:tcPr/>
                <w:p>
                  <w:pPr>
                    <w:pStyle w:val="Compact"/>
                    <w:jc w:val="center"/>
                  </w:pPr>
                  <w:r>
                    <w:t xml:space="preserve">0.0346</w:t>
                  </w:r>
                </w:p>
              </w:tc>
              <w:tc>
                <w:tcPr/>
                <w:p>
                  <w:pPr>
                    <w:pStyle w:val="Compact"/>
                  </w:pPr>
                </w:p>
              </w:tc>
              <w:tc>
                <w:tcPr/>
                <w:p>
                  <w:pPr>
                    <w:pStyle w:val="Compact"/>
                  </w:pPr>
                </w:p>
              </w:tc>
            </w:tr>
            <w:tr>
              <w:tc>
                <w:tcPr>
                  <w:vMerge w:val="restart"/>
                </w:tcPr>
                <w:p>
                  <w:pPr>
                    <w:pStyle w:val="Compact"/>
                    <w:jc w:val="center"/>
                  </w:pPr>
                  <w:r>
                    <w:t xml:space="preserve">XMuLV LRF</w:t>
                  </w:r>
                </w:p>
              </w:tc>
              <w:tc>
                <w:tcPr/>
                <w:p>
                  <w:pPr>
                    <w:pStyle w:val="Compact"/>
                    <w:jc w:val="center"/>
                  </w:pPr>
                  <w:r>
                    <w:t xml:space="preserve">Model</w:t>
                  </w:r>
                </w:p>
              </w:tc>
              <w:tc>
                <w:tcPr/>
                <w:p>
                  <w:pPr>
                    <w:pStyle w:val="Compact"/>
                    <w:jc w:val="center"/>
                  </w:pPr>
                  <w:r>
                    <w:t xml:space="preserve">13.0523</w:t>
                  </w:r>
                </w:p>
              </w:tc>
              <w:tc>
                <w:tcPr/>
                <w:p>
                  <w:pPr>
                    <w:pStyle w:val="Compact"/>
                    <w:jc w:val="center"/>
                  </w:pPr>
                  <w:r>
                    <w:t xml:space="preserve">4</w:t>
                  </w:r>
                </w:p>
              </w:tc>
              <w:tc>
                <w:tcPr/>
                <w:p>
                  <w:pPr>
                    <w:pStyle w:val="Compact"/>
                    <w:jc w:val="center"/>
                  </w:pPr>
                  <w:r>
                    <w:t xml:space="preserve">3.2631</w:t>
                  </w:r>
                </w:p>
              </w:tc>
              <w:tc>
                <w:tcPr/>
                <w:p>
                  <w:pPr>
                    <w:pStyle w:val="Compact"/>
                    <w:jc w:val="center"/>
                  </w:pPr>
                  <w:r>
                    <w:t xml:space="preserve">36.51</w:t>
                  </w:r>
                </w:p>
              </w:tc>
              <w:tc>
                <w:tcPr/>
                <w:p>
                  <w:pPr>
                    <w:pStyle w:val="Compact"/>
                    <w:jc w:val="center"/>
                  </w:pPr>
                  <w:r>
                    <w:t xml:space="preserve">&lt; 0.001</w:t>
                  </w:r>
                </w:p>
              </w:tc>
            </w:tr>
            <w:tr>
              <w:tc>
                <w:tcPr>
                  <w:gridSpan w:val="1"/>
                  <w:vMerge w:val="continue"/>
                </w:tcPr>
                <w:p>
                  <w:pPr/>
                </w:p>
              </w:tc>
              <w:tc>
                <w:tcPr/>
                <w:p>
                  <w:pPr>
                    <w:pStyle w:val="Compact"/>
                    <w:jc w:val="center"/>
                  </w:pPr>
                  <w:r>
                    <w:t xml:space="preserve">Residual</w:t>
                  </w:r>
                </w:p>
              </w:tc>
              <w:tc>
                <w:tcPr/>
                <w:p>
                  <w:pPr>
                    <w:pStyle w:val="Compact"/>
                    <w:jc w:val="center"/>
                  </w:pPr>
                  <w:r>
                    <w:t xml:space="preserve">2.0558</w:t>
                  </w:r>
                </w:p>
              </w:tc>
              <w:tc>
                <w:tcPr/>
                <w:p>
                  <w:pPr>
                    <w:pStyle w:val="Compact"/>
                    <w:jc w:val="center"/>
                  </w:pPr>
                  <w:r>
                    <w:t xml:space="preserve">23</w:t>
                  </w:r>
                </w:p>
              </w:tc>
              <w:tc>
                <w:tcPr/>
                <w:p>
                  <w:pPr>
                    <w:pStyle w:val="Compact"/>
                    <w:jc w:val="center"/>
                  </w:pPr>
                  <w:r>
                    <w:t xml:space="preserve">0.0894</w:t>
                  </w:r>
                </w:p>
              </w:tc>
              <w:tc>
                <w:tcPr/>
                <w:p>
                  <w:pPr>
                    <w:pStyle w:val="Compact"/>
                  </w:pPr>
                </w:p>
              </w:tc>
              <w:tc>
                <w:tcPr/>
                <w:p>
                  <w:pPr>
                    <w:pStyle w:val="Compact"/>
                  </w:pPr>
                </w:p>
              </w:tc>
            </w:tr>
            <w:tr>
              <w:tc>
                <w:tcPr>
                  <w:gridSpan w:val="1"/>
                  <w:vMerge w:val="continue"/>
                </w:tcPr>
                <w:p>
                  <w:pPr/>
                </w:p>
              </w:tc>
              <w:tc>
                <w:tcPr/>
                <w:p>
                  <w:pPr>
                    <w:pStyle w:val="Compact"/>
                    <w:jc w:val="center"/>
                  </w:pPr>
                  <w:r>
                    <w:t xml:space="preserve">Lack of fit</w:t>
                  </w:r>
                </w:p>
              </w:tc>
              <w:tc>
                <w:tcPr/>
                <w:p>
                  <w:pPr>
                    <w:pStyle w:val="Compact"/>
                    <w:jc w:val="center"/>
                  </w:pPr>
                  <w:r>
                    <w:t xml:space="preserve">1.4616</w:t>
                  </w:r>
                </w:p>
              </w:tc>
              <w:tc>
                <w:tcPr/>
                <w:p>
                  <w:pPr>
                    <w:pStyle w:val="Compact"/>
                    <w:jc w:val="center"/>
                  </w:pPr>
                  <w:r>
                    <w:t xml:space="preserve">20</w:t>
                  </w:r>
                </w:p>
              </w:tc>
              <w:tc>
                <w:tcPr/>
                <w:p>
                  <w:pPr>
                    <w:pStyle w:val="Compact"/>
                    <w:jc w:val="center"/>
                  </w:pPr>
                  <w:r>
                    <w:t xml:space="preserve">0.0731</w:t>
                  </w:r>
                </w:p>
              </w:tc>
              <w:tc>
                <w:tcPr/>
                <w:p>
                  <w:pPr>
                    <w:pStyle w:val="Compact"/>
                    <w:jc w:val="center"/>
                  </w:pPr>
                  <w:r>
                    <w:t xml:space="preserve">0.37</w:t>
                  </w:r>
                </w:p>
              </w:tc>
              <w:tc>
                <w:tcPr/>
                <w:p>
                  <w:pPr>
                    <w:pStyle w:val="Compact"/>
                    <w:jc w:val="center"/>
                  </w:pPr>
                  <w:r>
                    <w:t xml:space="preserve">0.928</w:t>
                  </w:r>
                </w:p>
              </w:tc>
            </w:tr>
            <w:tr>
              <w:tc>
                <w:tcPr>
                  <w:gridSpan w:val="1"/>
                  <w:vMerge w:val="continue"/>
                </w:tcPr>
                <w:p>
                  <w:pPr/>
                </w:p>
              </w:tc>
              <w:tc>
                <w:tcPr/>
                <w:p>
                  <w:pPr>
                    <w:pStyle w:val="Compact"/>
                    <w:jc w:val="center"/>
                  </w:pPr>
                  <w:r>
                    <w:t xml:space="preserve">Pure error</w:t>
                  </w:r>
                </w:p>
              </w:tc>
              <w:tc>
                <w:tcPr/>
                <w:p>
                  <w:pPr>
                    <w:pStyle w:val="Compact"/>
                    <w:jc w:val="center"/>
                  </w:pPr>
                  <w:r>
                    <w:t xml:space="preserve">0.5942</w:t>
                  </w:r>
                </w:p>
              </w:tc>
              <w:tc>
                <w:tcPr/>
                <w:p>
                  <w:pPr>
                    <w:pStyle w:val="Compact"/>
                    <w:jc w:val="center"/>
                  </w:pPr>
                  <w:r>
                    <w:t xml:space="preserve">3</w:t>
                  </w:r>
                </w:p>
              </w:tc>
              <w:tc>
                <w:tcPr/>
                <w:p>
                  <w:pPr>
                    <w:pStyle w:val="Compact"/>
                    <w:jc w:val="center"/>
                  </w:pPr>
                  <w:r>
                    <w:t xml:space="preserve">0.1981</w:t>
                  </w:r>
                </w:p>
              </w:tc>
              <w:tc>
                <w:tcPr/>
                <w:p>
                  <w:pPr>
                    <w:pStyle w:val="Compact"/>
                  </w:pPr>
                </w:p>
              </w:tc>
              <w:tc>
                <w:tcPr/>
                <w:p>
                  <w:pPr>
                    <w:pStyle w:val="Compact"/>
                  </w:pPr>
                </w:p>
              </w:tc>
            </w:tr>
            <w:tr>
              <w:tc>
                <w:tcPr>
                  <w:vMerge w:val="restart"/>
                </w:tcPr>
                <w:p>
                  <w:pPr>
                    <w:pStyle w:val="Compact"/>
                    <w:jc w:val="center"/>
                  </w:pPr>
                  <w:r>
                    <w:t xml:space="preserve">MVM LRF</w:t>
                  </w:r>
                </w:p>
              </w:tc>
              <w:tc>
                <w:tcPr/>
                <w:p>
                  <w:pPr>
                    <w:pStyle w:val="Compact"/>
                    <w:jc w:val="center"/>
                  </w:pPr>
                  <w:r>
                    <w:t xml:space="preserve">Model</w:t>
                  </w:r>
                </w:p>
              </w:tc>
              <w:tc>
                <w:tcPr/>
                <w:p>
                  <w:pPr>
                    <w:pStyle w:val="Compact"/>
                    <w:jc w:val="center"/>
                  </w:pPr>
                  <w:r>
                    <w:t xml:space="preserve">10.9661</w:t>
                  </w:r>
                </w:p>
              </w:tc>
              <w:tc>
                <w:tcPr/>
                <w:p>
                  <w:pPr>
                    <w:pStyle w:val="Compact"/>
                    <w:jc w:val="center"/>
                  </w:pPr>
                  <w:r>
                    <w:t xml:space="preserve">2</w:t>
                  </w:r>
                </w:p>
              </w:tc>
              <w:tc>
                <w:tcPr/>
                <w:p>
                  <w:pPr>
                    <w:pStyle w:val="Compact"/>
                    <w:jc w:val="center"/>
                  </w:pPr>
                  <w:r>
                    <w:t xml:space="preserve">5.4831</w:t>
                  </w:r>
                </w:p>
              </w:tc>
              <w:tc>
                <w:tcPr/>
                <w:p>
                  <w:pPr>
                    <w:pStyle w:val="Compact"/>
                    <w:jc w:val="center"/>
                  </w:pPr>
                  <w:r>
                    <w:t xml:space="preserve">67.15</w:t>
                  </w:r>
                </w:p>
              </w:tc>
              <w:tc>
                <w:tcPr/>
                <w:p>
                  <w:pPr>
                    <w:pStyle w:val="Compact"/>
                    <w:jc w:val="center"/>
                  </w:pPr>
                  <w:r>
                    <w:t xml:space="preserve">&lt; 0.001</w:t>
                  </w:r>
                </w:p>
              </w:tc>
            </w:tr>
            <w:tr>
              <w:tc>
                <w:tcPr>
                  <w:gridSpan w:val="1"/>
                  <w:vMerge w:val="continue"/>
                </w:tcPr>
                <w:p>
                  <w:pPr/>
                </w:p>
              </w:tc>
              <w:tc>
                <w:tcPr/>
                <w:p>
                  <w:pPr>
                    <w:pStyle w:val="Compact"/>
                    <w:jc w:val="center"/>
                  </w:pPr>
                  <w:r>
                    <w:t xml:space="preserve">Residual</w:t>
                  </w:r>
                </w:p>
              </w:tc>
              <w:tc>
                <w:tcPr/>
                <w:p>
                  <w:pPr>
                    <w:pStyle w:val="Compact"/>
                    <w:jc w:val="center"/>
                  </w:pPr>
                  <w:r>
                    <w:t xml:space="preserve">2.0414</w:t>
                  </w:r>
                </w:p>
              </w:tc>
              <w:tc>
                <w:tcPr/>
                <w:p>
                  <w:pPr>
                    <w:pStyle w:val="Compact"/>
                    <w:jc w:val="center"/>
                  </w:pPr>
                  <w:r>
                    <w:t xml:space="preserve">25</w:t>
                  </w:r>
                </w:p>
              </w:tc>
              <w:tc>
                <w:tcPr/>
                <w:p>
                  <w:pPr>
                    <w:pStyle w:val="Compact"/>
                    <w:jc w:val="center"/>
                  </w:pPr>
                  <w:r>
                    <w:t xml:space="preserve">0.0817</w:t>
                  </w:r>
                </w:p>
              </w:tc>
              <w:tc>
                <w:tcPr/>
                <w:p>
                  <w:pPr>
                    <w:pStyle w:val="Compact"/>
                  </w:pPr>
                </w:p>
              </w:tc>
              <w:tc>
                <w:tcPr/>
                <w:p>
                  <w:pPr>
                    <w:pStyle w:val="Compact"/>
                  </w:pPr>
                </w:p>
              </w:tc>
            </w:tr>
            <w:tr>
              <w:tc>
                <w:tcPr>
                  <w:gridSpan w:val="1"/>
                  <w:vMerge w:val="continue"/>
                </w:tcPr>
                <w:p>
                  <w:pPr/>
                </w:p>
              </w:tc>
              <w:tc>
                <w:tcPr/>
                <w:p>
                  <w:pPr>
                    <w:pStyle w:val="Compact"/>
                    <w:jc w:val="center"/>
                  </w:pPr>
                  <w:r>
                    <w:t xml:space="preserve">Lack of fit</w:t>
                  </w:r>
                </w:p>
              </w:tc>
              <w:tc>
                <w:tcPr/>
                <w:p>
                  <w:pPr>
                    <w:pStyle w:val="Compact"/>
                    <w:jc w:val="center"/>
                  </w:pPr>
                  <w:r>
                    <w:t xml:space="preserve">1.7029</w:t>
                  </w:r>
                </w:p>
              </w:tc>
              <w:tc>
                <w:tcPr/>
                <w:p>
                  <w:pPr>
                    <w:pStyle w:val="Compact"/>
                    <w:jc w:val="center"/>
                  </w:pPr>
                  <w:r>
                    <w:t xml:space="preserve">22</w:t>
                  </w:r>
                </w:p>
              </w:tc>
              <w:tc>
                <w:tcPr/>
                <w:p>
                  <w:pPr>
                    <w:pStyle w:val="Compact"/>
                    <w:jc w:val="center"/>
                  </w:pPr>
                  <w:r>
                    <w:t xml:space="preserve">0.0774</w:t>
                  </w:r>
                </w:p>
              </w:tc>
              <w:tc>
                <w:tcPr/>
                <w:p>
                  <w:pPr>
                    <w:pStyle w:val="Compact"/>
                    <w:jc w:val="center"/>
                  </w:pPr>
                  <w:r>
                    <w:t xml:space="preserve">0.69</w:t>
                  </w:r>
                </w:p>
              </w:tc>
              <w:tc>
                <w:tcPr/>
                <w:p>
                  <w:pPr>
                    <w:pStyle w:val="Compact"/>
                    <w:jc w:val="center"/>
                  </w:pPr>
                  <w:r>
                    <w:t xml:space="preserve">0.747</w:t>
                  </w:r>
                </w:p>
              </w:tc>
            </w:tr>
            <w:tr>
              <w:tc>
                <w:tcPr>
                  <w:gridSpan w:val="1"/>
                  <w:vMerge w:val="continue"/>
                </w:tcPr>
                <w:p>
                  <w:pPr/>
                </w:p>
              </w:tc>
              <w:tc>
                <w:tcPr/>
                <w:p>
                  <w:pPr>
                    <w:pStyle w:val="Compact"/>
                    <w:jc w:val="center"/>
                  </w:pPr>
                  <w:r>
                    <w:t xml:space="preserve">Pure error</w:t>
                  </w:r>
                </w:p>
              </w:tc>
              <w:tc>
                <w:tcPr/>
                <w:p>
                  <w:pPr>
                    <w:pStyle w:val="Compact"/>
                    <w:jc w:val="center"/>
                  </w:pPr>
                  <w:r>
                    <w:t xml:space="preserve">0.3385</w:t>
                  </w:r>
                </w:p>
              </w:tc>
              <w:tc>
                <w:tcPr/>
                <w:p>
                  <w:pPr>
                    <w:pStyle w:val="Compact"/>
                    <w:jc w:val="center"/>
                  </w:pPr>
                  <w:r>
                    <w:t xml:space="preserve">3</w:t>
                  </w:r>
                </w:p>
              </w:tc>
              <w:tc>
                <w:tcPr/>
                <w:p>
                  <w:pPr>
                    <w:pStyle w:val="Compact"/>
                    <w:jc w:val="center"/>
                  </w:pPr>
                  <w:r>
                    <w:t xml:space="preserve">0.1128</w:t>
                  </w:r>
                </w:p>
              </w:tc>
              <w:tc>
                <w:tcPr/>
                <w:p>
                  <w:pPr>
                    <w:pStyle w:val="Compact"/>
                  </w:pPr>
                </w:p>
              </w:tc>
              <w:tc>
                <w:tcPr/>
                <w:p>
                  <w:pPr>
                    <w:pStyle w:val="Compact"/>
                  </w:pPr>
                </w:p>
              </w:tc>
            </w:tr>
            <w:tr>
              <w:tc>
                <w:tcPr>
                  <w:gridSpan w:val="7"/>
                </w:tcPr>
                <w:p>
                  <w:pPr>
                    <w:pStyle w:val="Compact"/>
                    <w:jc w:val="center"/>
                  </w:pPr>
                  <w:r>
                    <w:t xml:space="preserve">The residual divides into lack of fit and pure error from the centre points. Pool host cell protein on the natural log scale.</w:t>
                  </w:r>
                </w:p>
              </w:tc>
            </w:tr>
          </w:tbl>
          <w:bookmarkEnd w:id="67"/>
          <w:p/>
        </w:tc>
      </w:tr>
    </w:tbl>
    <w:p>
      <w:pPr>
        <w:pStyle w:val="BodyText"/>
      </w:pPr>
      <w:r>
        <w:t xml:space="preserve">On the log scale the effects on pool host cell protein are fold changes. From the low to the high end of its range, load pH multiplies pool host cell protein by 0.51, so it about halves it, and Equil/Wash-1 conductivity multiplies it by 2.13. The two coefficients, −0.340 and +0.378 per coded unit, are equal in size within their standard errors (0.027 and 0.027), so neither parameter is the larger effect. The residual standard deviation on the log scale, 0.142, corresponds to a scatter between runs of about 15 % of the level. The block term is 0.016 on the log scale (p = 0.526), so the augmentation runs did not differ detectably from the planned runs.</w:t>
      </w:r>
    </w:p>
    <w:p>
      <w:pPr>
        <w:pStyle w:val="BodyText"/>
      </w:pPr>
      <w:r>
        <w:t xml:space="preserve">Across its range, load pH raises the XMuLV LRF by 1.24 log10 at the centre of protein load and the MVM LRF by 1.08 log10. Load conductivity lowers them by 1.11 and 1.13 log10. For each virus the effects of load pH and load conductivity are equal in size within their standard errors.</w:t>
      </w:r>
    </w:p>
    <w:p>
      <w:pPr>
        <w:pStyle w:val="BodyText"/>
      </w:pPr>
      <w:r>
        <w:t xml:space="preserve">The interaction of load pH and protein load makes the effect of protein load on the XMuLV LRF depend on load pH. From the lowest to the highest protein load, the model lowers the XMuLV LRF by 0.33 log10 at the low end of load pH and raises it by 0.44 log10 at the high end. The interaction is significant (p = 0.017), and it stays in the selected model, on which the judgements of this report are made. Both changes are of the size of the repeatability of the XMuLV assay (0.3 log10). The other XMuLV model within 2 AICc units drops the interaction (</w:t>
      </w:r>
      <w:hyperlink w:anchor="sec-near">
        <w:r>
          <w:rPr>
            <w:rStyle w:val="Hyperlink"/>
          </w:rPr>
          <w:t xml:space="preserve">Section 5.3.4</w:t>
        </w:r>
      </w:hyperlink>
      <w:r>
        <w:t xml:space="preserve">). It is therefore not established as an effect of protein load.</w:t>
      </w:r>
    </w:p>
    <w:bookmarkEnd w:id="68"/>
    <w:bookmarkStart w:id="70" w:name="sec-reeval"/>
    <w:p>
      <w:pPr>
        <w:pStyle w:val="Heading3"/>
      </w:pPr>
      <w:r>
        <w:t xml:space="preserve">5.3.3 The augmentation and the re-evaluation</w:t>
      </w:r>
    </w:p>
    <w:p>
      <w:pPr>
        <w:pStyle w:val="FirstParagraph"/>
      </w:pPr>
      <w:hyperlink w:anchor="tbl-reeval-aex">
        <w:r>
          <w:rPr>
            <w:rStyle w:val="Hyperlink"/>
          </w:rPr>
          <w:t xml:space="preserve">Table 15</w:t>
        </w:r>
      </w:hyperlink>
      <w:r>
        <w:t xml:space="preserve"> </w:t>
      </w:r>
      <w:r>
        <w:t xml:space="preserve">re-evaluates the models with the augmentation runs. On the planned runs the full quadratic model of pool host cell protein failed the limit on overfitting, with R² minus predicted R² of 0.27. On all 40 runs with a block term the same model meets the lack of fit test and the limit on overfitting.</w:t>
      </w:r>
    </w:p>
    <w:tbl>
      <w:tblPr>
        <w:tblStyle w:val="Table"/>
        <w:tblW w:type="pct" w:w="5000"/>
        <w:tblLayout w:type="fixed"/>
        <w:tblLook w:firstRow="0" w:lastRow="0" w:firstColumn="0" w:lastColumn="0" w:noHBand="0" w:noVBand="0" w:val="0000"/>
      </w:tblPr>
      <w:tblGrid>
        <w:gridCol w:w="7920"/>
      </w:tblGrid>
      <w:tr>
        <w:tc>
          <w:tcPr/>
          <w:bookmarkStart w:id="69" w:name="tbl-reeval-aex"/>
          <w:p>
            <w:pPr>
              <w:jc w:val="center"/>
            </w:pPr>
            <w:pPr>
              <w:jc w:val="start"/>
              <w:spacing w:before="200"/>
              <w:pStyle w:val="ImageCaption"/>
            </w:pPr>
            <w:r>
              <w:t xml:space="preserve">Table 15: Re-evaluation of the response-surface models with the augmentation runs.</w:t>
            </w:r>
          </w:p>
          <w:tbl>
            <w:tblPr>
              <w:tblStyle w:val="Table"/>
              <w:tblW w:type="pct" w:w="5000"/>
              <w:tblLayout w:type="fixed"/>
              <w:tblLook w:firstRow="1" w:lastRow="1"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vMerge w:val="restart"/>
                </w:tcPr>
                <w:p>
                  <w:pPr>
                    <w:pStyle w:val="Compact"/>
                    <w:jc w:val="center"/>
                  </w:pPr>
                  <w:r>
                    <w:t xml:space="preserve">Attribute</w:t>
                  </w:r>
                </w:p>
              </w:tc>
              <w:tc>
                <w:tcPr>
                  <w:gridSpan w:val="4"/>
                </w:tcPr>
                <w:p>
                  <w:pPr>
                    <w:pStyle w:val="Compact"/>
                    <w:jc w:val="center"/>
                  </w:pPr>
                  <w:r>
                    <w:t xml:space="preserve">Planned runs, full quadratic</w:t>
                  </w:r>
                </w:p>
              </w:tc>
              <w:tc>
                <w:tcPr>
                  <w:gridSpan w:val="6"/>
                </w:tcPr>
                <w:p>
                  <w:pPr>
                    <w:pStyle w:val="Compact"/>
                    <w:jc w:val="center"/>
                  </w:pPr>
                  <w:r>
                    <w:t xml:space="preserve">All runs, full quadratic with block</w:t>
                  </w:r>
                </w:p>
              </w:tc>
              <w:tc>
                <w:tcPr>
                  <w:vMerge w:val="restart"/>
                </w:tcPr>
                <w:p>
                  <w:pPr>
                    <w:pStyle w:val="Compact"/>
                    <w:jc w:val="center"/>
                  </w:pPr>
                  <w:r>
                    <w:t xml:space="preserve">Model used</w:t>
                  </w:r>
                  <w:r>
                    <w:br/>
                  </w:r>
                  <w:r>
                    <w:t xml:space="preserve">(terms)</w:t>
                  </w:r>
                </w:p>
              </w:tc>
            </w:tr>
            <w:tr>
              <w:trPr>
                <w:tblHeader w:val="on"/>
              </w:trPr>
              <w:tc>
                <w:tcPr>
                  <w:gridSpan w:val="1"/>
                  <w:vMerge w:val="continue"/>
                </w:tcPr>
                <w:p>
                  <w:pP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p>
                  <w:pPr>
                    <w:pStyle w:val="Compact"/>
                    <w:jc w:val="center"/>
                  </w:pPr>
                  <w:r>
                    <w:t xml:space="preserve">Lack of</w:t>
                  </w:r>
                  <w:r>
                    <w:br/>
                  </w:r>
                  <w:r>
                    <w:t xml:space="preserve">fit p</w:t>
                  </w:r>
                </w:p>
              </w:tc>
              <w:tc>
                <w:tcPr/>
                <w:p>
                  <w:pPr>
                    <w:pStyle w:val="Compact"/>
                    <w:jc w:val="center"/>
                  </w:pPr>
                  <w:r>
                    <w:t xml:space="preserve">Block p</w:t>
                  </w: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28</w:t>
                  </w:r>
                </w:p>
              </w:tc>
              <w:tc>
                <w:tcPr/>
                <w:p>
                  <w:pPr>
                    <w:pStyle w:val="Compact"/>
                    <w:jc w:val="center"/>
                  </w:pPr>
                  <w:r>
                    <w:t xml:space="preserve">0.93</w:t>
                  </w:r>
                </w:p>
              </w:tc>
              <w:tc>
                <w:tcPr/>
                <w:p>
                  <w:pPr>
                    <w:pStyle w:val="Compact"/>
                    <w:jc w:val="center"/>
                  </w:pPr>
                  <w:r>
                    <w:t xml:space="preserve">0.66</w:t>
                  </w:r>
                </w:p>
              </w:tc>
              <w:tc>
                <w:tcPr/>
                <w:p>
                  <w:pPr>
                    <w:pStyle w:val="Compact"/>
                    <w:jc w:val="center"/>
                  </w:pPr>
                  <w:r>
                    <w:t xml:space="preserve">0.27</w:t>
                  </w:r>
                </w:p>
              </w:tc>
              <w:tc>
                <w:tcPr/>
                <w:p>
                  <w:pPr>
                    <w:pStyle w:val="Compact"/>
                    <w:jc w:val="center"/>
                  </w:pPr>
                  <w:r>
                    <w:t xml:space="preserve">40</w:t>
                  </w:r>
                </w:p>
              </w:tc>
              <w:tc>
                <w:tcPr/>
                <w:p>
                  <w:pPr>
                    <w:pStyle w:val="Compact"/>
                    <w:jc w:val="center"/>
                  </w:pPr>
                  <w:r>
                    <w:t xml:space="preserve">0.94</w:t>
                  </w:r>
                </w:p>
              </w:tc>
              <w:tc>
                <w:tcPr/>
                <w:p>
                  <w:pPr>
                    <w:pStyle w:val="Compact"/>
                    <w:jc w:val="center"/>
                  </w:pPr>
                  <w:r>
                    <w:t xml:space="preserve">0.83</w:t>
                  </w:r>
                </w:p>
              </w:tc>
              <w:tc>
                <w:tcPr/>
                <w:p>
                  <w:pPr>
                    <w:pStyle w:val="Compact"/>
                    <w:jc w:val="center"/>
                  </w:pPr>
                  <w:r>
                    <w:t xml:space="preserve">0.11</w:t>
                  </w:r>
                </w:p>
              </w:tc>
              <w:tc>
                <w:tcPr/>
                <w:p>
                  <w:pPr>
                    <w:pStyle w:val="Compact"/>
                    <w:jc w:val="center"/>
                  </w:pPr>
                  <w:r>
                    <w:t xml:space="preserve">0.677</w:t>
                  </w:r>
                </w:p>
              </w:tc>
              <w:tc>
                <w:tcPr/>
                <w:p>
                  <w:pPr>
                    <w:pStyle w:val="Compact"/>
                    <w:jc w:val="center"/>
                  </w:pPr>
                  <w:r>
                    <w:t xml:space="preserve">0.722</w:t>
                  </w:r>
                </w:p>
              </w:tc>
              <w:tc>
                <w:tcPr/>
                <w:p>
                  <w:pPr>
                    <w:pStyle w:val="Compact"/>
                    <w:jc w:val="center"/>
                  </w:pPr>
                  <w:r>
                    <w:t xml:space="preserve">Load pH, equil/Wash-1 conductivity, log scale</w:t>
                  </w:r>
                </w:p>
              </w:tc>
            </w:tr>
            <w:tr>
              <w:tc>
                <w:tcPr/>
                <w:p>
                  <w:pPr>
                    <w:pStyle w:val="Compact"/>
                    <w:jc w:val="center"/>
                  </w:pPr>
                  <w:r>
                    <w:t xml:space="preserve">XMuLV clearance (log10)</w:t>
                  </w:r>
                </w:p>
              </w:tc>
              <w:tc>
                <w:tcPr/>
                <w:p>
                  <w:pPr>
                    <w:pStyle w:val="Compact"/>
                    <w:jc w:val="center"/>
                  </w:pPr>
                  <w:r>
                    <w:t xml:space="preserve">28</w:t>
                  </w:r>
                </w:p>
              </w:tc>
              <w:tc>
                <w:tcPr/>
                <w:p>
                  <w:pPr>
                    <w:pStyle w:val="Compact"/>
                    <w:jc w:val="center"/>
                  </w:pPr>
                  <w:r>
                    <w:t xml:space="preserve">0.92</w:t>
                  </w:r>
                </w:p>
              </w:tc>
              <w:tc>
                <w:tcPr/>
                <w:p>
                  <w:pPr>
                    <w:pStyle w:val="Compact"/>
                    <w:jc w:val="center"/>
                  </w:pPr>
                  <w:r>
                    <w:t xml:space="preserve">0.62</w:t>
                  </w:r>
                </w:p>
              </w:tc>
              <w:tc>
                <w:tcPr/>
                <w:p>
                  <w:pPr>
                    <w:pStyle w:val="Compact"/>
                    <w:jc w:val="center"/>
                  </w:pPr>
                  <w:r>
                    <w:t xml:space="preserve">0.29</w:t>
                  </w:r>
                </w:p>
              </w:tc>
              <w:tc>
                <w:tcPr>
                  <w:gridSpan w:val="6"/>
                </w:tcPr>
                <w:p>
                  <w:pPr>
                    <w:pStyle w:val="Compact"/>
                    <w:jc w:val="center"/>
                  </w:pPr>
                  <w:r>
                    <w:t xml:space="preserve">not measured in the augmentation</w:t>
                  </w:r>
                  <w:r>
                    <w:rPr>
                      <w:vertAlign w:val="superscript"/>
                    </w:rPr>
                    <w:t xml:space="preserve">a)</w:t>
                  </w:r>
                </w:p>
              </w:tc>
              <w:tc>
                <w:tcPr/>
                <w:p>
                  <w:pPr>
                    <w:pStyle w:val="Compact"/>
                    <w:jc w:val="center"/>
                  </w:pPr>
                  <w:r>
                    <w:t xml:space="preserve">4 terms</w:t>
                  </w:r>
                </w:p>
              </w:tc>
            </w:tr>
            <w:tr>
              <w:tc>
                <w:tcPr/>
                <w:p>
                  <w:pPr>
                    <w:pStyle w:val="Compact"/>
                    <w:jc w:val="center"/>
                  </w:pPr>
                  <w:r>
                    <w:t xml:space="preserve">MVM clearance (log10)</w:t>
                  </w:r>
                </w:p>
              </w:tc>
              <w:tc>
                <w:tcPr/>
                <w:p>
                  <w:pPr>
                    <w:pStyle w:val="Compact"/>
                    <w:jc w:val="center"/>
                  </w:pPr>
                  <w:r>
                    <w:t xml:space="preserve">28</w:t>
                  </w:r>
                </w:p>
              </w:tc>
              <w:tc>
                <w:tcPr/>
                <w:p>
                  <w:pPr>
                    <w:pStyle w:val="Compact"/>
                    <w:jc w:val="center"/>
                  </w:pPr>
                  <w:r>
                    <w:t xml:space="preserve">0.90</w:t>
                  </w:r>
                </w:p>
              </w:tc>
              <w:tc>
                <w:tcPr/>
                <w:p>
                  <w:pPr>
                    <w:pStyle w:val="Compact"/>
                    <w:jc w:val="center"/>
                  </w:pPr>
                  <w:r>
                    <w:t xml:space="preserve">0.39</w:t>
                  </w:r>
                </w:p>
              </w:tc>
              <w:tc>
                <w:tcPr/>
                <w:p>
                  <w:pPr>
                    <w:pStyle w:val="Compact"/>
                    <w:jc w:val="center"/>
                  </w:pPr>
                  <w:r>
                    <w:t xml:space="preserve">0.50</w:t>
                  </w:r>
                </w:p>
              </w:tc>
              <w:tc>
                <w:tcPr>
                  <w:gridSpan w:val="6"/>
                </w:tcPr>
                <w:p>
                  <w:pPr>
                    <w:pStyle w:val="Compact"/>
                    <w:jc w:val="center"/>
                  </w:pPr>
                  <w:r>
                    <w:t xml:space="preserve">not measured in the augmentation</w:t>
                  </w:r>
                  <w:r>
                    <w:rPr>
                      <w:vertAlign w:val="superscript"/>
                    </w:rPr>
                    <w:t xml:space="preserve">a)</w:t>
                  </w:r>
                </w:p>
              </w:tc>
              <w:tc>
                <w:tcPr/>
                <w:p>
                  <w:pPr>
                    <w:pStyle w:val="Compact"/>
                    <w:jc w:val="center"/>
                  </w:pPr>
                  <w:r>
                    <w:t xml:space="preserve">Load pH, load conductivity</w:t>
                  </w:r>
                </w:p>
              </w:tc>
            </w:tr>
            <w:tr>
              <w:tc>
                <w:tcPr/>
                <w:p>
                  <w:pPr>
                    <w:pStyle w:val="Compact"/>
                    <w:jc w:val="center"/>
                  </w:pPr>
                  <w:r>
                    <w:t xml:space="preserve">Fragments, LMW (%)</w:t>
                  </w:r>
                </w:p>
              </w:tc>
              <w:tc>
                <w:tcPr/>
                <w:p>
                  <w:pPr>
                    <w:pStyle w:val="Compact"/>
                    <w:jc w:val="center"/>
                  </w:pPr>
                  <w:r>
                    <w:t xml:space="preserve">28</w:t>
                  </w:r>
                </w:p>
              </w:tc>
              <w:tc>
                <w:tcPr/>
                <w:p>
                  <w:pPr>
                    <w:pStyle w:val="Compact"/>
                    <w:jc w:val="center"/>
                  </w:pPr>
                  <w:r>
                    <w:t xml:space="preserve">0.32</w:t>
                  </w:r>
                </w:p>
              </w:tc>
              <w:tc>
                <w:tcPr/>
                <w:p>
                  <w:pPr>
                    <w:pStyle w:val="Compact"/>
                    <w:jc w:val="center"/>
                  </w:pPr>
                  <w:r>
                    <w:t xml:space="preserve">−1.83</w:t>
                  </w:r>
                </w:p>
              </w:tc>
              <w:tc>
                <w:tcPr/>
                <w:p>
                  <w:pPr>
                    <w:pStyle w:val="Compact"/>
                    <w:jc w:val="center"/>
                  </w:pPr>
                  <w:r>
                    <w:t xml:space="preserve">2.14</w:t>
                  </w:r>
                </w:p>
              </w:tc>
              <w:tc>
                <w:tcPr/>
                <w:p>
                  <w:pPr>
                    <w:pStyle w:val="Compact"/>
                    <w:jc w:val="center"/>
                  </w:pPr>
                  <w:r>
                    <w:t xml:space="preserve">40</w:t>
                  </w:r>
                </w:p>
              </w:tc>
              <w:tc>
                <w:tcPr/>
                <w:p>
                  <w:pPr>
                    <w:pStyle w:val="Compact"/>
                    <w:jc w:val="center"/>
                  </w:pPr>
                  <w:r>
                    <w:t xml:space="preserve">0.24</w:t>
                  </w:r>
                </w:p>
              </w:tc>
              <w:tc>
                <w:tcPr/>
                <w:p>
                  <w:pPr>
                    <w:pStyle w:val="Compact"/>
                    <w:jc w:val="center"/>
                  </w:pPr>
                  <w:r>
                    <w:t xml:space="preserve">−1.00</w:t>
                  </w:r>
                </w:p>
              </w:tc>
              <w:tc>
                <w:tcPr/>
                <w:p>
                  <w:pPr>
                    <w:pStyle w:val="Compact"/>
                    <w:jc w:val="center"/>
                  </w:pPr>
                  <w:r>
                    <w:t xml:space="preserve">1.24</w:t>
                  </w:r>
                </w:p>
              </w:tc>
              <w:tc>
                <w:tcPr/>
                <w:p>
                  <w:pPr>
                    <w:pStyle w:val="Compact"/>
                    <w:jc w:val="center"/>
                  </w:pPr>
                  <w:r>
                    <w:t xml:space="preserve">0.843</w:t>
                  </w:r>
                </w:p>
              </w:tc>
              <w:tc>
                <w:tcPr/>
                <w:p>
                  <w:pPr>
                    <w:pStyle w:val="Compact"/>
                    <w:jc w:val="center"/>
                  </w:pPr>
                  <w:r>
                    <w:t xml:space="preserve">0.189</w:t>
                  </w:r>
                </w:p>
              </w:tc>
              <w:tc>
                <w:tcPr/>
                <w:p>
                  <w:pPr>
                    <w:pStyle w:val="Compact"/>
                    <w:jc w:val="center"/>
                  </w:pPr>
                  <w:r>
                    <w:t xml:space="preserve">No effect</w:t>
                  </w:r>
                </w:p>
              </w:tc>
            </w:tr>
            <w:tr>
              <w:tc>
                <w:tcPr>
                  <w:gridSpan w:val="12"/>
                </w:tcPr>
                <w:p>
                  <w:pPr>
                    <w:pStyle w:val="Compact"/>
                    <w:jc w:val="center"/>
                  </w:pPr>
                  <w:r>
                    <w:rPr>
                      <w:vertAlign w:val="superscript"/>
                    </w:rPr>
                    <w:t xml:space="preserve">a)</w:t>
                  </w:r>
                  <w:r>
                    <w:t xml:space="preserve"> </w:t>
                  </w:r>
                  <w:r>
                    <w:t xml:space="preserve">Viral clearance was not measured in the augmentation runs (INV-002).</w:t>
                  </w:r>
                </w:p>
              </w:tc>
            </w:tr>
            <w:tr>
              <w:tc>
                <w:tcPr>
                  <w:gridSpan w:val="12"/>
                </w:tcPr>
                <w:p>
                  <w:pPr>
                    <w:pStyle w:val="Compact"/>
                    <w:jc w:val="center"/>
                  </w:pPr>
                  <w:r>
                    <w:t xml:space="preserve">Gap: R² minus predicted R², at most 0.20 under PCMP-001 §7.2. Model used: the scale chosen by the Box-Cox profile and the model with the lowest AICc among the hierarchical submodels of the full quadratic, a block term kept (INV-002).</w:t>
                  </w:r>
                </w:p>
              </w:tc>
            </w:tr>
          </w:tbl>
          <w:bookmarkEnd w:id="69"/>
          <w:p/>
        </w:tc>
      </w:tr>
    </w:tbl>
    <w:p>
      <w:pPr>
        <w:pStyle w:val="BodyText"/>
      </w:pPr>
      <w:r>
        <w:t xml:space="preserve">Once models are selected, pool host cell protein did not need the augmentation to pass PCMP-001 §7.2. The model selected on the 28 planned runs alone has the same scale and terms as the model on all runs and meets §7.2. On the planned runs alone it also meets the criterion over the NOR, with the offset at its estimate and at both ends of its interval. A model selected on the same runs it is judged on passes an optimistic check, and the augmentation runs are an independent one. The model selected on the planned runs predicted 12 of the 12 augmentation runs inside its 95 % prediction interval for pool host cell protein, and 11 of 12 for fragments. Step yield is the one output whose model the augmentation changed. On the planned runs alone its selected model, in load pH and load pH², fails the F-test (p = 0.094) and the limit on overfitting (0.21). On all runs the selected model contains no term and meets each criterion that applies to it. Step yield has no criterion.</w:t>
      </w:r>
    </w:p>
    <w:bookmarkEnd w:id="70"/>
    <w:bookmarkStart w:id="72" w:name="sec-near"/>
    <w:p>
      <w:pPr>
        <w:pStyle w:val="Heading3"/>
      </w:pPr>
      <w:r>
        <w:t xml:space="preserve">5.3.4 Models within 2 AICc units</w:t>
      </w:r>
    </w:p>
    <w:p>
      <w:pPr>
        <w:pStyle w:val="FirstParagraph"/>
      </w:pPr>
      <w:hyperlink w:anchor="tbl-near">
        <w:r>
          <w:rPr>
            <w:rStyle w:val="Hyperlink"/>
          </w:rPr>
          <w:t xml:space="preserve">Table 16</w:t>
        </w:r>
      </w:hyperlink>
      <w:r>
        <w:t xml:space="preserve"> </w:t>
      </w:r>
      <w:r>
        <w:t xml:space="preserve">lists the models within 2 AICc units of each selected model, with the decision statistic of the judgement over the NOR under each.</w:t>
      </w:r>
    </w:p>
    <w:tbl>
      <w:tblPr>
        <w:tblStyle w:val="Table"/>
        <w:tblW w:type="pct" w:w="5000"/>
        <w:tblLayout w:type="fixed"/>
        <w:tblLook w:firstRow="0" w:lastRow="0" w:firstColumn="0" w:lastColumn="0" w:noHBand="0" w:noVBand="0" w:val="0000"/>
      </w:tblPr>
      <w:tblGrid>
        <w:gridCol w:w="7920"/>
      </w:tblGrid>
      <w:tr>
        <w:tc>
          <w:tcPr/>
          <w:bookmarkStart w:id="71" w:name="tbl-near"/>
          <w:p>
            <w:pPr>
              <w:jc w:val="center"/>
            </w:pPr>
            <w:pPr>
              <w:jc w:val="start"/>
              <w:spacing w:before="200"/>
              <w:pStyle w:val="ImageCaption"/>
            </w:pPr>
            <w:r>
              <w:t xml:space="preserve">Table 16: Response-surface models within 2 AICc units of the selected model, and the judgement over the NOR under each.</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ΔAICc</w:t>
                  </w:r>
                </w:p>
              </w:tc>
              <w:tc>
                <w:tcPr/>
                <w:p>
                  <w:pPr>
                    <w:pStyle w:val="Compact"/>
                    <w:jc w:val="center"/>
                  </w:pPr>
                  <w:r>
                    <w:t xml:space="preserve">Terms</w:t>
                  </w:r>
                </w:p>
              </w:tc>
              <w:tc>
                <w:tcPr/>
                <w:p>
                  <w:pPr>
                    <w:pStyle w:val="Compact"/>
                    <w:jc w:val="center"/>
                  </w:pPr>
                  <w:r>
                    <w:t xml:space="preserve">Upper end of the</w:t>
                  </w:r>
                  <w:r>
                    <w:br/>
                  </w:r>
                  <w:r>
                    <w:t xml:space="preserve">95 % prediction</w:t>
                  </w:r>
                  <w:r>
                    <w:br/>
                  </w:r>
                  <w:r>
                    <w:t xml:space="preserve">interval</w:t>
                  </w:r>
                </w:p>
              </w:tc>
              <w:tc>
                <w:tcPr/>
                <w:p>
                  <w:pPr>
                    <w:pStyle w:val="Compact"/>
                    <w:jc w:val="center"/>
                  </w:pPr>
                  <w:r>
                    <w:t xml:space="preserve">Lowest</w:t>
                  </w:r>
                  <w:r>
                    <w:br/>
                  </w:r>
                  <w:r>
                    <w:t xml:space="preserve">mean</w:t>
                  </w:r>
                </w:p>
              </w:tc>
              <w:tc>
                <w:tcPr/>
                <w:p>
                  <w:pPr>
                    <w:pStyle w:val="Compact"/>
                    <w:jc w:val="center"/>
                  </w:pPr>
                  <w:r>
                    <w:t xml:space="preserve">Met over</w:t>
                  </w:r>
                  <w:r>
                    <w:br/>
                  </w:r>
                  <w:r>
                    <w:t xml:space="preserve">the NOR</w:t>
                  </w:r>
                </w:p>
              </w:tc>
            </w:tr>
            <w:tr>
              <w:tc>
                <w:tcPr>
                  <w:vMerge w:val="restart"/>
                </w:tcPr>
                <w:p>
                  <w:pPr>
                    <w:pStyle w:val="Compact"/>
                    <w:jc w:val="center"/>
                  </w:pPr>
                  <w:r>
                    <w:t xml:space="preserve">Pool host cell protein (ng/mg)</w:t>
                  </w:r>
                </w:p>
              </w:tc>
              <w:tc>
                <w:tcPr/>
                <w:p>
                  <w:pPr>
                    <w:pStyle w:val="Compact"/>
                    <w:jc w:val="center"/>
                  </w:pPr>
                  <w:r>
                    <w:t xml:space="preserve">0.00</w:t>
                  </w:r>
                </w:p>
              </w:tc>
              <w:tc>
                <w:tcPr/>
                <w:p>
                  <w:pPr>
                    <w:pStyle w:val="Compact"/>
                    <w:jc w:val="center"/>
                  </w:pPr>
                  <w:r>
                    <w:t xml:space="preserve">Load pH and Equil/Wash-1 conductivity</w:t>
                  </w:r>
                </w:p>
              </w:tc>
              <w:tc>
                <w:tcPr/>
                <w:p>
                  <w:pPr>
                    <w:pStyle w:val="Compact"/>
                    <w:jc w:val="center"/>
                  </w:pPr>
                  <w:r>
                    <w:t xml:space="preserve">29.4</w:t>
                  </w:r>
                </w:p>
              </w:tc>
              <w:tc>
                <w:tcPr/>
                <w:p>
                  <w:pPr>
                    <w:pStyle w:val="Compact"/>
                    <w:jc w:val="center"/>
                  </w:pPr>
                  <w:r>
                    <w:t xml:space="preserve">n.a.</w:t>
                  </w:r>
                </w:p>
              </w:tc>
              <w:tc>
                <w:tcPr/>
                <w:p>
                  <w:pPr>
                    <w:pStyle w:val="Compact"/>
                    <w:jc w:val="center"/>
                  </w:pPr>
                  <w:r>
                    <w:t xml:space="preserve">Yes</w:t>
                  </w:r>
                </w:p>
              </w:tc>
            </w:tr>
            <w:tr>
              <w:tc>
                <w:tcPr>
                  <w:gridSpan w:val="1"/>
                  <w:vMerge w:val="continue"/>
                </w:tcPr>
                <w:p>
                  <w:pPr/>
                </w:p>
              </w:tc>
              <w:tc>
                <w:tcPr/>
                <w:p>
                  <w:pPr>
                    <w:pStyle w:val="Compact"/>
                    <w:jc w:val="center"/>
                  </w:pPr>
                  <w:r>
                    <w:t xml:space="preserve">0.56</w:t>
                  </w:r>
                </w:p>
              </w:tc>
              <w:tc>
                <w:tcPr/>
                <w:p>
                  <w:pPr>
                    <w:pStyle w:val="Compact"/>
                    <w:jc w:val="center"/>
                  </w:pPr>
                  <w:r>
                    <w:t xml:space="preserve">Load pH, Equil/Wash-1 conductivity and load pH × Equil/Wash-1 conductivity</w:t>
                  </w:r>
                </w:p>
              </w:tc>
              <w:tc>
                <w:tcPr/>
                <w:p>
                  <w:pPr>
                    <w:pStyle w:val="Compact"/>
                    <w:jc w:val="center"/>
                  </w:pPr>
                  <w:r>
                    <w:t xml:space="preserve">29.0</w:t>
                  </w:r>
                </w:p>
              </w:tc>
              <w:tc>
                <w:tcPr/>
                <w:p>
                  <w:pPr>
                    <w:pStyle w:val="Compact"/>
                    <w:jc w:val="center"/>
                  </w:pPr>
                  <w:r>
                    <w:t xml:space="preserve">n.a.</w:t>
                  </w:r>
                </w:p>
              </w:tc>
              <w:tc>
                <w:tcPr/>
                <w:p>
                  <w:pPr>
                    <w:pStyle w:val="Compact"/>
                    <w:jc w:val="center"/>
                  </w:pPr>
                  <w:r>
                    <w:t xml:space="preserve">Yes</w:t>
                  </w:r>
                </w:p>
              </w:tc>
            </w:tr>
            <w:tr>
              <w:tc>
                <w:tcPr>
                  <w:gridSpan w:val="1"/>
                  <w:vMerge w:val="continue"/>
                </w:tcPr>
                <w:p>
                  <w:pPr/>
                </w:p>
              </w:tc>
              <w:tc>
                <w:tcPr/>
                <w:p>
                  <w:pPr>
                    <w:pStyle w:val="Compact"/>
                    <w:jc w:val="center"/>
                  </w:pPr>
                  <w:r>
                    <w:t xml:space="preserve">1.06</w:t>
                  </w:r>
                </w:p>
              </w:tc>
              <w:tc>
                <w:tcPr/>
                <w:p>
                  <w:pPr>
                    <w:pStyle w:val="Compact"/>
                    <w:jc w:val="center"/>
                  </w:pPr>
                  <w:r>
                    <w:t xml:space="preserve">Load pH, Equil/Wash-1 conductivity and load pH²</w:t>
                  </w:r>
                </w:p>
              </w:tc>
              <w:tc>
                <w:tcPr/>
                <w:p>
                  <w:pPr>
                    <w:pStyle w:val="Compact"/>
                    <w:jc w:val="center"/>
                  </w:pPr>
                  <w:r>
                    <w:t xml:space="preserve">28.6</w:t>
                  </w:r>
                </w:p>
              </w:tc>
              <w:tc>
                <w:tcPr/>
                <w:p>
                  <w:pPr>
                    <w:pStyle w:val="Compact"/>
                    <w:jc w:val="center"/>
                  </w:pPr>
                  <w:r>
                    <w:t xml:space="preserve">n.a.</w:t>
                  </w:r>
                </w:p>
              </w:tc>
              <w:tc>
                <w:tcPr/>
                <w:p>
                  <w:pPr>
                    <w:pStyle w:val="Compact"/>
                    <w:jc w:val="center"/>
                  </w:pPr>
                  <w:r>
                    <w:t xml:space="preserve">Yes</w:t>
                  </w:r>
                </w:p>
              </w:tc>
            </w:tr>
            <w:tr>
              <w:tc>
                <w:tcPr>
                  <w:gridSpan w:val="1"/>
                  <w:vMerge w:val="continue"/>
                </w:tcPr>
                <w:p>
                  <w:pPr/>
                </w:p>
              </w:tc>
              <w:tc>
                <w:tcPr/>
                <w:p>
                  <w:pPr>
                    <w:pStyle w:val="Compact"/>
                    <w:jc w:val="center"/>
                  </w:pPr>
                  <w:r>
                    <w:t xml:space="preserve">1.36</w:t>
                  </w:r>
                </w:p>
              </w:tc>
              <w:tc>
                <w:tcPr/>
                <w:p>
                  <w:pPr>
                    <w:pStyle w:val="Compact"/>
                    <w:jc w:val="center"/>
                  </w:pPr>
                  <w:r>
                    <w:t xml:space="preserve">Load pH, Equil/Wash-1 conductivity and load conductivity</w:t>
                  </w:r>
                </w:p>
              </w:tc>
              <w:tc>
                <w:tcPr/>
                <w:p>
                  <w:pPr>
                    <w:pStyle w:val="Compact"/>
                    <w:jc w:val="center"/>
                  </w:pPr>
                  <w:r>
                    <w:t xml:space="preserve">30.0</w:t>
                  </w:r>
                </w:p>
              </w:tc>
              <w:tc>
                <w:tcPr/>
                <w:p>
                  <w:pPr>
                    <w:pStyle w:val="Compact"/>
                    <w:jc w:val="center"/>
                  </w:pPr>
                  <w:r>
                    <w:t xml:space="preserve">n.a.</w:t>
                  </w:r>
                </w:p>
              </w:tc>
              <w:tc>
                <w:tcPr/>
                <w:p>
                  <w:pPr>
                    <w:pStyle w:val="Compact"/>
                    <w:jc w:val="center"/>
                  </w:pPr>
                  <w:r>
                    <w:t xml:space="preserve">Yes</w:t>
                  </w:r>
                </w:p>
              </w:tc>
            </w:tr>
            <w:tr>
              <w:tc>
                <w:tcPr>
                  <w:gridSpan w:val="1"/>
                  <w:vMerge w:val="continue"/>
                </w:tcPr>
                <w:p>
                  <w:pPr/>
                </w:p>
              </w:tc>
              <w:tc>
                <w:tcPr/>
                <w:p>
                  <w:pPr>
                    <w:pStyle w:val="Compact"/>
                    <w:jc w:val="center"/>
                  </w:pPr>
                  <w:r>
                    <w:t xml:space="preserve">1.74</w:t>
                  </w:r>
                </w:p>
              </w:tc>
              <w:tc>
                <w:tcPr/>
                <w:p>
                  <w:pPr>
                    <w:pStyle w:val="Compact"/>
                    <w:jc w:val="center"/>
                  </w:pPr>
                  <w:r>
                    <w:t xml:space="preserve">Load pH, Equil/Wash-1 conductivity, load pH × Equil/Wash-1 conductivity and load pH²</w:t>
                  </w:r>
                </w:p>
              </w:tc>
              <w:tc>
                <w:tcPr/>
                <w:p>
                  <w:pPr>
                    <w:pStyle w:val="Compact"/>
                    <w:jc w:val="center"/>
                  </w:pPr>
                  <w:r>
                    <w:t xml:space="preserve">28.2</w:t>
                  </w:r>
                </w:p>
              </w:tc>
              <w:tc>
                <w:tcPr/>
                <w:p>
                  <w:pPr>
                    <w:pStyle w:val="Compact"/>
                    <w:jc w:val="center"/>
                  </w:pPr>
                  <w:r>
                    <w:t xml:space="preserve">n.a.</w:t>
                  </w:r>
                </w:p>
              </w:tc>
              <w:tc>
                <w:tcPr/>
                <w:p>
                  <w:pPr>
                    <w:pStyle w:val="Compact"/>
                    <w:jc w:val="center"/>
                  </w:pPr>
                  <w:r>
                    <w:t xml:space="preserve">Yes</w:t>
                  </w:r>
                </w:p>
              </w:tc>
            </w:tr>
            <w:tr>
              <w:tc>
                <w:tcPr>
                  <w:vMerge w:val="restart"/>
                </w:tcPr>
                <w:p>
                  <w:pPr>
                    <w:pStyle w:val="Compact"/>
                    <w:jc w:val="center"/>
                  </w:pPr>
                  <w:r>
                    <w:t xml:space="preserve">XMuLV LRF (log10)</w:t>
                  </w:r>
                </w:p>
              </w:tc>
              <w:tc>
                <w:tcPr/>
                <w:p>
                  <w:pPr>
                    <w:pStyle w:val="Compact"/>
                    <w:jc w:val="center"/>
                  </w:pPr>
                  <w:r>
                    <w:t xml:space="preserve">0.00</w:t>
                  </w:r>
                </w:p>
              </w:tc>
              <w:tc>
                <w:tcPr/>
                <w:p>
                  <w:pPr>
                    <w:pStyle w:val="Compact"/>
                    <w:jc w:val="center"/>
                  </w:pPr>
                  <w:r>
                    <w:t xml:space="preserve">Load pH, load conductivity, protein load and load pH × protein load</w:t>
                  </w:r>
                </w:p>
              </w:tc>
              <w:tc>
                <w:tcPr/>
                <w:p>
                  <w:pPr>
                    <w:pStyle w:val="Compact"/>
                    <w:jc w:val="center"/>
                  </w:pPr>
                  <w:r>
                    <w:t xml:space="preserve">n.a.</w:t>
                  </w:r>
                </w:p>
              </w:tc>
              <w:tc>
                <w:tcPr/>
                <w:p>
                  <w:pPr>
                    <w:pStyle w:val="Compact"/>
                    <w:jc w:val="center"/>
                  </w:pPr>
                  <w:r>
                    <w:t xml:space="preserve">5.86</w:t>
                  </w:r>
                </w:p>
              </w:tc>
              <w:tc>
                <w:tcPr/>
                <w:p>
                  <w:pPr>
                    <w:pStyle w:val="Compact"/>
                    <w:jc w:val="center"/>
                  </w:pPr>
                  <w:r>
                    <w:t xml:space="preserve">Yes</w:t>
                  </w:r>
                </w:p>
              </w:tc>
            </w:tr>
            <w:tr>
              <w:tc>
                <w:tcPr>
                  <w:gridSpan w:val="1"/>
                  <w:vMerge w:val="continue"/>
                </w:tcPr>
                <w:p>
                  <w:pPr/>
                </w:p>
              </w:tc>
              <w:tc>
                <w:tcPr/>
                <w:p>
                  <w:pPr>
                    <w:pStyle w:val="Compact"/>
                    <w:jc w:val="center"/>
                  </w:pPr>
                  <w:r>
                    <w:t xml:space="preserve">0.94</w:t>
                  </w:r>
                </w:p>
              </w:tc>
              <w:tc>
                <w:tcPr/>
                <w:p>
                  <w:pPr>
                    <w:pStyle w:val="Compact"/>
                    <w:jc w:val="center"/>
                  </w:pPr>
                  <w:r>
                    <w:t xml:space="preserve">Load pH and load conductivity</w:t>
                  </w:r>
                </w:p>
              </w:tc>
              <w:tc>
                <w:tcPr/>
                <w:p>
                  <w:pPr>
                    <w:pStyle w:val="Compact"/>
                    <w:jc w:val="center"/>
                  </w:pPr>
                  <w:r>
                    <w:t xml:space="preserve">n.a.</w:t>
                  </w:r>
                </w:p>
              </w:tc>
              <w:tc>
                <w:tcPr/>
                <w:p>
                  <w:pPr>
                    <w:pStyle w:val="Compact"/>
                    <w:jc w:val="center"/>
                  </w:pPr>
                  <w:r>
                    <w:t xml:space="preserve">5.91</w:t>
                  </w:r>
                </w:p>
              </w:tc>
              <w:tc>
                <w:tcPr/>
                <w:p>
                  <w:pPr>
                    <w:pStyle w:val="Compact"/>
                    <w:jc w:val="center"/>
                  </w:pPr>
                  <w:r>
                    <w:t xml:space="preserve">Yes</w:t>
                  </w:r>
                </w:p>
              </w:tc>
            </w:tr>
            <w:tr>
              <w:tc>
                <w:tcPr>
                  <w:vMerge w:val="restart"/>
                </w:tcPr>
                <w:p>
                  <w:pPr>
                    <w:pStyle w:val="Compact"/>
                    <w:jc w:val="center"/>
                  </w:pPr>
                  <w:r>
                    <w:t xml:space="preserve">MVM LRF (log10)</w:t>
                  </w:r>
                </w:p>
              </w:tc>
              <w:tc>
                <w:tcPr/>
                <w:p>
                  <w:pPr>
                    <w:pStyle w:val="Compact"/>
                    <w:jc w:val="center"/>
                  </w:pPr>
                  <w:r>
                    <w:t xml:space="preserve">0.00</w:t>
                  </w:r>
                </w:p>
              </w:tc>
              <w:tc>
                <w:tcPr/>
                <w:p>
                  <w:pPr>
                    <w:pStyle w:val="Compact"/>
                    <w:jc w:val="center"/>
                  </w:pPr>
                  <w:r>
                    <w:t xml:space="preserve">Load pH and load conductivity</w:t>
                  </w:r>
                </w:p>
              </w:tc>
              <w:tc>
                <w:tcPr/>
                <w:p>
                  <w:pPr>
                    <w:pStyle w:val="Compact"/>
                    <w:jc w:val="center"/>
                  </w:pPr>
                  <w:r>
                    <w:t xml:space="preserve">n.a.</w:t>
                  </w:r>
                </w:p>
              </w:tc>
              <w:tc>
                <w:tcPr/>
                <w:p>
                  <w:pPr>
                    <w:pStyle w:val="Compact"/>
                    <w:jc w:val="center"/>
                  </w:pPr>
                  <w:r>
                    <w:t xml:space="preserve">4.24</w:t>
                  </w:r>
                </w:p>
              </w:tc>
              <w:tc>
                <w:tcPr/>
                <w:p>
                  <w:pPr>
                    <w:pStyle w:val="Compact"/>
                    <w:jc w:val="center"/>
                  </w:pPr>
                  <w:r>
                    <w:t xml:space="preserve">Yes</w:t>
                  </w:r>
                </w:p>
              </w:tc>
            </w:tr>
            <w:tr>
              <w:tc>
                <w:tcPr>
                  <w:gridSpan w:val="1"/>
                  <w:vMerge w:val="continue"/>
                </w:tcPr>
                <w:p>
                  <w:pPr/>
                </w:p>
              </w:tc>
              <w:tc>
                <w:tcPr/>
                <w:p>
                  <w:pPr>
                    <w:pStyle w:val="Compact"/>
                    <w:jc w:val="center"/>
                  </w:pPr>
                  <w:r>
                    <w:t xml:space="preserve">1.76</w:t>
                  </w:r>
                </w:p>
              </w:tc>
              <w:tc>
                <w:tcPr/>
                <w:p>
                  <w:pPr>
                    <w:pStyle w:val="Compact"/>
                    <w:jc w:val="center"/>
                  </w:pPr>
                  <w:r>
                    <w:t xml:space="preserve">Load pH, load conductivity and load pH × load conductivity</w:t>
                  </w:r>
                </w:p>
              </w:tc>
              <w:tc>
                <w:tcPr/>
                <w:p>
                  <w:pPr>
                    <w:pStyle w:val="Compact"/>
                    <w:jc w:val="center"/>
                  </w:pPr>
                  <w:r>
                    <w:t xml:space="preserve">n.a.</w:t>
                  </w:r>
                </w:p>
              </w:tc>
              <w:tc>
                <w:tcPr/>
                <w:p>
                  <w:pPr>
                    <w:pStyle w:val="Compact"/>
                    <w:jc w:val="center"/>
                  </w:pPr>
                  <w:r>
                    <w:t xml:space="preserve">4.26</w:t>
                  </w:r>
                </w:p>
              </w:tc>
              <w:tc>
                <w:tcPr/>
                <w:p>
                  <w:pPr>
                    <w:pStyle w:val="Compact"/>
                    <w:jc w:val="center"/>
                  </w:pPr>
                  <w:r>
                    <w:t xml:space="preserve">Yes</w:t>
                  </w:r>
                </w:p>
              </w:tc>
            </w:tr>
            <w:tr>
              <w:tc>
                <w:tcPr>
                  <w:gridSpan w:val="1"/>
                  <w:vMerge w:val="continue"/>
                </w:tcPr>
                <w:p>
                  <w:pPr/>
                </w:p>
              </w:tc>
              <w:tc>
                <w:tcPr/>
                <w:p>
                  <w:pPr>
                    <w:pStyle w:val="Compact"/>
                    <w:jc w:val="center"/>
                  </w:pPr>
                  <w:r>
                    <w:t xml:space="preserve">1.89</w:t>
                  </w:r>
                </w:p>
              </w:tc>
              <w:tc>
                <w:tcPr/>
                <w:p>
                  <w:pPr>
                    <w:pStyle w:val="Compact"/>
                    <w:jc w:val="center"/>
                  </w:pPr>
                  <w:r>
                    <w:t xml:space="preserve">Load pH, load conductivity and load pH²</w:t>
                  </w:r>
                </w:p>
              </w:tc>
              <w:tc>
                <w:tcPr/>
                <w:p>
                  <w:pPr>
                    <w:pStyle w:val="Compact"/>
                    <w:jc w:val="center"/>
                  </w:pPr>
                  <w:r>
                    <w:t xml:space="preserve">n.a.</w:t>
                  </w:r>
                </w:p>
              </w:tc>
              <w:tc>
                <w:tcPr/>
                <w:p>
                  <w:pPr>
                    <w:pStyle w:val="Compact"/>
                    <w:jc w:val="center"/>
                  </w:pPr>
                  <w:r>
                    <w:t xml:space="preserve">4.28</w:t>
                  </w:r>
                </w:p>
              </w:tc>
              <w:tc>
                <w:tcPr/>
                <w:p>
                  <w:pPr>
                    <w:pStyle w:val="Compact"/>
                    <w:jc w:val="center"/>
                  </w:pPr>
                  <w:r>
                    <w:t xml:space="preserve">Yes</w:t>
                  </w:r>
                </w:p>
              </w:tc>
            </w:tr>
            <w:tr>
              <w:tc>
                <w:tcPr>
                  <w:vMerge w:val="restart"/>
                </w:tcPr>
                <w:p>
                  <w:pPr>
                    <w:pStyle w:val="Compact"/>
                    <w:jc w:val="center"/>
                  </w:pPr>
                  <w:r>
                    <w:t xml:space="preserve">Fragments, LMW (%)</w:t>
                  </w:r>
                </w:p>
              </w:tc>
              <w:tc>
                <w:tcPr/>
                <w:p>
                  <w:pPr>
                    <w:pStyle w:val="Compact"/>
                    <w:jc w:val="center"/>
                  </w:pPr>
                  <w:r>
                    <w:t xml:space="preserve">0.00</w:t>
                  </w:r>
                </w:p>
              </w:tc>
              <w:tc>
                <w:tcPr/>
                <w:p>
                  <w:pPr>
                    <w:pStyle w:val="Compact"/>
                    <w:jc w:val="center"/>
                  </w:pPr>
                  <w:r>
                    <w:t xml:space="preserve">None</w:t>
                  </w:r>
                </w:p>
              </w:tc>
              <w:tc>
                <w:tcPr/>
                <w:p>
                  <w:pPr>
                    <w:pStyle w:val="Compact"/>
                    <w:jc w:val="center"/>
                  </w:pPr>
                  <w:r>
                    <w:t xml:space="preserve">0.78</w:t>
                  </w:r>
                </w:p>
              </w:tc>
              <w:tc>
                <w:tcPr/>
                <w:p>
                  <w:pPr>
                    <w:pStyle w:val="Compact"/>
                    <w:jc w:val="center"/>
                  </w:pPr>
                  <w:r>
                    <w:t xml:space="preserve">n.a.</w:t>
                  </w:r>
                </w:p>
              </w:tc>
              <w:tc>
                <w:tcPr/>
                <w:p>
                  <w:pPr>
                    <w:pStyle w:val="Compact"/>
                    <w:jc w:val="center"/>
                  </w:pPr>
                  <w:r>
                    <w:t xml:space="preserve">Yes</w:t>
                  </w:r>
                </w:p>
              </w:tc>
            </w:tr>
            <w:tr>
              <w:tc>
                <w:tcPr>
                  <w:gridSpan w:val="1"/>
                  <w:vMerge w:val="continue"/>
                </w:tcPr>
                <w:p>
                  <w:pPr/>
                </w:p>
              </w:tc>
              <w:tc>
                <w:tcPr/>
                <w:p>
                  <w:pPr>
                    <w:pStyle w:val="Compact"/>
                    <w:jc w:val="center"/>
                  </w:pPr>
                  <w:r>
                    <w:t xml:space="preserve">1.12</w:t>
                  </w:r>
                </w:p>
              </w:tc>
              <w:tc>
                <w:tcPr/>
                <w:p>
                  <w:pPr>
                    <w:pStyle w:val="Compact"/>
                    <w:jc w:val="center"/>
                  </w:pPr>
                  <w:r>
                    <w:t xml:space="preserve">Load conductivity</w:t>
                  </w:r>
                </w:p>
              </w:tc>
              <w:tc>
                <w:tcPr/>
                <w:p>
                  <w:pPr>
                    <w:pStyle w:val="Compact"/>
                    <w:jc w:val="center"/>
                  </w:pPr>
                  <w:r>
                    <w:t xml:space="preserve">0.79</w:t>
                  </w:r>
                </w:p>
              </w:tc>
              <w:tc>
                <w:tcPr/>
                <w:p>
                  <w:pPr>
                    <w:pStyle w:val="Compact"/>
                    <w:jc w:val="center"/>
                  </w:pPr>
                  <w:r>
                    <w:t xml:space="preserve">n.a.</w:t>
                  </w:r>
                </w:p>
              </w:tc>
              <w:tc>
                <w:tcPr/>
                <w:p>
                  <w:pPr>
                    <w:pStyle w:val="Compact"/>
                    <w:jc w:val="center"/>
                  </w:pPr>
                  <w:r>
                    <w:t xml:space="preserve">Yes</w:t>
                  </w:r>
                </w:p>
              </w:tc>
            </w:tr>
            <w:tr>
              <w:tc>
                <w:tcPr>
                  <w:gridSpan w:val="1"/>
                  <w:vMerge w:val="continue"/>
                </w:tcPr>
                <w:p>
                  <w:pPr/>
                </w:p>
              </w:tc>
              <w:tc>
                <w:tcPr/>
                <w:p>
                  <w:pPr>
                    <w:pStyle w:val="Compact"/>
                    <w:jc w:val="center"/>
                  </w:pPr>
                  <w:r>
                    <w:t xml:space="preserve">1.89</w:t>
                  </w:r>
                </w:p>
              </w:tc>
              <w:tc>
                <w:tcPr/>
                <w:p>
                  <w:pPr>
                    <w:pStyle w:val="Compact"/>
                    <w:jc w:val="center"/>
                  </w:pPr>
                  <w:r>
                    <w:t xml:space="preserve">Load pH and load pH²</w:t>
                  </w:r>
                </w:p>
              </w:tc>
              <w:tc>
                <w:tcPr/>
                <w:p>
                  <w:pPr>
                    <w:pStyle w:val="Compact"/>
                    <w:jc w:val="center"/>
                  </w:pPr>
                  <w:r>
                    <w:t xml:space="preserve">0.76</w:t>
                  </w:r>
                </w:p>
              </w:tc>
              <w:tc>
                <w:tcPr/>
                <w:p>
                  <w:pPr>
                    <w:pStyle w:val="Compact"/>
                    <w:jc w:val="center"/>
                  </w:pPr>
                  <w:r>
                    <w:t xml:space="preserve">n.a.</w:t>
                  </w:r>
                </w:p>
              </w:tc>
              <w:tc>
                <w:tcPr/>
                <w:p>
                  <w:pPr>
                    <w:pStyle w:val="Compact"/>
                    <w:jc w:val="center"/>
                  </w:pPr>
                  <w:r>
                    <w:t xml:space="preserve">Yes</w:t>
                  </w:r>
                </w:p>
              </w:tc>
            </w:tr>
            <w:tr>
              <w:tc>
                <w:tcPr>
                  <w:gridSpan w:val="6"/>
                </w:tcPr>
                <w:p>
                  <w:pPr>
                    <w:pStyle w:val="Compact"/>
                    <w:jc w:val="center"/>
                  </w:pPr>
                  <w:r>
                    <w:t xml:space="preserve">The first row of each output is the selected model. The upper end decides for a quality attribute and the lowest mean over the NOR combinations for viral clearance. Pool host cell protein at manufacturing scale, with the offset at its estimate.</w:t>
                  </w:r>
                </w:p>
              </w:tc>
            </w:tr>
          </w:tbl>
          <w:bookmarkEnd w:id="71"/>
          <w:p/>
        </w:tc>
      </w:tr>
    </w:tbl>
    <w:p>
      <w:pPr>
        <w:pStyle w:val="BodyText"/>
      </w:pPr>
      <w:r>
        <w:t xml:space="preserve">For pool host cell protein 5 models qualify. All contain load pH and Equil/Wash-1 conductivity. Their interaction appears in 2 of them, a curvature in load pH in 2 and load conductivity in 1. None contains the interaction of protein load and Equil/Wash-1 conductivity that marked the invalidated first execution (</w:t>
      </w:r>
      <w:hyperlink w:anchor="sec-dev01">
        <w:r>
          <w:rPr>
            <w:rStyle w:val="Hyperlink"/>
          </w:rPr>
          <w:t xml:space="preserve">Section 13.1.1</w:t>
        </w:r>
      </w:hyperlink>
      <w:r>
        <w:t xml:space="preserve">). For XMuLV the other model drops protein load and its interaction with load pH. For MVM the two other models add an interaction of load pH and load conductivity or a curvature in load pH.</w:t>
      </w:r>
    </w:p>
    <w:p>
      <w:pPr>
        <w:pStyle w:val="BodyText"/>
      </w:pPr>
      <w:r>
        <w:t xml:space="preserve">Under every model within 2 AICc units each output meets its criterion over the NOR, and the scale-down model stays qualified for pool host cell protein. The lower edge of the NOR-propagated range of load pH lies between 7.2 and 7.215 for XMuLV and between 7.2 and 7.23 for MVM, below the NOR in every case. Under the selected models the edges are 7.215 and 7.2225. The share of the grid inside the design space lies between 95.0 and 97.3 %. For pool host cell protein and fragments the upper end of the 95 % prediction interval of a single run stays below the criterion everywhere on the design-space grid under every model, with the host cell protein offset at the unfavourable end of its interval. Their ranges therefore span the characterized range under every model.</w:t>
      </w:r>
    </w:p>
    <w:p>
      <w:pPr>
        <w:pStyle w:val="BodyText"/>
      </w:pPr>
      <w:r>
        <w:t xml:space="preserve">The interaction of load pH and Equil/Wash-1 conductivity on pool host cell protein, which PCP-008 expected, is significant on the raw scale in the screening model (p &lt; 0.001) and in the plan’s full quadratic model of the planned response-surface runs (p = 0.047). On the log scale it stays significant in the screening data (coefficient −0.090, p = 0.043) and is not significant in the response-surface data (+0.035, p = 0.270, full quadratic on all runs). The difference between the two log-scale estimates is significant (z = −2.57, p = 0.010). The data do not identify its cause. The response-surface model, fitted on 40 runs, is the predictive model (PCMP-001 §6.2), and no judgement over the NOR changes with or without the interaction.</w:t>
      </w:r>
    </w:p>
    <w:bookmarkEnd w:id="72"/>
    <w:bookmarkStart w:id="74" w:name="sec-influence"/>
    <w:p>
      <w:pPr>
        <w:pStyle w:val="Heading3"/>
      </w:pPr>
      <w:r>
        <w:t xml:space="preserve">5.3.5 Residuals and influential runs</w:t>
      </w:r>
    </w:p>
    <w:p>
      <w:pPr>
        <w:pStyle w:val="FirstParagraph"/>
      </w:pPr>
      <w:hyperlink w:anchor="tbl-influence">
        <w:r>
          <w:rPr>
            <w:rStyle w:val="Hyperlink"/>
          </w:rPr>
          <w:t xml:space="preserve">Table 17</w:t>
        </w:r>
      </w:hyperlink>
      <w:r>
        <w:t xml:space="preserve"> </w:t>
      </w:r>
      <w:r>
        <w:t xml:space="preserve">lists every run whose Cook’s distance in a selected model is above 4/n, and the result of deleting it. No run exceeded the median of the F distribution, so every model meets the fourth criterion of PCMP-001 §7.2.</w:t>
      </w:r>
    </w:p>
    <w:tbl>
      <w:tblPr>
        <w:tblStyle w:val="Table"/>
        <w:tblW w:type="pct" w:w="5000"/>
        <w:tblLayout w:type="fixed"/>
        <w:tblLook w:firstRow="0" w:lastRow="0" w:firstColumn="0" w:lastColumn="0" w:noHBand="0" w:noVBand="0" w:val="0000"/>
      </w:tblPr>
      <w:tblGrid>
        <w:gridCol w:w="7920"/>
      </w:tblGrid>
      <w:tr>
        <w:tc>
          <w:tcPr/>
          <w:bookmarkStart w:id="73" w:name="tbl-influence"/>
          <w:p>
            <w:pPr>
              <w:jc w:val="center"/>
            </w:pPr>
            <w:pPr>
              <w:jc w:val="start"/>
              <w:spacing w:before="200"/>
              <w:pStyle w:val="ImageCaption"/>
            </w:pPr>
            <w:r>
              <w:t xml:space="preserve">Table 17: Runs flagged by Cook’s distance in the selected models, and the model and judgement with each run deleted.</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Run</w:t>
                  </w:r>
                </w:p>
              </w:tc>
              <w:tc>
                <w:tcPr/>
                <w:p>
                  <w:pPr>
                    <w:pStyle w:val="Compact"/>
                    <w:jc w:val="center"/>
                  </w:pPr>
                  <w:r>
                    <w:t xml:space="preserve">Cook's</w:t>
                  </w:r>
                  <w:r>
                    <w:br/>
                  </w:r>
                  <w:r>
                    <w:t xml:space="preserve">distance</w:t>
                  </w:r>
                </w:p>
              </w:tc>
              <w:tc>
                <w:tcPr/>
                <w:p>
                  <w:pPr>
                    <w:pStyle w:val="Compact"/>
                    <w:jc w:val="center"/>
                  </w:pPr>
                  <w:r>
                    <w:t xml:space="preserve">Flag,</w:t>
                  </w:r>
                  <w:r>
                    <w:br/>
                  </w:r>
                  <w:r>
                    <w:t xml:space="preserve">4/n</w:t>
                  </w:r>
                </w:p>
              </w:tc>
              <w:tc>
                <w:tcPr/>
                <w:p>
                  <w:pPr>
                    <w:pStyle w:val="Compact"/>
                    <w:jc w:val="center"/>
                  </w:pPr>
                  <w:r>
                    <w:t xml:space="preserve">Failure,</w:t>
                  </w:r>
                  <w:r>
                    <w:br/>
                  </w:r>
                  <w:r>
                    <w:t xml:space="preserve">F median</w:t>
                  </w:r>
                </w:p>
              </w:tc>
              <w:tc>
                <w:tcPr/>
                <w:p>
                  <w:pPr>
                    <w:pStyle w:val="Compact"/>
                    <w:jc w:val="center"/>
                  </w:pPr>
                  <w:r>
                    <w:t xml:space="preserve">Model selected without the run</w:t>
                  </w:r>
                </w:p>
              </w:tc>
              <w:tc>
                <w:tcPr/>
                <w:p>
                  <w:pPr>
                    <w:pStyle w:val="Compact"/>
                    <w:jc w:val="center"/>
                  </w:pPr>
                  <w:r>
                    <w:t xml:space="preserve">Met over</w:t>
                  </w:r>
                  <w:r>
                    <w:br/>
                  </w:r>
                  <w:r>
                    <w:t xml:space="preserve">the NOR</w:t>
                  </w:r>
                </w:p>
              </w:tc>
            </w:tr>
            <w:tr>
              <w:tc>
                <w:tcPr/>
                <w:p>
                  <w:pPr>
                    <w:pStyle w:val="Compact"/>
                    <w:jc w:val="center"/>
                  </w:pPr>
                  <w:r>
                    <w:t xml:space="preserve">Pool host cell protein</w:t>
                  </w:r>
                </w:p>
              </w:tc>
              <w:tc>
                <w:tcPr/>
                <w:p>
                  <w:pPr>
                    <w:pStyle w:val="Compact"/>
                    <w:jc w:val="center"/>
                  </w:pPr>
                  <w:r>
                    <w:t xml:space="preserve">9</w:t>
                  </w:r>
                </w:p>
              </w:tc>
              <w:tc>
                <w:tcPr/>
                <w:p>
                  <w:pPr>
                    <w:pStyle w:val="Compact"/>
                    <w:jc w:val="center"/>
                  </w:pPr>
                  <w:r>
                    <w:t xml:space="preserve">0.101</w:t>
                  </w:r>
                </w:p>
              </w:tc>
              <w:tc>
                <w:tcPr/>
                <w:p>
                  <w:pPr>
                    <w:pStyle w:val="Compact"/>
                    <w:jc w:val="center"/>
                  </w:pPr>
                  <w:r>
                    <w:t xml:space="preserve">0.100</w:t>
                  </w:r>
                </w:p>
              </w:tc>
              <w:tc>
                <w:tcPr/>
                <w:p>
                  <w:pPr>
                    <w:pStyle w:val="Compact"/>
                    <w:jc w:val="center"/>
                  </w:pPr>
                  <w:r>
                    <w:t xml:space="preserve">0.855</w:t>
                  </w:r>
                </w:p>
              </w:tc>
              <w:tc>
                <w:tcPr/>
                <w:p>
                  <w:pPr>
                    <w:pStyle w:val="Compact"/>
                    <w:jc w:val="center"/>
                  </w:pPr>
                  <w:r>
                    <w:t xml:space="preserve">Load pH, Equil/Wash-1 conductivity, load conductivity, load pH × load conductivity and load pH², log scale</w:t>
                  </w:r>
                </w:p>
              </w:tc>
              <w:tc>
                <w:tcPr/>
                <w:p>
                  <w:pPr>
                    <w:pStyle w:val="Compact"/>
                    <w:jc w:val="center"/>
                  </w:pPr>
                  <w:r>
                    <w:t xml:space="preserve">Yes</w:t>
                  </w:r>
                </w:p>
              </w:tc>
            </w:tr>
            <w:tr>
              <w:tc>
                <w:tcPr>
                  <w:vMerge w:val="restart"/>
                </w:tcPr>
                <w:p>
                  <w:pPr>
                    <w:pStyle w:val="Compact"/>
                    <w:jc w:val="center"/>
                  </w:pPr>
                  <w:r>
                    <w:t xml:space="preserve">XMuLV LRF</w:t>
                  </w:r>
                </w:p>
              </w:tc>
              <w:tc>
                <w:tcPr/>
                <w:p>
                  <w:pPr>
                    <w:pStyle w:val="Compact"/>
                    <w:jc w:val="center"/>
                  </w:pPr>
                  <w:r>
                    <w:t xml:space="preserve">6</w:t>
                  </w:r>
                </w:p>
              </w:tc>
              <w:tc>
                <w:tcPr/>
                <w:p>
                  <w:pPr>
                    <w:pStyle w:val="Compact"/>
                    <w:jc w:val="center"/>
                  </w:pPr>
                  <w:r>
                    <w:t xml:space="preserve">0.166</w:t>
                  </w:r>
                </w:p>
              </w:tc>
              <w:tc>
                <w:tcPr/>
                <w:p>
                  <w:pPr>
                    <w:pStyle w:val="Compact"/>
                    <w:jc w:val="center"/>
                  </w:pPr>
                  <w:r>
                    <w:t xml:space="preserve">0.143</w:t>
                  </w:r>
                </w:p>
              </w:tc>
              <w:tc>
                <w:tcPr/>
                <w:p>
                  <w:pPr>
                    <w:pStyle w:val="Compact"/>
                    <w:jc w:val="center"/>
                  </w:pPr>
                  <w:r>
                    <w:t xml:space="preserve">0.896</w:t>
                  </w:r>
                </w:p>
              </w:tc>
              <w:tc>
                <w:tcPr/>
                <w:p>
                  <w:pPr>
                    <w:pStyle w:val="Compact"/>
                    <w:jc w:val="center"/>
                  </w:pPr>
                  <w:r>
                    <w:t xml:space="preserve">Load pH, Equil/Wash-1 conductivity, load conductivity, protein load, load pH × protein load and Equil/Wash-1 conductivity², log scale</w:t>
                  </w:r>
                </w:p>
              </w:tc>
              <w:tc>
                <w:tcPr/>
                <w:p>
                  <w:pPr>
                    <w:pStyle w:val="Compact"/>
                    <w:jc w:val="center"/>
                  </w:pPr>
                  <w:r>
                    <w:t xml:space="preserve">Yes</w:t>
                  </w:r>
                </w:p>
              </w:tc>
            </w:tr>
            <w:tr>
              <w:tc>
                <w:tcPr>
                  <w:gridSpan w:val="1"/>
                  <w:vMerge w:val="continue"/>
                </w:tcPr>
                <w:p>
                  <w:pPr/>
                </w:p>
              </w:tc>
              <w:tc>
                <w:tcPr/>
                <w:p>
                  <w:pPr>
                    <w:pStyle w:val="Compact"/>
                    <w:jc w:val="center"/>
                  </w:pPr>
                  <w:r>
                    <w:t xml:space="preserve">16</w:t>
                  </w:r>
                </w:p>
              </w:tc>
              <w:tc>
                <w:tcPr/>
                <w:p>
                  <w:pPr>
                    <w:pStyle w:val="Compact"/>
                    <w:jc w:val="center"/>
                  </w:pPr>
                  <w:r>
                    <w:t xml:space="preserve">0.244</w:t>
                  </w:r>
                </w:p>
              </w:tc>
              <w:tc>
                <w:tcPr/>
                <w:p>
                  <w:pPr>
                    <w:pStyle w:val="Compact"/>
                    <w:jc w:val="center"/>
                  </w:pPr>
                  <w:r>
                    <w:t xml:space="preserve">0.143</w:t>
                  </w:r>
                </w:p>
              </w:tc>
              <w:tc>
                <w:tcPr/>
                <w:p>
                  <w:pPr>
                    <w:pStyle w:val="Compact"/>
                    <w:jc w:val="center"/>
                  </w:pPr>
                  <w:r>
                    <w:t xml:space="preserve">0.896</w:t>
                  </w:r>
                </w:p>
              </w:tc>
              <w:tc>
                <w:tcPr/>
                <w:p>
                  <w:pPr>
                    <w:pStyle w:val="Compact"/>
                    <w:jc w:val="center"/>
                  </w:pPr>
                  <w:r>
                    <w:t xml:space="preserve">Load pH, load conductivity, protein load and load pH × protein load</w:t>
                  </w:r>
                </w:p>
              </w:tc>
              <w:tc>
                <w:tcPr/>
                <w:p>
                  <w:pPr>
                    <w:pStyle w:val="Compact"/>
                    <w:jc w:val="center"/>
                  </w:pPr>
                  <w:r>
                    <w:t xml:space="preserve">Yes</w:t>
                  </w:r>
                </w:p>
              </w:tc>
            </w:tr>
            <w:tr>
              <w:tc>
                <w:tcPr>
                  <w:vMerge w:val="restart"/>
                </w:tcPr>
                <w:p>
                  <w:pPr>
                    <w:pStyle w:val="Compact"/>
                    <w:jc w:val="center"/>
                  </w:pPr>
                  <w:r>
                    <w:t xml:space="preserve">Step yield</w:t>
                  </w:r>
                </w:p>
              </w:tc>
              <w:tc>
                <w:tcPr/>
                <w:p>
                  <w:pPr>
                    <w:pStyle w:val="Compact"/>
                    <w:jc w:val="center"/>
                  </w:pPr>
                  <w:r>
                    <w:t xml:space="preserve">38</w:t>
                  </w:r>
                </w:p>
              </w:tc>
              <w:tc>
                <w:tcPr/>
                <w:p>
                  <w:pPr>
                    <w:pStyle w:val="Compact"/>
                    <w:jc w:val="center"/>
                  </w:pPr>
                  <w:r>
                    <w:t xml:space="preserve">0.178</w:t>
                  </w:r>
                </w:p>
              </w:tc>
              <w:tc>
                <w:tcPr/>
                <w:p>
                  <w:pPr>
                    <w:pStyle w:val="Compact"/>
                    <w:jc w:val="center"/>
                  </w:pPr>
                  <w:r>
                    <w:t xml:space="preserve">0.100</w:t>
                  </w:r>
                </w:p>
              </w:tc>
              <w:tc>
                <w:tcPr/>
                <w:p>
                  <w:pPr>
                    <w:pStyle w:val="Compact"/>
                    <w:jc w:val="center"/>
                  </w:pPr>
                  <w:r>
                    <w:t xml:space="preserve">0.706</w:t>
                  </w:r>
                </w:p>
              </w:tc>
              <w:tc>
                <w:tcPr/>
                <w:p>
                  <w:pPr>
                    <w:pStyle w:val="Compact"/>
                    <w:jc w:val="center"/>
                  </w:pPr>
                  <w:r>
                    <w:t xml:space="preserve">Equil/Wash-1 conductivity and Equil/Wash-1 conductivity² (not adequate)</w:t>
                  </w:r>
                </w:p>
              </w:tc>
              <w:tc>
                <w:tcPr/>
                <w:p>
                  <w:pPr>
                    <w:pStyle w:val="Compact"/>
                    <w:jc w:val="center"/>
                  </w:pPr>
                  <w:r>
                    <w:t xml:space="preserve">n.a.</w:t>
                  </w:r>
                  <w:r>
                    <w:rPr>
                      <w:vertAlign w:val="superscript"/>
                    </w:rPr>
                    <w:t xml:space="preserve">a)</w:t>
                  </w:r>
                </w:p>
              </w:tc>
            </w:tr>
            <w:tr>
              <w:tc>
                <w:tcPr>
                  <w:gridSpan w:val="1"/>
                  <w:vMerge w:val="continue"/>
                </w:tcPr>
                <w:p>
                  <w:pPr/>
                </w:p>
              </w:tc>
              <w:tc>
                <w:tcPr/>
                <w:p>
                  <w:pPr>
                    <w:pStyle w:val="Compact"/>
                    <w:jc w:val="center"/>
                  </w:pPr>
                  <w:r>
                    <w:t xml:space="preserve">40</w:t>
                  </w:r>
                </w:p>
              </w:tc>
              <w:tc>
                <w:tcPr/>
                <w:p>
                  <w:pPr>
                    <w:pStyle w:val="Compact"/>
                    <w:jc w:val="center"/>
                  </w:pPr>
                  <w:r>
                    <w:t xml:space="preserve">0.102</w:t>
                  </w:r>
                </w:p>
              </w:tc>
              <w:tc>
                <w:tcPr/>
                <w:p>
                  <w:pPr>
                    <w:pStyle w:val="Compact"/>
                    <w:jc w:val="center"/>
                  </w:pPr>
                  <w:r>
                    <w:t xml:space="preserve">0.100</w:t>
                  </w:r>
                </w:p>
              </w:tc>
              <w:tc>
                <w:tcPr/>
                <w:p>
                  <w:pPr>
                    <w:pStyle w:val="Compact"/>
                    <w:jc w:val="center"/>
                  </w:pPr>
                  <w:r>
                    <w:t xml:space="preserve">0.706</w:t>
                  </w:r>
                </w:p>
              </w:tc>
              <w:tc>
                <w:tcPr/>
                <w:p>
                  <w:pPr>
                    <w:pStyle w:val="Compact"/>
                    <w:jc w:val="center"/>
                  </w:pPr>
                  <w:r>
                    <w:t xml:space="preserve">Load pH and load pH² (not adequate)</w:t>
                  </w:r>
                </w:p>
              </w:tc>
              <w:tc>
                <w:tcPr/>
                <w:p>
                  <w:pPr>
                    <w:pStyle w:val="Compact"/>
                    <w:jc w:val="center"/>
                  </w:pPr>
                  <w:r>
                    <w:t xml:space="preserve">n.a.</w:t>
                  </w:r>
                  <w:r>
                    <w:rPr>
                      <w:vertAlign w:val="superscript"/>
                    </w:rPr>
                    <w:t xml:space="preserve">a)</w:t>
                  </w:r>
                </w:p>
              </w:tc>
            </w:tr>
            <w:tr>
              <w:tc>
                <w:tcPr>
                  <w:vMerge w:val="restart"/>
                </w:tcPr>
                <w:p>
                  <w:pPr>
                    <w:pStyle w:val="Compact"/>
                    <w:jc w:val="center"/>
                  </w:pPr>
                  <w:r>
                    <w:t xml:space="preserve">Fragments, LMW</w:t>
                  </w:r>
                </w:p>
              </w:tc>
              <w:tc>
                <w:tcPr/>
                <w:p>
                  <w:pPr>
                    <w:pStyle w:val="Compact"/>
                    <w:jc w:val="center"/>
                  </w:pPr>
                  <w:r>
                    <w:t xml:space="preserve">23</w:t>
                  </w:r>
                </w:p>
              </w:tc>
              <w:tc>
                <w:tcPr/>
                <w:p>
                  <w:pPr>
                    <w:pStyle w:val="Compact"/>
                    <w:jc w:val="center"/>
                  </w:pPr>
                  <w:r>
                    <w:t xml:space="preserve">0.150</w:t>
                  </w:r>
                </w:p>
              </w:tc>
              <w:tc>
                <w:tcPr/>
                <w:p>
                  <w:pPr>
                    <w:pStyle w:val="Compact"/>
                    <w:jc w:val="center"/>
                  </w:pPr>
                  <w:r>
                    <w:t xml:space="preserve">0.100</w:t>
                  </w:r>
                </w:p>
              </w:tc>
              <w:tc>
                <w:tcPr/>
                <w:p>
                  <w:pPr>
                    <w:pStyle w:val="Compact"/>
                    <w:jc w:val="center"/>
                  </w:pPr>
                  <w:r>
                    <w:t xml:space="preserve">0.706</w:t>
                  </w:r>
                </w:p>
              </w:tc>
              <w:tc>
                <w:tcPr/>
                <w:p>
                  <w:pPr>
                    <w:pStyle w:val="Compact"/>
                    <w:jc w:val="center"/>
                  </w:pPr>
                  <w:r>
                    <w:t xml:space="preserve">None</w:t>
                  </w:r>
                </w:p>
              </w:tc>
              <w:tc>
                <w:tcPr/>
                <w:p>
                  <w:pPr>
                    <w:pStyle w:val="Compact"/>
                    <w:jc w:val="center"/>
                  </w:pPr>
                  <w:r>
                    <w:t xml:space="preserve">Yes</w:t>
                  </w:r>
                </w:p>
              </w:tc>
            </w:tr>
            <w:tr>
              <w:tc>
                <w:tcPr>
                  <w:gridSpan w:val="1"/>
                  <w:vMerge w:val="continue"/>
                </w:tcPr>
                <w:p>
                  <w:pPr/>
                </w:p>
              </w:tc>
              <w:tc>
                <w:tcPr/>
                <w:p>
                  <w:pPr>
                    <w:pStyle w:val="Compact"/>
                    <w:jc w:val="center"/>
                  </w:pPr>
                  <w:r>
                    <w:t xml:space="preserve">35</w:t>
                  </w:r>
                </w:p>
              </w:tc>
              <w:tc>
                <w:tcPr/>
                <w:p>
                  <w:pPr>
                    <w:pStyle w:val="Compact"/>
                    <w:jc w:val="center"/>
                  </w:pPr>
                  <w:r>
                    <w:t xml:space="preserve">0.137</w:t>
                  </w:r>
                </w:p>
              </w:tc>
              <w:tc>
                <w:tcPr/>
                <w:p>
                  <w:pPr>
                    <w:pStyle w:val="Compact"/>
                    <w:jc w:val="center"/>
                  </w:pPr>
                  <w:r>
                    <w:t xml:space="preserve">0.100</w:t>
                  </w:r>
                </w:p>
              </w:tc>
              <w:tc>
                <w:tcPr/>
                <w:p>
                  <w:pPr>
                    <w:pStyle w:val="Compact"/>
                    <w:jc w:val="center"/>
                  </w:pPr>
                  <w:r>
                    <w:t xml:space="preserve">0.706</w:t>
                  </w:r>
                </w:p>
              </w:tc>
              <w:tc>
                <w:tcPr/>
                <w:p>
                  <w:pPr>
                    <w:pStyle w:val="Compact"/>
                    <w:jc w:val="center"/>
                  </w:pPr>
                  <w:r>
                    <w:t xml:space="preserve">None</w:t>
                  </w:r>
                </w:p>
              </w:tc>
              <w:tc>
                <w:tcPr/>
                <w:p>
                  <w:pPr>
                    <w:pStyle w:val="Compact"/>
                    <w:jc w:val="center"/>
                  </w:pPr>
                  <w:r>
                    <w:t xml:space="preserve">Yes</w:t>
                  </w:r>
                </w:p>
              </w:tc>
            </w:tr>
            <w:tr>
              <w:tc>
                <w:tcPr>
                  <w:gridSpan w:val="1"/>
                  <w:vMerge w:val="continue"/>
                </w:tcPr>
                <w:p>
                  <w:pPr/>
                </w:p>
              </w:tc>
              <w:tc>
                <w:tcPr/>
                <w:p>
                  <w:pPr>
                    <w:pStyle w:val="Compact"/>
                    <w:jc w:val="center"/>
                  </w:pPr>
                  <w:r>
                    <w:t xml:space="preserve">36</w:t>
                  </w:r>
                </w:p>
              </w:tc>
              <w:tc>
                <w:tcPr/>
                <w:p>
                  <w:pPr>
                    <w:pStyle w:val="Compact"/>
                    <w:jc w:val="center"/>
                  </w:pPr>
                  <w:r>
                    <w:t xml:space="preserve">0.102</w:t>
                  </w:r>
                </w:p>
              </w:tc>
              <w:tc>
                <w:tcPr/>
                <w:p>
                  <w:pPr>
                    <w:pStyle w:val="Compact"/>
                    <w:jc w:val="center"/>
                  </w:pPr>
                  <w:r>
                    <w:t xml:space="preserve">0.100</w:t>
                  </w:r>
                </w:p>
              </w:tc>
              <w:tc>
                <w:tcPr/>
                <w:p>
                  <w:pPr>
                    <w:pStyle w:val="Compact"/>
                    <w:jc w:val="center"/>
                  </w:pPr>
                  <w:r>
                    <w:t xml:space="preserve">0.706</w:t>
                  </w:r>
                </w:p>
              </w:tc>
              <w:tc>
                <w:tcPr/>
                <w:p>
                  <w:pPr>
                    <w:pStyle w:val="Compact"/>
                    <w:jc w:val="center"/>
                  </w:pPr>
                  <w:r>
                    <w:t xml:space="preserve">None</w:t>
                  </w:r>
                </w:p>
              </w:tc>
              <w:tc>
                <w:tcPr/>
                <w:p>
                  <w:pPr>
                    <w:pStyle w:val="Compact"/>
                    <w:jc w:val="center"/>
                  </w:pPr>
                  <w:r>
                    <w:t xml:space="preserve">Yes</w:t>
                  </w:r>
                </w:p>
              </w:tc>
            </w:tr>
            <w:tr>
              <w:tc>
                <w:tcPr>
                  <w:gridSpan w:val="7"/>
                </w:tcPr>
                <w:p>
                  <w:pPr>
                    <w:pStyle w:val="Compact"/>
                    <w:jc w:val="center"/>
                  </w:pPr>
                  <w:r>
                    <w:rPr>
                      <w:vertAlign w:val="superscript"/>
                    </w:rPr>
                    <w:t xml:space="preserve">a)</w:t>
                  </w:r>
                  <w:r>
                    <w:t xml:space="preserve"> </w:t>
                  </w:r>
                  <w:r>
                    <w:t xml:space="preserve">No criterion at this step.</w:t>
                  </w:r>
                </w:p>
              </w:tc>
            </w:tr>
            <w:tr>
              <w:tc>
                <w:tcPr>
                  <w:gridSpan w:val="7"/>
                </w:tcPr>
                <w:p>
                  <w:pPr>
                    <w:pStyle w:val="Compact"/>
                    <w:jc w:val="center"/>
                  </w:pPr>
                  <w:r>
                    <w:t xml:space="preserve">The selection repeated on the remaining runs. For pool host cell protein the judgement holds with the offset at its estimate and at both ends of its interval.</w:t>
                  </w:r>
                </w:p>
              </w:tc>
            </w:tr>
          </w:tbl>
          <w:bookmarkEnd w:id="73"/>
          <w:p/>
        </w:tc>
      </w:tr>
    </w:tbl>
    <w:p>
      <w:pPr>
        <w:pStyle w:val="BodyText"/>
      </w:pPr>
      <w:r>
        <w:t xml:space="preserve">Deleting a flagged run left every judgement over the NOR unchanged, and the scale-down model stayed qualified for pool host cell protein. Deletion changed the selected model in 4 cases. With run 9 deleted, the selection for pool host cell protein adds load conductivity, its interaction with load pH and a curvature in load pH. With run 6 deleted, the XMuLV model moves to the log scale and adds Equil/Wash-1 conductivity and its square. The lower edge of the NOR-propagated range of load pH for XMuLV then moves from 7.215 to 7.2525, still below the NOR, and the share of the grid inside the design space from 95.0 to 94.7 %. With run 38 or run 40 deleted, step yield has no adequate model. The selected terms of these 3 outputs therefore rest partly on single runs, while the judgements over the NOR do not.</w:t>
      </w:r>
    </w:p>
    <w:bookmarkEnd w:id="74"/>
    <w:bookmarkStart w:id="95" w:name="sec-surfaces"/>
    <w:p>
      <w:pPr>
        <w:pStyle w:val="Heading3"/>
      </w:pPr>
      <w:r>
        <w:t xml:space="preserve">5.3.6 Response surfaces and diagnostics</w:t>
      </w:r>
    </w:p>
    <w:p>
      <w:pPr>
        <w:pStyle w:val="FirstParagraph"/>
      </w:pPr>
      <w:hyperlink w:anchor="fig-contours-wash">
        <w:r>
          <w:rPr>
            <w:rStyle w:val="Hyperlink"/>
          </w:rPr>
          <w:t xml:space="preserve">Figure 1</w:t>
        </w:r>
      </w:hyperlink>
      <w:r>
        <w:t xml:space="preserve"> </w:t>
      </w:r>
      <w:r>
        <w:t xml:space="preserve">and</w:t>
      </w:r>
      <w:r>
        <w:t xml:space="preserve"> </w:t>
      </w:r>
      <w:hyperlink w:anchor="fig-contours-cond">
        <w:r>
          <w:rPr>
            <w:rStyle w:val="Hyperlink"/>
          </w:rPr>
          <w:t xml:space="preserve">Figure 2</w:t>
        </w:r>
      </w:hyperlink>
      <w:r>
        <w:t xml:space="preserve"> </w:t>
      </w:r>
      <w:r>
        <w:t xml:space="preserve">show the selected models of the four outputs over load pH and each conductivity. Pool host cell protein falls with load pH, rises with Equil/Wash-1 conductivity and does not depend on load conductivity. Both LRFs rise with load pH, fall with load conductivity and do not depend on Equil/Wash-1 conductivity. Step yield has no term and is flat. The selected models of pool host cell protein and MVM contain no interaction, so their contours are parallel by construction and the figures carry no evidence on interaction.</w:t>
      </w:r>
    </w:p>
    <w:tbl>
      <w:tblPr>
        <w:tblStyle w:val="Table"/>
        <w:tblW w:type="pct" w:w="5000"/>
        <w:tblLayout w:type="fixed"/>
        <w:tblLook w:firstRow="0" w:lastRow="0" w:firstColumn="0" w:lastColumn="0" w:noHBand="0" w:noVBand="0" w:val="0000"/>
      </w:tblPr>
      <w:tblGrid>
        <w:gridCol w:w="7920"/>
      </w:tblGrid>
      <w:tr>
        <w:tc>
          <w:tcPr/>
          <w:bookmarkStart w:id="78" w:name="fig-contours-wash"/>
          <w:p>
            <w:pPr>
              <w:pStyle w:val="Compact"/>
              <w:jc w:val="center"/>
            </w:pPr>
            <w:r>
              <w:drawing>
                <wp:inline>
                  <wp:extent cx="5334000" cy="4398991"/>
                  <wp:effectExtent b="0" l="0" r="0" t="0"/>
                  <wp:docPr descr="" title="" id="76" name="Picture"/>
                  <a:graphic>
                    <a:graphicData uri="http://schemas.openxmlformats.org/drawingml/2006/picture">
                      <pic:pic>
                        <pic:nvPicPr>
                          <pic:cNvPr descr="PCR-008_aex_files/figure-docx/fig-contours-wash-output-1.png" id="77" name="Picture"/>
                          <pic:cNvPicPr>
                            <a:picLocks noChangeArrowheads="1" noChangeAspect="1"/>
                          </pic:cNvPicPr>
                        </pic:nvPicPr>
                        <pic:blipFill>
                          <a:blip r:embed="rId75"/>
                          <a:stretch>
                            <a:fillRect/>
                          </a:stretch>
                        </pic:blipFill>
                        <pic:spPr bwMode="auto">
                          <a:xfrm>
                            <a:off x="0" y="0"/>
                            <a:ext cx="5334000" cy="439899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Selected response-surface models of the four outputs over load pH and Equil/Wash-1 conductivity.</w:t>
            </w:r>
          </w:p>
          <w:bookmarkEnd w:id="78"/>
        </w:tc>
      </w:tr>
    </w:tbl>
    <w:tbl>
      <w:tblPr>
        <w:tblStyle w:val="Table"/>
        <w:tblW w:type="pct" w:w="5000"/>
        <w:tblLayout w:type="fixed"/>
        <w:tblLook w:firstRow="0" w:lastRow="0" w:firstColumn="0" w:lastColumn="0" w:noHBand="0" w:noVBand="0" w:val="0000"/>
      </w:tblPr>
      <w:tblGrid>
        <w:gridCol w:w="7920"/>
      </w:tblGrid>
      <w:tr>
        <w:tc>
          <w:tcPr/>
          <w:bookmarkStart w:id="82" w:name="fig-contours-cond"/>
          <w:p>
            <w:pPr>
              <w:pStyle w:val="Compact"/>
              <w:jc w:val="center"/>
            </w:pPr>
            <w:r>
              <w:drawing>
                <wp:inline>
                  <wp:extent cx="5334000" cy="4362576"/>
                  <wp:effectExtent b="0" l="0" r="0" t="0"/>
                  <wp:docPr descr="" title="" id="80" name="Picture"/>
                  <a:graphic>
                    <a:graphicData uri="http://schemas.openxmlformats.org/drawingml/2006/picture">
                      <pic:pic>
                        <pic:nvPicPr>
                          <pic:cNvPr descr="PCR-008_aex_files/figure-docx/fig-contours-cond-output-1.png" id="81" name="Picture"/>
                          <pic:cNvPicPr>
                            <a:picLocks noChangeArrowheads="1" noChangeAspect="1"/>
                          </pic:cNvPicPr>
                        </pic:nvPicPr>
                        <pic:blipFill>
                          <a:blip r:embed="rId79"/>
                          <a:stretch>
                            <a:fillRect/>
                          </a:stretch>
                        </pic:blipFill>
                        <pic:spPr bwMode="auto">
                          <a:xfrm>
                            <a:off x="0" y="0"/>
                            <a:ext cx="5334000" cy="43625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Selected response-surface models of the four outputs over load pH and load conductivity.</w:t>
            </w:r>
          </w:p>
          <w:bookmarkEnd w:id="82"/>
        </w:tc>
      </w:tr>
    </w:tbl>
    <w:p>
      <w:pPr>
        <w:pStyle w:val="BodyText"/>
      </w:pPr>
      <w:hyperlink w:anchor="fig-diag-hcp">
        <w:r>
          <w:rPr>
            <w:rStyle w:val="Hyperlink"/>
          </w:rPr>
          <w:t xml:space="preserve">Figure 3</w:t>
        </w:r>
      </w:hyperlink>
      <w:r>
        <w:t xml:space="preserve">,</w:t>
      </w:r>
      <w:r>
        <w:t xml:space="preserve"> </w:t>
      </w:r>
      <w:hyperlink w:anchor="fig-diag-xmulv">
        <w:r>
          <w:rPr>
            <w:rStyle w:val="Hyperlink"/>
          </w:rPr>
          <w:t xml:space="preserve">Figure 4</w:t>
        </w:r>
      </w:hyperlink>
      <w:r>
        <w:t xml:space="preserve"> </w:t>
      </w:r>
      <w:r>
        <w:t xml:space="preserve">and</w:t>
      </w:r>
      <w:r>
        <w:t xml:space="preserve"> </w:t>
      </w:r>
      <w:hyperlink w:anchor="fig-diag-mvm">
        <w:r>
          <w:rPr>
            <w:rStyle w:val="Hyperlink"/>
          </w:rPr>
          <w:t xml:space="preserve">Figure 5</w:t>
        </w:r>
      </w:hyperlink>
      <w:r>
        <w:t xml:space="preserve"> </w:t>
      </w:r>
      <w:r>
        <w:t xml:space="preserve">show, for the three models with terms, the residuals against the predicted values, a normal probability plot of the residuals and the measured against the predicted values. Pool host cell protein is shown on the log scale of its model.</w:t>
      </w:r>
    </w:p>
    <w:tbl>
      <w:tblPr>
        <w:tblStyle w:val="Table"/>
        <w:tblW w:type="pct" w:w="5000"/>
        <w:tblLayout w:type="fixed"/>
        <w:tblLook w:firstRow="0" w:lastRow="0" w:firstColumn="0" w:lastColumn="0" w:noHBand="0" w:noVBand="0" w:val="0000"/>
      </w:tblPr>
      <w:tblGrid>
        <w:gridCol w:w="7920"/>
      </w:tblGrid>
      <w:tr>
        <w:tc>
          <w:tcPr/>
          <w:bookmarkStart w:id="86" w:name="fig-diag-hcp"/>
          <w:p>
            <w:pPr>
              <w:pStyle w:val="Compact"/>
              <w:jc w:val="center"/>
            </w:pPr>
            <w:r>
              <w:drawing>
                <wp:inline>
                  <wp:extent cx="5334000" cy="1671388"/>
                  <wp:effectExtent b="0" l="0" r="0" t="0"/>
                  <wp:docPr descr="" title="" id="84" name="Picture"/>
                  <a:graphic>
                    <a:graphicData uri="http://schemas.openxmlformats.org/drawingml/2006/picture">
                      <pic:pic>
                        <pic:nvPicPr>
                          <pic:cNvPr descr="PCR-008_aex_files/figure-docx/fig-diag-hcp-output-1.png" id="85" name="Picture"/>
                          <pic:cNvPicPr>
                            <a:picLocks noChangeArrowheads="1" noChangeAspect="1"/>
                          </pic:cNvPicPr>
                        </pic:nvPicPr>
                        <pic:blipFill>
                          <a:blip r:embed="rId83"/>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Diagnostics of the selected model of pool host cell protein (natural log scale).</w:t>
            </w:r>
          </w:p>
          <w:bookmarkEnd w:id="86"/>
        </w:tc>
      </w:tr>
    </w:tbl>
    <w:tbl>
      <w:tblPr>
        <w:tblStyle w:val="Table"/>
        <w:tblW w:type="pct" w:w="5000"/>
        <w:tblLayout w:type="fixed"/>
        <w:tblLook w:firstRow="0" w:lastRow="0" w:firstColumn="0" w:lastColumn="0" w:noHBand="0" w:noVBand="0" w:val="0000"/>
      </w:tblPr>
      <w:tblGrid>
        <w:gridCol w:w="7920"/>
      </w:tblGrid>
      <w:tr>
        <w:tc>
          <w:tcPr/>
          <w:bookmarkStart w:id="90" w:name="fig-diag-xmulv"/>
          <w:p>
            <w:pPr>
              <w:pStyle w:val="Compact"/>
              <w:jc w:val="center"/>
            </w:pPr>
            <w:r>
              <w:drawing>
                <wp:inline>
                  <wp:extent cx="5334000" cy="1671388"/>
                  <wp:effectExtent b="0" l="0" r="0" t="0"/>
                  <wp:docPr descr="" title="" id="88" name="Picture"/>
                  <a:graphic>
                    <a:graphicData uri="http://schemas.openxmlformats.org/drawingml/2006/picture">
                      <pic:pic>
                        <pic:nvPicPr>
                          <pic:cNvPr descr="PCR-008_aex_files/figure-docx/fig-diag-xmulv-output-1.png" id="89" name="Picture"/>
                          <pic:cNvPicPr>
                            <a:picLocks noChangeArrowheads="1" noChangeAspect="1"/>
                          </pic:cNvPicPr>
                        </pic:nvPicPr>
                        <pic:blipFill>
                          <a:blip r:embed="rId87"/>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Diagnostics of the selected model of the XMuLV LRF.</w:t>
            </w:r>
          </w:p>
          <w:bookmarkEnd w:id="90"/>
        </w:tc>
      </w:tr>
    </w:tbl>
    <w:tbl>
      <w:tblPr>
        <w:tblStyle w:val="Table"/>
        <w:tblW w:type="pct" w:w="5000"/>
        <w:tblLayout w:type="fixed"/>
        <w:tblLook w:firstRow="0" w:lastRow="0" w:firstColumn="0" w:lastColumn="0" w:noHBand="0" w:noVBand="0" w:val="0000"/>
      </w:tblPr>
      <w:tblGrid>
        <w:gridCol w:w="7920"/>
      </w:tblGrid>
      <w:tr>
        <w:tc>
          <w:tcPr/>
          <w:bookmarkStart w:id="94" w:name="fig-diag-mvm"/>
          <w:p>
            <w:pPr>
              <w:pStyle w:val="Compact"/>
              <w:jc w:val="center"/>
            </w:pPr>
            <w:r>
              <w:drawing>
                <wp:inline>
                  <wp:extent cx="5334000" cy="1652214"/>
                  <wp:effectExtent b="0" l="0" r="0" t="0"/>
                  <wp:docPr descr="" title="" id="92" name="Picture"/>
                  <a:graphic>
                    <a:graphicData uri="http://schemas.openxmlformats.org/drawingml/2006/picture">
                      <pic:pic>
                        <pic:nvPicPr>
                          <pic:cNvPr descr="PCR-008_aex_files/figure-docx/fig-diag-mvm-output-1.png" id="93" name="Picture"/>
                          <pic:cNvPicPr>
                            <a:picLocks noChangeArrowheads="1" noChangeAspect="1"/>
                          </pic:cNvPicPr>
                        </pic:nvPicPr>
                        <pic:blipFill>
                          <a:blip r:embed="rId91"/>
                          <a:stretch>
                            <a:fillRect/>
                          </a:stretch>
                        </pic:blipFill>
                        <pic:spPr bwMode="auto">
                          <a:xfrm>
                            <a:off x="0" y="0"/>
                            <a:ext cx="5334000" cy="16522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Diagnostics of the selected model of the MVM LRF.</w:t>
            </w:r>
          </w:p>
          <w:bookmarkEnd w:id="94"/>
        </w:tc>
      </w:tr>
    </w:tbl>
    <w:bookmarkEnd w:id="95"/>
    <w:bookmarkEnd w:id="96"/>
    <w:bookmarkStart w:id="98" w:name="sec-flow"/>
    <w:p>
      <w:pPr>
        <w:pStyle w:val="Heading2"/>
      </w:pPr>
      <w:r>
        <w:t xml:space="preserve">5.4 Univariate assessment of operating flow rate</w:t>
      </w:r>
    </w:p>
    <w:p>
      <w:pPr>
        <w:pStyle w:val="FirstParagraph"/>
      </w:pPr>
      <w:hyperlink w:anchor="tbl-flow">
        <w:r>
          <w:rPr>
            <w:rStyle w:val="Hyperlink"/>
          </w:rPr>
          <w:t xml:space="preserve">Table 18</w:t>
        </w:r>
      </w:hyperlink>
      <w:r>
        <w:t xml:space="preserve"> </w:t>
      </w:r>
      <w:r>
        <w:t xml:space="preserve">gives the results of the flow-rate study, with the qualification runs at set-point as the reference. At manufacturing scale, pool host cell protein was 5.4 ng/mg lower at the upper end of the range than at the lower end (p = 0.198, 95 % confidence interval −17.5 to +6.8 ng/mg). Step yield was 1.8 percentage points higher (p = 0.121, −1.1 to +4.7). Neither difference is significant at 0.05. With 2 runs at each end the comparison has 2 degrees of freedom, and the confidence intervals are wide. Every result met the host cell protein criterion, the highest at 19.2 ng/mg against 100 ng/mg.</w:t>
      </w:r>
    </w:p>
    <w:tbl>
      <w:tblPr>
        <w:tblStyle w:val="Table"/>
        <w:tblW w:type="pct" w:w="5000"/>
        <w:tblLayout w:type="fixed"/>
        <w:tblLook w:firstRow="0" w:lastRow="0" w:firstColumn="0" w:lastColumn="0" w:noHBand="0" w:noVBand="0" w:val="0000"/>
      </w:tblPr>
      <w:tblGrid>
        <w:gridCol w:w="7920"/>
      </w:tblGrid>
      <w:tr>
        <w:tc>
          <w:tcPr/>
          <w:bookmarkStart w:id="97" w:name="tbl-flow"/>
          <w:p>
            <w:pPr>
              <w:jc w:val="center"/>
            </w:pPr>
            <w:pPr>
              <w:jc w:val="start"/>
              <w:spacing w:before="200"/>
              <w:pStyle w:val="ImageCaption"/>
            </w:pPr>
            <w:r>
              <w:t xml:space="preserve">Table 18: Results of the univariate assessment of operating flow rate.</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Setting</w:t>
                  </w:r>
                </w:p>
              </w:tc>
              <w:tc>
                <w:tcPr/>
                <w:p>
                  <w:pPr>
                    <w:pStyle w:val="Compact"/>
                    <w:jc w:val="center"/>
                  </w:pPr>
                  <w:r>
                    <w:t xml:space="preserve">Flow rate</w:t>
                  </w:r>
                  <w:r>
                    <w:br/>
                  </w:r>
                  <w:r>
                    <w:t xml:space="preserve">(cm/hr)</w:t>
                  </w:r>
                </w:p>
              </w:tc>
              <w:tc>
                <w:tcPr/>
                <w:p>
                  <w:pPr>
                    <w:pStyle w:val="Compact"/>
                    <w:jc w:val="center"/>
                  </w:pPr>
                  <w:r>
                    <w:t xml:space="preserve">Run</w:t>
                  </w:r>
                </w:p>
              </w:tc>
              <w:tc>
                <w:tcPr/>
                <w:p>
                  <w:pPr>
                    <w:pStyle w:val="Compact"/>
                    <w:jc w:val="center"/>
                  </w:pPr>
                  <w:r>
                    <w:t xml:space="preserve">Pool host cell</w:t>
                  </w:r>
                  <w:r>
                    <w:br/>
                  </w:r>
                  <w:r>
                    <w:t xml:space="preserve">protein (ng/mg)</w:t>
                  </w:r>
                </w:p>
              </w:tc>
              <w:tc>
                <w:tcPr/>
                <w:p>
                  <w:pPr>
                    <w:pStyle w:val="Compact"/>
                    <w:jc w:val="center"/>
                  </w:pPr>
                  <w:r>
                    <w:t xml:space="preserve">Step yield</w:t>
                  </w:r>
                  <w:r>
                    <w:br/>
                  </w:r>
                  <w:r>
                    <w:t xml:space="preserve">(%)</w:t>
                  </w:r>
                </w:p>
              </w:tc>
              <w:tc>
                <w:tcPr/>
                <w:p>
                  <w:pPr>
                    <w:pStyle w:val="Compact"/>
                    <w:jc w:val="center"/>
                  </w:pPr>
                  <w:r>
                    <w:t xml:space="preserve">XMuLV LRF</w:t>
                  </w:r>
                  <w:r>
                    <w:br/>
                  </w:r>
                  <w:r>
                    <w:t xml:space="preserve">(log10)</w:t>
                  </w:r>
                </w:p>
              </w:tc>
              <w:tc>
                <w:tcPr/>
                <w:p>
                  <w:pPr>
                    <w:pStyle w:val="Compact"/>
                    <w:jc w:val="center"/>
                  </w:pPr>
                  <w:r>
                    <w:t xml:space="preserve">MVM LRF</w:t>
                  </w:r>
                  <w:r>
                    <w:br/>
                  </w:r>
                  <w:r>
                    <w:t xml:space="preserve">(log10)</w:t>
                  </w:r>
                </w:p>
              </w:tc>
            </w:tr>
            <w:tr>
              <w:tc>
                <w:tcPr>
                  <w:vMerge w:val="restart"/>
                </w:tcPr>
                <w:p>
                  <w:pPr>
                    <w:pStyle w:val="Compact"/>
                    <w:jc w:val="center"/>
                  </w:pPr>
                  <w:r>
                    <w:t xml:space="preserve">Lower end</w:t>
                  </w:r>
                </w:p>
              </w:tc>
              <w:tc>
                <w:tcPr>
                  <w:vMerge w:val="restart"/>
                </w:tcPr>
                <w:p>
                  <w:pPr>
                    <w:pStyle w:val="Compact"/>
                    <w:jc w:val="center"/>
                  </w:pPr>
                  <w:r>
                    <w:t xml:space="preserve">150</w:t>
                  </w:r>
                </w:p>
              </w:tc>
              <w:tc>
                <w:tcPr/>
                <w:p>
                  <w:pPr>
                    <w:pStyle w:val="Compact"/>
                    <w:jc w:val="center"/>
                  </w:pPr>
                  <w:r>
                    <w:t xml:space="preserve">1</w:t>
                  </w:r>
                </w:p>
              </w:tc>
              <w:tc>
                <w:tcPr/>
                <w:p>
                  <w:pPr>
                    <w:pStyle w:val="Compact"/>
                    <w:jc w:val="center"/>
                  </w:pPr>
                  <w:r>
                    <w:t xml:space="preserve">19.2</w:t>
                  </w:r>
                </w:p>
              </w:tc>
              <w:tc>
                <w:tcPr/>
                <w:p>
                  <w:pPr>
                    <w:pStyle w:val="Compact"/>
                    <w:jc w:val="center"/>
                  </w:pPr>
                  <w:r>
                    <w:t xml:space="preserve">96.8</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15.8</w:t>
                  </w:r>
                </w:p>
              </w:tc>
              <w:tc>
                <w:tcPr/>
                <w:p>
                  <w:pPr>
                    <w:pStyle w:val="Compact"/>
                    <w:jc w:val="center"/>
                  </w:pPr>
                  <w:r>
                    <w:t xml:space="preserve">97.7</w:t>
                  </w:r>
                </w:p>
              </w:tc>
              <w:tc>
                <w:tcPr/>
                <w:p>
                  <w:pPr>
                    <w:pStyle w:val="Compact"/>
                    <w:jc w:val="center"/>
                  </w:pPr>
                  <w:r>
                    <w:t xml:space="preserve">n.t.</w:t>
                  </w:r>
                </w:p>
              </w:tc>
              <w:tc>
                <w:tcPr/>
                <w:p>
                  <w:pPr>
                    <w:pStyle w:val="Compact"/>
                    <w:jc w:val="center"/>
                  </w:pPr>
                  <w:r>
                    <w:t xml:space="preserve">n.t.</w:t>
                  </w:r>
                </w:p>
              </w:tc>
            </w:tr>
            <w:tr>
              <w:tc>
                <w:tcPr>
                  <w:vMerge w:val="restart"/>
                </w:tcPr>
                <w:p>
                  <w:pPr>
                    <w:pStyle w:val="Compact"/>
                    <w:jc w:val="center"/>
                  </w:pPr>
                  <w:r>
                    <w:t xml:space="preserve">Upper end</w:t>
                  </w:r>
                </w:p>
              </w:tc>
              <w:tc>
                <w:tcPr>
                  <w:vMerge w:val="restart"/>
                </w:tcPr>
                <w:p>
                  <w:pPr>
                    <w:pStyle w:val="Compact"/>
                    <w:jc w:val="center"/>
                  </w:pPr>
                  <w:r>
                    <w:t xml:space="preserve">450</w:t>
                  </w:r>
                </w:p>
              </w:tc>
              <w:tc>
                <w:tcPr/>
                <w:p>
                  <w:pPr>
                    <w:pStyle w:val="Compact"/>
                    <w:jc w:val="center"/>
                  </w:pPr>
                  <w:r>
                    <w:t xml:space="preserve">1</w:t>
                  </w:r>
                </w:p>
              </w:tc>
              <w:tc>
                <w:tcPr/>
                <w:p>
                  <w:pPr>
                    <w:pStyle w:val="Compact"/>
                    <w:jc w:val="center"/>
                  </w:pPr>
                  <w:r>
                    <w:t xml:space="preserve">9.9</w:t>
                  </w:r>
                </w:p>
              </w:tc>
              <w:tc>
                <w:tcPr/>
                <w:p>
                  <w:pPr>
                    <w:pStyle w:val="Compact"/>
                    <w:jc w:val="center"/>
                  </w:pPr>
                  <w:r>
                    <w:t xml:space="preserve">98.5</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14.3</w:t>
                  </w:r>
                </w:p>
              </w:tc>
              <w:tc>
                <w:tcPr/>
                <w:p>
                  <w:pPr>
                    <w:pStyle w:val="Compact"/>
                    <w:jc w:val="center"/>
                  </w:pPr>
                  <w:r>
                    <w:t xml:space="preserve">99.5</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3 (spiked)</w:t>
                  </w:r>
                </w:p>
              </w:tc>
              <w:tc>
                <w:tcPr/>
                <w:p>
                  <w:pPr>
                    <w:pStyle w:val="Compact"/>
                    <w:jc w:val="center"/>
                  </w:pPr>
                  <w:r>
                    <w:t xml:space="preserve">n.t.</w:t>
                  </w:r>
                </w:p>
              </w:tc>
              <w:tc>
                <w:tcPr/>
                <w:p>
                  <w:pPr>
                    <w:pStyle w:val="Compact"/>
                    <w:jc w:val="center"/>
                  </w:pPr>
                  <w:r>
                    <w:t xml:space="preserve">n.t.</w:t>
                  </w:r>
                </w:p>
              </w:tc>
              <w:tc>
                <w:tcPr/>
                <w:p>
                  <w:pPr>
                    <w:pStyle w:val="Compact"/>
                    <w:jc w:val="center"/>
                  </w:pPr>
                  <w:r>
                    <w:t xml:space="preserve">7.06</w:t>
                  </w:r>
                </w:p>
              </w:tc>
              <w:tc>
                <w:tcPr/>
                <w:p>
                  <w:pPr>
                    <w:pStyle w:val="Compact"/>
                    <w:jc w:val="center"/>
                  </w:pPr>
                  <w:r>
                    <w:t xml:space="preserve">5.02</w:t>
                  </w:r>
                </w:p>
              </w:tc>
            </w:tr>
            <w:tr>
              <w:tc>
                <w:tcPr>
                  <w:vMerge w:val="restart"/>
                </w:tcPr>
                <w:p>
                  <w:pPr>
                    <w:pStyle w:val="Compact"/>
                    <w:jc w:val="center"/>
                  </w:pPr>
                  <w:r>
                    <w:t xml:space="preserve">Set-point reference</w:t>
                  </w:r>
                  <w:r>
                    <w:rPr>
                      <w:vertAlign w:val="superscript"/>
                    </w:rPr>
                    <w:t xml:space="preserve">a)</w:t>
                  </w:r>
                </w:p>
              </w:tc>
              <w:tc>
                <w:tcPr>
                  <w:vMerge w:val="restart"/>
                </w:tcPr>
                <w:p>
                  <w:pPr>
                    <w:pStyle w:val="Compact"/>
                    <w:jc w:val="center"/>
                  </w:pPr>
                  <w:r>
                    <w:t xml:space="preserve">300</w:t>
                  </w:r>
                </w:p>
              </w:tc>
              <w:tc>
                <w:tcPr/>
                <w:p>
                  <w:pPr>
                    <w:pStyle w:val="Compact"/>
                    <w:jc w:val="center"/>
                  </w:pPr>
                  <w:r>
                    <w:t xml:space="preserve">1</w:t>
                  </w:r>
                </w:p>
              </w:tc>
              <w:tc>
                <w:tcPr/>
                <w:p>
                  <w:pPr>
                    <w:pStyle w:val="Compact"/>
                    <w:jc w:val="center"/>
                  </w:pPr>
                  <w:r>
                    <w:t xml:space="preserve">17.0</w:t>
                  </w:r>
                </w:p>
              </w:tc>
              <w:tc>
                <w:tcPr/>
                <w:p>
                  <w:pPr>
                    <w:pStyle w:val="Compact"/>
                    <w:jc w:val="center"/>
                  </w:pPr>
                  <w:r>
                    <w:t xml:space="preserve">99.5</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2</w:t>
                  </w:r>
                </w:p>
              </w:tc>
              <w:tc>
                <w:tcPr/>
                <w:p>
                  <w:pPr>
                    <w:pStyle w:val="Compact"/>
                    <w:jc w:val="center"/>
                  </w:pPr>
                  <w:r>
                    <w:t xml:space="preserve">11.9</w:t>
                  </w:r>
                </w:p>
              </w:tc>
              <w:tc>
                <w:tcPr/>
                <w:p>
                  <w:pPr>
                    <w:pStyle w:val="Compact"/>
                    <w:jc w:val="center"/>
                  </w:pPr>
                  <w:r>
                    <w:t xml:space="preserve">96.1</w:t>
                  </w:r>
                </w:p>
              </w:tc>
              <w:tc>
                <w:tcPr/>
                <w:p>
                  <w:pPr>
                    <w:pStyle w:val="Compact"/>
                    <w:jc w:val="center"/>
                  </w:pPr>
                  <w:r>
                    <w:t xml:space="preserve">n.t.</w:t>
                  </w:r>
                </w:p>
              </w:tc>
              <w:tc>
                <w:tcPr/>
                <w:p>
                  <w:pPr>
                    <w:pStyle w:val="Compact"/>
                    <w:jc w:val="center"/>
                  </w:pPr>
                  <w:r>
                    <w:t xml:space="preserve">n.t.</w:t>
                  </w:r>
                </w:p>
              </w:tc>
            </w:tr>
            <w:tr>
              <w:tc>
                <w:tcPr>
                  <w:gridSpan w:val="1"/>
                  <w:vMerge w:val="continue"/>
                </w:tcPr>
                <w:p>
                  <w:pPr/>
                </w:p>
              </w:tc>
              <w:tc>
                <w:tcPr>
                  <w:gridSpan w:val="1"/>
                  <w:vMerge w:val="continue"/>
                </w:tcPr>
                <w:p>
                  <w:pPr/>
                </w:p>
              </w:tc>
              <w:tc>
                <w:tcPr/>
                <w:p>
                  <w:pPr>
                    <w:pStyle w:val="Compact"/>
                    <w:jc w:val="center"/>
                  </w:pPr>
                  <w:r>
                    <w:t xml:space="preserve">3</w:t>
                  </w:r>
                </w:p>
              </w:tc>
              <w:tc>
                <w:tcPr/>
                <w:p>
                  <w:pPr>
                    <w:pStyle w:val="Compact"/>
                    <w:jc w:val="center"/>
                  </w:pPr>
                  <w:r>
                    <w:t xml:space="preserve">14.2</w:t>
                  </w:r>
                </w:p>
              </w:tc>
              <w:tc>
                <w:tcPr/>
                <w:p>
                  <w:pPr>
                    <w:pStyle w:val="Compact"/>
                    <w:jc w:val="center"/>
                  </w:pPr>
                  <w:r>
                    <w:t xml:space="preserve">98.8</w:t>
                  </w:r>
                </w:p>
              </w:tc>
              <w:tc>
                <w:tcPr/>
                <w:p>
                  <w:pPr>
                    <w:pStyle w:val="Compact"/>
                    <w:jc w:val="center"/>
                  </w:pPr>
                  <w:r>
                    <w:t xml:space="preserve">n.t.</w:t>
                  </w:r>
                </w:p>
              </w:tc>
              <w:tc>
                <w:tcPr/>
                <w:p>
                  <w:pPr>
                    <w:pStyle w:val="Compact"/>
                    <w:jc w:val="center"/>
                  </w:pPr>
                  <w:r>
                    <w:t xml:space="preserve">n.t.</w:t>
                  </w:r>
                </w:p>
              </w:tc>
            </w:tr>
            <w:tr>
              <w:tc>
                <w:tcPr>
                  <w:gridSpan w:val="7"/>
                </w:tcPr>
                <w:p>
                  <w:pPr>
                    <w:pStyle w:val="Compact"/>
                    <w:jc w:val="center"/>
                  </w:pPr>
                  <w:r>
                    <w:rPr>
                      <w:vertAlign w:val="superscript"/>
                    </w:rPr>
                    <w:t xml:space="preserve">a)</w:t>
                  </w:r>
                  <w:r>
                    <w:t xml:space="preserve"> </w:t>
                  </w:r>
                  <w:r>
                    <w:t xml:space="preserve">Scale-down runs at set-point of the qualification study S-AEX-SDM, 2026-02-04 to 2026-02-13, which serve as the reference in place of a run at the centre of the range.</w:t>
                  </w:r>
                </w:p>
              </w:tc>
            </w:tr>
            <w:tr>
              <w:tc>
                <w:tcPr>
                  <w:gridSpan w:val="7"/>
                </w:tcPr>
                <w:p>
                  <w:pPr>
                    <w:pStyle w:val="Compact"/>
                    <w:jc w:val="center"/>
                  </w:pPr>
                  <w:r>
                    <w:t xml:space="preserve">Pool host cell protein at manufacturing scale, the scale-down result divided by the offset of the scale-down model. n.t., not tested. The spiked run measured only the LRFs.</w:t>
                  </w:r>
                </w:p>
              </w:tc>
            </w:tr>
          </w:tbl>
          <w:bookmarkEnd w:id="97"/>
          <w:p/>
        </w:tc>
      </w:tr>
    </w:tbl>
    <w:p>
      <w:pPr>
        <w:pStyle w:val="BodyText"/>
      </w:pPr>
      <w:r>
        <w:t xml:space="preserve">The spiked run at the upper end, the shortest residence time in the range, gave an XMuLV LRF of 7.06 log10 and an MVM LRF of 5.02 log10, above the claims of 5.5 and 4 log10. Both lie inside the 95 % prediction interval of a single run at the set-point from the response-surface model (5.93 to 7.19 and 4.25 to 5.44 log10), whose runs were made at the set-point flow rate. For pool host cell protein and step yield the data show no effect of flow rate within the range studied, at the precision of these runs. For viral clearance the evidence is one spiked run at 450 cm/hr, and the lower end of the range was not spiked. The parameter was not carried into a designed study (PCP-008 §6.4). Fragments, residual DNA and leached Protein A were not measured in this study.</w:t>
      </w:r>
    </w:p>
    <w:bookmarkEnd w:id="98"/>
    <w:bookmarkStart w:id="100" w:name="sec-dna"/>
    <w:p>
      <w:pPr>
        <w:pStyle w:val="Heading2"/>
      </w:pPr>
      <w:r>
        <w:t xml:space="preserve">5.5 Residual DNA and leached Protein A</w:t>
      </w:r>
    </w:p>
    <w:p>
      <w:pPr>
        <w:pStyle w:val="FirstParagraph"/>
      </w:pPr>
      <w:hyperlink w:anchor="tbl-dna">
        <w:r>
          <w:rPr>
            <w:rStyle w:val="Hyperlink"/>
          </w:rPr>
          <w:t xml:space="preserve">Table 19</w:t>
        </w:r>
      </w:hyperlink>
      <w:r>
        <w:t xml:space="preserve"> </w:t>
      </w:r>
      <w:r>
        <w:t xml:space="preserve">gives the residual DNA and leached Protein A results of the planned response-surface runs. Every pool result of both attributes was below its LOQ, in every planned response-surface run and in every qualification run at both scales. The loads carried 16.8 to 30.7 pg/mg of DNA and 0.326 to 0.418 ppm of leached Protein A. The clearance factor of each run is therefore more than its load divided by the LOQ. Because no pool result was quantified, a movement of either attribute with a parameter could not be detected.</w:t>
      </w:r>
    </w:p>
    <w:tbl>
      <w:tblPr>
        <w:tblStyle w:val="Table"/>
        <w:tblW w:type="pct" w:w="5000"/>
        <w:tblLayout w:type="fixed"/>
        <w:tblLook w:firstRow="0" w:lastRow="0" w:firstColumn="0" w:lastColumn="0" w:noHBand="0" w:noVBand="0" w:val="0000"/>
      </w:tblPr>
      <w:tblGrid>
        <w:gridCol w:w="7920"/>
      </w:tblGrid>
      <w:tr>
        <w:tc>
          <w:tcPr/>
          <w:bookmarkStart w:id="99" w:name="tbl-dna"/>
          <w:p>
            <w:pPr>
              <w:jc w:val="center"/>
            </w:pPr>
            <w:pPr>
              <w:jc w:val="start"/>
              <w:spacing w:before="200"/>
              <w:pStyle w:val="ImageCaption"/>
            </w:pPr>
            <w:r>
              <w:t xml:space="preserve">Table 19: Residual DNA and leached Protein A in the planned response-surface runs.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Attribute</w:t>
                  </w:r>
                </w:p>
              </w:tc>
              <w:tc>
                <w:tcPr/>
                <w:p>
                  <w:pPr>
                    <w:pStyle w:val="Compact"/>
                    <w:jc w:val="center"/>
                  </w:pPr>
                  <w:r>
                    <w:t xml:space="preserve">Load, range</w:t>
                  </w:r>
                  <w:r>
                    <w:br/>
                  </w:r>
                  <w:r>
                    <w:t xml:space="preserve">over runs</w:t>
                  </w:r>
                </w:p>
              </w:tc>
              <w:tc>
                <w:tcPr/>
                <w:p>
                  <w:pPr>
                    <w:pStyle w:val="Compact"/>
                    <w:jc w:val="center"/>
                  </w:pPr>
                  <w:r>
                    <w:t xml:space="preserve">Pool</w:t>
                  </w:r>
                </w:p>
              </w:tc>
              <w:tc>
                <w:tcPr/>
                <w:p>
                  <w:pPr>
                    <w:pStyle w:val="Compact"/>
                    <w:jc w:val="center"/>
                  </w:pPr>
                  <w:r>
                    <w:t xml:space="preserve">LOQ</w:t>
                  </w:r>
                </w:p>
              </w:tc>
              <w:tc>
                <w:tcPr/>
                <w:p>
                  <w:pPr>
                    <w:pStyle w:val="Compact"/>
                    <w:jc w:val="center"/>
                  </w:pPr>
                  <w:r>
                    <w:t xml:space="preserve">Clearance factor,</w:t>
                  </w:r>
                  <w:r>
                    <w:br/>
                  </w:r>
                  <w:r>
                    <w:t xml:space="preserve">at least</w:t>
                  </w:r>
                </w:p>
              </w:tc>
              <w:tc>
                <w:tcPr/>
                <w:p>
                  <w:pPr>
                    <w:pStyle w:val="Compact"/>
                    <w:jc w:val="center"/>
                  </w:pPr>
                  <w:r>
                    <w:t xml:space="preserve">Clearance relied on</w:t>
                  </w:r>
                  <w:r>
                    <w:br/>
                  </w:r>
                  <w:r>
                    <w:t xml:space="preserve">elsewhere</w:t>
                  </w:r>
                </w:p>
              </w:tc>
            </w:tr>
            <w:tr>
              <w:tc>
                <w:tcPr/>
                <w:p>
                  <w:pPr>
                    <w:pStyle w:val="Compact"/>
                    <w:jc w:val="center"/>
                  </w:pPr>
                  <w:r>
                    <w:t xml:space="preserve">Residual DNA (pg/mg)</w:t>
                  </w:r>
                </w:p>
              </w:tc>
              <w:tc>
                <w:tcPr/>
                <w:p>
                  <w:pPr>
                    <w:pStyle w:val="Compact"/>
                    <w:jc w:val="center"/>
                  </w:pPr>
                  <w:r>
                    <w:t xml:space="preserve">16.8 to 30.7</w:t>
                  </w:r>
                </w:p>
              </w:tc>
              <w:tc>
                <w:tcPr/>
                <w:p>
                  <w:pPr>
                    <w:pStyle w:val="Compact"/>
                    <w:jc w:val="center"/>
                  </w:pPr>
                  <w:r>
                    <w:t xml:space="preserve">&lt; LOQ in all 28 runs</w:t>
                  </w:r>
                </w:p>
              </w:tc>
              <w:tc>
                <w:tcPr/>
                <w:p>
                  <w:pPr>
                    <w:pStyle w:val="Compact"/>
                    <w:jc w:val="center"/>
                  </w:pPr>
                  <w:r>
                    <w:t xml:space="preserve">1</w:t>
                  </w:r>
                </w:p>
              </w:tc>
              <w:tc>
                <w:tcPr/>
                <w:p>
                  <w:pPr>
                    <w:pStyle w:val="Compact"/>
                    <w:jc w:val="center"/>
                  </w:pPr>
                  <w:r>
                    <w:t xml:space="preserve">&gt; 16.8 to &gt; 30.7</w:t>
                  </w:r>
                </w:p>
              </w:tc>
              <w:tc>
                <w:tcPr/>
                <w:p>
                  <w:pPr>
                    <w:pStyle w:val="Compact"/>
                    <w:jc w:val="center"/>
                  </w:pPr>
                  <w:r>
                    <w:t xml:space="preserve">Integrated process model, 5 log10</w:t>
                  </w:r>
                </w:p>
              </w:tc>
            </w:tr>
            <w:tr>
              <w:tc>
                <w:tcPr/>
                <w:p>
                  <w:pPr>
                    <w:pStyle w:val="Compact"/>
                    <w:jc w:val="center"/>
                  </w:pPr>
                  <w:r>
                    <w:t xml:space="preserve">Leached Protein A (ppm)</w:t>
                  </w:r>
                </w:p>
              </w:tc>
              <w:tc>
                <w:tcPr/>
                <w:p>
                  <w:pPr>
                    <w:pStyle w:val="Compact"/>
                    <w:jc w:val="center"/>
                  </w:pPr>
                  <w:r>
                    <w:t xml:space="preserve">0.326 to 0.418</w:t>
                  </w:r>
                </w:p>
              </w:tc>
              <w:tc>
                <w:tcPr/>
                <w:p>
                  <w:pPr>
                    <w:pStyle w:val="Compact"/>
                    <w:jc w:val="center"/>
                  </w:pPr>
                  <w:r>
                    <w:t xml:space="preserve">&lt; LOQ in all 28 runs</w:t>
                  </w:r>
                </w:p>
              </w:tc>
              <w:tc>
                <w:tcPr/>
                <w:p>
                  <w:pPr>
                    <w:pStyle w:val="Compact"/>
                    <w:jc w:val="center"/>
                  </w:pPr>
                  <w:r>
                    <w:t xml:space="preserve">0.25</w:t>
                  </w:r>
                </w:p>
              </w:tc>
              <w:tc>
                <w:tcPr/>
                <w:p>
                  <w:pPr>
                    <w:pStyle w:val="Compact"/>
                    <w:jc w:val="center"/>
                  </w:pPr>
                  <w:r>
                    <w:t xml:space="preserve">&gt; 1.30 to &gt; 1.67</w:t>
                  </w:r>
                </w:p>
              </w:tc>
              <w:tc>
                <w:tcPr/>
                <w:p>
                  <w:pPr>
                    <w:pStyle w:val="Compact"/>
                    <w:jc w:val="center"/>
                  </w:pPr>
                  <w:r>
                    <w:t xml:space="preserve">Protein A criterion, platform worst case 10-fold</w:t>
                  </w:r>
                </w:p>
              </w:tc>
            </w:tr>
            <w:tr>
              <w:tc>
                <w:tcPr>
                  <w:gridSpan w:val="6"/>
                </w:tcPr>
                <w:p>
                  <w:pPr>
                    <w:pStyle w:val="Compact"/>
                    <w:jc w:val="center"/>
                  </w:pPr>
                  <w:r>
                    <w:t xml:space="preserve">Residual DNA by qPCR (AMV-3014) and leached Protein A by ELISA (AMV-3016). The lowest clearance factor each run can show is its load divided by the LOQ.</w:t>
                  </w:r>
                </w:p>
              </w:tc>
            </w:tr>
          </w:tbl>
          <w:bookmarkEnd w:id="99"/>
          <w:p/>
        </w:tc>
      </w:tr>
    </w:tbl>
    <w:p>
      <w:pPr>
        <w:pStyle w:val="BodyText"/>
      </w:pPr>
      <w:r>
        <w:t xml:space="preserve">These lower bounds are set by the assays, not by the step. For residual DNA, the LOQ of the qPCR (1 pg/mg) corresponds to 0.7 ng per dose of 700 mg, the A-Mab weekly dose of 10 mg/kg for a reference adult of 70 kg, and the body weight is an assumption of this campaign. That is 700 times the drug substance criterion of 0.001 ng/dose, so a pool result below the LOQ cannot show that criterion met. The criterion is the acceptable range that the A-Mab case study claims for DNA (its Table 2.17, pp. 47–48). It is set far below the limit of 10 ng per dose that the WHO recommends and the case study cites</w:t>
      </w:r>
      <w:r>
        <w:t xml:space="preserve"> </w:t>
      </w:r>
      <w:r>
        <w:t xml:space="preserve">(CMC Biotech Working Group 2009)</w:t>
      </w:r>
      <w:r>
        <w:t xml:space="preserve">. The integrated process model assumes an anion exchange DNA log reduction of 5 log10 (</w:t>
      </w:r>
      <w:hyperlink w:anchor="sec-capability">
        <w:r>
          <w:rPr>
            <w:rStyle w:val="Hyperlink"/>
          </w:rPr>
          <w:t xml:space="preserve">Section 8</w:t>
        </w:r>
      </w:hyperlink>
      <w:r>
        <w:t xml:space="preserve">). This study shows more than 1.22 to more than 1.49 log10. For leached Protein A, the Protein A criterion relies on a platform worst case of 10-fold for this step (PCMP-001 §7.3). A load that carried less than twice the LOQ cannot confirm that value, and the platform value stands, because leached Protein A is not a response of the designs (PCMP-001 §7.5).</w:t>
      </w:r>
    </w:p>
    <w:bookmarkEnd w:id="100"/>
    <w:bookmarkStart w:id="101" w:name="sec-mechanism"/>
    <w:p>
      <w:pPr>
        <w:pStyle w:val="Heading2"/>
      </w:pPr>
      <w:r>
        <w:t xml:space="preserve">5.6 Mechanistic interpretation</w:t>
      </w:r>
    </w:p>
    <w:p>
      <w:pPr>
        <w:pStyle w:val="FirstParagraph"/>
      </w:pPr>
      <w:r>
        <w:t xml:space="preserve">Load pH and Equil/Wash-1 conductivity act on pool host cell protein, and load pH and load conductivity act on the LRFs, in the directions that charge-based binding predicts. A higher load pH lies above the isoelectric point of more of the host cell proteins, so more of them carry a net negative charge. It also makes the virus particles more negative, so both bind more strongly. Pool host cell protein falls and both LRFs rise. A higher Equil/Wash-1 conductivity shields the charge of the weakly bound host cell proteins and lets them through.</w:t>
      </w:r>
    </w:p>
    <w:p>
      <w:pPr>
        <w:pStyle w:val="BodyText"/>
      </w:pPr>
      <w:r>
        <w:t xml:space="preserve">The log scale of the host cell protein model is the form a purification step gives. Each parameter changes the share of host cell protein that passes, so its effect in ng/mg is larger where the level is higher. That reproduces the dependence of the conductivity effect on load pH that PCP-008 §4.1 expected. In ng/mg, Equil/Wash-1 conductivity raises pool host cell protein more at the low end of load pH than at the high end. On the log scale the response-surface data show no further interaction, and the screening data do (</w:t>
      </w:r>
      <w:hyperlink w:anchor="sec-near">
        <w:r>
          <w:rPr>
            <w:rStyle w:val="Hyperlink"/>
          </w:rPr>
          <w:t xml:space="preserve">Section 5.3.4</w:t>
        </w:r>
      </w:hyperlink>
      <w:r>
        <w:t xml:space="preserve">).</w:t>
      </w:r>
    </w:p>
    <w:p>
      <w:pPr>
        <w:pStyle w:val="BodyText"/>
      </w:pPr>
      <w:r>
        <w:t xml:space="preserve">Two results do not follow the expectations of</w:t>
      </w:r>
      <w:r>
        <w:t xml:space="preserve"> </w:t>
      </w:r>
      <w:hyperlink w:anchor="sec-platform">
        <w:r>
          <w:rPr>
            <w:rStyle w:val="Hyperlink"/>
          </w:rPr>
          <w:t xml:space="preserve">Section 2.1</w:t>
        </w:r>
      </w:hyperlink>
      <w:r>
        <w:t xml:space="preserve">. Load conductivity acts on both LRFs and not detectably on host cell protein, and Equil/Wash-1 conductivity acts on host cell protein and not detectably on either LRF. The mechanism expected each conductivity to act on both kinds of impurity, and it does not explain this split. One explanation consistent with the data, which this study did not test, is that a virus particle bound at many points of its surface is not released by the salt of the wash. Its capture would then be decided during the load, while weakly bound host cell proteins are displaced during the chase.</w:t>
      </w:r>
    </w:p>
    <w:p>
      <w:pPr>
        <w:pStyle w:val="BodyText"/>
      </w:pPr>
      <w:r>
        <w:t xml:space="preserve">Protein load had no detected effect on pool host cell protein, as expected for an impurity mass below the capacity of the ligand. The selected model of step yield contains no term, as expected for a step in which the antibody does not bind within the load pH range studied.</w:t>
      </w:r>
    </w:p>
    <w:p>
      <w:pPr>
        <w:pStyle w:val="BodyText"/>
      </w:pPr>
      <w:r>
        <w:t xml:space="preserve">The invalidated first execution shows how the step responds to a load that is not representative. On a deamidated load, pool host cell protein rose steeply with protein load at high Equil/Wash-1 conductivity, and that interaction is absent from the requalified data (</w:t>
      </w:r>
      <w:hyperlink w:anchor="sec-dev01">
        <w:r>
          <w:rPr>
            <w:rStyle w:val="Hyperlink"/>
          </w:rPr>
          <w:t xml:space="preserve">Section 13.1.1</w:t>
        </w:r>
      </w:hyperlink>
      <w:r>
        <w:t xml:space="preserve">). PCP-008 §12 expected that a load with more acidic variants carries antibody whose net charge at the load pH is close to neutral, part of which can bind. Bound antibody would occupy ligand that the host cell proteins need, and the salt of the wash would displace the weakly bound proteins first. Bound antibody would also lower the step yield. In the invalidated execution the runs at high protein load and high Equil/Wash-1 conductivity gave a mean step yield of 96.2 % against 96.4 % for the other screening runs, and 97.5 % against 97.0 % for the other response-surface runs. No term of either model of step yield was significant in that execution (lowest p = 0.150). The data therefore show no loss of yield where the interaction appeared, and this study did not test the explanation further.</w:t>
      </w:r>
    </w:p>
    <w:bookmarkEnd w:id="101"/>
    <w:bookmarkEnd w:id="102"/>
    <w:bookmarkStart w:id="103" w:name="sec-design-space"/>
    <w:p>
      <w:pPr>
        <w:pStyle w:val="Heading1"/>
      </w:pPr>
      <w:r>
        <w:t xml:space="preserve">6. Design space</w:t>
      </w:r>
    </w:p>
    <w:p>
      <w:pPr>
        <w:pStyle w:val="FirstParagraph"/>
      </w:pPr>
      <w:r>
        <w:t xml:space="preserve">The design space is the region of the four multivariate parameters in which every output with a criterion meets it at once. It is drawn on the single-batch limit for pool host cell protein and fragments and on the mean prediction for viral clearance (PCMP-001 §6.2). On the grid of 11 levels per parameter it covers 95.0 % of the characterized region. MVM clearance excludes 4.96 % of the grid and XMuLV clearance 1.73 %, and pool host cell protein and fragments exclude no grid point. With every output on its mean prediction, which serves as a comparison only, the fraction is the same, because the quality attributes exclude nothing on either basis.</w:t>
      </w:r>
    </w:p>
    <w:p>
      <w:pPr>
        <w:pStyle w:val="BodyText"/>
      </w:pPr>
      <w:r>
        <w:t xml:space="preserve">The excluded region lies at low load pH and high load conductivity. On the mean prediction at the lowest load pH studied, 7.2, the MVM claim is not met above a load conductivity of 6.85 mS/cm, whatever the protein load and the Equil/Wash-1 conductivity, neither of which enters the MVM model. At the same load pH and the highest protein load studied, 300 g/L resin, the XMuLV claim is not met above 6.72 mS/cm.</w:t>
      </w:r>
    </w:p>
    <w:p>
      <w:pPr>
        <w:pStyle w:val="BodyText"/>
      </w:pPr>
      <w:r>
        <w:t xml:space="preserve">The whole NOR lies inside the design space, because every combination of NOR low, set-point and NOR high meets every criterion on its decision statistic (</w:t>
      </w:r>
      <w:hyperlink w:anchor="tbl-criteria-aex">
        <w:r>
          <w:rPr>
            <w:rStyle w:val="Hyperlink"/>
          </w:rPr>
          <w:t xml:space="preserve">Table 21</w:t>
        </w:r>
      </w:hyperlink>
      <w:r>
        <w:t xml:space="preserve">). The design space in turn lies inside the characterized region, the knowledge space of this study. Within the NOR a single run can still fall below a viral claim. At the least favourable combination the lower end of the 95 % prediction interval of a single run is 5.20 log10 for XMuLV and 3.63 log10 for MVM. Viral clearance is judged on the mean (</w:t>
      </w:r>
      <w:hyperlink w:anchor="sec-stats">
        <w:r>
          <w:rPr>
            <w:rStyle w:val="Hyperlink"/>
          </w:rPr>
          <w:t xml:space="preserve">Section 3.5</w:t>
        </w:r>
      </w:hyperlink>
      <w:r>
        <w:t xml:space="preserve">), and these single-run limits are given for information.</w:t>
      </w:r>
    </w:p>
    <w:p>
      <w:pPr>
        <w:pStyle w:val="BodyText"/>
      </w:pPr>
      <w:r>
        <w:t xml:space="preserve">The design space is a model of the scale-down data. It is not confirmed at scale at its edges, and Stage 2 confirms performance inside the NOR only. Movement within the design space is not a change under ICH Q8(R2), and any planned movement is assessed under the change management of the pharmaceutical quality system</w:t>
      </w:r>
      <w:r>
        <w:t xml:space="preserve"> </w:t>
      </w:r>
      <w:r>
        <w:t xml:space="preserve">(International Council for Harmonisation 2009, 2008)</w:t>
      </w:r>
      <w:r>
        <w:t xml:space="preserve">.</w:t>
      </w:r>
    </w:p>
    <w:bookmarkEnd w:id="103"/>
    <w:bookmarkStart w:id="126" w:name="sec-par"/>
    <w:p>
      <w:pPr>
        <w:pStyle w:val="Heading1"/>
      </w:pPr>
      <w:r>
        <w:t xml:space="preserve">7. Proven acceptable ranges</w:t>
      </w:r>
    </w:p>
    <w:bookmarkStart w:id="105" w:name="sec-par-basis"/>
    <w:p>
      <w:pPr>
        <w:pStyle w:val="Heading2"/>
      </w:pPr>
      <w:r>
        <w:t xml:space="preserve">7.1 Acceptance basis</w:t>
      </w:r>
    </w:p>
    <w:p>
      <w:pPr>
        <w:pStyle w:val="FirstParagraph"/>
      </w:pPr>
      <w:r>
        <w:t xml:space="preserve">Each output is judged against its intermediate acceptance criterion, derived in PCMP-001 §7.3 from the drug substance criterion and the platform worst case of every downstream step, with no margin (</w:t>
      </w:r>
      <w:hyperlink w:anchor="tbl-iac">
        <w:r>
          <w:rPr>
            <w:rStyle w:val="Hyperlink"/>
          </w:rPr>
          <w:t xml:space="preserve">Table 20</w:t>
        </w:r>
      </w:hyperlink>
      <w:r>
        <w:t xml:space="preserve">). No step after anion exchange changes host cell protein or fragments on the platform, so both carry their drug substance criteria, ≤ 100 ng/mg and ≤ 2 %. For the two viruses the step is held to its platform claim, the log reduction it delivered on the platform. The XMuLV claims of low-pH viral inactivation, anion exchange and virus filtration sum to 16.72 log10 against a cumulative requirement of 16.7 log10. The MVM claims of anion exchange and virus filtration sum to 8.62 log10 against 8.6 log10 (PCMP-001 §7.4). A shortfall of this step therefore cannot be made up by another step. The derivation uses no data of these studies, and every criterion of this step is in force at its a priori value.</w:t>
      </w:r>
    </w:p>
    <w:tbl>
      <w:tblPr>
        <w:tblStyle w:val="Table"/>
        <w:tblW w:type="pct" w:w="5000"/>
        <w:tblLayout w:type="fixed"/>
        <w:tblLook w:firstRow="0" w:lastRow="0" w:firstColumn="0" w:lastColumn="0" w:noHBand="0" w:noVBand="0" w:val="0000"/>
      </w:tblPr>
      <w:tblGrid>
        <w:gridCol w:w="7920"/>
      </w:tblGrid>
      <w:tr>
        <w:tc>
          <w:tcPr/>
          <w:bookmarkStart w:id="104" w:name="tbl-iac"/>
          <w:p>
            <w:pPr>
              <w:jc w:val="center"/>
            </w:pPr>
            <w:pPr>
              <w:jc w:val="start"/>
              <w:spacing w:before="200"/>
              <w:pStyle w:val="ImageCaption"/>
            </w:pPr>
            <w:r>
              <w:t xml:space="preserve">Table 20: Intermediate acceptance criteria for the anion exchange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100</w:t>
                  </w:r>
                </w:p>
              </w:tc>
              <w:tc>
                <w:tcPr/>
                <w:p>
                  <w:pPr>
                    <w:pStyle w:val="Compact"/>
                    <w:jc w:val="center"/>
                  </w:pPr>
                  <w:r>
                    <w:t xml:space="preserve">DS criterion</w:t>
                  </w:r>
                  <w:r>
                    <w:rPr>
                      <w:vertAlign w:val="superscript"/>
                    </w:rPr>
                    <w:t xml:space="preserve">a)</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a)</w:t>
                  </w:r>
                </w:p>
              </w:tc>
            </w:tr>
            <w:tr>
              <w:tc>
                <w:tcPr/>
                <w:p>
                  <w:pPr>
                    <w:pStyle w:val="Compact"/>
                    <w:jc w:val="center"/>
                  </w:pPr>
                  <w:r>
                    <w:t xml:space="preserve">XMuLV clearance (log10)</w:t>
                  </w:r>
                </w:p>
              </w:tc>
              <w:tc>
                <w:tcPr/>
                <w:p>
                  <w:pPr>
                    <w:pStyle w:val="Compact"/>
                    <w:jc w:val="center"/>
                  </w:pPr>
                  <w:r>
                    <w:t xml:space="preserve">≥ 16.7</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5.50</w:t>
                  </w:r>
                </w:p>
              </w:tc>
              <w:tc>
                <w:tcPr/>
                <w:p>
                  <w:pPr>
                    <w:pStyle w:val="Compact"/>
                    <w:jc w:val="center"/>
                  </w:pPr>
                  <w:r>
                    <w:t xml:space="preserve">Platform claim</w:t>
                  </w:r>
                  <w:r>
                    <w:rPr>
                      <w:vertAlign w:val="superscript"/>
                    </w:rPr>
                    <w:t xml:space="preserve">c)</w:t>
                  </w:r>
                </w:p>
              </w:tc>
            </w:tr>
            <w:tr>
              <w:tc>
                <w:tcPr/>
                <w:p>
                  <w:pPr>
                    <w:pStyle w:val="Compact"/>
                    <w:jc w:val="center"/>
                  </w:pPr>
                  <w:r>
                    <w:t xml:space="preserve">MVM clearance (log10)</w:t>
                  </w:r>
                </w:p>
              </w:tc>
              <w:tc>
                <w:tcPr/>
                <w:p>
                  <w:pPr>
                    <w:pStyle w:val="Compact"/>
                    <w:jc w:val="center"/>
                  </w:pPr>
                  <w:r>
                    <w:t xml:space="preserve">≥ 8.60</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4.00</w:t>
                  </w:r>
                </w:p>
              </w:tc>
              <w:tc>
                <w:tcPr/>
                <w:p>
                  <w:pPr>
                    <w:pStyle w:val="Compact"/>
                    <w:jc w:val="center"/>
                  </w:pPr>
                  <w:r>
                    <w:t xml:space="preserve">Platform claim</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No downstream step changes the attribute, so the drug-substance criterion applies.</w:t>
                  </w:r>
                </w:p>
              </w:tc>
            </w:tr>
            <w:tr>
              <w:tc>
                <w:tcPr>
                  <w:gridSpan w:val="6"/>
                </w:tcPr>
                <w:p>
                  <w:pPr>
                    <w:pStyle w:val="Compact"/>
                    <w:jc w:val="center"/>
                  </w:pPr>
                  <w:r>
                    <w:rPr>
                      <w:vertAlign w:val="superscript"/>
                    </w:rPr>
                    <w:t xml:space="preserve">b)</w:t>
                  </w:r>
                  <w:r>
                    <w:t xml:space="preserve"> </w:t>
                  </w:r>
                  <w:r>
                    <w:t xml:space="preserve">Cumulative requirement across the steps that clear the virus.</w:t>
                  </w:r>
                </w:p>
              </w:tc>
            </w:tr>
            <w:tr>
              <w:tc>
                <w:tcPr>
                  <w:gridSpan w:val="6"/>
                </w:tcPr>
                <w:p>
                  <w:pPr>
                    <w:pStyle w:val="Compact"/>
                    <w:jc w:val="center"/>
                  </w:pPr>
                  <w:r>
                    <w:rPr>
                      <w:vertAlign w:val="superscript"/>
                    </w:rPr>
                    <w:t xml:space="preserve">c)</w:t>
                  </w:r>
                  <w:r>
                    <w:t xml:space="preserve"> </w:t>
                  </w:r>
                  <w:r>
                    <w:t xml:space="preserve">Log reduction claimed for this step in the modular viral clearance claim.</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104"/>
          <w:p/>
        </w:tc>
      </w:tr>
    </w:tbl>
    <w:bookmarkEnd w:id="105"/>
    <w:bookmarkStart w:id="107" w:name="sec-par-results"/>
    <w:p>
      <w:pPr>
        <w:pStyle w:val="Heading2"/>
      </w:pPr>
      <w:r>
        <w:t xml:space="preserve">7.2 Outputs against their criteria</w:t>
      </w:r>
    </w:p>
    <w:p>
      <w:pPr>
        <w:pStyle w:val="FirstParagraph"/>
      </w:pPr>
      <w:hyperlink w:anchor="tbl-criteria-aex">
        <w:r>
          <w:rPr>
            <w:rStyle w:val="Hyperlink"/>
          </w:rPr>
          <w:t xml:space="preserve">Table 21</w:t>
        </w:r>
      </w:hyperlink>
      <w:r>
        <w:t xml:space="preserve"> </w:t>
      </w:r>
      <w:r>
        <w:t xml:space="preserve">sets each output against its criterion over the NOR, at manufacturing scale where an offset is known (pool host cell protein). Every output met its criterion. For pool host cell protein the upper end of the 95 % prediction interval of a single run, a one-sided 97.5 % limit, reached at most 29.4 ng/mg, which leaves a factor of 3.4 to the criterion. That of fragments reached at most 0.78 %. The mean LRF at the least favourable combination was 5.86 log10 for XMuLV and 4.24 log10 for MVM, against claims of 5.5 and 4 log10. For both viruses that combination has load pH at its NOR low (7.35) and load conductivity at its NOR high (7 mS/cm), and for XMuLV also protein load at its NOR high (280 g/L resin). Equil/Wash-1 conductivity enters neither model, and protein load does not enter the MVM model.</w:t>
      </w:r>
    </w:p>
    <w:tbl>
      <w:tblPr>
        <w:tblStyle w:val="Table"/>
        <w:tblW w:type="pct" w:w="5000"/>
        <w:tblLayout w:type="fixed"/>
        <w:tblLook w:firstRow="0" w:lastRow="0" w:firstColumn="0" w:lastColumn="0" w:noHBand="0" w:noVBand="0" w:val="0000"/>
      </w:tblPr>
      <w:tblGrid>
        <w:gridCol w:w="7920"/>
      </w:tblGrid>
      <w:tr>
        <w:tc>
          <w:tcPr/>
          <w:bookmarkStart w:id="106" w:name="tbl-criteria-aex"/>
          <w:p>
            <w:pPr>
              <w:jc w:val="center"/>
            </w:pPr>
            <w:pPr>
              <w:jc w:val="start"/>
              <w:spacing w:before="200"/>
              <w:pStyle w:val="ImageCaption"/>
            </w:pPr>
            <w:r>
              <w:t xml:space="preserve">Table 21: Anion exchange outputs against their intermediate acceptance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Criterion</w:t>
                  </w:r>
                </w:p>
              </w:tc>
              <w:tc>
                <w:tcPr>
                  <w:gridSpan w:val="2"/>
                </w:tcPr>
                <w:p>
                  <w:pPr>
                    <w:pStyle w:val="Compact"/>
                    <w:jc w:val="center"/>
                  </w:pPr>
                  <w:r>
                    <w:t xml:space="preserve">Mean predicted by the</w:t>
                  </w:r>
                  <w:r>
                    <w:br/>
                  </w:r>
                  <w:r>
                    <w:t xml:space="preserve">response-surface model</w:t>
                  </w:r>
                  <w:r>
                    <w:rPr>
                      <w:vertAlign w:val="superscript"/>
                    </w:rPr>
                    <w:t xml:space="preserve">a)</w:t>
                  </w:r>
                </w:p>
              </w:tc>
              <w:tc>
                <w:tcPr>
                  <w:vMerge w:val="restart"/>
                </w:tcPr>
                <w:p>
                  <w:pPr>
                    <w:pStyle w:val="Compact"/>
                    <w:jc w:val="center"/>
                  </w:pPr>
                  <w:r>
                    <w:t xml:space="preserve">95 % limits of a</w:t>
                  </w:r>
                  <w:r>
                    <w:br/>
                  </w:r>
                  <w:r>
                    <w:t xml:space="preserve">single run over</w:t>
                  </w:r>
                  <w:r>
                    <w:br/>
                  </w:r>
                  <w:r>
                    <w:t xml:space="preserve">the NOR</w:t>
                  </w:r>
                  <w:r>
                    <w:rPr>
                      <w:vertAlign w:val="superscript"/>
                    </w:rPr>
                    <w:t xml:space="preserve">a)</w:t>
                  </w:r>
                </w:p>
              </w:tc>
              <w:tc>
                <w:tcPr>
                  <w:vMerge w:val="restart"/>
                </w:tcPr>
                <w:p>
                  <w:pPr>
                    <w:pStyle w:val="Compact"/>
                    <w:jc w:val="center"/>
                  </w:pPr>
                  <w:r>
                    <w:t xml:space="preserve">Met across</w:t>
                  </w:r>
                  <w:r>
                    <w:br/>
                  </w:r>
                  <w:r>
                    <w:t xml:space="preserve">the NOR</w:t>
                  </w:r>
                  <w:r>
                    <w:rPr>
                      <w:vertAlign w:val="superscript"/>
                    </w:rPr>
                    <w:t xml:space="preserve">b)</w:t>
                  </w:r>
                </w:p>
              </w:tc>
            </w:tr>
            <w:tr>
              <w:trPr>
                <w:tblHeader w:val="on"/>
              </w:trPr>
              <w:tc>
                <w:tcPr>
                  <w:gridSpan w:val="1"/>
                  <w:vMerge w:val="continue"/>
                </w:tcPr>
                <w:p>
                  <w:pPr/>
                </w:p>
              </w:tc>
              <w:tc>
                <w:tcPr>
                  <w:gridSpan w:val="1"/>
                  <w:vMerge w:val="continue"/>
                </w:tcPr>
                <w:p>
                  <w:pPr/>
                </w:p>
              </w:tc>
              <w:tc>
                <w:tcPr/>
                <w:p>
                  <w:pPr>
                    <w:pStyle w:val="Compact"/>
                    <w:jc w:val="center"/>
                  </w:pPr>
                  <w:r>
                    <w:t xml:space="preserve">At the set-point</w:t>
                  </w:r>
                </w:p>
              </w:tc>
              <w:tc>
                <w:tcPr/>
                <w:p>
                  <w:pPr>
                    <w:pStyle w:val="Compact"/>
                    <w:jc w:val="center"/>
                  </w:pPr>
                  <w:r>
                    <w:t xml:space="preserve">Range over the NOR</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15.3</w:t>
                  </w:r>
                  <w:r>
                    <w:rPr>
                      <w:vertAlign w:val="superscript"/>
                    </w:rPr>
                    <w:t xml:space="preserve">c)</w:t>
                  </w:r>
                </w:p>
              </w:tc>
              <w:tc>
                <w:tcPr/>
                <w:p>
                  <w:pPr>
                    <w:pStyle w:val="Compact"/>
                    <w:jc w:val="center"/>
                  </w:pPr>
                  <w:r>
                    <w:t xml:space="preserve">10.7 to 21.9</w:t>
                  </w:r>
                  <w:r>
                    <w:rPr>
                      <w:vertAlign w:val="superscript"/>
                    </w:rPr>
                    <w:t xml:space="preserve">c)</w:t>
                  </w:r>
                </w:p>
              </w:tc>
              <w:tc>
                <w:tcPr/>
                <w:p>
                  <w:pPr>
                    <w:pStyle w:val="Compact"/>
                    <w:jc w:val="center"/>
                  </w:pPr>
                  <w:r>
                    <w:t xml:space="preserve">7.96 to 29.4</w:t>
                  </w:r>
                  <w:r>
                    <w:rPr>
                      <w:vertAlign w:val="superscript"/>
                    </w:rPr>
                    <w:t xml:space="preserve">c)</w:t>
                  </w:r>
                </w:p>
              </w:tc>
              <w:tc>
                <w:tcPr/>
                <w:p>
                  <w:pPr>
                    <w:pStyle w:val="Compact"/>
                    <w:jc w:val="center"/>
                  </w:pPr>
                  <w:r>
                    <w:t xml:space="preserve">Yes</w:t>
                  </w:r>
                </w:p>
              </w:tc>
            </w:tr>
            <w:tr>
              <w:tc>
                <w:tcPr/>
                <w:p>
                  <w:pPr>
                    <w:pStyle w:val="Compact"/>
                    <w:jc w:val="center"/>
                  </w:pPr>
                  <w:r>
                    <w:t xml:space="preserve">XMuLV clearance (log10)</w:t>
                  </w:r>
                </w:p>
              </w:tc>
              <w:tc>
                <w:tcPr/>
                <w:p>
                  <w:pPr>
                    <w:pStyle w:val="Compact"/>
                    <w:jc w:val="center"/>
                  </w:pPr>
                  <w:r>
                    <w:t xml:space="preserve">≥ 5.50</w:t>
                  </w:r>
                </w:p>
              </w:tc>
              <w:tc>
                <w:tcPr/>
                <w:p>
                  <w:pPr>
                    <w:pStyle w:val="Compact"/>
                    <w:jc w:val="center"/>
                  </w:pPr>
                  <w:r>
                    <w:t xml:space="preserve">6.56</w:t>
                  </w:r>
                </w:p>
              </w:tc>
              <w:tc>
                <w:tcPr/>
                <w:p>
                  <w:pPr>
                    <w:pStyle w:val="Compact"/>
                    <w:jc w:val="center"/>
                  </w:pPr>
                  <w:r>
                    <w:t xml:space="preserve">5.86 to 7.30</w:t>
                  </w:r>
                </w:p>
              </w:tc>
              <w:tc>
                <w:tcPr/>
                <w:p>
                  <w:pPr>
                    <w:pStyle w:val="Compact"/>
                    <w:jc w:val="center"/>
                  </w:pPr>
                  <w:r>
                    <w:t xml:space="preserve">n.a.</w:t>
                  </w:r>
                  <w:r>
                    <w:rPr>
                      <w:vertAlign w:val="superscript"/>
                    </w:rPr>
                    <w:t xml:space="preserve">d)</w:t>
                  </w:r>
                </w:p>
              </w:tc>
              <w:tc>
                <w:tcPr/>
                <w:p>
                  <w:pPr>
                    <w:pStyle w:val="Compact"/>
                    <w:jc w:val="center"/>
                  </w:pPr>
                  <w:r>
                    <w:t xml:space="preserve">Yes</w:t>
                  </w:r>
                </w:p>
              </w:tc>
            </w:tr>
            <w:tr>
              <w:tc>
                <w:tcPr/>
                <w:p>
                  <w:pPr>
                    <w:pStyle w:val="Compact"/>
                    <w:jc w:val="center"/>
                  </w:pPr>
                  <w:r>
                    <w:t xml:space="preserve">MVM clearance (log10)</w:t>
                  </w:r>
                </w:p>
              </w:tc>
              <w:tc>
                <w:tcPr/>
                <w:p>
                  <w:pPr>
                    <w:pStyle w:val="Compact"/>
                    <w:jc w:val="center"/>
                  </w:pPr>
                  <w:r>
                    <w:t xml:space="preserve">≥ 4.00</w:t>
                  </w:r>
                </w:p>
              </w:tc>
              <w:tc>
                <w:tcPr/>
                <w:p>
                  <w:pPr>
                    <w:pStyle w:val="Compact"/>
                    <w:jc w:val="center"/>
                  </w:pPr>
                  <w:r>
                    <w:t xml:space="preserve">4.84</w:t>
                  </w:r>
                </w:p>
              </w:tc>
              <w:tc>
                <w:tcPr/>
                <w:p>
                  <w:pPr>
                    <w:pStyle w:val="Compact"/>
                    <w:jc w:val="center"/>
                  </w:pPr>
                  <w:r>
                    <w:t xml:space="preserve">4.24 to 5.45</w:t>
                  </w:r>
                </w:p>
              </w:tc>
              <w:tc>
                <w:tcPr/>
                <w:p>
                  <w:pPr>
                    <w:pStyle w:val="Compact"/>
                    <w:jc w:val="center"/>
                  </w:pPr>
                  <w:r>
                    <w:t xml:space="preserve">n.a.</w:t>
                  </w:r>
                  <w:r>
                    <w:rPr>
                      <w:vertAlign w:val="superscript"/>
                    </w:rPr>
                    <w:t xml:space="preserve">d)</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0.65</w:t>
                  </w:r>
                </w:p>
              </w:tc>
              <w:tc>
                <w:tcPr/>
                <w:p>
                  <w:pPr>
                    <w:pStyle w:val="Compact"/>
                    <w:jc w:val="center"/>
                  </w:pPr>
                  <w:r>
                    <w:t xml:space="preserve">0.65 to 0.65</w:t>
                  </w:r>
                </w:p>
              </w:tc>
              <w:tc>
                <w:tcPr/>
                <w:p>
                  <w:pPr>
                    <w:pStyle w:val="Compact"/>
                    <w:jc w:val="center"/>
                  </w:pPr>
                  <w:r>
                    <w:t xml:space="preserve">0.51 to 0.78</w:t>
                  </w:r>
                </w:p>
              </w:tc>
              <w:tc>
                <w:tcPr/>
                <w:p>
                  <w:pPr>
                    <w:pStyle w:val="Compact"/>
                    <w:jc w:val="center"/>
                  </w:pPr>
                  <w:r>
                    <w:t xml:space="preserve">Yes</w:t>
                  </w:r>
                </w:p>
              </w:tc>
            </w:tr>
            <w:tr>
              <w:tc>
                <w:tcPr>
                  <w:gridSpan w:val="6"/>
                </w:tcPr>
                <w:p>
                  <w:pPr>
                    <w:pStyle w:val="Compact"/>
                    <w:jc w:val="center"/>
                  </w:pPr>
                  <w:r>
                    <w:rPr>
                      <w:vertAlign w:val="superscript"/>
                    </w:rPr>
                    <w:t xml:space="preserve">a)</w:t>
                  </w:r>
                  <w:r>
                    <w:t xml:space="preserve"> </w:t>
                  </w:r>
                  <w:r>
                    <w:t xml:space="preserve">At manufacturing scale: the scale-down prediction minus the offset of the scale-down model for this output, or divided by it where the offset is a ratio.</w:t>
                  </w:r>
                </w:p>
              </w:tc>
            </w:tr>
            <w:tr>
              <w:tc>
                <w:tcPr>
                  <w:gridSpan w:val="6"/>
                </w:tcPr>
                <w:p>
                  <w:pPr>
                    <w:pStyle w:val="Compact"/>
                    <w:jc w:val="center"/>
                  </w:pPr>
                  <w:r>
                    <w:rPr>
                      <w:vertAlign w:val="superscript"/>
                    </w:rPr>
                    <w:t xml:space="preserve">b)</w:t>
                  </w:r>
                  <w:r>
                    <w:t xml:space="preserve"> </w:t>
                  </w:r>
                  <w:r>
                    <w:t xml:space="preserve">Judged at every combination of NOR low, set-point and NOR high. Quality attributes: the 95 % prediction interval of a single run (t quantile, coefficient and residual uncertainty). Viral clearance: the mean prediction.</w:t>
                  </w:r>
                </w:p>
              </w:tc>
            </w:tr>
            <w:tr>
              <w:tc>
                <w:tcPr>
                  <w:gridSpan w:val="6"/>
                </w:tcPr>
                <w:p>
                  <w:pPr>
                    <w:pStyle w:val="Compact"/>
                    <w:jc w:val="center"/>
                  </w:pPr>
                  <w:r>
                    <w:rPr>
                      <w:vertAlign w:val="superscript"/>
                    </w:rPr>
                    <w:t xml:space="preserve">c)</w:t>
                  </w:r>
                  <w:r>
                    <w:t xml:space="preserve"> </w:t>
                  </w:r>
                  <w:r>
                    <w:t xml:space="preserve">Modelled on the log scale: the median, the back-transformed mean prediction.</w:t>
                  </w:r>
                </w:p>
              </w:tc>
            </w:tr>
            <w:tr>
              <w:tc>
                <w:tcPr>
                  <w:gridSpan w:val="6"/>
                </w:tcPr>
                <w:p>
                  <w:pPr>
                    <w:pStyle w:val="Compact"/>
                    <w:jc w:val="center"/>
                  </w:pPr>
                  <w:r>
                    <w:rPr>
                      <w:vertAlign w:val="superscript"/>
                    </w:rPr>
                    <w:t xml:space="preserve">d)</w:t>
                  </w:r>
                  <w:r>
                    <w:t xml:space="preserve"> </w:t>
                  </w:r>
                  <w:r>
                    <w:t xml:space="preserve">Judged on the mean prediction at the least favourable combination, the lower end of the range over the NOR.</w:t>
                  </w:r>
                </w:p>
              </w:tc>
            </w:tr>
          </w:tbl>
          <w:bookmarkEnd w:id="106"/>
          <w:p/>
        </w:tc>
      </w:tr>
    </w:tbl>
    <w:bookmarkEnd w:id="107"/>
    <w:bookmarkStart w:id="121" w:name="sec-par-ranges"/>
    <w:p>
      <w:pPr>
        <w:pStyle w:val="Heading2"/>
      </w:pPr>
      <w:r>
        <w:t xml:space="preserve">7.3 Proven acceptable ranges of the multivariate parameters</w:t>
      </w:r>
    </w:p>
    <w:p>
      <w:pPr>
        <w:pStyle w:val="FirstParagraph"/>
      </w:pPr>
      <w:hyperlink w:anchor="tbl-par">
        <w:r>
          <w:rPr>
            <w:rStyle w:val="Hyperlink"/>
          </w:rPr>
          <w:t xml:space="preserve">Table 22</w:t>
        </w:r>
      </w:hyperlink>
      <w:r>
        <w:t xml:space="preserve"> </w:t>
      </w:r>
      <w:r>
        <w:t xml:space="preserve">gives the proven acceptable ranges of each multivariate parameter for each attribute with a criterion, from the two analyses defined in</w:t>
      </w:r>
      <w:r>
        <w:t xml:space="preserve"> </w:t>
      </w:r>
      <w:hyperlink w:anchor="sec-stats">
        <w:r>
          <w:rPr>
            <w:rStyle w:val="Hyperlink"/>
          </w:rPr>
          <w:t xml:space="preserve">Section 3.5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8" w:name="tbl-par"/>
          <w:p>
            <w:pPr>
              <w:jc w:val="center"/>
            </w:pPr>
            <w:pPr>
              <w:jc w:val="start"/>
              <w:spacing w:before="200"/>
              <w:pStyle w:val="ImageCaption"/>
            </w:pPr>
            <w:r>
              <w:t xml:space="preserve">Table 22: Proven acceptable ranges of the multivariate parameters of the anion exchange step.</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CQA</w:t>
                  </w:r>
                </w:p>
              </w:tc>
              <w:tc>
                <w:tcPr/>
                <w:p>
                  <w:pPr>
                    <w:pStyle w:val="Compact"/>
                    <w:jc w:val="center"/>
                  </w:pPr>
                  <w:r>
                    <w:t xml:space="preserve">Parameter</w:t>
                  </w:r>
                </w:p>
              </w:tc>
              <w:tc>
                <w:tcPr/>
                <w:p>
                  <w:pPr>
                    <w:pStyle w:val="Compact"/>
                    <w:jc w:val="center"/>
                  </w:pPr>
                  <w:r>
                    <w:t xml:space="preserve">Char. range</w:t>
                  </w:r>
                </w:p>
              </w:tc>
              <w:tc>
                <w:tcPr/>
                <w:p>
                  <w:pPr>
                    <w:pStyle w:val="Compact"/>
                    <w:jc w:val="center"/>
                  </w:pPr>
                  <w:r>
                    <w:t xml:space="preserve">Unit</w:t>
                  </w:r>
                </w:p>
              </w:tc>
              <w:tc>
                <w:tcPr/>
                <w:p>
                  <w:pPr>
                    <w:pStyle w:val="Compact"/>
                    <w:jc w:val="center"/>
                  </w:pPr>
                  <w:r>
                    <w:t xml:space="preserve">Criterion</w:t>
                  </w:r>
                </w:p>
              </w:tc>
              <w:tc>
                <w:tcPr/>
                <w:p>
                  <w:pPr>
                    <w:pStyle w:val="Compact"/>
                    <w:jc w:val="center"/>
                  </w:pPr>
                  <w:r>
                    <w:t xml:space="preserve">PAR (set-point)</w:t>
                  </w:r>
                </w:p>
              </w:tc>
              <w:tc>
                <w:tcPr/>
                <w:p>
                  <w:pPr>
                    <w:pStyle w:val="Compact"/>
                    <w:jc w:val="center"/>
                  </w:pPr>
                  <w:r>
                    <w:t xml:space="preserve">PAR (NOR)</w:t>
                  </w:r>
                </w:p>
              </w:tc>
              <w:tc>
                <w:tcPr/>
                <w:p>
                  <w:pPr>
                    <w:pStyle w:val="Compact"/>
                    <w:jc w:val="center"/>
                  </w:pPr>
                  <w:r>
                    <w:t xml:space="preserve">Basis</w:t>
                  </w:r>
                </w:p>
              </w:tc>
            </w:tr>
            <w:tr>
              <w:tc>
                <w:tcPr>
                  <w:vMerge w:val="restart"/>
                </w:tcPr>
                <w:p>
                  <w:pPr>
                    <w:pStyle w:val="Compact"/>
                    <w:jc w:val="center"/>
                  </w:pPr>
                  <w:r>
                    <w:t xml:space="preserve">Pool HCP (ng/mg)</w:t>
                  </w:r>
                </w:p>
              </w:tc>
              <w:tc>
                <w:tcPr/>
                <w:p>
                  <w:pPr>
                    <w:pStyle w:val="Compact"/>
                    <w:jc w:val="center"/>
                  </w:pPr>
                  <w:r>
                    <w:t xml:space="preserve">Load pH</w:t>
                  </w:r>
                </w:p>
              </w:tc>
              <w:tc>
                <w:tcPr/>
                <w:p>
                  <w:pPr>
                    <w:pStyle w:val="Compact"/>
                    <w:jc w:val="center"/>
                  </w:pPr>
                  <w:r>
                    <w:t xml:space="preserve">7.2–7.8</w:t>
                  </w:r>
                </w:p>
              </w:tc>
              <w:tc>
                <w:tcPr/>
                <w:p>
                  <w:pPr>
                    <w:pStyle w:val="Compact"/>
                    <w:jc w:val="center"/>
                  </w:pPr>
                  <w:r>
                    <w:t xml:space="preserve">pH</w:t>
                  </w:r>
                </w:p>
              </w:tc>
              <w:tc>
                <w:tcPr>
                  <w:vMerge w:val="restart"/>
                </w:tcPr>
                <w:p>
                  <w:pPr>
                    <w:pStyle w:val="Compact"/>
                    <w:jc w:val="center"/>
                  </w:pPr>
                  <w:r>
                    <w:t xml:space="preserve">≤ 100</w:t>
                  </w:r>
                </w:p>
              </w:tc>
              <w:tc>
                <w:tcPr/>
                <w:p>
                  <w:pPr>
                    <w:pStyle w:val="Compact"/>
                    <w:jc w:val="center"/>
                  </w:pPr>
                  <w:r>
                    <w:t xml:space="preserve">7.2–7.8</w:t>
                  </w:r>
                </w:p>
              </w:tc>
              <w:tc>
                <w:tcPr/>
                <w:p>
                  <w:pPr>
                    <w:pStyle w:val="Compact"/>
                    <w:jc w:val="center"/>
                  </w:pPr>
                  <w:r>
                    <w:t xml:space="preserve">7.2–7.8</w:t>
                  </w:r>
                </w:p>
              </w:tc>
              <w:tc>
                <w:tcPr/>
                <w:p>
                  <w:pPr>
                    <w:pStyle w:val="Compact"/>
                    <w:jc w:val="center"/>
                  </w:pPr>
                  <w:r>
                    <w:t xml:space="preserve">selected model</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1.6–3.6</w:t>
                  </w:r>
                </w:p>
              </w:tc>
              <w:tc>
                <w:tcPr/>
                <w:p>
                  <w:pPr>
                    <w:pStyle w:val="Compact"/>
                    <w:jc w:val="center"/>
                  </w:pPr>
                  <w:r>
                    <w:t xml:space="preserve">mS/cm</w:t>
                  </w:r>
                </w:p>
              </w:tc>
              <w:tc>
                <w:tcPr>
                  <w:gridSpan w:val="1"/>
                  <w:vMerge w:val="continue"/>
                </w:tcPr>
                <w:p>
                  <w:pPr/>
                </w:p>
              </w:tc>
              <w:tc>
                <w:tcPr/>
                <w:p>
                  <w:pPr>
                    <w:pStyle w:val="Compact"/>
                    <w:jc w:val="center"/>
                  </w:pPr>
                  <w:r>
                    <w:t xml:space="preserve">1.6–3.6</w:t>
                  </w:r>
                </w:p>
              </w:tc>
              <w:tc>
                <w:tcPr/>
                <w:p>
                  <w:pPr>
                    <w:pStyle w:val="Compact"/>
                    <w:jc w:val="center"/>
                  </w:pPr>
                  <w:r>
                    <w:t xml:space="preserve">1.6–3.6</w:t>
                  </w:r>
                </w:p>
              </w:tc>
              <w:tc>
                <w:tcPr/>
                <w:p>
                  <w:pPr>
                    <w:pStyle w:val="Compact"/>
                    <w:jc w:val="center"/>
                  </w:pPr>
                  <w:r>
                    <w:t xml:space="preserve">selected model</w:t>
                  </w:r>
                </w:p>
              </w:tc>
            </w:tr>
            <w:tr>
              <w:tc>
                <w:tcPr>
                  <w:gridSpan w:val="1"/>
                  <w:vMerge w:val="continue"/>
                </w:tcPr>
                <w:p>
                  <w:pPr/>
                </w:p>
              </w:tc>
              <w:tc>
                <w:tcPr/>
                <w:p>
                  <w:pPr>
                    <w:pStyle w:val="Compact"/>
                    <w:jc w:val="center"/>
                  </w:pPr>
                  <w:r>
                    <w:t xml:space="preserve">Load conductivity</w:t>
                  </w:r>
                </w:p>
              </w:tc>
              <w:tc>
                <w:tcPr/>
                <w:p>
                  <w:pPr>
                    <w:pStyle w:val="Compact"/>
                    <w:jc w:val="center"/>
                  </w:pPr>
                  <w:r>
                    <w:t xml:space="preserve">3–8</w:t>
                  </w:r>
                </w:p>
              </w:tc>
              <w:tc>
                <w:tcPr/>
                <w:p>
                  <w:pPr>
                    <w:pStyle w:val="Compact"/>
                    <w:jc w:val="center"/>
                  </w:pPr>
                  <w:r>
                    <w:t xml:space="preserve">mS/cm</w:t>
                  </w:r>
                </w:p>
              </w:tc>
              <w:tc>
                <w:tcPr>
                  <w:gridSpan w:val="1"/>
                  <w:vMerge w:val="continue"/>
                </w:tcPr>
                <w:p>
                  <w:pPr/>
                </w:p>
              </w:tc>
              <w:tc>
                <w:tcPr/>
                <w:p>
                  <w:pPr>
                    <w:pStyle w:val="Compact"/>
                    <w:jc w:val="center"/>
                  </w:pPr>
                  <w:r>
                    <w:t xml:space="preserve">3–8</w:t>
                  </w:r>
                </w:p>
              </w:tc>
              <w:tc>
                <w:tcPr/>
                <w:p>
                  <w:pPr>
                    <w:pStyle w:val="Compact"/>
                    <w:jc w:val="center"/>
                  </w:pPr>
                  <w:r>
                    <w:t xml:space="preserve">3–8</w:t>
                  </w:r>
                </w:p>
              </w:tc>
              <w:tc>
                <w:tcPr/>
                <w:p>
                  <w:pPr>
                    <w:pStyle w:val="Compact"/>
                    <w:jc w:val="center"/>
                  </w:pPr>
                  <w:r>
                    <w:t xml:space="preserve">selected model</w:t>
                  </w:r>
                </w:p>
              </w:tc>
            </w:tr>
            <w:tr>
              <w:tc>
                <w:tcPr>
                  <w:gridSpan w:val="1"/>
                  <w:vMerge w:val="continue"/>
                </w:tcPr>
                <w:p>
                  <w:pPr/>
                </w:p>
              </w:tc>
              <w:tc>
                <w:tcPr/>
                <w:p>
                  <w:pPr>
                    <w:pStyle w:val="Compact"/>
                    <w:jc w:val="center"/>
                  </w:pPr>
                  <w:r>
                    <w:t xml:space="preserve">Protein load</w:t>
                  </w:r>
                </w:p>
              </w:tc>
              <w:tc>
                <w:tcPr/>
                <w:p>
                  <w:pPr>
                    <w:pStyle w:val="Compact"/>
                    <w:jc w:val="center"/>
                  </w:pPr>
                  <w:r>
                    <w:t xml:space="preserve">50–300</w:t>
                  </w:r>
                </w:p>
              </w:tc>
              <w:tc>
                <w:tcPr/>
                <w:p>
                  <w:pPr>
                    <w:pStyle w:val="Compact"/>
                    <w:jc w:val="center"/>
                  </w:pPr>
                  <w:r>
                    <w:t xml:space="preserve">g/L resin</w:t>
                  </w:r>
                </w:p>
              </w:tc>
              <w:tc>
                <w:tcPr>
                  <w:gridSpan w:val="1"/>
                  <w:vMerge w:val="continue"/>
                </w:tcPr>
                <w:p>
                  <w:pPr/>
                </w:p>
              </w:tc>
              <w:tc>
                <w:tcPr/>
                <w:p>
                  <w:pPr>
                    <w:pStyle w:val="Compact"/>
                    <w:jc w:val="center"/>
                  </w:pPr>
                  <w:r>
                    <w:t xml:space="preserve">50–300</w:t>
                  </w:r>
                </w:p>
              </w:tc>
              <w:tc>
                <w:tcPr/>
                <w:p>
                  <w:pPr>
                    <w:pStyle w:val="Compact"/>
                    <w:jc w:val="center"/>
                  </w:pPr>
                  <w:r>
                    <w:t xml:space="preserve">50–300</w:t>
                  </w:r>
                </w:p>
              </w:tc>
              <w:tc>
                <w:tcPr/>
                <w:p>
                  <w:pPr>
                    <w:pStyle w:val="Compact"/>
                    <w:jc w:val="center"/>
                  </w:pPr>
                  <w:r>
                    <w:t xml:space="preserve">selected model</w:t>
                  </w:r>
                </w:p>
              </w:tc>
            </w:tr>
            <w:tr>
              <w:tc>
                <w:tcPr>
                  <w:vMerge w:val="restart"/>
                </w:tcPr>
                <w:p>
                  <w:pPr>
                    <w:pStyle w:val="Compact"/>
                    <w:jc w:val="center"/>
                  </w:pPr>
                  <w:r>
                    <w:t xml:space="preserve">XMuLV LRF (log₁₀)</w:t>
                  </w:r>
                </w:p>
              </w:tc>
              <w:tc>
                <w:tcPr/>
                <w:p>
                  <w:pPr>
                    <w:pStyle w:val="Compact"/>
                    <w:jc w:val="center"/>
                  </w:pPr>
                  <w:r>
                    <w:t xml:space="preserve">Load pH</w:t>
                  </w:r>
                </w:p>
              </w:tc>
              <w:tc>
                <w:tcPr/>
                <w:p>
                  <w:pPr>
                    <w:pStyle w:val="Compact"/>
                    <w:jc w:val="center"/>
                  </w:pPr>
                  <w:r>
                    <w:t xml:space="preserve">7.2–7.8</w:t>
                  </w:r>
                </w:p>
              </w:tc>
              <w:tc>
                <w:tcPr/>
                <w:p>
                  <w:pPr>
                    <w:pStyle w:val="Compact"/>
                    <w:jc w:val="center"/>
                  </w:pPr>
                  <w:r>
                    <w:t xml:space="preserve">pH</w:t>
                  </w:r>
                </w:p>
              </w:tc>
              <w:tc>
                <w:tcPr>
                  <w:vMerge w:val="restart"/>
                </w:tcPr>
                <w:p>
                  <w:pPr>
                    <w:pStyle w:val="Compact"/>
                    <w:jc w:val="center"/>
                  </w:pPr>
                  <w:r>
                    <w:t xml:space="preserve">≥ 5.5</w:t>
                  </w:r>
                </w:p>
              </w:tc>
              <w:tc>
                <w:tcPr/>
                <w:p>
                  <w:pPr>
                    <w:pStyle w:val="Compact"/>
                    <w:jc w:val="center"/>
                  </w:pPr>
                  <w:r>
                    <w:t xml:space="preserve">7.2–7.8</w:t>
                  </w:r>
                </w:p>
              </w:tc>
              <w:tc>
                <w:tcPr/>
                <w:p>
                  <w:pPr>
                    <w:pStyle w:val="Compact"/>
                    <w:jc w:val="center"/>
                  </w:pPr>
                  <w:r>
                    <w:t xml:space="preserve">7.22–7.8</w:t>
                  </w:r>
                </w:p>
              </w:tc>
              <w:tc>
                <w:tcPr/>
                <w:p>
                  <w:pPr>
                    <w:pStyle w:val="Compact"/>
                    <w:jc w:val="center"/>
                  </w:pPr>
                  <w:r>
                    <w:t xml:space="preserve">selected model</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1.6–3.6</w:t>
                  </w:r>
                </w:p>
              </w:tc>
              <w:tc>
                <w:tcPr/>
                <w:p>
                  <w:pPr>
                    <w:pStyle w:val="Compact"/>
                    <w:jc w:val="center"/>
                  </w:pPr>
                  <w:r>
                    <w:t xml:space="preserve">mS/cm</w:t>
                  </w:r>
                </w:p>
              </w:tc>
              <w:tc>
                <w:tcPr>
                  <w:gridSpan w:val="1"/>
                  <w:vMerge w:val="continue"/>
                </w:tcPr>
                <w:p>
                  <w:pPr/>
                </w:p>
              </w:tc>
              <w:tc>
                <w:tcPr/>
                <w:p>
                  <w:pPr>
                    <w:pStyle w:val="Compact"/>
                    <w:jc w:val="center"/>
                  </w:pPr>
                  <w:r>
                    <w:t xml:space="preserve">1.6–3.6</w:t>
                  </w:r>
                </w:p>
              </w:tc>
              <w:tc>
                <w:tcPr/>
                <w:p>
                  <w:pPr>
                    <w:pStyle w:val="Compact"/>
                    <w:jc w:val="center"/>
                  </w:pPr>
                  <w:r>
                    <w:t xml:space="preserve">1.6–3.6</w:t>
                  </w:r>
                </w:p>
              </w:tc>
              <w:tc>
                <w:tcPr/>
                <w:p>
                  <w:pPr>
                    <w:pStyle w:val="Compact"/>
                    <w:jc w:val="center"/>
                  </w:pPr>
                  <w:r>
                    <w:t xml:space="preserve">selected model</w:t>
                  </w:r>
                </w:p>
              </w:tc>
            </w:tr>
            <w:tr>
              <w:tc>
                <w:tcPr>
                  <w:gridSpan w:val="1"/>
                  <w:vMerge w:val="continue"/>
                </w:tcPr>
                <w:p>
                  <w:pPr/>
                </w:p>
              </w:tc>
              <w:tc>
                <w:tcPr/>
                <w:p>
                  <w:pPr>
                    <w:pStyle w:val="Compact"/>
                    <w:jc w:val="center"/>
                  </w:pPr>
                  <w:r>
                    <w:t xml:space="preserve">Load conductivity</w:t>
                  </w:r>
                </w:p>
              </w:tc>
              <w:tc>
                <w:tcPr/>
                <w:p>
                  <w:pPr>
                    <w:pStyle w:val="Compact"/>
                    <w:jc w:val="center"/>
                  </w:pPr>
                  <w:r>
                    <w:t xml:space="preserve">3–8</w:t>
                  </w:r>
                </w:p>
              </w:tc>
              <w:tc>
                <w:tcPr/>
                <w:p>
                  <w:pPr>
                    <w:pStyle w:val="Compact"/>
                    <w:jc w:val="center"/>
                  </w:pPr>
                  <w:r>
                    <w:t xml:space="preserve">mS/cm</w:t>
                  </w:r>
                </w:p>
              </w:tc>
              <w:tc>
                <w:tcPr>
                  <w:gridSpan w:val="1"/>
                  <w:vMerge w:val="continue"/>
                </w:tcPr>
                <w:p>
                  <w:pPr/>
                </w:p>
              </w:tc>
              <w:tc>
                <w:tcPr/>
                <w:p>
                  <w:pPr>
                    <w:pStyle w:val="Compact"/>
                    <w:jc w:val="center"/>
                  </w:pPr>
                  <w:r>
                    <w:t xml:space="preserve">3–8</w:t>
                  </w:r>
                </w:p>
              </w:tc>
              <w:tc>
                <w:tcPr/>
                <w:p>
                  <w:pPr>
                    <w:pStyle w:val="Compact"/>
                    <w:jc w:val="center"/>
                  </w:pPr>
                  <w:r>
                    <w:t xml:space="preserve">3–8</w:t>
                  </w:r>
                </w:p>
              </w:tc>
              <w:tc>
                <w:tcPr/>
                <w:p>
                  <w:pPr>
                    <w:pStyle w:val="Compact"/>
                    <w:jc w:val="center"/>
                  </w:pPr>
                  <w:r>
                    <w:t xml:space="preserve">selected model</w:t>
                  </w:r>
                </w:p>
              </w:tc>
            </w:tr>
            <w:tr>
              <w:tc>
                <w:tcPr>
                  <w:gridSpan w:val="1"/>
                  <w:vMerge w:val="continue"/>
                </w:tcPr>
                <w:p>
                  <w:pPr/>
                </w:p>
              </w:tc>
              <w:tc>
                <w:tcPr/>
                <w:p>
                  <w:pPr>
                    <w:pStyle w:val="Compact"/>
                    <w:jc w:val="center"/>
                  </w:pPr>
                  <w:r>
                    <w:t xml:space="preserve">Protein load</w:t>
                  </w:r>
                </w:p>
              </w:tc>
              <w:tc>
                <w:tcPr/>
                <w:p>
                  <w:pPr>
                    <w:pStyle w:val="Compact"/>
                    <w:jc w:val="center"/>
                  </w:pPr>
                  <w:r>
                    <w:t xml:space="preserve">50–300</w:t>
                  </w:r>
                </w:p>
              </w:tc>
              <w:tc>
                <w:tcPr/>
                <w:p>
                  <w:pPr>
                    <w:pStyle w:val="Compact"/>
                    <w:jc w:val="center"/>
                  </w:pPr>
                  <w:r>
                    <w:t xml:space="preserve">g/L resin</w:t>
                  </w:r>
                </w:p>
              </w:tc>
              <w:tc>
                <w:tcPr>
                  <w:gridSpan w:val="1"/>
                  <w:vMerge w:val="continue"/>
                </w:tcPr>
                <w:p>
                  <w:pPr/>
                </w:p>
              </w:tc>
              <w:tc>
                <w:tcPr/>
                <w:p>
                  <w:pPr>
                    <w:pStyle w:val="Compact"/>
                    <w:jc w:val="center"/>
                  </w:pPr>
                  <w:r>
                    <w:t xml:space="preserve">50–300</w:t>
                  </w:r>
                </w:p>
              </w:tc>
              <w:tc>
                <w:tcPr/>
                <w:p>
                  <w:pPr>
                    <w:pStyle w:val="Compact"/>
                    <w:jc w:val="center"/>
                  </w:pPr>
                  <w:r>
                    <w:t xml:space="preserve">50–300</w:t>
                  </w:r>
                </w:p>
              </w:tc>
              <w:tc>
                <w:tcPr/>
                <w:p>
                  <w:pPr>
                    <w:pStyle w:val="Compact"/>
                    <w:jc w:val="center"/>
                  </w:pPr>
                  <w:r>
                    <w:t xml:space="preserve">selected model</w:t>
                  </w:r>
                </w:p>
              </w:tc>
            </w:tr>
            <w:tr>
              <w:tc>
                <w:tcPr>
                  <w:vMerge w:val="restart"/>
                </w:tcPr>
                <w:p>
                  <w:pPr>
                    <w:pStyle w:val="Compact"/>
                    <w:jc w:val="center"/>
                  </w:pPr>
                  <w:r>
                    <w:t xml:space="preserve">MVM LRF (log₁₀)</w:t>
                  </w:r>
                </w:p>
              </w:tc>
              <w:tc>
                <w:tcPr/>
                <w:p>
                  <w:pPr>
                    <w:pStyle w:val="Compact"/>
                    <w:jc w:val="center"/>
                  </w:pPr>
                  <w:r>
                    <w:t xml:space="preserve">Load pH</w:t>
                  </w:r>
                </w:p>
              </w:tc>
              <w:tc>
                <w:tcPr/>
                <w:p>
                  <w:pPr>
                    <w:pStyle w:val="Compact"/>
                    <w:jc w:val="center"/>
                  </w:pPr>
                  <w:r>
                    <w:t xml:space="preserve">7.2–7.8</w:t>
                  </w:r>
                </w:p>
              </w:tc>
              <w:tc>
                <w:tcPr/>
                <w:p>
                  <w:pPr>
                    <w:pStyle w:val="Compact"/>
                    <w:jc w:val="center"/>
                  </w:pPr>
                  <w:r>
                    <w:t xml:space="preserve">pH</w:t>
                  </w:r>
                </w:p>
              </w:tc>
              <w:tc>
                <w:tcPr>
                  <w:vMerge w:val="restart"/>
                </w:tcPr>
                <w:p>
                  <w:pPr>
                    <w:pStyle w:val="Compact"/>
                    <w:jc w:val="center"/>
                  </w:pPr>
                  <w:r>
                    <w:t xml:space="preserve">≥ 4</w:t>
                  </w:r>
                </w:p>
              </w:tc>
              <w:tc>
                <w:tcPr/>
                <w:p>
                  <w:pPr>
                    <w:pStyle w:val="Compact"/>
                    <w:jc w:val="center"/>
                  </w:pPr>
                  <w:r>
                    <w:t xml:space="preserve">7.2–7.8</w:t>
                  </w:r>
                </w:p>
              </w:tc>
              <w:tc>
                <w:tcPr/>
                <w:p>
                  <w:pPr>
                    <w:pStyle w:val="Compact"/>
                    <w:jc w:val="center"/>
                  </w:pPr>
                  <w:r>
                    <w:t xml:space="preserve">7.23–7.8</w:t>
                  </w:r>
                </w:p>
              </w:tc>
              <w:tc>
                <w:tcPr/>
                <w:p>
                  <w:pPr>
                    <w:pStyle w:val="Compact"/>
                    <w:jc w:val="center"/>
                  </w:pPr>
                  <w:r>
                    <w:t xml:space="preserve">selected model</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1.6–3.6</w:t>
                  </w:r>
                </w:p>
              </w:tc>
              <w:tc>
                <w:tcPr/>
                <w:p>
                  <w:pPr>
                    <w:pStyle w:val="Compact"/>
                    <w:jc w:val="center"/>
                  </w:pPr>
                  <w:r>
                    <w:t xml:space="preserve">mS/cm</w:t>
                  </w:r>
                </w:p>
              </w:tc>
              <w:tc>
                <w:tcPr>
                  <w:gridSpan w:val="1"/>
                  <w:vMerge w:val="continue"/>
                </w:tcPr>
                <w:p>
                  <w:pPr/>
                </w:p>
              </w:tc>
              <w:tc>
                <w:tcPr/>
                <w:p>
                  <w:pPr>
                    <w:pStyle w:val="Compact"/>
                    <w:jc w:val="center"/>
                  </w:pPr>
                  <w:r>
                    <w:t xml:space="preserve">1.6–3.6</w:t>
                  </w:r>
                </w:p>
              </w:tc>
              <w:tc>
                <w:tcPr/>
                <w:p>
                  <w:pPr>
                    <w:pStyle w:val="Compact"/>
                    <w:jc w:val="center"/>
                  </w:pPr>
                  <w:r>
                    <w:t xml:space="preserve">1.6–3.6</w:t>
                  </w:r>
                </w:p>
              </w:tc>
              <w:tc>
                <w:tcPr/>
                <w:p>
                  <w:pPr>
                    <w:pStyle w:val="Compact"/>
                    <w:jc w:val="center"/>
                  </w:pPr>
                  <w:r>
                    <w:t xml:space="preserve">selected model</w:t>
                  </w:r>
                </w:p>
              </w:tc>
            </w:tr>
            <w:tr>
              <w:tc>
                <w:tcPr>
                  <w:gridSpan w:val="1"/>
                  <w:vMerge w:val="continue"/>
                </w:tcPr>
                <w:p>
                  <w:pPr/>
                </w:p>
              </w:tc>
              <w:tc>
                <w:tcPr/>
                <w:p>
                  <w:pPr>
                    <w:pStyle w:val="Compact"/>
                    <w:jc w:val="center"/>
                  </w:pPr>
                  <w:r>
                    <w:t xml:space="preserve">Load conductivity</w:t>
                  </w:r>
                </w:p>
              </w:tc>
              <w:tc>
                <w:tcPr/>
                <w:p>
                  <w:pPr>
                    <w:pStyle w:val="Compact"/>
                    <w:jc w:val="center"/>
                  </w:pPr>
                  <w:r>
                    <w:t xml:space="preserve">3–8</w:t>
                  </w:r>
                </w:p>
              </w:tc>
              <w:tc>
                <w:tcPr/>
                <w:p>
                  <w:pPr>
                    <w:pStyle w:val="Compact"/>
                    <w:jc w:val="center"/>
                  </w:pPr>
                  <w:r>
                    <w:t xml:space="preserve">mS/cm</w:t>
                  </w:r>
                </w:p>
              </w:tc>
              <w:tc>
                <w:tcPr>
                  <w:gridSpan w:val="1"/>
                  <w:vMerge w:val="continue"/>
                </w:tcPr>
                <w:p>
                  <w:pPr/>
                </w:p>
              </w:tc>
              <w:tc>
                <w:tcPr/>
                <w:p>
                  <w:pPr>
                    <w:pStyle w:val="Compact"/>
                    <w:jc w:val="center"/>
                  </w:pPr>
                  <w:r>
                    <w:t xml:space="preserve">3–8</w:t>
                  </w:r>
                </w:p>
              </w:tc>
              <w:tc>
                <w:tcPr/>
                <w:p>
                  <w:pPr>
                    <w:pStyle w:val="Compact"/>
                    <w:jc w:val="center"/>
                  </w:pPr>
                  <w:r>
                    <w:t xml:space="preserve">3–8</w:t>
                  </w:r>
                </w:p>
              </w:tc>
              <w:tc>
                <w:tcPr/>
                <w:p>
                  <w:pPr>
                    <w:pStyle w:val="Compact"/>
                    <w:jc w:val="center"/>
                  </w:pPr>
                  <w:r>
                    <w:t xml:space="preserve">selected model</w:t>
                  </w:r>
                </w:p>
              </w:tc>
            </w:tr>
            <w:tr>
              <w:tc>
                <w:tcPr>
                  <w:gridSpan w:val="1"/>
                  <w:vMerge w:val="continue"/>
                </w:tcPr>
                <w:p>
                  <w:pPr/>
                </w:p>
              </w:tc>
              <w:tc>
                <w:tcPr/>
                <w:p>
                  <w:pPr>
                    <w:pStyle w:val="Compact"/>
                    <w:jc w:val="center"/>
                  </w:pPr>
                  <w:r>
                    <w:t xml:space="preserve">Protein load</w:t>
                  </w:r>
                </w:p>
              </w:tc>
              <w:tc>
                <w:tcPr/>
                <w:p>
                  <w:pPr>
                    <w:pStyle w:val="Compact"/>
                    <w:jc w:val="center"/>
                  </w:pPr>
                  <w:r>
                    <w:t xml:space="preserve">50–300</w:t>
                  </w:r>
                </w:p>
              </w:tc>
              <w:tc>
                <w:tcPr/>
                <w:p>
                  <w:pPr>
                    <w:pStyle w:val="Compact"/>
                    <w:jc w:val="center"/>
                  </w:pPr>
                  <w:r>
                    <w:t xml:space="preserve">g/L resin</w:t>
                  </w:r>
                </w:p>
              </w:tc>
              <w:tc>
                <w:tcPr>
                  <w:gridSpan w:val="1"/>
                  <w:vMerge w:val="continue"/>
                </w:tcPr>
                <w:p>
                  <w:pPr/>
                </w:p>
              </w:tc>
              <w:tc>
                <w:tcPr/>
                <w:p>
                  <w:pPr>
                    <w:pStyle w:val="Compact"/>
                    <w:jc w:val="center"/>
                  </w:pPr>
                  <w:r>
                    <w:t xml:space="preserve">50–300</w:t>
                  </w:r>
                </w:p>
              </w:tc>
              <w:tc>
                <w:tcPr/>
                <w:p>
                  <w:pPr>
                    <w:pStyle w:val="Compact"/>
                    <w:jc w:val="center"/>
                  </w:pPr>
                  <w:r>
                    <w:t xml:space="preserve">50–300</w:t>
                  </w:r>
                </w:p>
              </w:tc>
              <w:tc>
                <w:tcPr/>
                <w:p>
                  <w:pPr>
                    <w:pStyle w:val="Compact"/>
                    <w:jc w:val="center"/>
                  </w:pPr>
                  <w:r>
                    <w:t xml:space="preserve">selected model</w:t>
                  </w:r>
                </w:p>
              </w:tc>
            </w:tr>
            <w:tr>
              <w:tc>
                <w:tcPr>
                  <w:vMerge w:val="restart"/>
                </w:tcPr>
                <w:p>
                  <w:pPr>
                    <w:pStyle w:val="Compact"/>
                    <w:jc w:val="center"/>
                  </w:pPr>
                  <w:r>
                    <w:t xml:space="preserve">Fragments (LMW, %, nrCE-SDS)</w:t>
                  </w:r>
                </w:p>
              </w:tc>
              <w:tc>
                <w:tcPr/>
                <w:p>
                  <w:pPr>
                    <w:pStyle w:val="Compact"/>
                    <w:jc w:val="center"/>
                  </w:pPr>
                  <w:r>
                    <w:t xml:space="preserve">Load pH</w:t>
                  </w:r>
                </w:p>
              </w:tc>
              <w:tc>
                <w:tcPr/>
                <w:p>
                  <w:pPr>
                    <w:pStyle w:val="Compact"/>
                    <w:jc w:val="center"/>
                  </w:pPr>
                  <w:r>
                    <w:t xml:space="preserve">7.2–7.8</w:t>
                  </w:r>
                </w:p>
              </w:tc>
              <w:tc>
                <w:tcPr/>
                <w:p>
                  <w:pPr>
                    <w:pStyle w:val="Compact"/>
                    <w:jc w:val="center"/>
                  </w:pPr>
                  <w:r>
                    <w:t xml:space="preserve">pH</w:t>
                  </w:r>
                </w:p>
              </w:tc>
              <w:tc>
                <w:tcPr>
                  <w:vMerge w:val="restart"/>
                </w:tcPr>
                <w:p>
                  <w:pPr>
                    <w:pStyle w:val="Compact"/>
                    <w:jc w:val="center"/>
                  </w:pPr>
                  <w:r>
                    <w:t xml:space="preserve">≤ 2</w:t>
                  </w:r>
                </w:p>
              </w:tc>
              <w:tc>
                <w:tcPr/>
                <w:p>
                  <w:pPr>
                    <w:pStyle w:val="Compact"/>
                    <w:jc w:val="center"/>
                  </w:pPr>
                  <w:r>
                    <w:t xml:space="preserve">7.2–7.8</w:t>
                  </w:r>
                </w:p>
              </w:tc>
              <w:tc>
                <w:tcPr/>
                <w:p>
                  <w:pPr>
                    <w:pStyle w:val="Compact"/>
                    <w:jc w:val="center"/>
                  </w:pPr>
                  <w:r>
                    <w:t xml:space="preserve">7.2–7.8</w:t>
                  </w:r>
                </w:p>
              </w:tc>
              <w:tc>
                <w:tcPr/>
                <w:p>
                  <w:pPr>
                    <w:pStyle w:val="Compact"/>
                    <w:jc w:val="center"/>
                  </w:pPr>
                  <w:r>
                    <w:t xml:space="preserve">selected model</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1.6–3.6</w:t>
                  </w:r>
                </w:p>
              </w:tc>
              <w:tc>
                <w:tcPr/>
                <w:p>
                  <w:pPr>
                    <w:pStyle w:val="Compact"/>
                    <w:jc w:val="center"/>
                  </w:pPr>
                  <w:r>
                    <w:t xml:space="preserve">mS/cm</w:t>
                  </w:r>
                </w:p>
              </w:tc>
              <w:tc>
                <w:tcPr>
                  <w:gridSpan w:val="1"/>
                  <w:vMerge w:val="continue"/>
                </w:tcPr>
                <w:p>
                  <w:pPr/>
                </w:p>
              </w:tc>
              <w:tc>
                <w:tcPr/>
                <w:p>
                  <w:pPr>
                    <w:pStyle w:val="Compact"/>
                    <w:jc w:val="center"/>
                  </w:pPr>
                  <w:r>
                    <w:t xml:space="preserve">1.6–3.6</w:t>
                  </w:r>
                </w:p>
              </w:tc>
              <w:tc>
                <w:tcPr/>
                <w:p>
                  <w:pPr>
                    <w:pStyle w:val="Compact"/>
                    <w:jc w:val="center"/>
                  </w:pPr>
                  <w:r>
                    <w:t xml:space="preserve">1.6–3.6</w:t>
                  </w:r>
                </w:p>
              </w:tc>
              <w:tc>
                <w:tcPr/>
                <w:p>
                  <w:pPr>
                    <w:pStyle w:val="Compact"/>
                    <w:jc w:val="center"/>
                  </w:pPr>
                  <w:r>
                    <w:t xml:space="preserve">selected model</w:t>
                  </w:r>
                </w:p>
              </w:tc>
            </w:tr>
            <w:tr>
              <w:tc>
                <w:tcPr>
                  <w:gridSpan w:val="1"/>
                  <w:vMerge w:val="continue"/>
                </w:tcPr>
                <w:p>
                  <w:pPr/>
                </w:p>
              </w:tc>
              <w:tc>
                <w:tcPr/>
                <w:p>
                  <w:pPr>
                    <w:pStyle w:val="Compact"/>
                    <w:jc w:val="center"/>
                  </w:pPr>
                  <w:r>
                    <w:t xml:space="preserve">Load conductivity</w:t>
                  </w:r>
                </w:p>
              </w:tc>
              <w:tc>
                <w:tcPr/>
                <w:p>
                  <w:pPr>
                    <w:pStyle w:val="Compact"/>
                    <w:jc w:val="center"/>
                  </w:pPr>
                  <w:r>
                    <w:t xml:space="preserve">3–8</w:t>
                  </w:r>
                </w:p>
              </w:tc>
              <w:tc>
                <w:tcPr/>
                <w:p>
                  <w:pPr>
                    <w:pStyle w:val="Compact"/>
                    <w:jc w:val="center"/>
                  </w:pPr>
                  <w:r>
                    <w:t xml:space="preserve">mS/cm</w:t>
                  </w:r>
                </w:p>
              </w:tc>
              <w:tc>
                <w:tcPr>
                  <w:gridSpan w:val="1"/>
                  <w:vMerge w:val="continue"/>
                </w:tcPr>
                <w:p>
                  <w:pPr/>
                </w:p>
              </w:tc>
              <w:tc>
                <w:tcPr/>
                <w:p>
                  <w:pPr>
                    <w:pStyle w:val="Compact"/>
                    <w:jc w:val="center"/>
                  </w:pPr>
                  <w:r>
                    <w:t xml:space="preserve">3–8</w:t>
                  </w:r>
                </w:p>
              </w:tc>
              <w:tc>
                <w:tcPr/>
                <w:p>
                  <w:pPr>
                    <w:pStyle w:val="Compact"/>
                    <w:jc w:val="center"/>
                  </w:pPr>
                  <w:r>
                    <w:t xml:space="preserve">3–8</w:t>
                  </w:r>
                </w:p>
              </w:tc>
              <w:tc>
                <w:tcPr/>
                <w:p>
                  <w:pPr>
                    <w:pStyle w:val="Compact"/>
                    <w:jc w:val="center"/>
                  </w:pPr>
                  <w:r>
                    <w:t xml:space="preserve">selected model</w:t>
                  </w:r>
                </w:p>
              </w:tc>
            </w:tr>
            <w:tr>
              <w:tc>
                <w:tcPr>
                  <w:gridSpan w:val="1"/>
                  <w:vMerge w:val="continue"/>
                </w:tcPr>
                <w:p>
                  <w:pPr/>
                </w:p>
              </w:tc>
              <w:tc>
                <w:tcPr/>
                <w:p>
                  <w:pPr>
                    <w:pStyle w:val="Compact"/>
                    <w:jc w:val="center"/>
                  </w:pPr>
                  <w:r>
                    <w:t xml:space="preserve">Protein load</w:t>
                  </w:r>
                </w:p>
              </w:tc>
              <w:tc>
                <w:tcPr/>
                <w:p>
                  <w:pPr>
                    <w:pStyle w:val="Compact"/>
                    <w:jc w:val="center"/>
                  </w:pPr>
                  <w:r>
                    <w:t xml:space="preserve">50–300</w:t>
                  </w:r>
                </w:p>
              </w:tc>
              <w:tc>
                <w:tcPr/>
                <w:p>
                  <w:pPr>
                    <w:pStyle w:val="Compact"/>
                    <w:jc w:val="center"/>
                  </w:pPr>
                  <w:r>
                    <w:t xml:space="preserve">g/L resin</w:t>
                  </w:r>
                </w:p>
              </w:tc>
              <w:tc>
                <w:tcPr>
                  <w:gridSpan w:val="1"/>
                  <w:vMerge w:val="continue"/>
                </w:tcPr>
                <w:p>
                  <w:pPr/>
                </w:p>
              </w:tc>
              <w:tc>
                <w:tcPr/>
                <w:p>
                  <w:pPr>
                    <w:pStyle w:val="Compact"/>
                    <w:jc w:val="center"/>
                  </w:pPr>
                  <w:r>
                    <w:t xml:space="preserve">50–300</w:t>
                  </w:r>
                </w:p>
              </w:tc>
              <w:tc>
                <w:tcPr/>
                <w:p>
                  <w:pPr>
                    <w:pStyle w:val="Compact"/>
                    <w:jc w:val="center"/>
                  </w:pPr>
                  <w:r>
                    <w:t xml:space="preserve">50–300</w:t>
                  </w:r>
                </w:p>
              </w:tc>
              <w:tc>
                <w:tcPr/>
                <w:p>
                  <w:pPr>
                    <w:pStyle w:val="Compact"/>
                    <w:jc w:val="center"/>
                  </w:pPr>
                  <w:r>
                    <w:t xml:space="preserve">selected model</w:t>
                  </w:r>
                </w:p>
              </w:tc>
            </w:tr>
            <w:tr>
              <w:tc>
                <w:tcPr>
                  <w:gridSpan w:val="8"/>
                </w:tcPr>
                <w:p>
                  <w:pPr>
                    <w:pStyle w:val="Compact"/>
                    <w:jc w:val="center"/>
                  </w:pPr>
                  <w:r>
                    <w:t xml:space="preserve">Char. range, the characterized range. PAR, proven acceptable range. Each range is in the unit of its parameter. Each edge is rounded to three significant figures toward the inside of the range, a lower edge up and an upper edge down.</w:t>
                  </w:r>
                </w:p>
              </w:tc>
            </w:tr>
          </w:tbl>
          <w:bookmarkEnd w:id="108"/>
          <w:p/>
        </w:tc>
      </w:tr>
    </w:tbl>
    <w:p>
      <w:pPr>
        <w:pStyle w:val="BodyText"/>
      </w:pPr>
      <w:r>
        <w:t xml:space="preserve">Every range in the column headed</w:t>
      </w:r>
      <w:r>
        <w:t xml:space="preserve"> </w:t>
      </w:r>
      <w:r>
        <w:t xml:space="preserve">“PAR (set-point)”</w:t>
      </w:r>
      <w:r>
        <w:t xml:space="preserve"> </w:t>
      </w:r>
      <w:r>
        <w:t xml:space="preserve">spans the characterized range. Every NOR-propagated range contains its NOR, and all but two span the characterized range. The NOR-propagated ranges of load pH end at 7.215 for XMuLV and 7.2225 for MVM, inside the characterized range, and both reach its upper end. The table rounds these edges inward, so it prints them as 7.22 and 7.23. Their lower edges lie 0.135 and 0.1275 pH units below the lower end of the NOR (7.35). For a parameter that acts on several attributes the range carried into the control strategy is the intersection of its ranges (PCMP-001 §7.6), which for load pH is 7.2225–7.8. Every other multivariate parameter carries its characterized range.</w:t>
      </w:r>
    </w:p>
    <w:p>
      <w:pPr>
        <w:pStyle w:val="BodyText"/>
      </w:pPr>
      <w:hyperlink w:anchor="fig-par-hcp">
        <w:r>
          <w:rPr>
            <w:rStyle w:val="Hyperlink"/>
          </w:rPr>
          <w:t xml:space="preserve">Figure 6</w:t>
        </w:r>
      </w:hyperlink>
      <w:r>
        <w:t xml:space="preserve">,</w:t>
      </w:r>
      <w:r>
        <w:t xml:space="preserve"> </w:t>
      </w:r>
      <w:hyperlink w:anchor="fig-par-xmulv">
        <w:r>
          <w:rPr>
            <w:rStyle w:val="Hyperlink"/>
          </w:rPr>
          <w:t xml:space="preserve">Figure 7</w:t>
        </w:r>
      </w:hyperlink>
      <w:r>
        <w:t xml:space="preserve"> </w:t>
      </w:r>
      <w:r>
        <w:t xml:space="preserve">and</w:t>
      </w:r>
      <w:r>
        <w:t xml:space="preserve"> </w:t>
      </w:r>
      <w:hyperlink w:anchor="fig-par-mvm">
        <w:r>
          <w:rPr>
            <w:rStyle w:val="Hyperlink"/>
          </w:rPr>
          <w:t xml:space="preserve">Figure 8</w:t>
        </w:r>
      </w:hyperlink>
      <w:r>
        <w:t xml:space="preserve"> </w:t>
      </w:r>
      <w:r>
        <w:t xml:space="preserve">plot each output against one parameter at manufacturing scale, with the acceptable region shaded green. For pool host cell protein the plotted parameter is Equil/Wash-1 conductivity, and for both viruses load pH. The effect of load pH on pool host cell protein and that of load conductivity on each virus are equal in size to the plotted effect within their standard errors (</w:t>
      </w:r>
      <w:hyperlink w:anchor="sec-coef">
        <w:r>
          <w:rPr>
            <w:rStyle w:val="Hyperlink"/>
          </w:rPr>
          <w:t xml:space="preserve">Section 5.3.2</w:t>
        </w:r>
      </w:hyperlink>
      <w:r>
        <w:t xml:space="preserve">). For the viruses, load pH is the parameter whose NOR-propagated range ends inside the characterized range. PCP-008 asks for a figure of each range against the parameter that governs it. The MVM figure is drawn against load pH, while the coefficient of load conductivity in that model is slightly larger in size. No figure is drawn for fragments, whose model has no term (PD-008-08).</w:t>
      </w:r>
    </w:p>
    <w:tbl>
      <w:tblPr>
        <w:tblStyle w:val="Table"/>
        <w:tblW w:type="pct" w:w="5000"/>
        <w:tblLayout w:type="fixed"/>
        <w:tblLook w:firstRow="0" w:lastRow="0" w:firstColumn="0" w:lastColumn="0" w:noHBand="0" w:noVBand="0" w:val="0000"/>
      </w:tblPr>
      <w:tblGrid>
        <w:gridCol w:w="7920"/>
      </w:tblGrid>
      <w:tr>
        <w:tc>
          <w:tcPr/>
          <w:bookmarkStart w:id="112" w:name="fig-par-hcp"/>
          <w:p>
            <w:pPr>
              <w:pStyle w:val="Compact"/>
              <w:jc w:val="center"/>
            </w:pPr>
            <w:r>
              <w:drawing>
                <wp:inline>
                  <wp:extent cx="5334000" cy="1845992"/>
                  <wp:effectExtent b="0" l="0" r="0" t="0"/>
                  <wp:docPr descr="" title="" id="110" name="Picture"/>
                  <a:graphic>
                    <a:graphicData uri="http://schemas.openxmlformats.org/drawingml/2006/picture">
                      <pic:pic>
                        <pic:nvPicPr>
                          <pic:cNvPr descr="PCR-008_aex_files/figure-docx/fig-par-hcp-output-1.png" id="111" name="Picture"/>
                          <pic:cNvPicPr>
                            <a:picLocks noChangeArrowheads="1" noChangeAspect="1"/>
                          </pic:cNvPicPr>
                        </pic:nvPicPr>
                        <pic:blipFill>
                          <a:blip r:embed="rId109"/>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Proven acceptable range of Equil/Wash-1 conductivity for pool host cell protein, at manufacturing scale.</w:t>
            </w:r>
          </w:p>
          <w:bookmarkEnd w:id="112"/>
        </w:tc>
      </w:tr>
    </w:tbl>
    <w:tbl>
      <w:tblPr>
        <w:tblStyle w:val="Table"/>
        <w:tblW w:type="pct" w:w="5000"/>
        <w:tblLayout w:type="fixed"/>
        <w:tblLook w:firstRow="0" w:lastRow="0" w:firstColumn="0" w:lastColumn="0" w:noHBand="0" w:noVBand="0" w:val="0000"/>
      </w:tblPr>
      <w:tblGrid>
        <w:gridCol w:w="7920"/>
      </w:tblGrid>
      <w:tr>
        <w:tc>
          <w:tcPr/>
          <w:bookmarkStart w:id="116" w:name="fig-par-xmulv"/>
          <w:p>
            <w:pPr>
              <w:pStyle w:val="Compact"/>
              <w:jc w:val="center"/>
            </w:pPr>
            <w:r>
              <w:drawing>
                <wp:inline>
                  <wp:extent cx="5334000" cy="1845992"/>
                  <wp:effectExtent b="0" l="0" r="0" t="0"/>
                  <wp:docPr descr="" title="" id="114" name="Picture"/>
                  <a:graphic>
                    <a:graphicData uri="http://schemas.openxmlformats.org/drawingml/2006/picture">
                      <pic:pic>
                        <pic:nvPicPr>
                          <pic:cNvPr descr="PCR-008_aex_files/figure-docx/fig-par-xmulv-output-1.png" id="115" name="Picture"/>
                          <pic:cNvPicPr>
                            <a:picLocks noChangeArrowheads="1" noChangeAspect="1"/>
                          </pic:cNvPicPr>
                        </pic:nvPicPr>
                        <pic:blipFill>
                          <a:blip r:embed="rId113"/>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Proven acceptable range of load pH for the XMuLV LRF.</w:t>
            </w:r>
          </w:p>
          <w:bookmarkEnd w:id="116"/>
        </w:tc>
      </w:tr>
    </w:tbl>
    <w:tbl>
      <w:tblPr>
        <w:tblStyle w:val="Table"/>
        <w:tblW w:type="pct" w:w="5000"/>
        <w:tblLayout w:type="fixed"/>
        <w:tblLook w:firstRow="0" w:lastRow="0" w:firstColumn="0" w:lastColumn="0" w:noHBand="0" w:noVBand="0" w:val="0000"/>
      </w:tblPr>
      <w:tblGrid>
        <w:gridCol w:w="7920"/>
      </w:tblGrid>
      <w:tr>
        <w:tc>
          <w:tcPr/>
          <w:bookmarkStart w:id="120" w:name="fig-par-mvm"/>
          <w:p>
            <w:pPr>
              <w:pStyle w:val="Compact"/>
              <w:jc w:val="center"/>
            </w:pPr>
            <w:r>
              <w:drawing>
                <wp:inline>
                  <wp:extent cx="5334000" cy="1845992"/>
                  <wp:effectExtent b="0" l="0" r="0" t="0"/>
                  <wp:docPr descr="" title="" id="118" name="Picture"/>
                  <a:graphic>
                    <a:graphicData uri="http://schemas.openxmlformats.org/drawingml/2006/picture">
                      <pic:pic>
                        <pic:nvPicPr>
                          <pic:cNvPr descr="PCR-008_aex_files/figure-docx/fig-par-mvm-output-1.png" id="119" name="Picture"/>
                          <pic:cNvPicPr>
                            <a:picLocks noChangeArrowheads="1" noChangeAspect="1"/>
                          </pic:cNvPicPr>
                        </pic:nvPicPr>
                        <pic:blipFill>
                          <a:blip r:embed="rId117"/>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Proven acceptable range of load pH for the MVM LRF.</w:t>
            </w:r>
          </w:p>
          <w:bookmarkEnd w:id="120"/>
        </w:tc>
      </w:tr>
    </w:tbl>
    <w:bookmarkEnd w:id="121"/>
    <w:bookmarkStart w:id="122" w:name="sec-par-flow"/>
    <w:p>
      <w:pPr>
        <w:pStyle w:val="Heading2"/>
      </w:pPr>
      <w:r>
        <w:t xml:space="preserve">7.4 Operating flow rate</w:t>
      </w:r>
    </w:p>
    <w:p>
      <w:pPr>
        <w:pStyle w:val="FirstParagraph"/>
      </w:pPr>
      <w:r>
        <w:t xml:space="preserve">The proven acceptable range of operating flow rate rests on the univariate study (</w:t>
      </w:r>
      <w:hyperlink w:anchor="sec-flow">
        <w:r>
          <w:rPr>
            <w:rStyle w:val="Hyperlink"/>
          </w:rPr>
          <w:t xml:space="preserve">Section 5.4</w:t>
        </w:r>
      </w:hyperlink>
      <w:r>
        <w:t xml:space="preserve">). Every result at both ends of the range met the host cell protein criterion, so the range 150–450 cm/hr is proven acceptable for pool host cell protein. For viral clearance, the spiked run at 450 cm/hr met both claims and supports the upper end of the range. A longer residence time at the lower end is not expected to lower binding, and this was not tested. Fragments were not measured in the flow-rate study, and no range of flow rate is claimed for them.</w:t>
      </w:r>
    </w:p>
    <w:bookmarkEnd w:id="122"/>
    <w:bookmarkStart w:id="125" w:name="sec-verification"/>
    <w:p>
      <w:pPr>
        <w:pStyle w:val="Heading2"/>
      </w:pPr>
      <w:r>
        <w:t xml:space="preserve">7.5 Verification of the platform worst case</w:t>
      </w:r>
    </w:p>
    <w:p>
      <w:pPr>
        <w:pStyle w:val="FirstParagraph"/>
      </w:pPr>
      <w:r>
        <w:t xml:space="preserve">The host cell protein criteria of the Protein A pool and the cation exchange pool assume that anion exchange clears host cell protein at least 4-fold, the lowest clearance of the platform. This report verifies that assumption by the rule of PCMP-001 §7.5 (</w:t>
      </w:r>
      <w:hyperlink w:anchor="tbl-iac-verification">
        <w:r>
          <w:rPr>
            <w:rStyle w:val="Hyperlink"/>
          </w:rPr>
          <w:t xml:space="preserve">Table 23</w:t>
        </w:r>
      </w:hyperlink>
      <w:r>
        <w:t xml:space="preserve">). The clearance factor is the host cell protein of the load divided by the predicted pool value at manufacturing scale. That value is the scale-down prediction divided by the offset of the scale-down model at its estimate, as PCMP-001 §7.1 requires of every judgement of a scale-down result. The load is taken as the cation exchange pool of the process model at set-point, 117.0 ng/mg. The factor is evaluated at every combination of NOR low, set-point and NOR high, with the NOR and the set-point as characterized, on the model selected on the 28 planned runs. The criteria in force were derived from these runs.</w:t>
      </w:r>
    </w:p>
    <w:tbl>
      <w:tblPr>
        <w:tblStyle w:val="Table"/>
        <w:tblW w:type="pct" w:w="5000"/>
        <w:tblLayout w:type="fixed"/>
        <w:tblLook w:firstRow="0" w:lastRow="0" w:firstColumn="0" w:lastColumn="0" w:noHBand="0" w:noVBand="0" w:val="0000"/>
      </w:tblPr>
      <w:tblGrid>
        <w:gridCol w:w="7920"/>
      </w:tblGrid>
      <w:tr>
        <w:tc>
          <w:tcPr/>
          <w:bookmarkStart w:id="123" w:name="tbl-iac-verification"/>
          <w:p>
            <w:pPr>
              <w:jc w:val="center"/>
            </w:pPr>
            <w:pPr>
              <w:jc w:val="start"/>
              <w:spacing w:before="200"/>
              <w:pStyle w:val="ImageCaption"/>
            </w:pPr>
            <w:r>
              <w:t xml:space="preserve">Table 23: Platform worst cases assumed by the intermediate acceptance criteria, against this campaign’s results.</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Step</w:t>
                  </w:r>
                </w:p>
              </w:tc>
              <w:tc>
                <w:tcPr>
                  <w:vMerge w:val="restart"/>
                </w:tcPr>
                <w:p>
                  <w:pPr>
                    <w:pStyle w:val="Compact"/>
                    <w:jc w:val="center"/>
                  </w:pPr>
                  <w:r>
                    <w:t xml:space="preserve">Attribute</w:t>
                  </w:r>
                </w:p>
              </w:tc>
              <w:tc>
                <w:tcPr>
                  <w:vMerge w:val="restart"/>
                </w:tcPr>
                <w:p>
                  <w:pPr>
                    <w:pStyle w:val="Compact"/>
                    <w:jc w:val="center"/>
                  </w:pPr>
                  <w:r>
                    <w:t xml:space="preserve">Worst case</w:t>
                  </w:r>
                </w:p>
              </w:tc>
              <w:tc>
                <w:tcPr>
                  <w:vMerge w:val="restart"/>
                </w:tcPr>
                <w:p>
                  <w:pPr>
                    <w:pStyle w:val="Compact"/>
                    <w:jc w:val="center"/>
                  </w:pPr>
                  <w:r>
                    <w:t xml:space="preserve">Platform</w:t>
                  </w:r>
                </w:p>
              </w:tc>
              <w:tc>
                <w:tcPr>
                  <w:gridSpan w:val="3"/>
                </w:tcPr>
                <w:p>
                  <w:pPr>
                    <w:pStyle w:val="Compact"/>
                    <w:jc w:val="center"/>
                    <w:jc w:val="center"/>
                  </w:pPr>
                  <w:r>
                    <w:t xml:space="preserve">This campaign</w:t>
                  </w:r>
                </w:p>
              </w:tc>
              <w:tc>
                <w:tcPr>
                  <w:vMerge w:val="restart"/>
                </w:tcPr>
                <w:p>
                  <w:pPr>
                    <w:pStyle w:val="Compact"/>
                    <w:jc w:val="center"/>
                  </w:pPr>
                  <w:r>
                    <w:t xml:space="preserve">Outcome</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jc w:val="center"/>
                  </w:pPr>
                  <w:r>
                    <w:t xml:space="preserve">At the</w:t>
                  </w:r>
                  <w:r>
                    <w:br/>
                  </w:r>
                  <w:r>
                    <w:t xml:space="preserve">edges</w:t>
                  </w:r>
                </w:p>
              </w:tc>
              <w:tc>
                <w:tcPr/>
                <w:p>
                  <w:pPr>
                    <w:pStyle w:val="Compact"/>
                    <w:jc w:val="center"/>
                    <w:jc w:val="center"/>
                  </w:pPr>
                  <w:r>
                    <w:t xml:space="preserve">Within</w:t>
                  </w:r>
                  <w:r>
                    <w:br/>
                  </w:r>
                  <w:r>
                    <w:t xml:space="preserve">the NOR</w:t>
                  </w:r>
                </w:p>
              </w:tc>
              <w:tc>
                <w:tcPr/>
                <w:p>
                  <w:pPr>
                    <w:pStyle w:val="Compact"/>
                    <w:jc w:val="center"/>
                    <w:jc w:val="center"/>
                  </w:pPr>
                  <w:r>
                    <w:t xml:space="preserve">95 %</w:t>
                  </w:r>
                  <w:r>
                    <w:br/>
                  </w:r>
                  <w:r>
                    <w:t xml:space="preserve">bound</w:t>
                  </w:r>
                </w:p>
              </w:tc>
              <w:tc>
                <w:tcPr>
                  <w:gridSpan w:val="1"/>
                  <w:vMerge w:val="continue"/>
                </w:tcPr>
                <w:p>
                  <w:pPr/>
                </w:p>
              </w:tc>
            </w:tr>
            <w:tr>
              <w:tc>
                <w:tcPr>
                  <w:vMerge w:val="restart"/>
                </w:tcPr>
                <w:p>
                  <w:pPr>
                    <w:pStyle w:val="Compact"/>
                    <w:jc w:val="center"/>
                  </w:pPr>
                  <w:r>
                    <w:t xml:space="preserve">Anion exchange</w:t>
                  </w:r>
                </w:p>
              </w:tc>
              <w:tc>
                <w:tcPr/>
                <w:p>
                  <w:pPr>
                    <w:pStyle w:val="Compact"/>
                    <w:jc w:val="center"/>
                  </w:pPr>
                  <w:r>
                    <w:t xml:space="preserve">Host cell protein</w:t>
                  </w:r>
                </w:p>
              </w:tc>
              <w:tc>
                <w:tcPr>
                  <w:vMerge w:val="restart"/>
                </w:tcPr>
                <w:p>
                  <w:pPr>
                    <w:pStyle w:val="Compact"/>
                    <w:jc w:val="center"/>
                  </w:pPr>
                  <w:r>
                    <w:t xml:space="preserve">Clearance factor, lowest</w:t>
                  </w:r>
                </w:p>
              </w:tc>
              <w:tc>
                <w:tcPr/>
                <w:p>
                  <w:pPr>
                    <w:pStyle w:val="Compact"/>
                    <w:jc w:val="center"/>
                  </w:pPr>
                  <w:r>
                    <w:t xml:space="preserve">4.00</w:t>
                  </w:r>
                </w:p>
              </w:tc>
              <w:tc>
                <w:tcPr/>
                <w:p>
                  <w:pPr>
                    <w:pStyle w:val="Compact"/>
                    <w:jc w:val="center"/>
                  </w:pPr>
                  <w:r>
                    <w:t xml:space="preserve">3.55</w:t>
                  </w:r>
                </w:p>
              </w:tc>
              <w:tc>
                <w:tcPr/>
                <w:p>
                  <w:pPr>
                    <w:pStyle w:val="Compact"/>
                    <w:jc w:val="center"/>
                  </w:pPr>
                  <w:r>
                    <w:t xml:space="preserve">5.40</w:t>
                  </w:r>
                </w:p>
              </w:tc>
              <w:tc>
                <w:tcPr/>
                <w:p>
                  <w:pPr>
                    <w:pStyle w:val="Compact"/>
                    <w:jc w:val="center"/>
                  </w:pPr>
                  <w:r>
                    <w:t xml:space="preserve">4.18</w:t>
                  </w:r>
                </w:p>
              </w:tc>
              <w:tc>
                <w:tcPr/>
                <w:p>
                  <w:pPr>
                    <w:pStyle w:val="Compact"/>
                    <w:jc w:val="center"/>
                  </w:pPr>
                  <w:r>
                    <w:t xml:space="preserve">Better, widened</w:t>
                  </w:r>
                  <w:r>
                    <w:rPr>
                      <w:vertAlign w:val="superscript"/>
                    </w:rPr>
                    <w:t xml:space="preserve">a)</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10.0</w:t>
                  </w:r>
                </w:p>
              </w:tc>
              <w:tc>
                <w:tcPr>
                  <w:gridSpan w:val="4"/>
                </w:tcPr>
                <w:p>
                  <w:pPr>
                    <w:pStyle w:val="Compact"/>
                    <w:jc w:val="center"/>
                  </w:pPr>
                  <w:r>
                    <w:t xml:space="preserve">not a response</w:t>
                  </w:r>
                  <w:r>
                    <w:rPr>
                      <w:vertAlign w:val="superscript"/>
                    </w:rPr>
                    <w:t xml:space="preserve">b)</w:t>
                  </w:r>
                </w:p>
              </w:tc>
            </w:tr>
            <w:tr>
              <w:tc>
                <w:tcPr>
                  <w:gridSpan w:val="8"/>
                </w:tcPr>
                <w:p>
                  <w:pPr>
                    <w:pStyle w:val="Compact"/>
                    <w:jc w:val="center"/>
                  </w:pPr>
                  <w:r>
                    <w:rPr>
                      <w:vertAlign w:val="superscript"/>
                    </w:rPr>
                    <w:t xml:space="preserve">a)</w:t>
                  </w:r>
                  <w:r>
                    <w:t xml:space="preserve"> </w:t>
                  </w:r>
                  <w:r>
                    <w:t xml:space="preserve">The one-sided 95 % prediction bound of a single batch is better than the platform worst case. The criteria upstream of this step were recalculated with the bound.</w:t>
                  </w:r>
                </w:p>
              </w:tc>
            </w:tr>
            <w:tr>
              <w:tc>
                <w:tcPr>
                  <w:gridSpan w:val="8"/>
                </w:tcPr>
                <w:p>
                  <w:pPr>
                    <w:pStyle w:val="Compact"/>
                    <w:jc w:val="center"/>
                  </w:pPr>
                  <w:r>
                    <w:rPr>
                      <w:vertAlign w:val="superscript"/>
                    </w:rPr>
                    <w:t xml:space="preserve">b)</w:t>
                  </w:r>
                  <w:r>
                    <w:t xml:space="preserve"> </w:t>
                  </w:r>
                  <w:r>
                    <w:t xml:space="preserve">Not a response of the response-surface study at this step, so the platform value stands unverified.</w:t>
                  </w:r>
                </w:p>
              </w:tc>
            </w:tr>
            <w:tr>
              <w:tc>
                <w:tcPr>
                  <w:gridSpan w:val="8"/>
                </w:tcPr>
                <w:p>
                  <w:pPr>
                    <w:pStyle w:val="Compact"/>
                    <w:jc w:val="center"/>
                  </w:pPr>
                  <w:r>
                    <w:t xml:space="preserve">Computed from unrounded values. A criterion recomputed from the rounded values shown can differ in its last digit.</w:t>
                  </w:r>
                </w:p>
              </w:tc>
            </w:tr>
          </w:tbl>
          <w:bookmarkEnd w:id="123"/>
          <w:p/>
        </w:tc>
      </w:tr>
    </w:tbl>
    <w:p>
      <w:pPr>
        <w:pStyle w:val="BodyText"/>
      </w:pPr>
      <w:r>
        <w:t xml:space="preserve">On this model of the planned runs the lowest predicted clearance factor within the NOR is 5.40, better than the platform value. The model of all 40 runs, which</w:t>
      </w:r>
      <w:r>
        <w:t xml:space="preserve"> </w:t>
      </w:r>
      <w:hyperlink w:anchor="tbl-criteria-aex">
        <w:r>
          <w:rPr>
            <w:rStyle w:val="Hyperlink"/>
          </w:rPr>
          <w:t xml:space="preserve">Table 21</w:t>
        </w:r>
      </w:hyperlink>
      <w:r>
        <w:t xml:space="preserve"> </w:t>
      </w:r>
      <w:r>
        <w:t xml:space="preserve">uses, gives 5.34. The one-sided 95 % prediction bound of a single batch at the least favourable combination is 4.18-fold, also better. The model behind it meets the first three adequacy criteria of PCMP-001 §7.2, with R² minus predicted R² of 0.024 and a lack of fit p-value of 0.824, and it is not an exact fit. For the model of all runs</w:t>
      </w:r>
      <w:r>
        <w:t xml:space="preserve"> </w:t>
      </w:r>
      <w:hyperlink w:anchor="tbl-adequacy">
        <w:r>
          <w:rPr>
            <w:rStyle w:val="Hyperlink"/>
          </w:rPr>
          <w:t xml:space="preserve">Table 12</w:t>
        </w:r>
      </w:hyperlink>
      <w:r>
        <w:t xml:space="preserve"> </w:t>
      </w:r>
      <w:r>
        <w:t xml:space="preserve">gives 0.021 and 0.842. By the widening rule of the master plan (PCMP-001 §7.5) the bound replaced the platform value. The Protein A pool criterion widened from 16,000 to 16,719 ng/mg and the cation exchange pool criterion from 400 to 418 ng/mg. On all 40 runs the bound would be 4.18-fold. The bound rests on a model that meets all four adequacy criteria, and the model selected on the planned runs predicted every augmentation run inside its prediction interval (</w:t>
      </w:r>
      <w:hyperlink w:anchor="sec-reeval">
        <w:r>
          <w:rPr>
            <w:rStyle w:val="Hyperlink"/>
          </w:rPr>
          <w:t xml:space="preserve">Section 5.3.3</w:t>
        </w:r>
      </w:hyperlink>
      <w:r>
        <w:t xml:space="preserve">).</w:t>
      </w:r>
    </w:p>
    <w:p>
      <w:pPr>
        <w:pStyle w:val="BodyText"/>
      </w:pPr>
      <w:r>
        <w:t xml:space="preserve">The bound has three limits. First, it covers the NOR only. At the edges of the characterized range clearance was worse. Run 8, at the low end of load pH and the high ends of both conductivities and of protein load, gave the highest pool host cell protein of the 28 planned response-surface runs, and a clearance factor of 3.55, below the platform value. Screening run 5 gave a lower factor still, 3.21.</w:t>
      </w:r>
    </w:p>
    <w:p>
      <w:pPr>
        <w:pStyle w:val="BodyText"/>
      </w:pPr>
      <w:r>
        <w:t xml:space="preserve">Second, the bound depends on the model selection. The plan’s full quadratic model of the planned runs gives a bound of 4.22-fold, but it fails the limit on overfitting (0.27), and on that model the platform value would stand. The two upstream criteria would then have stayed at 16,000 and 400 ng/mg, and at the cation exchange criterion of 400 ng/mg the scale-down model of cation exchange would not be qualified for host cell protein (INV-002).</w:t>
      </w:r>
    </w:p>
    <w:p>
      <w:pPr>
        <w:pStyle w:val="BodyText"/>
      </w:pPr>
      <w:r>
        <w:t xml:space="preserve">Third, the bound is sensitive to the offset of the scale-down model. It is calculated with the offset at its estimate, 0.979. At the unfavourable end of its 90 % interval, 0.723, where manufacturing scale would carry the most host cell protein relative to the scale-down model, the bound would be 3.08-fold, below the platform value.</w:t>
      </w:r>
    </w:p>
    <w:p>
      <w:pPr>
        <w:pStyle w:val="BodyText"/>
      </w:pPr>
      <w:r>
        <w:t xml:space="preserve">Whether the bound depends on a single run was examined as PCP-008 §7 and PCMP-001 §7.5 require (</w:t>
      </w:r>
      <w:hyperlink w:anchor="tbl-bound">
        <w:r>
          <w:rPr>
            <w:rStyle w:val="Hyperlink"/>
          </w:rPr>
          <w:t xml:space="preserve">Table 24</w:t>
        </w:r>
      </w:hyperlink>
      <w:r>
        <w:t xml:space="preserve">). In the model of the planned runs, runs 2 and 9 have a Cook’s distance above 4/n (0.143), and neither exceeds the median of the F distribution (0.81). Deleting each of the 28 runs in turn gives bounds from 4.13-fold, with run 5 deleted, to 4.49-fold, with run 19 deleted. Every one is better than the platform value on a model that meets the first three criteria, so the widening does not depend on a single run.</w:t>
      </w:r>
    </w:p>
    <w:tbl>
      <w:tblPr>
        <w:tblStyle w:val="Table"/>
        <w:tblW w:type="pct" w:w="5000"/>
        <w:tblLayout w:type="fixed"/>
        <w:tblLook w:firstRow="0" w:lastRow="0" w:firstColumn="0" w:lastColumn="0" w:noHBand="0" w:noVBand="0" w:val="0000"/>
      </w:tblPr>
      <w:tblGrid>
        <w:gridCol w:w="7920"/>
      </w:tblGrid>
      <w:tr>
        <w:tc>
          <w:tcPr/>
          <w:bookmarkStart w:id="124" w:name="tbl-bound"/>
          <w:p>
            <w:pPr>
              <w:jc w:val="center"/>
            </w:pPr>
            <w:pPr>
              <w:jc w:val="start"/>
              <w:spacing w:before="200"/>
              <w:pStyle w:val="ImageCaption"/>
            </w:pPr>
            <w:r>
              <w:t xml:space="preserve">Table 24: The one-sided 95 % prediction bound of a single batch for the host cell protein clearance of anion exchange, and its alternatives.</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Analysis</w:t>
                  </w:r>
                </w:p>
              </w:tc>
              <w:tc>
                <w:tcPr/>
                <w:p>
                  <w:pPr>
                    <w:pStyle w:val="Compact"/>
                    <w:jc w:val="center"/>
                  </w:pPr>
                  <w:r>
                    <w:t xml:space="preserve">Runs</w:t>
                  </w:r>
                </w:p>
              </w:tc>
              <w:tc>
                <w:tcPr/>
                <w:p>
                  <w:pPr>
                    <w:pStyle w:val="Compact"/>
                    <w:jc w:val="center"/>
                  </w:pPr>
                  <w:r>
                    <w:t xml:space="preserve">Bound,</w:t>
                  </w:r>
                  <w:r>
                    <w:br/>
                  </w:r>
                  <w:r>
                    <w:t xml:space="preserve">fold</w:t>
                  </w:r>
                </w:p>
              </w:tc>
              <w:tc>
                <w:tcPr/>
                <w:p>
                  <w:pPr>
                    <w:pStyle w:val="Compact"/>
                    <w:jc w:val="center"/>
                  </w:pPr>
                  <w:r>
                    <w:t xml:space="preserve">Better than</w:t>
                  </w:r>
                  <w:r>
                    <w:br/>
                  </w:r>
                  <w:r>
                    <w:t xml:space="preserve">4-fold</w:t>
                  </w:r>
                </w:p>
              </w:tc>
              <w:tc>
                <w:tcPr/>
                <w:p>
                  <w:pPr>
                    <w:pStyle w:val="Compact"/>
                    <w:jc w:val="center"/>
                  </w:pPr>
                  <w:r>
                    <w:t xml:space="preserve">Model meets</w:t>
                  </w:r>
                  <w:r>
                    <w:br/>
                  </w:r>
                  <w:r>
                    <w:t xml:space="preserve">criteria 1 to 3</w:t>
                  </w:r>
                </w:p>
              </w:tc>
            </w:tr>
            <w:tr>
              <w:tc>
                <w:tcPr/>
                <w:p>
                  <w:pPr>
                    <w:pStyle w:val="Compact"/>
                    <w:jc w:val="center"/>
                  </w:pPr>
                  <w:r>
                    <w:t xml:space="preserve">Selected model, planned runs, offset at its estimate (in force)</w:t>
                  </w:r>
                </w:p>
              </w:tc>
              <w:tc>
                <w:tcPr/>
                <w:p>
                  <w:pPr>
                    <w:pStyle w:val="Compact"/>
                    <w:jc w:val="center"/>
                  </w:pPr>
                  <w:r>
                    <w:t xml:space="preserve">28</w:t>
                  </w:r>
                </w:p>
              </w:tc>
              <w:tc>
                <w:tcPr/>
                <w:p>
                  <w:pPr>
                    <w:pStyle w:val="Compact"/>
                    <w:jc w:val="center"/>
                  </w:pPr>
                  <w:r>
                    <w:t xml:space="preserve">4.18</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Selected model, all runs</w:t>
                  </w:r>
                </w:p>
              </w:tc>
              <w:tc>
                <w:tcPr/>
                <w:p>
                  <w:pPr>
                    <w:pStyle w:val="Compact"/>
                    <w:jc w:val="center"/>
                  </w:pPr>
                  <w:r>
                    <w:t xml:space="preserve">40</w:t>
                  </w:r>
                </w:p>
              </w:tc>
              <w:tc>
                <w:tcPr/>
                <w:p>
                  <w:pPr>
                    <w:pStyle w:val="Compact"/>
                    <w:jc w:val="center"/>
                  </w:pPr>
                  <w:r>
                    <w:t xml:space="preserve">4.18</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Run 5 deleted, lowest of the deletions</w:t>
                  </w:r>
                </w:p>
              </w:tc>
              <w:tc>
                <w:tcPr/>
                <w:p>
                  <w:pPr>
                    <w:pStyle w:val="Compact"/>
                    <w:jc w:val="center"/>
                  </w:pPr>
                  <w:r>
                    <w:t xml:space="preserve">27</w:t>
                  </w:r>
                </w:p>
              </w:tc>
              <w:tc>
                <w:tcPr/>
                <w:p>
                  <w:pPr>
                    <w:pStyle w:val="Compact"/>
                    <w:jc w:val="center"/>
                  </w:pPr>
                  <w:r>
                    <w:t xml:space="preserve">4.13</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Run 19 deleted, highest of the deletions</w:t>
                  </w:r>
                </w:p>
              </w:tc>
              <w:tc>
                <w:tcPr/>
                <w:p>
                  <w:pPr>
                    <w:pStyle w:val="Compact"/>
                    <w:jc w:val="center"/>
                  </w:pPr>
                  <w:r>
                    <w:t xml:space="preserve">27</w:t>
                  </w:r>
                </w:p>
              </w:tc>
              <w:tc>
                <w:tcPr/>
                <w:p>
                  <w:pPr>
                    <w:pStyle w:val="Compact"/>
                    <w:jc w:val="center"/>
                  </w:pPr>
                  <w:r>
                    <w:t xml:space="preserve">4.49</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Flagged run 2 deleted</w:t>
                  </w:r>
                </w:p>
              </w:tc>
              <w:tc>
                <w:tcPr/>
                <w:p>
                  <w:pPr>
                    <w:pStyle w:val="Compact"/>
                    <w:jc w:val="center"/>
                  </w:pPr>
                  <w:r>
                    <w:t xml:space="preserve">27</w:t>
                  </w:r>
                </w:p>
              </w:tc>
              <w:tc>
                <w:tcPr/>
                <w:p>
                  <w:pPr>
                    <w:pStyle w:val="Compact"/>
                    <w:jc w:val="center"/>
                  </w:pPr>
                  <w:r>
                    <w:t xml:space="preserve">4.49</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Flagged run 9 deleted</w:t>
                  </w:r>
                </w:p>
              </w:tc>
              <w:tc>
                <w:tcPr/>
                <w:p>
                  <w:pPr>
                    <w:pStyle w:val="Compact"/>
                    <w:jc w:val="center"/>
                  </w:pPr>
                  <w:r>
                    <w:t xml:space="preserve">27</w:t>
                  </w:r>
                </w:p>
              </w:tc>
              <w:tc>
                <w:tcPr/>
                <w:p>
                  <w:pPr>
                    <w:pStyle w:val="Compact"/>
                    <w:jc w:val="center"/>
                  </w:pPr>
                  <w:r>
                    <w:t xml:space="preserve">4.24</w:t>
                  </w:r>
                </w:p>
              </w:tc>
              <w:tc>
                <w:tcPr/>
                <w:p>
                  <w:pPr>
                    <w:pStyle w:val="Compact"/>
                    <w:jc w:val="center"/>
                  </w:pPr>
                  <w:r>
                    <w:t xml:space="preserve">Yes</w:t>
                  </w:r>
                </w:p>
              </w:tc>
              <w:tc>
                <w:tcPr/>
                <w:p>
                  <w:pPr>
                    <w:pStyle w:val="Compact"/>
                    <w:jc w:val="center"/>
                  </w:pPr>
                  <w:r>
                    <w:t xml:space="preserve">Yes</w:t>
                  </w:r>
                </w:p>
              </w:tc>
            </w:tr>
            <w:tr>
              <w:tc>
                <w:tcPr/>
                <w:p>
                  <w:pPr>
                    <w:pStyle w:val="Compact"/>
                    <w:jc w:val="center"/>
                  </w:pPr>
                  <w:r>
                    <w:t xml:space="preserve">Offset at the unfavourable end of its 90 % interval</w:t>
                  </w:r>
                </w:p>
              </w:tc>
              <w:tc>
                <w:tcPr/>
                <w:p>
                  <w:pPr>
                    <w:pStyle w:val="Compact"/>
                    <w:jc w:val="center"/>
                  </w:pPr>
                  <w:r>
                    <w:t xml:space="preserve">28</w:t>
                  </w:r>
                </w:p>
              </w:tc>
              <w:tc>
                <w:tcPr/>
                <w:p>
                  <w:pPr>
                    <w:pStyle w:val="Compact"/>
                    <w:jc w:val="center"/>
                  </w:pPr>
                  <w:r>
                    <w:t xml:space="preserve">3.08</w:t>
                  </w:r>
                </w:p>
              </w:tc>
              <w:tc>
                <w:tcPr/>
                <w:p>
                  <w:pPr>
                    <w:pStyle w:val="Compact"/>
                    <w:jc w:val="center"/>
                  </w:pPr>
                  <w:r>
                    <w:t xml:space="preserve">No</w:t>
                  </w:r>
                </w:p>
              </w:tc>
              <w:tc>
                <w:tcPr/>
                <w:p>
                  <w:pPr>
                    <w:pStyle w:val="Compact"/>
                    <w:jc w:val="center"/>
                  </w:pPr>
                  <w:r>
                    <w:t xml:space="preserve">Yes</w:t>
                  </w:r>
                </w:p>
              </w:tc>
            </w:tr>
            <w:tr>
              <w:tc>
                <w:tcPr/>
                <w:p>
                  <w:pPr>
                    <w:pStyle w:val="Compact"/>
                    <w:jc w:val="center"/>
                  </w:pPr>
                  <w:r>
                    <w:t xml:space="preserve">Plan's full quadratic model, no selection</w:t>
                  </w:r>
                </w:p>
              </w:tc>
              <w:tc>
                <w:tcPr/>
                <w:p>
                  <w:pPr>
                    <w:pStyle w:val="Compact"/>
                    <w:jc w:val="center"/>
                  </w:pPr>
                  <w:r>
                    <w:t xml:space="preserve">28</w:t>
                  </w:r>
                </w:p>
              </w:tc>
              <w:tc>
                <w:tcPr/>
                <w:p>
                  <w:pPr>
                    <w:pStyle w:val="Compact"/>
                    <w:jc w:val="center"/>
                  </w:pPr>
                  <w:r>
                    <w:t xml:space="preserve">4.22</w:t>
                  </w:r>
                </w:p>
              </w:tc>
              <w:tc>
                <w:tcPr/>
                <w:p>
                  <w:pPr>
                    <w:pStyle w:val="Compact"/>
                    <w:jc w:val="center"/>
                  </w:pPr>
                  <w:r>
                    <w:t xml:space="preserve">Yes</w:t>
                  </w:r>
                </w:p>
              </w:tc>
              <w:tc>
                <w:tcPr/>
                <w:p>
                  <w:pPr>
                    <w:pStyle w:val="Compact"/>
                    <w:jc w:val="center"/>
                  </w:pPr>
                  <w:r>
                    <w:t xml:space="preserve">No</w:t>
                  </w:r>
                </w:p>
              </w:tc>
            </w:tr>
            <w:tr>
              <w:tc>
                <w:tcPr>
                  <w:gridSpan w:val="5"/>
                </w:tcPr>
                <w:p>
                  <w:pPr>
                    <w:pStyle w:val="Compact"/>
                    <w:jc w:val="center"/>
                  </w:pPr>
                  <w:r>
                    <w:t xml:space="preserve">Criteria 1 to 3 of PCMP-001 §7.2, the model F-test, the lack of fit test and the limit on overfitting. The bound in force is the first row. Every bound is at manufacturing scale, with the offset at its estimate except in the row that moves it. A deletion repeats the selection on the remaining planned runs.</w:t>
                  </w:r>
                </w:p>
              </w:tc>
            </w:tr>
          </w:tbl>
          <w:bookmarkEnd w:id="124"/>
          <w:p/>
        </w:tc>
      </w:tr>
    </w:tbl>
    <w:p>
      <w:pPr>
        <w:pStyle w:val="BodyText"/>
      </w:pPr>
      <w:r>
        <w:t xml:space="preserve">The widening is argued by its risk, in the four parts PCMP-001 §7.5 sets:</w:t>
      </w:r>
    </w:p>
    <w:p>
      <w:pPr>
        <w:pStyle w:val="Compact"/>
        <w:numPr>
          <w:ilvl w:val="0"/>
          <w:numId w:val="1004"/>
        </w:numPr>
      </w:pPr>
      <w:r>
        <w:t xml:space="preserve">Who bears the risk. A widened criterion lets an upstream pool with slightly more host cell protein pass to the next step. A cation exchange pool at its widened criterion of 418 ng/mg, cleared only at the platform worst case of 4-fold, would give an anion exchange pool of 104.5 ng/mg, above the drug substance criterion. Such a batch would fail release, so for the species the release test detects the risk is the producer’s.</w:t>
      </w:r>
    </w:p>
    <w:p>
      <w:pPr>
        <w:pStyle w:val="Compact"/>
        <w:numPr>
          <w:ilvl w:val="0"/>
          <w:numId w:val="1004"/>
        </w:numPr>
      </w:pPr>
      <w:r>
        <w:t xml:space="preserve">Detection. Host cell protein in the drug substance is tested at release by the ELISA AMV-3012, whose LOQ of 1 ng/mg lies far below the criterion of 100 ng/mg. The ELISA detects 80 % of the host cell protein species, as measured by 2D western blot against the platform CHO host cell protein antigen. The other 20 % are not seen by release testing either. The clearance factors of this report are measured by the same ELISA, so they do not show how the step clears those species. Nothing in the record covers them, and for that share an excursion would not be detected at release.</w:t>
      </w:r>
    </w:p>
    <w:p>
      <w:pPr>
        <w:pStyle w:val="Compact"/>
        <w:numPr>
          <w:ilvl w:val="0"/>
          <w:numId w:val="1004"/>
        </w:numPr>
      </w:pPr>
      <w:r>
        <w:t xml:space="preserve">What the downstream steps must clear. Anion exchange is the last step that clears host cell protein, and no later step changes it on the platform. Under the widened criteria this step must clear at least 4.18-fold where the platform value asked for 4-fold, which is the clearance the bound shows for a single batch within the NOR.</w:t>
      </w:r>
    </w:p>
    <w:p>
      <w:pPr>
        <w:pStyle w:val="Compact"/>
        <w:numPr>
          <w:ilvl w:val="0"/>
          <w:numId w:val="1004"/>
        </w:numPr>
      </w:pPr>
      <w:r>
        <w:t xml:space="preserve">The probability that the drug substance is out of specification. In the integrated process model no simulated batch exceeded 100 ng/mg, and the tail probability of the normal distribution fitted to the batches is zero to the precision of the calculation. With no batch outside, the one-sided 95 % upper bound from the simulation is 0.15 %. It covers the sampling of the simulation and not the uncertainty of the integrated process model.</w:t>
      </w:r>
    </w:p>
    <w:bookmarkEnd w:id="125"/>
    <w:bookmarkEnd w:id="126"/>
    <w:bookmarkStart w:id="128" w:name="sec-capability"/>
    <w:p>
      <w:pPr>
        <w:pStyle w:val="Heading1"/>
      </w:pPr>
      <w:r>
        <w:t xml:space="preserve">8. Process capability and robustness</w:t>
      </w:r>
    </w:p>
    <w:p>
      <w:pPr>
        <w:pStyle w:val="FirstParagraph"/>
      </w:pPr>
      <w:r>
        <w:t xml:space="preserve">Capability at commercial scale comes from the integrated process model of 2,000 simulated batches, against the drug substance criteria (</w:t>
      </w:r>
      <w:hyperlink w:anchor="tbl-cap">
        <w:r>
          <w:rPr>
            <w:rStyle w:val="Hyperlink"/>
          </w:rPr>
          <w:t xml:space="preserve">Table 25</w:t>
        </w:r>
      </w:hyperlink>
      <w:r>
        <w:t xml:space="preserve">). Each Cpk is set against the target of 1.33 and the minimum of 1 of PCMP-001 §7.9, and every attribute this step sets or clears meets the target. The cumulative MVM clearance has the lowest Cpk, 1.51, and the cumulative XMuLV clearance 1.70. Both are cumulative over several steps, and this step contributes one claim to each. No simulated batch fell outside any criterion of the table. The normal tail probability is 3.13 per million for MVM and 0.18 per million for XMuLV, and zero to the precision of the calculation for the other attributes.</w:t>
      </w:r>
    </w:p>
    <w:tbl>
      <w:tblPr>
        <w:tblStyle w:val="Table"/>
        <w:tblW w:type="pct" w:w="5000"/>
        <w:tblLayout w:type="fixed"/>
        <w:tblLook w:firstRow="0" w:lastRow="0" w:firstColumn="0" w:lastColumn="0" w:noHBand="0" w:noVBand="0" w:val="0000"/>
      </w:tblPr>
      <w:tblGrid>
        <w:gridCol w:w="7920"/>
      </w:tblGrid>
      <w:tr>
        <w:tc>
          <w:tcPr/>
          <w:bookmarkStart w:id="127" w:name="tbl-cap"/>
          <w:p>
            <w:pPr>
              <w:jc w:val="center"/>
            </w:pPr>
            <w:pPr>
              <w:jc w:val="start"/>
              <w:spacing w:before="200"/>
              <w:pStyle w:val="ImageCaption"/>
            </w:pPr>
            <w:r>
              <w:t xml:space="preserve">Table 25: Capability at commercial scale of the attributes the anion exchange step sets or clears.</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Attribute</w:t>
                  </w:r>
                </w:p>
              </w:tc>
              <w:tc>
                <w:tcPr/>
                <w:p>
                  <w:pPr>
                    <w:pStyle w:val="Compact"/>
                    <w:jc w:val="center"/>
                  </w:pPr>
                  <w:r>
                    <w:t xml:space="preserve">Criticality</w:t>
                  </w:r>
                </w:p>
              </w:tc>
              <w:tc>
                <w:tcPr/>
                <w:p>
                  <w:pPr>
                    <w:pStyle w:val="Compact"/>
                    <w:jc w:val="center"/>
                  </w:pPr>
                  <w:r>
                    <w:t xml:space="preserve">Drug substance</w:t>
                  </w:r>
                  <w:r>
                    <w:br/>
                  </w:r>
                  <w:r>
                    <w:t xml:space="preserve">criterion</w:t>
                  </w:r>
                </w:p>
              </w:tc>
              <w:tc>
                <w:tcPr/>
                <w:p>
                  <w:pPr>
                    <w:pStyle w:val="Compact"/>
                    <w:jc w:val="center"/>
                  </w:pPr>
                  <w:r>
                    <w:t xml:space="preserve">Mean ± SD</w:t>
                  </w:r>
                </w:p>
              </w:tc>
              <w:tc>
                <w:tcPr/>
                <w:p>
                  <w:pPr>
                    <w:pStyle w:val="Compact"/>
                    <w:jc w:val="center"/>
                  </w:pPr>
                  <w:r>
                    <w:t xml:space="preserve">Cpk</w:t>
                  </w:r>
                </w:p>
              </w:tc>
              <w:tc>
                <w:tcPr/>
                <w:p>
                  <w:pPr>
                    <w:pStyle w:val="Compact"/>
                    <w:jc w:val="center"/>
                  </w:pPr>
                  <w:r>
                    <w:t xml:space="preserve">Against 1.33</w:t>
                  </w:r>
                  <w:r>
                    <w:br/>
                  </w:r>
                  <w:r>
                    <w:t xml:space="preserve">and 1</w:t>
                  </w:r>
                </w:p>
              </w:tc>
              <w:tc>
                <w:tcPr/>
                <w:p>
                  <w:pPr>
                    <w:pStyle w:val="Compact"/>
                    <w:jc w:val="center"/>
                  </w:pPr>
                  <w:r>
                    <w:t xml:space="preserve">Batches</w:t>
                  </w:r>
                  <w:r>
                    <w:br/>
                  </w:r>
                  <w:r>
                    <w:t xml:space="preserve">outside</w:t>
                  </w:r>
                </w:p>
              </w:tc>
            </w:tr>
            <w:tr>
              <w:tc>
                <w:tcPr/>
                <w:p>
                  <w:pPr>
                    <w:pStyle w:val="Compact"/>
                    <w:jc w:val="center"/>
                  </w:pPr>
                  <w:r>
                    <w:t xml:space="preserve">Viral clearance — MVM (parvovirus)</w:t>
                  </w:r>
                </w:p>
              </w:tc>
              <w:tc>
                <w:tcPr/>
                <w:p>
                  <w:pPr>
                    <w:pStyle w:val="Compact"/>
                    <w:jc w:val="center"/>
                  </w:pPr>
                  <w:r>
                    <w:t xml:space="preserve">VH</w:t>
                  </w:r>
                </w:p>
              </w:tc>
              <w:tc>
                <w:tcPr/>
                <w:p>
                  <w:pPr>
                    <w:pStyle w:val="Compact"/>
                    <w:jc w:val="center"/>
                  </w:pPr>
                  <w:r>
                    <w:t xml:space="preserve">≥ 8.6 log10 (cumulative)</w:t>
                  </w:r>
                </w:p>
              </w:tc>
              <w:tc>
                <w:tcPr/>
                <w:p>
                  <w:pPr>
                    <w:pStyle w:val="Compact"/>
                    <w:jc w:val="center"/>
                  </w:pPr>
                  <w:r>
                    <w:t xml:space="preserve">10.38 ± 0.40</w:t>
                  </w:r>
                </w:p>
              </w:tc>
              <w:tc>
                <w:tcPr/>
                <w:p>
                  <w:pPr>
                    <w:pStyle w:val="Compact"/>
                    <w:jc w:val="center"/>
                  </w:pPr>
                  <w:r>
                    <w:t xml:space="preserve">1.51</w:t>
                  </w:r>
                </w:p>
              </w:tc>
              <w:tc>
                <w:tcPr/>
                <w:p>
                  <w:pPr>
                    <w:pStyle w:val="Compact"/>
                    <w:jc w:val="center"/>
                  </w:pPr>
                  <w:r>
                    <w:t xml:space="preserve">Meets the target</w:t>
                  </w:r>
                </w:p>
              </w:tc>
              <w:tc>
                <w:tcPr/>
                <w:p>
                  <w:pPr>
                    <w:pStyle w:val="Compact"/>
                    <w:jc w:val="center"/>
                  </w:pPr>
                  <w:r>
                    <w:t xml:space="preserve">0 of 2000</w:t>
                  </w:r>
                </w:p>
              </w:tc>
            </w:tr>
            <w:tr>
              <w:tc>
                <w:tcPr/>
                <w:p>
                  <w:pPr>
                    <w:pStyle w:val="Compact"/>
                    <w:jc w:val="center"/>
                  </w:pPr>
                  <w:r>
                    <w:t xml:space="preserve">Viral clearance — XMuLV (enveloped)</w:t>
                  </w:r>
                </w:p>
              </w:tc>
              <w:tc>
                <w:tcPr/>
                <w:p>
                  <w:pPr>
                    <w:pStyle w:val="Compact"/>
                    <w:jc w:val="center"/>
                  </w:pPr>
                  <w:r>
                    <w:t xml:space="preserve">VH</w:t>
                  </w:r>
                </w:p>
              </w:tc>
              <w:tc>
                <w:tcPr/>
                <w:p>
                  <w:pPr>
                    <w:pStyle w:val="Compact"/>
                    <w:jc w:val="center"/>
                  </w:pPr>
                  <w:r>
                    <w:t xml:space="preserve">≥ 16.7 log10 (cumulative)</w:t>
                  </w:r>
                </w:p>
              </w:tc>
              <w:tc>
                <w:tcPr/>
                <w:p>
                  <w:pPr>
                    <w:pStyle w:val="Compact"/>
                    <w:jc w:val="center"/>
                  </w:pPr>
                  <w:r>
                    <w:t xml:space="preserve">19.88 ± 0.62</w:t>
                  </w:r>
                </w:p>
              </w:tc>
              <w:tc>
                <w:tcPr/>
                <w:p>
                  <w:pPr>
                    <w:pStyle w:val="Compact"/>
                    <w:jc w:val="center"/>
                  </w:pPr>
                  <w:r>
                    <w:t xml:space="preserve">1.70</w:t>
                  </w:r>
                </w:p>
              </w:tc>
              <w:tc>
                <w:tcPr/>
                <w:p>
                  <w:pPr>
                    <w:pStyle w:val="Compact"/>
                    <w:jc w:val="center"/>
                  </w:pPr>
                  <w:r>
                    <w:t xml:space="preserve">Meets the target</w:t>
                  </w:r>
                </w:p>
              </w:tc>
              <w:tc>
                <w:tcPr/>
                <w:p>
                  <w:pPr>
                    <w:pStyle w:val="Compact"/>
                    <w:jc w:val="center"/>
                  </w:pPr>
                  <w:r>
                    <w:t xml:space="preserve">0 of 2000</w:t>
                  </w:r>
                </w:p>
              </w:tc>
            </w:tr>
            <w:tr>
              <w:tc>
                <w:tcPr/>
                <w:p>
                  <w:pPr>
                    <w:pStyle w:val="Compact"/>
                    <w:jc w:val="center"/>
                  </w:pPr>
                  <w:r>
                    <w:t xml:space="preserve">Host Cell Protein (HCP)</w:t>
                  </w:r>
                </w:p>
              </w:tc>
              <w:tc>
                <w:tcPr/>
                <w:p>
                  <w:pPr>
                    <w:pStyle w:val="Compact"/>
                    <w:jc w:val="center"/>
                  </w:pPr>
                  <w:r>
                    <w:t xml:space="preserve">M-H</w:t>
                  </w:r>
                </w:p>
              </w:tc>
              <w:tc>
                <w:tcPr/>
                <w:p>
                  <w:pPr>
                    <w:pStyle w:val="Compact"/>
                    <w:jc w:val="center"/>
                  </w:pPr>
                  <w:r>
                    <w:t xml:space="preserve">≤ 100 ng/mg</w:t>
                  </w:r>
                </w:p>
              </w:tc>
              <w:tc>
                <w:tcPr/>
                <w:p>
                  <w:pPr>
                    <w:pStyle w:val="Compact"/>
                    <w:jc w:val="center"/>
                  </w:pPr>
                  <w:r>
                    <w:t xml:space="preserve">15.2 ± 4.6</w:t>
                  </w:r>
                </w:p>
              </w:tc>
              <w:tc>
                <w:tcPr/>
                <w:p>
                  <w:pPr>
                    <w:pStyle w:val="Compact"/>
                    <w:jc w:val="center"/>
                  </w:pPr>
                  <w:r>
                    <w:t xml:space="preserve">6.14</w:t>
                  </w:r>
                </w:p>
              </w:tc>
              <w:tc>
                <w:tcPr/>
                <w:p>
                  <w:pPr>
                    <w:pStyle w:val="Compact"/>
                    <w:jc w:val="center"/>
                  </w:pPr>
                  <w:r>
                    <w:t xml:space="preserve">Meets the target</w:t>
                  </w:r>
                </w:p>
              </w:tc>
              <w:tc>
                <w:tcPr/>
                <w:p>
                  <w:pPr>
                    <w:pStyle w:val="Compact"/>
                    <w:jc w:val="center"/>
                  </w:pPr>
                  <w:r>
                    <w:t xml:space="preserve">0 of 2000</w:t>
                  </w:r>
                </w:p>
              </w:tc>
            </w:tr>
            <w:tr>
              <w:tc>
                <w:tcPr/>
                <w:p>
                  <w:pPr>
                    <w:pStyle w:val="Compact"/>
                    <w:jc w:val="center"/>
                  </w:pPr>
                  <w:r>
                    <w:t xml:space="preserve">Residual DNA</w:t>
                  </w:r>
                </w:p>
              </w:tc>
              <w:tc>
                <w:tcPr/>
                <w:p>
                  <w:pPr>
                    <w:pStyle w:val="Compact"/>
                    <w:jc w:val="center"/>
                  </w:pPr>
                  <w:r>
                    <w:t xml:space="preserve">VL</w:t>
                  </w:r>
                </w:p>
              </w:tc>
              <w:tc>
                <w:tcPr/>
                <w:p>
                  <w:pPr>
                    <w:pStyle w:val="Compact"/>
                    <w:jc w:val="center"/>
                  </w:pPr>
                  <w:r>
                    <w:t xml:space="preserve">≤ 0.001 ng/dose</w:t>
                  </w:r>
                </w:p>
              </w:tc>
              <w:tc>
                <w:tcPr/>
                <w:p>
                  <w:pPr>
                    <w:pStyle w:val="Compact"/>
                    <w:jc w:val="center"/>
                  </w:pPr>
                  <w:r>
                    <w:t xml:space="preserve">0.000170 ± 0.000038</w:t>
                  </w:r>
                </w:p>
              </w:tc>
              <w:tc>
                <w:tcPr/>
                <w:p>
                  <w:pPr>
                    <w:pStyle w:val="Compact"/>
                    <w:jc w:val="center"/>
                  </w:pPr>
                  <w:r>
                    <w:t xml:space="preserve">7.30</w:t>
                  </w:r>
                </w:p>
              </w:tc>
              <w:tc>
                <w:tcPr/>
                <w:p>
                  <w:pPr>
                    <w:pStyle w:val="Compact"/>
                    <w:jc w:val="center"/>
                  </w:pPr>
                  <w:r>
                    <w:t xml:space="preserve">Meets the target</w:t>
                  </w:r>
                </w:p>
              </w:tc>
              <w:tc>
                <w:tcPr/>
                <w:p>
                  <w:pPr>
                    <w:pStyle w:val="Compact"/>
                    <w:jc w:val="center"/>
                  </w:pPr>
                  <w:r>
                    <w:t xml:space="preserve">0 of 2000</w:t>
                  </w:r>
                </w:p>
              </w:tc>
            </w:tr>
            <w:tr>
              <w:tc>
                <w:tcPr/>
                <w:p>
                  <w:pPr>
                    <w:pStyle w:val="Compact"/>
                    <w:jc w:val="center"/>
                  </w:pPr>
                  <w:r>
                    <w:t xml:space="preserve">Leached Protein A</w:t>
                  </w:r>
                </w:p>
              </w:tc>
              <w:tc>
                <w:tcPr/>
                <w:p>
                  <w:pPr>
                    <w:pStyle w:val="Compact"/>
                    <w:jc w:val="center"/>
                  </w:pPr>
                  <w:r>
                    <w:t xml:space="preserve">L-M</w:t>
                  </w:r>
                </w:p>
              </w:tc>
              <w:tc>
                <w:tcPr/>
                <w:p>
                  <w:pPr>
                    <w:pStyle w:val="Compact"/>
                    <w:jc w:val="center"/>
                  </w:pPr>
                  <w:r>
                    <w:t xml:space="preserve">≤ 5 ppm</w:t>
                  </w:r>
                </w:p>
              </w:tc>
              <w:tc>
                <w:tcPr/>
                <w:p>
                  <w:pPr>
                    <w:pStyle w:val="Compact"/>
                    <w:jc w:val="center"/>
                  </w:pPr>
                  <w:r>
                    <w:t xml:space="preserve">0.00298 ± 0.00060</w:t>
                  </w:r>
                </w:p>
              </w:tc>
              <w:tc>
                <w:tcPr/>
                <w:p>
                  <w:pPr>
                    <w:pStyle w:val="Compact"/>
                    <w:jc w:val="center"/>
                  </w:pPr>
                  <w:r>
                    <w:t xml:space="preserve">2,785.30</w:t>
                  </w:r>
                </w:p>
              </w:tc>
              <w:tc>
                <w:tcPr/>
                <w:p>
                  <w:pPr>
                    <w:pStyle w:val="Compact"/>
                    <w:jc w:val="center"/>
                  </w:pPr>
                  <w:r>
                    <w:t xml:space="preserve">Meets the target</w:t>
                  </w:r>
                </w:p>
              </w:tc>
              <w:tc>
                <w:tcPr/>
                <w:p>
                  <w:pPr>
                    <w:pStyle w:val="Compact"/>
                    <w:jc w:val="center"/>
                  </w:pPr>
                  <w:r>
                    <w:t xml:space="preserve">0 of 2000</w:t>
                  </w:r>
                </w:p>
              </w:tc>
            </w:tr>
            <w:tr>
              <w:tc>
                <w:tcPr/>
                <w:p>
                  <w:pPr>
                    <w:pStyle w:val="Compact"/>
                    <w:jc w:val="center"/>
                  </w:pPr>
                  <w:r>
                    <w:t xml:space="preserve">Fragments (LMW, clipped species)</w:t>
                  </w:r>
                </w:p>
              </w:tc>
              <w:tc>
                <w:tcPr/>
                <w:p>
                  <w:pPr>
                    <w:pStyle w:val="Compact"/>
                    <w:jc w:val="center"/>
                  </w:pPr>
                  <w:r>
                    <w:t xml:space="preserve">L</w:t>
                  </w:r>
                </w:p>
              </w:tc>
              <w:tc>
                <w:tcPr/>
                <w:p>
                  <w:pPr>
                    <w:pStyle w:val="Compact"/>
                    <w:jc w:val="center"/>
                  </w:pPr>
                  <w:r>
                    <w:t xml:space="preserve">≤ 2 % (nrCE-SDS)</w:t>
                  </w:r>
                </w:p>
              </w:tc>
              <w:tc>
                <w:tcPr/>
                <w:p>
                  <w:pPr>
                    <w:pStyle w:val="Compact"/>
                    <w:jc w:val="center"/>
                  </w:pPr>
                  <w:r>
                    <w:t xml:space="preserve">0.643 ± 0.043</w:t>
                  </w:r>
                </w:p>
              </w:tc>
              <w:tc>
                <w:tcPr/>
                <w:p>
                  <w:pPr>
                    <w:pStyle w:val="Compact"/>
                    <w:jc w:val="center"/>
                  </w:pPr>
                  <w:r>
                    <w:t xml:space="preserve">10.62</w:t>
                  </w:r>
                </w:p>
              </w:tc>
              <w:tc>
                <w:tcPr/>
                <w:p>
                  <w:pPr>
                    <w:pStyle w:val="Compact"/>
                    <w:jc w:val="center"/>
                  </w:pPr>
                  <w:r>
                    <w:t xml:space="preserve">Meets the target</w:t>
                  </w:r>
                </w:p>
              </w:tc>
              <w:tc>
                <w:tcPr/>
                <w:p>
                  <w:pPr>
                    <w:pStyle w:val="Compact"/>
                    <w:jc w:val="center"/>
                  </w:pPr>
                  <w:r>
                    <w:t xml:space="preserve">0 of 2000</w:t>
                  </w:r>
                </w:p>
              </w:tc>
            </w:tr>
            <w:tr>
              <w:tc>
                <w:tcPr>
                  <w:gridSpan w:val="7"/>
                </w:tcPr>
                <w:p>
                  <w:pPr>
                    <w:pStyle w:val="Compact"/>
                    <w:jc w:val="center"/>
                  </w:pPr>
                  <w:r>
                    <w:t xml:space="preserve">Integrated process model of 2,000 simulated batches, every parameter drawn within its NOR. Batches outside, the simulated batches outside the criterion. Viral clearance is cumulative over the steps that clear the virus. Residual DNA per dose of 700 mg, the A-Mab weekly dose of 10 mg/kg for a reference adult of 70 kg. SD, standard deviation.</w:t>
                  </w:r>
                </w:p>
              </w:tc>
            </w:tr>
          </w:tbl>
          <w:bookmarkEnd w:id="127"/>
          <w:p/>
        </w:tc>
      </w:tr>
    </w:tbl>
    <w:p>
      <w:pPr>
        <w:pStyle w:val="BodyText"/>
      </w:pPr>
      <w:r>
        <w:t xml:space="preserve">Two of the Cpk values describe assumptions more than this step. Residual DNA has a Cpk of 7.30, but the integrated process model takes the anion exchange DNA log reduction as 5 log10, and this study can show only more than 1.49 log10 (</w:t>
      </w:r>
      <w:hyperlink w:anchor="sec-dna">
        <w:r>
          <w:rPr>
            <w:rStyle w:val="Hyperlink"/>
          </w:rPr>
          <w:t xml:space="preserve">Section 5.5</w:t>
        </w:r>
      </w:hyperlink>
      <w:r>
        <w:t xml:space="preserve">). The capability of residual DNA therefore rests on that model input, which this study does not confirm. Residual DNA has no intermediate acceptance criterion, because the platform history gives no worst-case DNA clearance for the steps after Protein A (PCMP-001 §7.3). Leached Protein A has a Cpk of 2,785, which is not meaningful for an attribute so far below its criterion. It is judged instead on the pools of this step, all below the LOQ of 0.25 ppm, which lies 20 times below the drug substance criterion of 5 ppm.</w:t>
      </w:r>
    </w:p>
    <w:p>
      <w:pPr>
        <w:pStyle w:val="BodyText"/>
      </w:pPr>
      <w:r>
        <w:t xml:space="preserve">Pool host cell protein has a Cpk of 6.14 in the drug substance and fragments 10.62. The simulation varies each parameter within its NOR and carries no source of commercial variability that the scale-down model does not reproduce. Confirmation at commercial scale is a Stage 2 activity</w:t>
      </w:r>
      <w:r>
        <w:t xml:space="preserve"> </w:t>
      </w:r>
      <w:r>
        <w:t xml:space="preserve">(U.S. Food and Drug Administration 2011)</w:t>
      </w:r>
      <w:r>
        <w:t xml:space="preserve">.</w:t>
      </w:r>
    </w:p>
    <w:bookmarkEnd w:id="128"/>
    <w:bookmarkStart w:id="129" w:name="sec-classification"/>
    <w:p>
      <w:pPr>
        <w:pStyle w:val="Heading1"/>
      </w:pPr>
      <w:r>
        <w:t xml:space="preserve">9. Parameter classification</w:t>
      </w:r>
    </w:p>
    <w:p>
      <w:pPr>
        <w:pStyle w:val="FirstParagraph"/>
      </w:pPr>
      <w:r>
        <w:t xml:space="preserve">Parameters were classified under SOP-4001 by the decision logic of the A-Mab case study as PCMP-001 §7.7 states it</w:t>
      </w:r>
      <w:r>
        <w:t xml:space="preserve"> </w:t>
      </w:r>
      <w:r>
        <w:t xml:space="preserve">(CMC Biotech Working Group 2009)</w:t>
      </w:r>
      <w:r>
        <w:t xml:space="preserve">. A critical process parameter has an effect on a critical quality attribute that is</w:t>
      </w:r>
      <w:r>
        <w:t xml:space="preserve"> </w:t>
      </w:r>
      <w:r>
        <w:t xml:space="preserve">“significant and practically relevant within the characterized range”</w:t>
      </w:r>
      <w:r>
        <w:t xml:space="preserve">. It is well controlled (WC-CPP) when its risk of falling outside its acceptable range is low, and a CPP when that risk is high. PCMP-001 §7.7 adds that</w:t>
      </w:r>
      <w:r>
        <w:t xml:space="preserve"> </w:t>
      </w:r>
      <w:r>
        <w:t xml:space="preserve">“a significant effect that is too small to move the attribute appreciably within the PAR does not by itself make a parameter critical”</w:t>
      </w:r>
      <w:r>
        <w:t xml:space="preserve">. Every attribute of the register is a critical quality attribute (PCMP-001 §3), so an effect on pool host cell protein or on fragments counts in the same way as an effect on viral clearance. An attribute is affected by a parameter when a term that contains the parameter is significant at 0.05 (PCMP-001 §6.2), and this report applies that test to the selected response-surface model, the predictive model. No plan sets a threshold for practical relevance, so where it decides a class this report names its judgement as one. No numerical threshold exists either for how far inside its acceptable range a parameter must be held, so the margin between each NOR and its proven acceptable range is stated. All five parameters were classified as WC-CPP.</w:t>
      </w:r>
    </w:p>
    <w:p>
      <w:pPr>
        <w:pStyle w:val="Compact"/>
        <w:numPr>
          <w:ilvl w:val="0"/>
          <w:numId w:val="1005"/>
        </w:numPr>
      </w:pPr>
      <w:r>
        <w:t xml:space="preserve">Load pH (WC-CPP). Load pH acts on pool host cell protein and on both LRFs, with p &lt; 0.001 in each selected model. Across its characterized range it multiplies pool host cell protein by 0.51 and raises the XMuLV and MVM LRFs by 1.24 and 1.08 log10. Its NOR lies inside every proven acceptable range. The NOR-propagated ranges for the two viruses end 0.135 and 0.1275 pH units below the NOR and 0.15 pH units above it. The other ranges span the characterized range, which reaches 0.15 pH units beyond the NOR on each side. The load is adjusted to its target pH before it is applied (PCP-008 §5.2). Load pH was classified as a WC-CPP.</w:t>
      </w:r>
    </w:p>
    <w:p>
      <w:pPr>
        <w:pStyle w:val="Compact"/>
        <w:numPr>
          <w:ilvl w:val="0"/>
          <w:numId w:val="1005"/>
        </w:numPr>
      </w:pPr>
      <w:r>
        <w:t xml:space="preserve">Equil/Wash-1 conductivity (WC-CPP). Equil/Wash-1 conductivity acts on pool host cell protein, a critical quality attribute of moderate to high criticality (p &lt; 0.001), which it multiplies by 2.13 across its characterized range. No effect on either LRF, on step yield or on fragments was detected. Every proven acceptable range spans the characterized range, which reaches 0.5 mS/cm beyond the NOR on each side. The conductivity is set when the buffer is prepared. Equil/Wash-1 conductivity was classified as a WC-CPP.</w:t>
      </w:r>
    </w:p>
    <w:p>
      <w:pPr>
        <w:pStyle w:val="Compact"/>
        <w:numPr>
          <w:ilvl w:val="0"/>
          <w:numId w:val="1005"/>
        </w:numPr>
      </w:pPr>
      <w:r>
        <w:t xml:space="preserve">Load conductivity (WC-CPP). Load conductivity lowers both LRFs (p &lt; 0.001), by 1.11 log10 for XMuLV and 1.13 log10 for MVM across its characterized range. No effect on pool host cell protein, step yield or fragments was detected. Every proven acceptable range spans the characterized range, which reaches 1 mS/cm beyond the NOR on each side. The load is adjusted to its target conductivity before it is applied. Load conductivity was classified as a WC-CPP.</w:t>
      </w:r>
    </w:p>
    <w:p>
      <w:pPr>
        <w:pStyle w:val="Compact"/>
        <w:numPr>
          <w:ilvl w:val="0"/>
          <w:numId w:val="1005"/>
        </w:numPr>
      </w:pPr>
      <w:r>
        <w:t xml:space="preserve">Protein load (WC-CPP). The selected XMuLV model carries the interaction of protein load with load pH (p = 0.017), which changes the LRF across the protein load range by −0.33 to +0.44 log10, depending on load pH. That change is of the size of the repeatability of the XMuLV assay. The other XMuLV model within 2 AICc units drops the interaction, so the interaction is not established as an effect of protein load (</w:t>
      </w:r>
      <w:hyperlink w:anchor="sec-coef">
        <w:r>
          <w:rPr>
            <w:rStyle w:val="Hyperlink"/>
          </w:rPr>
          <w:t xml:space="preserve">Section 5.3.2</w:t>
        </w:r>
      </w:hyperlink>
      <w:r>
        <w:t xml:space="preserve">,</w:t>
      </w:r>
      <w:r>
        <w:t xml:space="preserve"> </w:t>
      </w:r>
      <w:hyperlink w:anchor="sec-near">
        <w:r>
          <w:rPr>
            <w:rStyle w:val="Hyperlink"/>
          </w:rPr>
          <w:t xml:space="preserve">Section 5.3.4</w:t>
        </w:r>
      </w:hyperlink>
      <w:r>
        <w:t xml:space="preserve">). The term enters the least favourable combination for XMuLV, where the margin to the claim is smallest (</w:t>
      </w:r>
      <w:hyperlink w:anchor="sec-par-results">
        <w:r>
          <w:rPr>
            <w:rStyle w:val="Hyperlink"/>
          </w:rPr>
          <w:t xml:space="preserve">Section 7.2</w:t>
        </w:r>
      </w:hyperlink>
      <w:r>
        <w:t xml:space="preserve">). The class of WC-CPP is a conservative judgement on that term. No effect on pool host cell protein, MVM or step yield was detected. For fragments the screening model carried an interaction of protein load with load pH (p = 0.029), and the selected response-surface model contains no term. Every proven acceptable range spans the characterized range, which reaches 70 g/L resin below the NOR and 20 g/L resin above it. Protein load was classified as a WC-CPP.</w:t>
      </w:r>
    </w:p>
    <w:p>
      <w:pPr>
        <w:pStyle w:val="Compact"/>
        <w:numPr>
          <w:ilvl w:val="0"/>
          <w:numId w:val="1005"/>
        </w:numPr>
      </w:pPr>
      <w:r>
        <w:t xml:space="preserve">Operating flow rate (WC-CPP). No effect of flow rate was detected. Pool host cell protein and step yield did not differ significantly between the two ends of its range, and the spiked run at the shortest residence time met both viral claims and lay inside the prediction interval at the set-point (</w:t>
      </w:r>
      <w:hyperlink w:anchor="sec-flow">
        <w:r>
          <w:rPr>
            <w:rStyle w:val="Hyperlink"/>
          </w:rPr>
          <w:t xml:space="preserve">Section 5.4</w:t>
        </w:r>
      </w:hyperlink>
      <w:r>
        <w:t xml:space="preserve">). The range proven acceptable for pool host cell protein is the characterized range, which reaches 50 cm/hr beyond the NOR on each side. For viral clearance only its upper end, 50 cm/hr above the NOR, was tested. By the rule of PCMP-001 §7.7 alone, a parameter with no demonstrated effect on a critical quality attribute would be a general process parameter. The class of WC-CPP is a judgement on the scope of the viral clearance claim. The claims of this step were demonstrated only inside the flow-rate range studied, with a single spiked run at its upper end. Flow rate could act on viral clearance through the residence time, because virus particles diffuse slowly to the ligand (PCP-008 §4.1 and §6.4). The study cannot resolve an interaction of flow rate with load pH or load conductivity, which act on clearance. Operating flow rate was classified as a WC-CPP, so that it is held within the conditions under which the claim was shown.</w:t>
      </w:r>
    </w:p>
    <w:bookmarkEnd w:id="129"/>
    <w:bookmarkStart w:id="130" w:name="sec-control"/>
    <w:p>
      <w:pPr>
        <w:pStyle w:val="Heading1"/>
      </w:pPr>
      <w:r>
        <w:t xml:space="preserve">10. Contribution to the control strategy</w:t>
      </w:r>
    </w:p>
    <w:p>
      <w:pPr>
        <w:pStyle w:val="FirstParagraph"/>
      </w:pPr>
      <w:r>
        <w:t xml:space="preserve">This step contributes the following to the control strategy of the drug substance, which PCMR-001 consolidates.</w:t>
      </w:r>
    </w:p>
    <w:p>
      <w:pPr>
        <w:pStyle w:val="Compact"/>
        <w:numPr>
          <w:ilvl w:val="0"/>
          <w:numId w:val="1006"/>
        </w:numPr>
      </w:pPr>
      <w:r>
        <w:t xml:space="preserve">Parameter ranges. Load pH, Equil/Wash-1 conductivity, load conductivity, protein load and operating flow rate are controlled within their NORs (</w:t>
      </w:r>
      <w:hyperlink w:anchor="tbl-params">
        <w:r>
          <w:rPr>
            <w:rStyle w:val="Hyperlink"/>
          </w:rPr>
          <w:t xml:space="preserve">Table 8</w:t>
        </w:r>
      </w:hyperlink>
      <w:r>
        <w:t xml:space="preserve">), which lie inside their proven acceptable ranges and, for the four multivariate parameters, inside the design space.</w:t>
      </w:r>
    </w:p>
    <w:p>
      <w:pPr>
        <w:pStyle w:val="Compact"/>
        <w:numPr>
          <w:ilvl w:val="0"/>
          <w:numId w:val="1006"/>
        </w:numPr>
      </w:pPr>
      <w:r>
        <w:t xml:space="preserve">Viral clearance. The step contributes 5.5 log10 for XMuLV and 4 log10 for MVM to the cumulative claims, which PCMR-001 consolidates with the claims of low-pH viral inactivation (PCR-006) and virus filtration (PCR-009). These claims hold on the mean at the worst case within the NOR and rest on the scale-down spiking model.</w:t>
      </w:r>
    </w:p>
    <w:p>
      <w:pPr>
        <w:pStyle w:val="Compact"/>
        <w:numPr>
          <w:ilvl w:val="0"/>
          <w:numId w:val="1006"/>
        </w:numPr>
      </w:pPr>
      <w:r>
        <w:t xml:space="preserve">Host cell protein. The step brings host cell protein to its drug substance level. The upstream criteria of the Protein A pool (PCR-005) and the cation exchange pool (PCR-007) rely on its verified clearance of at least 4.18-fold, and host cell protein is tested at drug substance release.</w:t>
      </w:r>
    </w:p>
    <w:p>
      <w:pPr>
        <w:pStyle w:val="Compact"/>
        <w:numPr>
          <w:ilvl w:val="0"/>
          <w:numId w:val="1006"/>
        </w:numPr>
      </w:pPr>
      <w:r>
        <w:t xml:space="preserve">Load material. A load deamidated during an extended hold after neutralization changed the host cell protein response of the step (DEV-008-01), and the charge variant profile by icIEF (AMV-3013) detected it. This study sets no value for the hold of the neutralized cation exchange pool before anion exchange. The report carries forward to PCMR-001 the need for such a limit, because a hold of 36 h produced the deamidated load.</w:t>
      </w:r>
    </w:p>
    <w:p>
      <w:pPr>
        <w:pStyle w:val="Compact"/>
        <w:numPr>
          <w:ilvl w:val="0"/>
          <w:numId w:val="1006"/>
        </w:numPr>
      </w:pPr>
      <w:r>
        <w:t xml:space="preserve">Pool collection. The trailing-edge UV set-point that ends pool collection is part of SOP-2011 at its corrected value (DEV-008-02).</w:t>
      </w:r>
    </w:p>
    <w:p>
      <w:pPr>
        <w:pStyle w:val="Compact"/>
        <w:numPr>
          <w:ilvl w:val="0"/>
          <w:numId w:val="1006"/>
        </w:numPr>
      </w:pPr>
      <w:r>
        <w:t xml:space="preserve">Residual DNA and leached Protein A. Both are judged at the drug substance against their criteria. The DNA capability of the drug substance rests on the DNA clearance the integrated process model assumes for this step, which this study cannot confirm (</w:t>
      </w:r>
      <w:hyperlink w:anchor="sec-dna">
        <w:r>
          <w:rPr>
            <w:rStyle w:val="Hyperlink"/>
          </w:rPr>
          <w:t xml:space="preserve">Section 5.5</w:t>
        </w:r>
      </w:hyperlink>
      <w:r>
        <w:t xml:space="preserve">).</w:t>
      </w:r>
    </w:p>
    <w:p>
      <w:pPr>
        <w:pStyle w:val="Compact"/>
        <w:numPr>
          <w:ilvl w:val="0"/>
          <w:numId w:val="1006"/>
        </w:numPr>
      </w:pPr>
      <w:r>
        <w:t xml:space="preserve">Resin life cycle. Resin packing, sanitization and life cycle are controlled under SOP-2008 and are outside this study.</w:t>
      </w:r>
    </w:p>
    <w:bookmarkEnd w:id="130"/>
    <w:bookmarkStart w:id="131" w:name="sec-discussion"/>
    <w:p>
      <w:pPr>
        <w:pStyle w:val="Heading1"/>
      </w:pPr>
      <w:r>
        <w:t xml:space="preserve">11. Discussion</w:t>
      </w:r>
    </w:p>
    <w:p>
      <w:pPr>
        <w:pStyle w:val="FirstParagraph"/>
      </w:pPr>
      <w:r>
        <w:t xml:space="preserve">The step behaves as a charge-based flow-through polish. Pool host cell protein depends on load pH and Equil/Wash-1 conductivity as fold changes, and both LRFs depend on load pH and load conductivity. Within the NOR every output meets its criterion. The viral clearance claims have the smallest margins, 0.36 log10 for XMuLV and 0.24 log10 for MVM at the least favourable combination, both on the side of low load pH and high load conductivity. The design space ends where those two settings meet, outside the NOR.</w:t>
      </w:r>
    </w:p>
    <w:p>
      <w:pPr>
        <w:pStyle w:val="BodyText"/>
      </w:pPr>
      <w:r>
        <w:t xml:space="preserve">Confidence in the scale-down model is greatest for pool host cell protein, for which the model is qualified at its criterion with the offset at both ends of its interval. Fragments and viral clearance were not compared at the two scales. Fragments lie far below their criterion, but the expectation that the step leaves the fragment level of its load unchanged was not tested, because the load was not measured. The viral clearance results are those of a small-scale spiking study</w:t>
      </w:r>
      <w:r>
        <w:t xml:space="preserve"> </w:t>
      </w:r>
      <w:r>
        <w:t xml:space="preserve">(International Council for Harmonisation 2023a)</w:t>
      </w:r>
      <w:r>
        <w:t xml:space="preserve">, and the record holds neither the qualification of the spiking model nor the assay controls that PCP-008 required. The pressure across the bed was not measured in the qualification, and the scale-down column gave fewer plates per metre than the manufacturing columns. In every run of the two executions of the designs the pool-collection set-point of DEV-008-02 ended collection earlier than the corrected set-point. A fixed UV cut can remove a different share of the trailing tail at different settings, and the record holds no data on that. The block term detected no shift between the planned runs and the augmentation runs (</w:t>
      </w:r>
      <w:hyperlink w:anchor="sec-dev02">
        <w:r>
          <w:rPr>
            <w:rStyle w:val="Hyperlink"/>
          </w:rPr>
          <w:t xml:space="preserve">Section 13.1.2</w:t>
        </w:r>
      </w:hyperlink>
      <w:r>
        <w:t xml:space="preserve">).</w:t>
      </w:r>
    </w:p>
    <w:p>
      <w:pPr>
        <w:pStyle w:val="BodyText"/>
      </w:pPr>
      <w:r>
        <w:t xml:space="preserve">The verification of the host cell protein clearance widened the criteria of two upstream steps. The widening does not depend on a single run, and the model behind it is adequate on all four criteria. It does depend on the model selection, and it is sensitive to the scale-down offset, at the unfavourable end of whose interval the bound would fall below the platform value. For the host cell protein species the ELISA detects, the risk of the widening is the producer’s, because they are tested at drug substance release. For the species the ELISA does not detect, the record shows neither their clearance nor a test that would find them (</w:t>
      </w:r>
      <w:hyperlink w:anchor="sec-verification">
        <w:r>
          <w:rPr>
            <w:rStyle w:val="Hyperlink"/>
          </w:rPr>
          <w:t xml:space="preserve">Section 7.5</w:t>
        </w:r>
      </w:hyperlink>
      <w:r>
        <w:t xml:space="preserve">).</w:t>
      </w:r>
    </w:p>
    <w:p>
      <w:pPr>
        <w:pStyle w:val="BodyText"/>
      </w:pPr>
      <w:r>
        <w:t xml:space="preserve">The first execution of the designs ran on a deamidated load and was invalidated and re-executed (DEV-008-01). The augmentation of PD-008-01 was decided before any new run but made after the planned results were known. For pool host cell protein and fragments the planned runs alone give the same models and the same judgements, and the augmentation changed only the model of step yield, which has no criterion. The flow-rate study ran without its centre run (PD-008-03), so it cannot show curvature in the effect of flow rate. The record does not identify the screening run made with the equilibration buffer below its pH range (DEV-008-03). The screening results it could affect are those of MVM, step yield and fragments, and the predictive model of every output comes from the response-surface design, which the event did not affect (</w:t>
      </w:r>
      <w:hyperlink w:anchor="sec-dev03">
        <w:r>
          <w:rPr>
            <w:rStyle w:val="Hyperlink"/>
          </w:rPr>
          <w:t xml:space="preserve">Section 13.1.3</w:t>
        </w:r>
      </w:hyperlink>
      <w:r>
        <w:t xml:space="preserve">).</w:t>
      </w:r>
    </w:p>
    <w:p>
      <w:pPr>
        <w:pStyle w:val="BodyText"/>
      </w:pPr>
      <w:r>
        <w:t xml:space="preserve">Four limitations remain. The design space is not confirmed at scale at its edges, and Stage 2 confirms performance inside the NOR only. The univariate assessment of flow rate cannot detect an interaction with the other parameters. The residual DNA clearance of the step cannot be shown by an assay whose LOQ lies far above the drug substance criterion per dose, so the capability of residual DNA rests on the process model. The studies assumed that the resin performs within its qualified life cycle (PCP-008 §12), and clearance on resin near the end of its life cycle is outside them and is governed by SOP-2008.</w:t>
      </w:r>
    </w:p>
    <w:bookmarkEnd w:id="131"/>
    <w:bookmarkStart w:id="132" w:name="sec-conclusions"/>
    <w:p>
      <w:pPr>
        <w:pStyle w:val="Heading1"/>
      </w:pPr>
      <w:r>
        <w:t xml:space="preserve">12. Conclusions</w:t>
      </w:r>
    </w:p>
    <w:p>
      <w:pPr>
        <w:pStyle w:val="Compact"/>
        <w:numPr>
          <w:ilvl w:val="0"/>
          <w:numId w:val="1007"/>
        </w:numPr>
      </w:pPr>
      <w:r>
        <w:t xml:space="preserve">Load pH and Equil/Wash-1 conductivity act on pool host cell protein, multiplying it by 0.51 and 2.13 across their ranges. Load pH and load conductivity act on both LRFs. The selected response-surface models of step yield and fragments contain no term. The screening model of fragments carried an interaction of load pH and protein load, which the response-surface model does not contain (objective 1).</w:t>
      </w:r>
    </w:p>
    <w:p>
      <w:pPr>
        <w:pStyle w:val="Compact"/>
        <w:numPr>
          <w:ilvl w:val="0"/>
          <w:numId w:val="1007"/>
        </w:numPr>
      </w:pPr>
      <w:r>
        <w:t xml:space="preserve">The design space covers 95.0 % of the characterized region and contains the whole NOR. MVM clearance bounds it at low load pH and high load conductivity (objective 2).</w:t>
      </w:r>
    </w:p>
    <w:p>
      <w:pPr>
        <w:pStyle w:val="Compact"/>
        <w:numPr>
          <w:ilvl w:val="0"/>
          <w:numId w:val="1007"/>
        </w:numPr>
      </w:pPr>
      <w:r>
        <w:t xml:space="preserve">Every proven acceptable range contains its NOR. The range of load pH carried into the control strategy is 7.2225–7.8, and every other multivariate parameter carries its characterized range. Operating flow rate is supported across its characterized range for pool host cell protein and at its upper end for viral clearance (objective 3).</w:t>
      </w:r>
    </w:p>
    <w:p>
      <w:pPr>
        <w:pStyle w:val="Compact"/>
        <w:numPr>
          <w:ilvl w:val="0"/>
          <w:numId w:val="1007"/>
        </w:numPr>
      </w:pPr>
      <w:r>
        <w:t xml:space="preserve">All five parameters were classified as WC-CPP (objective 4).</w:t>
      </w:r>
    </w:p>
    <w:p>
      <w:pPr>
        <w:pStyle w:val="Compact"/>
        <w:numPr>
          <w:ilvl w:val="0"/>
          <w:numId w:val="1007"/>
        </w:numPr>
      </w:pPr>
      <w:r>
        <w:t xml:space="preserve">The step meets its claims of 5.5 log10 for XMuLV and 4 log10 for MVM on the mean at the worst case within the NOR, and the NORs are justified as the Stage 2 ranges (objective 5).</w:t>
      </w:r>
    </w:p>
    <w:p>
      <w:pPr>
        <w:pStyle w:val="Compact"/>
        <w:numPr>
          <w:ilvl w:val="0"/>
          <w:numId w:val="1007"/>
        </w:numPr>
      </w:pPr>
      <w:r>
        <w:t xml:space="preserve">The host cell protein clearance of the step has a one-sided 95 % prediction bound of a single batch of 4.18-fold within the NOR, better than the platform worst case of 4-fold. It widened the Protein A and cation exchange criteria. It does not depend on a single run, but it depends on the model selection and on the scale-down offset (objective 6).</w:t>
      </w:r>
    </w:p>
    <w:p>
      <w:pPr>
        <w:pStyle w:val="Compact"/>
        <w:numPr>
          <w:ilvl w:val="0"/>
          <w:numId w:val="1007"/>
        </w:numPr>
      </w:pPr>
      <w:r>
        <w:t xml:space="preserve">Every attribute the step sets or clears meets the capability target of 1.33, the tightest being the cumulative MVM clearance at 1.51.</w:t>
      </w:r>
    </w:p>
    <w:p>
      <w:pPr>
        <w:pStyle w:val="Compact"/>
        <w:numPr>
          <w:ilvl w:val="0"/>
          <w:numId w:val="1007"/>
        </w:numPr>
      </w:pPr>
      <w:r>
        <w:t xml:space="preserve">The three study events are resolved, and the 10 discrepancies from the plan are recorded with what they changed. The results roll up into PCMR-001.</w:t>
      </w:r>
    </w:p>
    <w:p>
      <w:pPr>
        <w:pStyle w:val="FirstParagraph"/>
      </w:pPr>
      <w:r>
        <w:t xml:space="preserve">PCP-008 §7 item 8 judges the study complete when five conditions hold. The scale-down model is qualified for pool host cell protein, every planned run is executed or dispositioned, every response has an adequate model or a stated reason for the absence of one, the proven acceptable ranges bracket the NORs, and the clearance of both viruses meets the claims of this step at the worst case within the NOR. The first condition is met (</w:t>
      </w:r>
      <w:hyperlink w:anchor="sec-sdm">
        <w:r>
          <w:rPr>
            <w:rStyle w:val="Hyperlink"/>
          </w:rPr>
          <w:t xml:space="preserve">Section 3.1</w:t>
        </w:r>
      </w:hyperlink>
      <w:r>
        <w:t xml:space="preserve">). The third is met, because every selected model is adequate (</w:t>
      </w:r>
      <w:hyperlink w:anchor="sec-selected">
        <w:r>
          <w:rPr>
            <w:rStyle w:val="Hyperlink"/>
          </w:rPr>
          <w:t xml:space="preserve">Section 5.3.1</w:t>
        </w:r>
      </w:hyperlink>
      <w:r>
        <w:t xml:space="preserve">) and residual DNA and leached Protein A are monitored and not modelled, as PCP-008 §5.4 plans (</w:t>
      </w:r>
      <w:hyperlink w:anchor="sec-cqas">
        <w:r>
          <w:rPr>
            <w:rStyle w:val="Hyperlink"/>
          </w:rPr>
          <w:t xml:space="preserve">Section 2.2</w:t>
        </w:r>
      </w:hyperlink>
      <w:r>
        <w:t xml:space="preserve">). The fourth is met (</w:t>
      </w:r>
      <w:hyperlink w:anchor="sec-par-ranges">
        <w:r>
          <w:rPr>
            <w:rStyle w:val="Hyperlink"/>
          </w:rPr>
          <w:t xml:space="preserve">Section 7.3</w:t>
        </w:r>
      </w:hyperlink>
      <w:r>
        <w:t xml:space="preserve">), with the range of operating flow rate tested for viral clearance at its upper end only (</w:t>
      </w:r>
      <w:hyperlink w:anchor="sec-par-flow">
        <w:r>
          <w:rPr>
            <w:rStyle w:val="Hyperlink"/>
          </w:rPr>
          <w:t xml:space="preserve">Section 7.4</w:t>
        </w:r>
      </w:hyperlink>
      <w:r>
        <w:t xml:space="preserve">). The fifth is met on the mean (</w:t>
      </w:r>
      <w:hyperlink w:anchor="sec-par-results">
        <w:r>
          <w:rPr>
            <w:rStyle w:val="Hyperlink"/>
          </w:rPr>
          <w:t xml:space="preserve">Section 7.2</w:t>
        </w:r>
      </w:hyperlink>
      <w:r>
        <w:t xml:space="preserve">). For the second, every run of the designs was executed, and the invalidated first execution was re-executed in full (</w:t>
      </w:r>
      <w:hyperlink w:anchor="sec-dev01">
        <w:r>
          <w:rPr>
            <w:rStyle w:val="Hyperlink"/>
          </w:rPr>
          <w:t xml:space="preserve">Section 13.1.1</w:t>
        </w:r>
      </w:hyperlink>
      <w:r>
        <w:t xml:space="preserve">). The centre run of the flow-rate study was not made. The record gives the qualification runs at set-point as its replacement and cannot show whether the run was dispositioned when it was dropped (PD-008-03). The record therefore cannot show that the study is complete as the plan defines it.</w:t>
      </w:r>
    </w:p>
    <w:bookmarkEnd w:id="132"/>
    <w:bookmarkStart w:id="140" w:name="sec-record"/>
    <w:p>
      <w:pPr>
        <w:pStyle w:val="Heading1"/>
      </w:pPr>
      <w:r>
        <w:t xml:space="preserve">13. Study events and discrepancies from the plan</w:t>
      </w:r>
    </w:p>
    <w:p>
      <w:pPr>
        <w:pStyle w:val="FirstParagraph"/>
      </w:pPr>
      <w:r>
        <w:t xml:space="preserve">A process characterization study is not GMP manufacture and raises no deviation. This report records what departed from the expected course in two registers. The study events are the events of execution that Version 1.0 recorded, under the DEV numbers it gave them. The discrepancies from the plan are every departure from PCP-008 Version 2.0, both work the plan did not foresee and a requirement of the plan that was not met. PCP-008 §7 and §9 call a departure from the plan a deviation, and this report records each such departure as a discrepancy from the plan instead.</w:t>
      </w:r>
    </w:p>
    <w:bookmarkStart w:id="137" w:name="sec-events"/>
    <w:p>
      <w:pPr>
        <w:pStyle w:val="Heading2"/>
      </w:pPr>
      <w:r>
        <w:t xml:space="preserve">13.1 Study events</w:t>
      </w:r>
    </w:p>
    <w:p>
      <w:pPr>
        <w:pStyle w:val="FirstParagraph"/>
      </w:pPr>
      <w:r>
        <w:t xml:space="preserve">The execution recorded 3 study events (</w:t>
      </w:r>
      <w:hyperlink w:anchor="tbl-events">
        <w:r>
          <w:rPr>
            <w:rStyle w:val="Hyperlink"/>
          </w:rPr>
          <w:t xml:space="preserve">Table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3" w:name="tbl-events"/>
          <w:p>
            <w:pPr>
              <w:jc w:val="center"/>
            </w:pPr>
            <w:pPr>
              <w:jc w:val="start"/>
              <w:spacing w:before="200"/>
              <w:pStyle w:val="ImageCaption"/>
            </w:pPr>
            <w:r>
              <w:t xml:space="preserve">Table 26: Study events of the anion exchange characterization.</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DEV-008-01</w:t>
                  </w:r>
                </w:p>
              </w:tc>
              <w:tc>
                <w:tcPr/>
                <w:p>
                  <w:pPr>
                    <w:pStyle w:val="Compact"/>
                    <w:jc w:val="left"/>
                    <w:jc w:val="center"/>
                  </w:pPr>
                  <w:r>
                    <w:t xml:space="preserve">Non-representative (deamidated) load in the first DoE execution; designs invalidated and re-executed</w:t>
                  </w:r>
                </w:p>
              </w:tc>
              <w:tc>
                <w:tcPr/>
                <w:p>
                  <w:pPr>
                    <w:pStyle w:val="Compact"/>
                    <w:jc w:val="left"/>
                    <w:jc w:val="center"/>
                  </w:pPr>
                  <w:r>
                    <w:t xml:space="preserve">load-material charge-variant verification by icIEF (AMV-3013)</w:t>
                  </w:r>
                </w:p>
              </w:tc>
              <w:tc>
                <w:tcPr/>
                <w:p>
                  <w:pPr>
                    <w:pStyle w:val="Compact"/>
                    <w:jc w:val="left"/>
                    <w:jc w:val="center"/>
                  </w:pPr>
                  <w:r>
                    <w:t xml:space="preserve">designs invalidated and re-executed</w:t>
                  </w:r>
                </w:p>
              </w:tc>
            </w:tr>
            <w:tr>
              <w:tc>
                <w:tcPr/>
                <w:p>
                  <w:pPr>
                    <w:pStyle w:val="Compact"/>
                    <w:jc w:val="left"/>
                    <w:jc w:val="center"/>
                  </w:pPr>
                  <w:r>
                    <w:t xml:space="preserve">DEV-008-02</w:t>
                  </w:r>
                </w:p>
              </w:tc>
              <w:tc>
                <w:tcPr/>
                <w:p>
                  <w:pPr>
                    <w:pStyle w:val="Compact"/>
                    <w:jc w:val="left"/>
                    <w:jc w:val="center"/>
                  </w:pPr>
                  <w:r>
                    <w:t xml:space="preserve">Trailing-edge UV pool-collection set-point slightly permissive in both executions</w:t>
                  </w:r>
                </w:p>
              </w:tc>
              <w:tc>
                <w:tcPr/>
                <w:p>
                  <w:pPr>
                    <w:pStyle w:val="Compact"/>
                    <w:jc w:val="left"/>
                    <w:jc w:val="center"/>
                  </w:pPr>
                  <w:r>
                    <w:t xml:space="preserve">post-execution pool-fraction reconciliation (AMV-3012)</w:t>
                  </w:r>
                </w:p>
              </w:tc>
              <w:tc>
                <w:tcPr/>
                <w:p>
                  <w:pPr>
                    <w:pStyle w:val="Compact"/>
                    <w:jc w:val="left"/>
                    <w:jc w:val="center"/>
                  </w:pPr>
                  <w:r>
                    <w:t xml:space="preserve">corrected by modelling and verification runs</w:t>
                  </w:r>
                </w:p>
              </w:tc>
            </w:tr>
            <w:tr>
              <w:tc>
                <w:tcPr/>
                <w:p>
                  <w:pPr>
                    <w:pStyle w:val="Compact"/>
                    <w:jc w:val="left"/>
                    <w:jc w:val="center"/>
                  </w:pPr>
                  <w:r>
                    <w:t xml:space="preserve">DEV-008-03</w:t>
                  </w:r>
                </w:p>
              </w:tc>
              <w:tc>
                <w:tcPr/>
                <w:p>
                  <w:pPr>
                    <w:pStyle w:val="Compact"/>
                    <w:jc w:val="left"/>
                    <w:jc w:val="center"/>
                  </w:pPr>
                  <w:r>
                    <w:t xml:space="preserve">Equilibration/Wash-1 buffer released below its pH acceptance range on one screening run</w:t>
                  </w:r>
                </w:p>
              </w:tc>
              <w:tc>
                <w:tcPr/>
                <w:p>
                  <w:pPr>
                    <w:pStyle w:val="Compact"/>
                    <w:jc w:val="left"/>
                    <w:jc w:val="center"/>
                  </w:pPr>
                  <w:r>
                    <w:t xml:space="preserve">buffer release testing per SOP-2103</w:t>
                  </w:r>
                </w:p>
              </w:tc>
              <w:tc>
                <w:tcPr/>
                <w:p>
                  <w:pPr>
                    <w:pStyle w:val="Compact"/>
                    <w:jc w:val="left"/>
                    <w:jc w:val="center"/>
                  </w:pPr>
                  <w:r>
                    <w:t xml:space="preserve">run retained in the analysis</w:t>
                  </w:r>
                </w:p>
              </w:tc>
            </w:tr>
          </w:tbl>
          <w:bookmarkEnd w:id="133"/>
          <w:p/>
        </w:tc>
      </w:tr>
    </w:tbl>
    <w:bookmarkStart w:id="134" w:name="sec-dev01"/>
    <w:p>
      <w:pPr>
        <w:pStyle w:val="Heading3"/>
      </w:pPr>
      <w:r>
        <w:t xml:space="preserve">13.1.1 DEV-008-01, a non-representative load in the first execution</w:t>
      </w:r>
    </w:p>
    <w:p>
      <w:pPr>
        <w:pStyle w:val="FirstParagraph"/>
      </w:pPr>
      <w:r>
        <w:t xml:space="preserve">The first execution of the screening and response-surface designs (study S-AEX-SUP, 2026-02-16 to 2026-03-04) ran on a load that did not represent the process. The load lot LOT-CEX-8842 carried 33.5 % acidic variants, against 21 % for the requalified lot. In that execution pool host cell protein rose steeply with protein load at high Equil/Wash-1 conductivity. The screening effect of the interaction of protein load and Equil/Wash-1 conductivity was 34.8 ng/mg (p = 0.002). Of the runs at high protein load and high Equil/Wash-1 conductivity, 3 exceeded the drug substance criterion, the highest at 150 ng/mg.</w:t>
      </w:r>
    </w:p>
    <w:p>
      <w:pPr>
        <w:pStyle w:val="BodyText"/>
      </w:pPr>
      <w:r>
        <w:t xml:space="preserve">The event was detected during the charge-variant verification of the load material by icIEF (AMV-3013). The investigation found that the cation exchange eluate had been held for 36 h after neutralization, an extended hold that promoted asparagine deamidation. Under PCP-008 §7, a design executed on material outside the release profile of the cation exchange pool is invalidated for the definition of the operating region and re-executed in full on a qualified load. Both designs were therefore invalidated and re-executed on the requalified lot LOT-CEX-8851, as studies S-AEX-SCR and S-AEX-RSM. The data of the first execution are retained and were used only to confirm the cause, and no range, class or clearance claim rests on them (</w:t>
      </w:r>
      <w:hyperlink w:anchor="tbl-doe-aex-screening-sup">
        <w:r>
          <w:rPr>
            <w:rStyle w:val="Hyperlink"/>
          </w:rPr>
          <w:t xml:space="preserve">Table 29</w:t>
        </w:r>
      </w:hyperlink>
      <w:r>
        <w:t xml:space="preserve"> </w:t>
      </w:r>
      <w:r>
        <w:t xml:space="preserve">and</w:t>
      </w:r>
      <w:r>
        <w:t xml:space="preserve"> </w:t>
      </w:r>
      <w:hyperlink w:anchor="tbl-doe-aex-rsm-sup">
        <w:r>
          <w:rPr>
            <w:rStyle w:val="Hyperlink"/>
          </w:rPr>
          <w:t xml:space="preserve">Table 32</w:t>
        </w:r>
      </w:hyperlink>
      <w:r>
        <w:t xml:space="preserve">).</w:t>
      </w:r>
    </w:p>
    <w:p>
      <w:pPr>
        <w:pStyle w:val="BodyText"/>
      </w:pPr>
      <w:r>
        <w:t xml:space="preserve">The requalified data confirm the cause. In the re-executed screening design the same interaction is 0.22 ng/mg (p = 0.860). In the response-surface data it is not significant on either scale, with p = 0.361 on the log scale and p = 0.401 on the raw scale in the full quadratic model of all 40 runs, and no model within 2 AICc units contains it (</w:t>
      </w:r>
      <w:hyperlink w:anchor="sec-near">
        <w:r>
          <w:rPr>
            <w:rStyle w:val="Hyperlink"/>
          </w:rPr>
          <w:t xml:space="preserve">Section 5.3.4</w:t>
        </w:r>
      </w:hyperlink>
      <w:r>
        <w:t xml:space="preserve">). No run of the re-executed designs or of the augmentation exceeded 100 ng/mg. The interaction appeared only on the deamidated load. The first execution measured fragments by SEC, because it ran before the method decision AMD-001 set nrCE-SDS for fragments.</w:t>
      </w:r>
    </w:p>
    <w:p>
      <w:pPr>
        <w:pStyle w:val="BodyText"/>
      </w:pPr>
      <w:r>
        <w:t xml:space="preserve">PCP-008 §7 sets no numerical limit for the release profile of the load. The record classes the first lot, at 33.5 % acidic variants, as not representative and the requalified lot, at 21 %, as representative. It holds no result for the host cell protein content, protein concentration, pH or conductivity of either lot, which the same item of PCP-008 lists (PD-008-06).</w:t>
      </w:r>
    </w:p>
    <w:bookmarkEnd w:id="134"/>
    <w:bookmarkStart w:id="135" w:name="sec-dev02"/>
    <w:p>
      <w:pPr>
        <w:pStyle w:val="Heading3"/>
      </w:pPr>
      <w:r>
        <w:t xml:space="preserve">13.1.2 DEV-008-02, the pool-collection set-point</w:t>
      </w:r>
    </w:p>
    <w:p>
      <w:pPr>
        <w:pStyle w:val="FirstParagraph"/>
      </w:pPr>
      <w:r>
        <w:t xml:space="preserve">In both executions of the designs, the trailing-edge UV set-point that ends pool collection was 180 mAU, against the corrected set-point of 120 mAU. The event was detected during the reconciliation of the pool fractions after execution, with host cell protein measured by ELISA (AMV-3012). The record calls the set-point in the method</w:t>
      </w:r>
      <w:r>
        <w:t xml:space="preserve"> </w:t>
      </w:r>
      <w:r>
        <w:t xml:space="preserve">“permissive”</w:t>
      </w:r>
      <w:r>
        <w:t xml:space="preserve"> </w:t>
      </w:r>
      <w:r>
        <w:t xml:space="preserve">and gives no other cause. On the falling trailing edge of the peak a higher set-point is reached earlier. At 180 mAU collection therefore ended earlier than at 120 mAU, and less of the trailing tail was pooled. The record gives the outcome as corrected by modelling and verification runs, and it names 3 verification runs. It does not hold their results, and this report does not use them.</w:t>
      </w:r>
    </w:p>
    <w:p>
      <w:pPr>
        <w:pStyle w:val="BodyText"/>
      </w:pPr>
      <w:r>
        <w:t xml:space="preserve">Within the two executions the set-point was the same in every run. A fixed UV cut can still remove a different share of the trailing tail at different load pH and conductivity, and so it can change an estimated effect. The record does not give the set-point of the augmentation runs. The block term of the model of pool host cell protein (p = 0.526) detected no shift between the planned runs and the augmentation runs.</w:t>
      </w:r>
    </w:p>
    <w:bookmarkEnd w:id="135"/>
    <w:bookmarkStart w:id="136" w:name="sec-dev03"/>
    <w:p>
      <w:pPr>
        <w:pStyle w:val="Heading3"/>
      </w:pPr>
      <w:r>
        <w:t xml:space="preserve">13.1.3 DEV-008-03, an equilibration and wash buffer below its pH range</w:t>
      </w:r>
    </w:p>
    <w:p>
      <w:pPr>
        <w:pStyle w:val="FirstParagraph"/>
      </w:pPr>
      <w:r>
        <w:t xml:space="preserve">The equilibration and first wash buffer used on one screening run, lot LOT-BUF-8815, had a pH of 7.32 at release testing under SOP-2103 (Buffer Preparation, Release and Expiry Control), below its acceptance limit of 7.4 and its target of 7.5. The cause was an error at the titration end point during buffer preparation. The run was retained in the analysis.</w:t>
      </w:r>
    </w:p>
    <w:p>
      <w:pPr>
        <w:pStyle w:val="BodyText"/>
      </w:pPr>
      <w:r>
        <w:t xml:space="preserve">The buffer pH is not a factor of the designs, so no setting correction applies. A lower buffer pH weakens the binding of acidic impurities during equilibration and the chase, in the same direction as a lower load pH. The record does not name the run (PD-008-07), so it cannot be marked in Appendix A, analysed with its result excluded or compared with its model prediction. Each of the 19 screening runs was therefore deleted in turn. The significant terms of pool host cell protein and XMuLV did not change with any deletion, so those screening results do not depend on the affected run, whichever it was. For MVM, step yield and fragments the set of significant terms changed with 3, 3 and 10 of the deletions. The event affected the screening design only, which identifies effects and sets no range. Every prediction, range and judgement of this report comes from the response-surface design, which the event did not affect.</w:t>
      </w:r>
    </w:p>
    <w:bookmarkEnd w:id="136"/>
    <w:bookmarkEnd w:id="137"/>
    <w:bookmarkStart w:id="139" w:name="sec-discrepancies"/>
    <w:p>
      <w:pPr>
        <w:pStyle w:val="Heading2"/>
      </w:pPr>
      <w:r>
        <w:t xml:space="preserve">13.2 Discrepancies from the plan</w:t>
      </w:r>
    </w:p>
    <w:p>
      <w:pPr>
        <w:pStyle w:val="FirstParagraph"/>
      </w:pPr>
      <w:hyperlink w:anchor="tbl-discrepancies">
        <w:r>
          <w:rPr>
            <w:rStyle w:val="Hyperlink"/>
          </w:rPr>
          <w:t xml:space="preserve">Table 27</w:t>
        </w:r>
      </w:hyperlink>
      <w:r>
        <w:t xml:space="preserve"> </w:t>
      </w:r>
      <w:r>
        <w:t xml:space="preserve">lists the 10 discrepancies from PCP-008.</w:t>
      </w:r>
    </w:p>
    <w:tbl>
      <w:tblPr>
        <w:tblStyle w:val="Table"/>
        <w:tblW w:type="pct" w:w="5000"/>
        <w:tblLayout w:type="fixed"/>
        <w:tblLook w:firstRow="0" w:lastRow="0" w:firstColumn="0" w:lastColumn="0" w:noHBand="0" w:noVBand="0" w:val="0000"/>
      </w:tblPr>
      <w:tblGrid>
        <w:gridCol w:w="7920"/>
      </w:tblGrid>
      <w:tr>
        <w:tc>
          <w:tcPr/>
          <w:bookmarkStart w:id="138" w:name="tbl-discrepancies"/>
          <w:p>
            <w:pPr>
              <w:jc w:val="center"/>
            </w:pPr>
            <w:pPr>
              <w:jc w:val="start"/>
              <w:spacing w:before="200"/>
              <w:pStyle w:val="ImageCaption"/>
            </w:pPr>
            <w:r>
              <w:t xml:space="preserve">Table 27: Discrepancies of the anion exchange characterization from its plan PCP-008.</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PD-008-01</w:t>
                  </w:r>
                </w:p>
              </w:tc>
              <w:tc>
                <w:tcPr/>
                <w:p>
                  <w:pPr>
                    <w:pStyle w:val="Compact"/>
                    <w:jc w:val="left"/>
                    <w:jc w:val="center"/>
                  </w:pPr>
                  <w:r>
                    <w:t xml:space="preserve">Augmentation of the response-surface design</w:t>
                  </w:r>
                </w:p>
              </w:tc>
              <w:tc>
                <w:tcPr/>
                <w:p>
                  <w:pPr>
                    <w:pStyle w:val="Compact"/>
                    <w:jc w:val="left"/>
                    <w:jc w:val="center"/>
                  </w:pPr>
                  <w:r>
                    <w:t xml:space="preserve">PCP-008: the face-centred central composite design of 28 runs in study S-AEX-RSM</w:t>
                  </w:r>
                </w:p>
              </w:tc>
              <w:tc>
                <w:tcPr/>
                <w:p>
                  <w:pPr>
                    <w:pStyle w:val="Compact"/>
                    <w:jc w:val="left"/>
                    <w:jc w:val="center"/>
                  </w:pPr>
                  <w:r>
                    <w:t xml:space="preserve">12 further runs in a D-optimal augmentation, study S-AEX-AUG, as a second block</w:t>
                  </w:r>
                </w:p>
              </w:tc>
              <w:tc>
                <w:tcPr/>
                <w:p>
                  <w:pPr>
                    <w:pStyle w:val="Compact"/>
                    <w:jc w:val="left"/>
                    <w:jc w:val="center"/>
                  </w:pPr>
                  <w:r>
                    <w:t xml:space="preserve">the full quadratic model of host cell protein did not meet the limit on overfitting of PCMP-001 §7.2, and INV-002 calculated the number of runs</w:t>
                  </w:r>
                </w:p>
              </w:tc>
            </w:tr>
            <w:tr>
              <w:tc>
                <w:tcPr/>
                <w:p>
                  <w:pPr>
                    <w:pStyle w:val="Compact"/>
                    <w:jc w:val="left"/>
                    <w:jc w:val="center"/>
                  </w:pPr>
                  <w:r>
                    <w:t xml:space="preserve">PD-008-02</w:t>
                  </w:r>
                </w:p>
              </w:tc>
              <w:tc>
                <w:tcPr/>
                <w:p>
                  <w:pPr>
                    <w:pStyle w:val="Compact"/>
                    <w:jc w:val="left"/>
                    <w:jc w:val="center"/>
                  </w:pPr>
                  <w:r>
                    <w:t xml:space="preserve">Model selection for the response-surface outputs</w:t>
                  </w:r>
                </w:p>
              </w:tc>
              <w:tc>
                <w:tcPr/>
                <w:p>
                  <w:pPr>
                    <w:pStyle w:val="Compact"/>
                    <w:jc w:val="left"/>
                    <w:jc w:val="center"/>
                  </w:pPr>
                  <w:r>
                    <w:t xml:space="preserve">PCP-008: the full quadratic model of each output (PCMP-001 §6 and §7.2)</w:t>
                  </w:r>
                </w:p>
              </w:tc>
              <w:tc>
                <w:tcPr/>
                <w:p>
                  <w:pPr>
                    <w:pStyle w:val="Compact"/>
                    <w:jc w:val="left"/>
                    <w:jc w:val="center"/>
                  </w:pPr>
                  <w:r>
                    <w:t xml:space="preserve">for each output the scale chosen by the Box-Cox profile (the log scale where its 95 % interval contains 0 and excludes 1), the model with the lowest AICc among all hierarchical submodels of the full quadratic, a block term kept where the design has a second block, and that model judged against PCMP-001 §7.2; a scale-down offset taken on the scale of the model</w:t>
                  </w:r>
                </w:p>
              </w:tc>
              <w:tc>
                <w:tcPr/>
                <w:p>
                  <w:pPr>
                    <w:pStyle w:val="Compact"/>
                    <w:jc w:val="left"/>
                    <w:jc w:val="center"/>
                  </w:pPr>
                  <w:r>
                    <w:t xml:space="preserve">the full quadratic carries terms the data do not support; selecting the model is standard practice, and INV-002 corrective action CA3 applies it to every report</w:t>
                  </w:r>
                </w:p>
              </w:tc>
            </w:tr>
            <w:tr>
              <w:tc>
                <w:tcPr/>
                <w:p>
                  <w:pPr>
                    <w:pStyle w:val="Compact"/>
                    <w:jc w:val="left"/>
                    <w:jc w:val="center"/>
                  </w:pPr>
                  <w:r>
                    <w:t xml:space="preserve">PD-008-03</w:t>
                  </w:r>
                </w:p>
              </w:tc>
              <w:tc>
                <w:tcPr/>
                <w:p>
                  <w:pPr>
                    <w:pStyle w:val="Compact"/>
                    <w:jc w:val="left"/>
                    <w:jc w:val="center"/>
                  </w:pPr>
                  <w:r>
                    <w:t xml:space="preserve">Flow-rate study without the run at the centre</w:t>
                  </w:r>
                </w:p>
              </w:tc>
              <w:tc>
                <w:tcPr/>
                <w:p>
                  <w:pPr>
                    <w:pStyle w:val="Compact"/>
                    <w:jc w:val="left"/>
                    <w:jc w:val="center"/>
                  </w:pPr>
                  <w:r>
                    <w:t xml:space="preserve">PCP-008: the flow-rate study run at the ends of the range and at its centre</w:t>
                  </w:r>
                </w:p>
              </w:tc>
              <w:tc>
                <w:tcPr/>
                <w:p>
                  <w:pPr>
                    <w:pStyle w:val="Compact"/>
                    <w:jc w:val="left"/>
                    <w:jc w:val="center"/>
                  </w:pPr>
                  <w:r>
                    <w:t xml:space="preserve">each end of the range run in duplicate, with no run at the centre; the qualification runs at set-point serve as the reference</w:t>
                  </w:r>
                </w:p>
              </w:tc>
              <w:tc>
                <w:tcPr/>
                <w:p>
                  <w:pPr>
                    <w:pStyle w:val="Compact"/>
                    <w:jc w:val="left"/>
                    <w:jc w:val="center"/>
                  </w:pPr>
                  <w:r>
                    <w:t xml:space="preserve">the set-point reference was taken from the qualification runs</w:t>
                  </w:r>
                </w:p>
              </w:tc>
            </w:tr>
            <w:tr>
              <w:tc>
                <w:tcPr/>
                <w:p>
                  <w:pPr>
                    <w:pStyle w:val="Compact"/>
                    <w:jc w:val="left"/>
                    <w:jc w:val="center"/>
                  </w:pPr>
                  <w:r>
                    <w:t xml:space="preserve">PD-008-04</w:t>
                  </w:r>
                </w:p>
              </w:tc>
              <w:tc>
                <w:tcPr/>
                <w:p>
                  <w:pPr>
                    <w:pStyle w:val="Compact"/>
                    <w:jc w:val="left"/>
                    <w:jc w:val="center"/>
                  </w:pPr>
                  <w:r>
                    <w:t xml:space="preserve">Scale-down qualification without bed pressure and without qualification of the spiking model</w:t>
                  </w:r>
                </w:p>
              </w:tc>
              <w:tc>
                <w:tcPr/>
                <w:p>
                  <w:pPr>
                    <w:pStyle w:val="Compact"/>
                    <w:jc w:val="left"/>
                    <w:jc w:val="center"/>
                  </w:pPr>
                  <w:r>
                    <w:t xml:space="preserve">PCP-008: bed pressure compared at both scales, and the spiking model qualified against unspiked runs (PCP-008 §5.1)</w:t>
                  </w:r>
                </w:p>
              </w:tc>
              <w:tc>
                <w:tcPr/>
                <w:p>
                  <w:pPr>
                    <w:pStyle w:val="Compact"/>
                    <w:jc w:val="left"/>
                    <w:jc w:val="center"/>
                  </w:pPr>
                  <w:r>
                    <w:t xml:space="preserve">neither is in the record</w:t>
                  </w:r>
                </w:p>
              </w:tc>
              <w:tc>
                <w:tcPr/>
                <w:p>
                  <w:pPr>
                    <w:pStyle w:val="Compact"/>
                    <w:jc w:val="left"/>
                    <w:jc w:val="center"/>
                  </w:pPr>
                  <w:r>
                    <w:t xml:space="preserve">the record gives no reason</w:t>
                  </w:r>
                </w:p>
              </w:tc>
            </w:tr>
            <w:tr>
              <w:tc>
                <w:tcPr/>
                <w:p>
                  <w:pPr>
                    <w:pStyle w:val="Compact"/>
                    <w:jc w:val="left"/>
                    <w:jc w:val="center"/>
                  </w:pPr>
                  <w:r>
                    <w:t xml:space="preserve">PD-008-05</w:t>
                  </w:r>
                </w:p>
              </w:tc>
              <w:tc>
                <w:tcPr/>
                <w:p>
                  <w:pPr>
                    <w:pStyle w:val="Compact"/>
                    <w:jc w:val="left"/>
                    <w:jc w:val="center"/>
                  </w:pPr>
                  <w:r>
                    <w:t xml:space="preserve">Virus assay controls and detection limits not recorded</w:t>
                  </w:r>
                </w:p>
              </w:tc>
              <w:tc>
                <w:tcPr/>
                <w:p>
                  <w:pPr>
                    <w:pStyle w:val="Compact"/>
                    <w:jc w:val="left"/>
                    <w:jc w:val="center"/>
                  </w:pPr>
                  <w:r>
                    <w:t xml:space="preserve">PCP-008: cytotoxicity and interference controls and the limit of detection of every sample recorded (PCP-008 §5.4, §10)</w:t>
                  </w:r>
                </w:p>
              </w:tc>
              <w:tc>
                <w:tcPr/>
                <w:p>
                  <w:pPr>
                    <w:pStyle w:val="Compact"/>
                    <w:jc w:val="left"/>
                    <w:jc w:val="center"/>
                  </w:pPr>
                  <w:r>
                    <w:t xml:space="preserve">the log reductions are recorded as results only</w:t>
                  </w:r>
                </w:p>
              </w:tc>
              <w:tc>
                <w:tcPr/>
                <w:p>
                  <w:pPr>
                    <w:pStyle w:val="Compact"/>
                    <w:jc w:val="left"/>
                    <w:jc w:val="center"/>
                  </w:pPr>
                  <w:r>
                    <w:t xml:space="preserve">the record gives no reason</w:t>
                  </w:r>
                </w:p>
              </w:tc>
            </w:tr>
            <w:tr>
              <w:tc>
                <w:tcPr/>
                <w:p>
                  <w:pPr>
                    <w:pStyle w:val="Compact"/>
                    <w:jc w:val="left"/>
                    <w:jc w:val="center"/>
                  </w:pPr>
                  <w:r>
                    <w:t xml:space="preserve">PD-008-06</w:t>
                  </w:r>
                </w:p>
              </w:tc>
              <w:tc>
                <w:tcPr/>
                <w:p>
                  <w:pPr>
                    <w:pStyle w:val="Compact"/>
                    <w:jc w:val="left"/>
                    <w:jc w:val="center"/>
                  </w:pPr>
                  <w:r>
                    <w:t xml:space="preserve">Load material qualified on acidic variants only, and its lots not recorded</w:t>
                  </w:r>
                </w:p>
              </w:tc>
              <w:tc>
                <w:tcPr/>
                <w:p>
                  <w:pPr>
                    <w:pStyle w:val="Compact"/>
                    <w:jc w:val="left"/>
                    <w:jc w:val="center"/>
                  </w:pPr>
                  <w:r>
                    <w:t xml:space="preserve">PCP-008: the load material qualified on acidic variants, host cell protein, concentration, pH and conductivity, its lot recorded for every study and the lots compared (PCP-008 §6.3, §7 item 2, §9)</w:t>
                  </w:r>
                </w:p>
              </w:tc>
              <w:tc>
                <w:tcPr/>
                <w:p>
                  <w:pPr>
                    <w:pStyle w:val="Compact"/>
                    <w:jc w:val="left"/>
                    <w:jc w:val="center"/>
                  </w:pPr>
                  <w:r>
                    <w:t xml:space="preserve">the load was qualified on acidic variants only; the load lots of S-AEX-UNI, S-AEX-SDM and the augmentation runs are not recorded, and the lot named for the design runs had expired before S-AEX-UNI and S-AEX-AUG began</w:t>
                  </w:r>
                </w:p>
              </w:tc>
              <w:tc>
                <w:tcPr/>
                <w:p>
                  <w:pPr>
                    <w:pStyle w:val="Compact"/>
                    <w:jc w:val="left"/>
                    <w:jc w:val="center"/>
                  </w:pPr>
                  <w:r>
                    <w:t xml:space="preserve">the record gives no reason</w:t>
                  </w:r>
                </w:p>
              </w:tc>
            </w:tr>
            <w:tr>
              <w:tc>
                <w:tcPr/>
                <w:p>
                  <w:pPr>
                    <w:pStyle w:val="Compact"/>
                    <w:jc w:val="left"/>
                    <w:jc w:val="center"/>
                  </w:pPr>
                  <w:r>
                    <w:t xml:space="preserve">PD-008-07</w:t>
                  </w:r>
                </w:p>
              </w:tc>
              <w:tc>
                <w:tcPr/>
                <w:p>
                  <w:pPr>
                    <w:pStyle w:val="Compact"/>
                    <w:jc w:val="left"/>
                    <w:jc w:val="center"/>
                  </w:pPr>
                  <w:r>
                    <w:t xml:space="preserve">Records of execution not kept</w:t>
                  </w:r>
                </w:p>
              </w:tc>
              <w:tc>
                <w:tcPr/>
                <w:p>
                  <w:pPr>
                    <w:pStyle w:val="Compact"/>
                    <w:jc w:val="left"/>
                    <w:jc w:val="center"/>
                  </w:pPr>
                  <w:r>
                    <w:t xml:space="preserve">PCP-008: the chromatography system and its calibration, resin lot, packed column acceptance, buffer lot and analyst of each run, a second-person review, retained samples, the run affected by each event and the approval of the designs by Statistics recorded (PCP-008 §5.2, §9)</w:t>
                  </w:r>
                </w:p>
              </w:tc>
              <w:tc>
                <w:tcPr/>
                <w:p>
                  <w:pPr>
                    <w:pStyle w:val="Compact"/>
                    <w:jc w:val="left"/>
                    <w:jc w:val="center"/>
                  </w:pPr>
                  <w:r>
                    <w:t xml:space="preserve">none of these is in the record; DEV-008-03 names no run</w:t>
                  </w:r>
                </w:p>
              </w:tc>
              <w:tc>
                <w:tcPr/>
                <w:p>
                  <w:pPr>
                    <w:pStyle w:val="Compact"/>
                    <w:jc w:val="left"/>
                    <w:jc w:val="center"/>
                  </w:pPr>
                  <w:r>
                    <w:t xml:space="preserve">the record gives no reason</w:t>
                  </w:r>
                </w:p>
              </w:tc>
            </w:tr>
            <w:tr>
              <w:tc>
                <w:tcPr/>
                <w:p>
                  <w:pPr>
                    <w:pStyle w:val="Compact"/>
                    <w:jc w:val="left"/>
                    <w:jc w:val="center"/>
                  </w:pPr>
                  <w:r>
                    <w:t xml:space="preserve">PD-008-08</w:t>
                  </w:r>
                </w:p>
              </w:tc>
              <w:tc>
                <w:tcPr/>
                <w:p>
                  <w:pPr>
                    <w:pStyle w:val="Compact"/>
                    <w:jc w:val="left"/>
                    <w:jc w:val="center"/>
                  </w:pPr>
                  <w:r>
                    <w:t xml:space="preserve">Measurements and analyses of the plan not made</w:t>
                  </w:r>
                </w:p>
              </w:tc>
              <w:tc>
                <w:tcPr/>
                <w:p>
                  <w:pPr>
                    <w:pStyle w:val="Compact"/>
                    <w:jc w:val="left"/>
                    <w:jc w:val="center"/>
                  </w:pPr>
                  <w:r>
                    <w:t xml:space="preserve">PCP-008: residual DNA and leached Protein A measured on every response-surface run, the ANOVA and diagnostics of every model, one PAR figure for each PAR against its governing factor, and the completion rule of PCP-008 §7 item 8 reported against</w:t>
                  </w:r>
                </w:p>
              </w:tc>
              <w:tc>
                <w:tcPr/>
                <w:p>
                  <w:pPr>
                    <w:pStyle w:val="Compact"/>
                    <w:jc w:val="left"/>
                    <w:jc w:val="center"/>
                  </w:pPr>
                  <w:r>
                    <w:t xml:space="preserve">residual DNA and leached Protein A not measured on the augmentation runs; no ANOVA or diagnostics for the step yield and fragments models, which have no term; the virus clearance PAR figure drawn against load pH, not load conductivity, and no fragments figure; the completion rule not reported against</w:t>
                  </w:r>
                </w:p>
              </w:tc>
              <w:tc>
                <w:tcPr/>
                <w:p>
                  <w:pPr>
                    <w:pStyle w:val="Compact"/>
                    <w:jc w:val="left"/>
                    <w:jc w:val="center"/>
                  </w:pPr>
                  <w:r>
                    <w:t xml:space="preserve">the augmentation block was run for the outputs that failed PCMP-001 §7.2 only</w:t>
                  </w:r>
                </w:p>
              </w:tc>
            </w:tr>
            <w:tr>
              <w:tc>
                <w:tcPr/>
                <w:p>
                  <w:pPr>
                    <w:pStyle w:val="Compact"/>
                    <w:jc w:val="left"/>
                    <w:jc w:val="center"/>
                  </w:pPr>
                  <w:r>
                    <w:t xml:space="preserve">PD-008-09</w:t>
                  </w:r>
                </w:p>
              </w:tc>
              <w:tc>
                <w:tcPr/>
                <w:p>
                  <w:pPr>
                    <w:pStyle w:val="Compact"/>
                    <w:jc w:val="left"/>
                    <w:jc w:val="center"/>
                  </w:pPr>
                  <w:r>
                    <w:t xml:space="preserve">Protein load coded about a centre that is not its set-point</w:t>
                  </w:r>
                </w:p>
              </w:tc>
              <w:tc>
                <w:tcPr/>
                <w:p>
                  <w:pPr>
                    <w:pStyle w:val="Compact"/>
                    <w:jc w:val="left"/>
                    <w:jc w:val="center"/>
                  </w:pPr>
                  <w:r>
                    <w:t xml:space="preserve">PCP-008: each factor coded with its set-point at 0 (PCP-008 §5.5)</w:t>
                  </w:r>
                </w:p>
              </w:tc>
              <w:tc>
                <w:tcPr/>
                <w:p>
                  <w:pPr>
                    <w:pStyle w:val="Compact"/>
                    <w:jc w:val="left"/>
                    <w:jc w:val="center"/>
                  </w:pPr>
                  <w:r>
                    <w:t xml:space="preserve">protein load is coded about the middle of its range, 175 g/L resin, which is not its set-point of 200 g/L resin; the centre runs were made at 175 g/L resin</w:t>
                  </w:r>
                </w:p>
              </w:tc>
              <w:tc>
                <w:tcPr/>
                <w:p>
                  <w:pPr>
                    <w:pStyle w:val="Compact"/>
                    <w:jc w:val="left"/>
                    <w:jc w:val="center"/>
                  </w:pPr>
                  <w:r>
                    <w:t xml:space="preserve">the design was laid out on the range studied</w:t>
                  </w:r>
                </w:p>
              </w:tc>
            </w:tr>
            <w:tr>
              <w:tc>
                <w:tcPr/>
                <w:p>
                  <w:pPr>
                    <w:pStyle w:val="Compact"/>
                    <w:jc w:val="left"/>
                    <w:jc w:val="center"/>
                  </w:pPr>
                  <w:r>
                    <w:t xml:space="preserve">PD-008-10</w:t>
                  </w:r>
                </w:p>
              </w:tc>
              <w:tc>
                <w:tcPr/>
                <w:p>
                  <w:pPr>
                    <w:pStyle w:val="Compact"/>
                    <w:jc w:val="left"/>
                    <w:jc w:val="center"/>
                  </w:pPr>
                  <w:r>
                    <w:t xml:space="preserve">Approaches where the plan sets no threshold, and analyses the plan does not contain</w:t>
                  </w:r>
                </w:p>
              </w:tc>
              <w:tc>
                <w:tcPr/>
                <w:p>
                  <w:pPr>
                    <w:pStyle w:val="Compact"/>
                    <w:jc w:val="left"/>
                    <w:jc w:val="center"/>
                  </w:pPr>
                  <w:r>
                    <w:t xml:space="preserve">PCP-008: the decisions of PCP-008 §7 made on the evidence named there, and the analyses of PCP-008 §5.5 and §8</w:t>
                  </w:r>
                </w:p>
              </w:tc>
              <w:tc>
                <w:tcPr/>
                <w:p>
                  <w:pPr>
                    <w:pStyle w:val="Compact"/>
                    <w:jc w:val="left"/>
                    <w:jc w:val="center"/>
                  </w:pPr>
                  <w:r>
                    <w:t xml:space="preserve">the report states its own approach where the plan sets no threshold (a t-test at the 0.05 level for flow rate, assay repeatability for the size of a log reduction effect, the margin of the NOR within the PAR for a parameter called well controlled), and adds a sensitivity to near-equivalent models, a test of the interaction term between the two designs, the sensitivity of the verification bound to the offset and the deletion of each screening run</w:t>
                  </w:r>
                </w:p>
              </w:tc>
              <w:tc>
                <w:tcPr/>
                <w:p>
                  <w:pPr>
                    <w:pStyle w:val="Compact"/>
                    <w:jc w:val="left"/>
                    <w:jc w:val="center"/>
                  </w:pPr>
                  <w:r>
                    <w:t xml:space="preserve">PCP-008 §7 names the evidence for these decisions but no threshold</w:t>
                  </w:r>
                </w:p>
              </w:tc>
            </w:tr>
          </w:tbl>
          <w:bookmarkEnd w:id="138"/>
          <w:p/>
        </w:tc>
      </w:tr>
    </w:tbl>
    <w:p>
      <w:pPr>
        <w:pStyle w:val="BodyText"/>
      </w:pPr>
      <w:r>
        <w:t xml:space="preserve">The augmentation, PD-008-01 (</w:t>
      </w:r>
      <w:hyperlink w:anchor="sec-rsm-design">
        <w:r>
          <w:rPr>
            <w:rStyle w:val="Hyperlink"/>
          </w:rPr>
          <w:t xml:space="preserve">Section 4.3</w:t>
        </w:r>
      </w:hyperlink>
      <w:r>
        <w:t xml:space="preserve">), was decided by INV-002 on 2026-09-02, before any new run, and made from 2026-09-10 to 2026-09-24, after the planned results were known. Its effect on each selected model and judgement was computed (</w:t>
      </w:r>
      <w:hyperlink w:anchor="sec-reeval">
        <w:r>
          <w:rPr>
            <w:rStyle w:val="Hyperlink"/>
          </w:rPr>
          <w:t xml:space="preserve">Section 5.3.3</w:t>
        </w:r>
      </w:hyperlink>
      <w:r>
        <w:t xml:space="preserve">). For pool host cell protein the selected model has the same scale and terms on the planned runs alone, and on them the criterion is met over the NOR and the scale-down model is qualified. For fragments the selected model has no term on either set of runs. Step yield has no adequate model on the planned runs alone and an adequate model with no term on all runs.</w:t>
      </w:r>
    </w:p>
    <w:p>
      <w:pPr>
        <w:pStyle w:val="BodyText"/>
      </w:pPr>
      <w:r>
        <w:t xml:space="preserve">The model selection, PD-008-02 (</w:t>
      </w:r>
      <w:hyperlink w:anchor="sec-stats">
        <w:r>
          <w:rPr>
            <w:rStyle w:val="Hyperlink"/>
          </w:rPr>
          <w:t xml:space="preserve">Section 3.5</w:t>
        </w:r>
      </w:hyperlink>
      <w:r>
        <w:t xml:space="preserve">), is the refit with a justified change of terms or transformation that PCMP-001 §7.2 allows for a model that fails the limit on overfitting. At this step no criterion moved, and no judgement over the NOR differs between the criteria in force and the criteria as they would be without the selection. The selection does decide whether the host cell protein bound of this step widens the upstream criteria, and with them whether the scale-down model of cation exchange is qualified for host cell protein (</w:t>
      </w:r>
      <w:hyperlink w:anchor="sec-verification">
        <w:r>
          <w:rPr>
            <w:rStyle w:val="Hyperlink"/>
          </w:rPr>
          <w:t xml:space="preserve">Section 7.5</w:t>
        </w:r>
      </w:hyperlink>
      <w:r>
        <w:t xml:space="preserve">).</w:t>
      </w:r>
    </w:p>
    <w:p>
      <w:pPr>
        <w:pStyle w:val="BodyText"/>
      </w:pPr>
      <w:r>
        <w:t xml:space="preserve">Without a centre run, PD-008-03 (</w:t>
      </w:r>
      <w:hyperlink w:anchor="sec-uni-design">
        <w:r>
          <w:rPr>
            <w:rStyle w:val="Hyperlink"/>
          </w:rPr>
          <w:t xml:space="preserve">Section 4.4</w:t>
        </w:r>
      </w:hyperlink>
      <w:r>
        <w:t xml:space="preserve">), the flow-rate study cannot show curvature in the effect of flow rate within the range. The comparison between the two ends does not need a centre run, and neither difference was significant (</w:t>
      </w:r>
      <w:hyperlink w:anchor="sec-flow">
        <w:r>
          <w:rPr>
            <w:rStyle w:val="Hyperlink"/>
          </w:rPr>
          <w:t xml:space="preserve">Section 5.4</w:t>
        </w:r>
      </w:hyperlink>
      <w:r>
        <w:t xml:space="preserve">). The reference runs at set-point were made before the designs began.</w:t>
      </w:r>
    </w:p>
    <w:p>
      <w:pPr>
        <w:pStyle w:val="BodyText"/>
      </w:pPr>
      <w:r>
        <w:t xml:space="preserve">Bed pressure, PD-008-04 (</w:t>
      </w:r>
      <w:hyperlink w:anchor="sec-sdm">
        <w:r>
          <w:rPr>
            <w:rStyle w:val="Hyperlink"/>
          </w:rPr>
          <w:t xml:space="preserve">Section 3.1</w:t>
        </w:r>
      </w:hyperlink>
      <w:r>
        <w:t xml:space="preserve">), supports no conclusion of this report. The viral clearance results do rest on the spiking model, and the match of the spiked load to the unspiked load is not shown. Without the virus assay controls, PD-008-05 (</w:t>
      </w:r>
      <w:hyperlink w:anchor="sec-sampling">
        <w:r>
          <w:rPr>
            <w:rStyle w:val="Hyperlink"/>
          </w:rPr>
          <w:t xml:space="preserve">Section 3.4</w:t>
        </w:r>
      </w:hyperlink>
      <w:r>
        <w:t xml:space="preserve">), an effect of the sample matrix on the assay cannot be excluded for these results.</w:t>
      </w:r>
    </w:p>
    <w:p>
      <w:pPr>
        <w:pStyle w:val="BodyText"/>
      </w:pPr>
      <w:r>
        <w:t xml:space="preserve">Because the load lots, PD-008-06 (</w:t>
      </w:r>
      <w:hyperlink w:anchor="sec-operation">
        <w:r>
          <w:rPr>
            <w:rStyle w:val="Hyperlink"/>
          </w:rPr>
          <w:t xml:space="preserve">Section 3.2</w:t>
        </w:r>
      </w:hyperlink>
      <w:r>
        <w:t xml:space="preserve">), were not compared, the block term and the prediction of the augmentation runs by the model of the planned runs (</w:t>
      </w:r>
      <w:hyperlink w:anchor="sec-reeval">
        <w:r>
          <w:rPr>
            <w:rStyle w:val="Hyperlink"/>
          </w:rPr>
          <w:t xml:space="preserve">Section 5.3.3</w:t>
        </w:r>
      </w:hyperlink>
      <w:r>
        <w:t xml:space="preserve">) are the only evidence that the augmentation load behaved as the planned load. This holds for pool host cell protein. Without the records of execution, PD-008-07 (</w:t>
      </w:r>
      <w:hyperlink w:anchor="sec-operation">
        <w:r>
          <w:rPr>
            <w:rStyle w:val="Hyperlink"/>
          </w:rPr>
          <w:t xml:space="preserve">Section 3.2</w:t>
        </w:r>
      </w:hyperlink>
      <w:r>
        <w:t xml:space="preserve">), a run cannot be traced to its inputs, and the effect of DEV-008-03 could only be bracketed by deleting each screening run in turn (</w:t>
      </w:r>
      <w:hyperlink w:anchor="sec-dev03">
        <w:r>
          <w:rPr>
            <w:rStyle w:val="Hyperlink"/>
          </w:rPr>
          <w:t xml:space="preserve">Section 13.1.3</w:t>
        </w:r>
      </w:hyperlink>
      <w:r>
        <w:t xml:space="preserve">).</w:t>
      </w:r>
    </w:p>
    <w:p>
      <w:pPr>
        <w:pStyle w:val="BodyText"/>
      </w:pPr>
      <w:r>
        <w:t xml:space="preserve">Of the measurements and analyses not made, PD-008-08, residual DNA and leached Protein A were below the LOQ in every pool in which they were measured (</w:t>
      </w:r>
      <w:hyperlink w:anchor="sec-dna">
        <w:r>
          <w:rPr>
            <w:rStyle w:val="Hyperlink"/>
          </w:rPr>
          <w:t xml:space="preserve">Section 5.5</w:t>
        </w:r>
      </w:hyperlink>
      <w:r>
        <w:t xml:space="preserve">). The coefficients of the two models without a term are given in Appendix C. This report states the completion rule of PCP-008 §7 item 8 and reports against it in</w:t>
      </w:r>
      <w:r>
        <w:t xml:space="preserve"> </w:t>
      </w:r>
      <w:hyperlink w:anchor="sec-conclusions">
        <w:r>
          <w:rPr>
            <w:rStyle w:val="Hyperlink"/>
          </w:rPr>
          <w:t xml:space="preserve">Section 12</w:t>
        </w:r>
      </w:hyperlink>
      <w:r>
        <w:t xml:space="preserve">.</w:t>
      </w:r>
    </w:p>
    <w:p>
      <w:pPr>
        <w:pStyle w:val="BodyText"/>
      </w:pPr>
      <w:r>
        <w:t xml:space="preserve">The approaches of PD-008-10 (</w:t>
      </w:r>
      <w:hyperlink w:anchor="sec-stats">
        <w:r>
          <w:rPr>
            <w:rStyle w:val="Hyperlink"/>
          </w:rPr>
          <w:t xml:space="preserve">Section 3.5</w:t>
        </w:r>
      </w:hyperlink>
      <w:r>
        <w:t xml:space="preserve">) were set at analysis, after the data were known. They are a two-sided t-test at 0.05 for an effect of flow rate, the repeatability of the assay as the size below which an apparent effect on an LRF is attributed to the assay, and the margin of the NOR within its proven acceptable range for a parameter called well controlled.</w:t>
      </w:r>
    </w:p>
    <w:bookmarkEnd w:id="139"/>
    <w:bookmarkEnd w:id="140"/>
    <w:bookmarkStart w:id="154" w:name="references"/>
    <w:p>
      <w:pPr>
        <w:pStyle w:val="Heading1"/>
      </w:pPr>
      <w:r>
        <w:t xml:space="preserve">References</w:t>
      </w:r>
    </w:p>
    <w:bookmarkStart w:id="153" w:name="refs"/>
    <w:bookmarkStart w:id="141"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141"/>
    <w:bookmarkStart w:id="142" w:name="ref-burnham2002"/>
    <w:p>
      <w:pPr>
        <w:pStyle w:val="Bibliography"/>
      </w:pPr>
      <w:r>
        <w:t xml:space="preserve">Burnham, Kenneth P., and David R. Anderson. 2002.</w:t>
      </w:r>
      <w:r>
        <w:t xml:space="preserve"> </w:t>
      </w:r>
      <w:r>
        <w:rPr>
          <w:i/>
          <w:iCs/>
        </w:rPr>
        <w:t xml:space="preserve">Model Selection and Multimodel Inference: A Practical Information-Theoretic Approach</w:t>
      </w:r>
      <w:r>
        <w:t xml:space="preserve">. 2nd ed. New York: Springer.</w:t>
      </w:r>
    </w:p>
    <w:bookmarkEnd w:id="142"/>
    <w:bookmarkStart w:id="143"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143"/>
    <w:bookmarkStart w:id="144" w:name="ref-fedorov1972"/>
    <w:p>
      <w:pPr>
        <w:pStyle w:val="Bibliography"/>
      </w:pPr>
      <w:r>
        <w:t xml:space="preserve">Fedorov, Valerii V. 1972.</w:t>
      </w:r>
      <w:r>
        <w:t xml:space="preserve"> </w:t>
      </w:r>
      <w:r>
        <w:rPr>
          <w:i/>
          <w:iCs/>
        </w:rPr>
        <w:t xml:space="preserve">Theory of Optimal Experiments</w:t>
      </w:r>
      <w:r>
        <w:t xml:space="preserve">. New York: Academic Press.</w:t>
      </w:r>
    </w:p>
    <w:bookmarkEnd w:id="144"/>
    <w:bookmarkStart w:id="145"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145"/>
    <w:bookmarkStart w:id="146"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146"/>
    <w:bookmarkStart w:id="147" w:name="ref-ichq8"/>
    <w:p>
      <w:pPr>
        <w:pStyle w:val="Bibliography"/>
      </w:pPr>
      <w:r>
        <w:t xml:space="preserve">———. 2009.</w:t>
      </w:r>
      <w:r>
        <w:t xml:space="preserve"> </w:t>
      </w:r>
      <w:r>
        <w:t xml:space="preserve">“ICH Q8(R2): Pharmaceutical Development.”</w:t>
      </w:r>
      <w:r>
        <w:t xml:space="preserve"> </w:t>
      </w:r>
      <w:r>
        <w:t xml:space="preserve">ICH.</w:t>
      </w:r>
    </w:p>
    <w:bookmarkEnd w:id="147"/>
    <w:bookmarkStart w:id="148" w:name="ref-ichq11"/>
    <w:p>
      <w:pPr>
        <w:pStyle w:val="Bibliography"/>
      </w:pPr>
      <w:r>
        <w:t xml:space="preserve">———. 2012.</w:t>
      </w:r>
      <w:r>
        <w:t xml:space="preserve"> </w:t>
      </w:r>
      <w:r>
        <w:t xml:space="preserve">“ICH Q11: Development and Manufacture of Drug Substances.”</w:t>
      </w:r>
      <w:r>
        <w:t xml:space="preserve"> </w:t>
      </w:r>
      <w:r>
        <w:t xml:space="preserve">ICH.</w:t>
      </w:r>
    </w:p>
    <w:bookmarkEnd w:id="148"/>
    <w:bookmarkStart w:id="149"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149"/>
    <w:bookmarkStart w:id="150" w:name="ref-ichq9"/>
    <w:p>
      <w:pPr>
        <w:pStyle w:val="Bibliography"/>
      </w:pPr>
      <w:r>
        <w:t xml:space="preserve">———. 2023b.</w:t>
      </w:r>
      <w:r>
        <w:t xml:space="preserve"> </w:t>
      </w:r>
      <w:r>
        <w:t xml:space="preserve">“ICH Q9(R1): Quality Risk Management.”</w:t>
      </w:r>
      <w:r>
        <w:t xml:space="preserve"> </w:t>
      </w:r>
      <w:r>
        <w:t xml:space="preserve">ICH.</w:t>
      </w:r>
    </w:p>
    <w:bookmarkEnd w:id="150"/>
    <w:bookmarkStart w:id="151"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151"/>
    <w:bookmarkStart w:id="152"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152"/>
    <w:bookmarkEnd w:id="153"/>
    <w:bookmarkEnd w:id="154"/>
    <w:bookmarkStart w:id="157" w:name="X77c0ef24ce4de9c1b8c35876c233736670b0bf3"/>
    <w:p>
      <w:pPr>
        <w:pStyle w:val="Heading1"/>
      </w:pPr>
      <w:r>
        <w:t xml:space="preserve">Appendix A — Screening design matrix and responses</w:t>
      </w:r>
    </w:p>
    <w:p>
      <w:pPr>
        <w:pStyle w:val="FirstParagraph"/>
      </w:pPr>
      <w:hyperlink w:anchor="tbl-doe-aex-screening">
        <w:r>
          <w:rPr>
            <w:rStyle w:val="Hyperlink"/>
          </w:rPr>
          <w:t xml:space="preserve">Table 28</w:t>
        </w:r>
      </w:hyperlink>
      <w:r>
        <w:t xml:space="preserve"> </w:t>
      </w:r>
      <w:r>
        <w:t xml:space="preserve">gives the settings and results of the re-executed screening design in natural units. The run order was randomized at execution.</w:t>
      </w:r>
      <w:r>
        <w:t xml:space="preserve"> </w:t>
      </w:r>
      <w:hyperlink w:anchor="tbl-doe-aex-screening-sup">
        <w:r>
          <w:rPr>
            <w:rStyle w:val="Hyperlink"/>
          </w:rPr>
          <w:t xml:space="preserve">Table 29</w:t>
        </w:r>
      </w:hyperlink>
      <w:r>
        <w:t xml:space="preserve"> </w:t>
      </w:r>
      <w:r>
        <w:t xml:space="preserve">gives the invalidated first execution of the screening design (DEV-008-01), whose results serve only to confirm the cause of that event.</w:t>
      </w:r>
    </w:p>
    <w:tbl>
      <w:tblPr>
        <w:tblStyle w:val="Table"/>
        <w:tblW w:type="pct" w:w="5000"/>
        <w:tblLayout w:type="fixed"/>
        <w:tblLook w:firstRow="0" w:lastRow="0" w:firstColumn="0" w:lastColumn="0" w:noHBand="0" w:noVBand="0" w:val="0000"/>
      </w:tblPr>
      <w:tblGrid>
        <w:gridCol w:w="7920"/>
      </w:tblGrid>
      <w:tr>
        <w:tc>
          <w:tcPr/>
          <w:bookmarkStart w:id="155" w:name="tbl-doe-aex-screening"/>
          <w:p>
            <w:pPr>
              <w:jc w:val="center"/>
            </w:pPr>
            <w:pPr>
              <w:jc w:val="start"/>
              <w:spacing w:before="200"/>
              <w:pStyle w:val="ImageCaption"/>
            </w:pPr>
            <w:r>
              <w:t xml:space="preserve">Table 28: Anion exchange screening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4"/>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XMuLV LRF</w:t>
                  </w:r>
                </w:p>
              </w:tc>
              <w:tc>
                <w:tcPr/>
                <w:p>
                  <w:pPr>
                    <w:pStyle w:val="Compact"/>
                    <w:jc w:val="center"/>
                  </w:pPr>
                  <w:r>
                    <w:t xml:space="preserve">MVM LRF</w:t>
                  </w:r>
                </w:p>
              </w:tc>
              <w:tc>
                <w:tcPr/>
                <w:p>
                  <w:pPr>
                    <w:pStyle w:val="Compact"/>
                    <w:jc w:val="center"/>
                  </w:pPr>
                  <w:r>
                    <w:t xml:space="preserve">Yield</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mS/cm</w:t>
                  </w:r>
                </w:p>
              </w:tc>
              <w:tc>
                <w:tcPr/>
                <w:p>
                  <w:pPr>
                    <w:pStyle w:val="Compact"/>
                    <w:jc w:val="center"/>
                  </w:pPr>
                  <w:r>
                    <w:t xml:space="preserve">mS/cm</w:t>
                  </w:r>
                </w:p>
              </w:tc>
              <w:tc>
                <w:tcPr/>
                <w:p>
                  <w:pPr>
                    <w:pStyle w:val="Compact"/>
                    <w:jc w:val="center"/>
                  </w:pPr>
                  <w:r>
                    <w:t xml:space="preserve">g/L resin</w:t>
                  </w:r>
                </w:p>
              </w:tc>
              <w:tc>
                <w:tcPr/>
                <w:p>
                  <w:pPr>
                    <w:pStyle w:val="Compact"/>
                    <w:jc w:val="center"/>
                  </w:pPr>
                  <w:r>
                    <w:t xml:space="preserve">ng/mg</w:t>
                  </w:r>
                </w:p>
              </w:tc>
              <w:tc>
                <w:tcPr/>
                <w:p>
                  <w:pPr>
                    <w:pStyle w:val="Compact"/>
                    <w:jc w:val="center"/>
                  </w:pPr>
                  <w:r>
                    <w:t xml:space="preserve">log10</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12.5</w:t>
                  </w:r>
                </w:p>
              </w:tc>
              <w:tc>
                <w:tcPr/>
                <w:p>
                  <w:pPr>
                    <w:pStyle w:val="Compact"/>
                    <w:jc w:val="center"/>
                  </w:pPr>
                  <w:r>
                    <w:t xml:space="preserve">6.16</w:t>
                  </w:r>
                </w:p>
              </w:tc>
              <w:tc>
                <w:tcPr/>
                <w:p>
                  <w:pPr>
                    <w:pStyle w:val="Compact"/>
                    <w:jc w:val="center"/>
                  </w:pPr>
                  <w:r>
                    <w:t xml:space="preserve">4.59</w:t>
                  </w:r>
                </w:p>
              </w:tc>
              <w:tc>
                <w:tcPr/>
                <w:p>
                  <w:pPr>
                    <w:pStyle w:val="Compact"/>
                    <w:jc w:val="center"/>
                  </w:pPr>
                  <w:r>
                    <w:t xml:space="preserve">99.0</w:t>
                  </w:r>
                </w:p>
              </w:tc>
              <w:tc>
                <w:tcPr/>
                <w:p>
                  <w:pPr>
                    <w:pStyle w:val="Compact"/>
                    <w:jc w:val="center"/>
                  </w:pPr>
                  <w:r>
                    <w:t xml:space="preserve">0.56</w:t>
                  </w:r>
                </w:p>
              </w:tc>
            </w:tr>
            <w:tr>
              <w:tc>
                <w:tcPr/>
                <w:p>
                  <w:pPr>
                    <w:pStyle w:val="Compact"/>
                    <w:jc w:val="center"/>
                  </w:pPr>
                  <w:r>
                    <w:t xml:space="preserve">2</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15.6</w:t>
                  </w:r>
                </w:p>
              </w:tc>
              <w:tc>
                <w:tcPr/>
                <w:p>
                  <w:pPr>
                    <w:pStyle w:val="Compact"/>
                    <w:jc w:val="center"/>
                  </w:pPr>
                  <w:r>
                    <w:t xml:space="preserve">6.15</w:t>
                  </w:r>
                </w:p>
              </w:tc>
              <w:tc>
                <w:tcPr/>
                <w:p>
                  <w:pPr>
                    <w:pStyle w:val="Compact"/>
                    <w:jc w:val="center"/>
                  </w:pPr>
                  <w:r>
                    <w:t xml:space="preserve">4.43</w:t>
                  </w:r>
                </w:p>
              </w:tc>
              <w:tc>
                <w:tcPr/>
                <w:p>
                  <w:pPr>
                    <w:pStyle w:val="Compact"/>
                    <w:jc w:val="center"/>
                  </w:pPr>
                  <w:r>
                    <w:t xml:space="preserve">97.5</w:t>
                  </w:r>
                </w:p>
              </w:tc>
              <w:tc>
                <w:tcPr/>
                <w:p>
                  <w:pPr>
                    <w:pStyle w:val="Compact"/>
                    <w:jc w:val="center"/>
                  </w:pPr>
                  <w:r>
                    <w:t xml:space="preserve">0.75</w:t>
                  </w:r>
                </w:p>
              </w:tc>
            </w:tr>
            <w:tr>
              <w:tc>
                <w:tcPr/>
                <w:p>
                  <w:pPr>
                    <w:pStyle w:val="Compact"/>
                    <w:jc w:val="center"/>
                  </w:pPr>
                  <w:r>
                    <w:t xml:space="preserve">3</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12.1</w:t>
                  </w:r>
                </w:p>
              </w:tc>
              <w:tc>
                <w:tcPr/>
                <w:p>
                  <w:pPr>
                    <w:pStyle w:val="Compact"/>
                    <w:jc w:val="center"/>
                  </w:pPr>
                  <w:r>
                    <w:t xml:space="preserve">5.47</w:t>
                  </w:r>
                </w:p>
              </w:tc>
              <w:tc>
                <w:tcPr/>
                <w:p>
                  <w:pPr>
                    <w:pStyle w:val="Compact"/>
                    <w:jc w:val="center"/>
                  </w:pPr>
                  <w:r>
                    <w:t xml:space="preserve">3.76</w:t>
                  </w:r>
                </w:p>
              </w:tc>
              <w:tc>
                <w:tcPr/>
                <w:p>
                  <w:pPr>
                    <w:pStyle w:val="Compact"/>
                    <w:jc w:val="center"/>
                  </w:pPr>
                  <w:r>
                    <w:t xml:space="preserve">95.1</w:t>
                  </w:r>
                </w:p>
              </w:tc>
              <w:tc>
                <w:tcPr/>
                <w:p>
                  <w:pPr>
                    <w:pStyle w:val="Compact"/>
                    <w:jc w:val="center"/>
                  </w:pPr>
                  <w:r>
                    <w:t xml:space="preserve">0.60</w:t>
                  </w:r>
                </w:p>
              </w:tc>
            </w:tr>
            <w:tr>
              <w:tc>
                <w:tcPr/>
                <w:p>
                  <w:pPr>
                    <w:pStyle w:val="Compact"/>
                    <w:jc w:val="center"/>
                  </w:pPr>
                  <w:r>
                    <w:t xml:space="preserve">4</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14.6</w:t>
                  </w:r>
                </w:p>
              </w:tc>
              <w:tc>
                <w:tcPr/>
                <w:p>
                  <w:pPr>
                    <w:pStyle w:val="Compact"/>
                    <w:jc w:val="center"/>
                  </w:pPr>
                  <w:r>
                    <w:t xml:space="preserve">5.56</w:t>
                  </w:r>
                </w:p>
              </w:tc>
              <w:tc>
                <w:tcPr/>
                <w:p>
                  <w:pPr>
                    <w:pStyle w:val="Compact"/>
                    <w:jc w:val="center"/>
                  </w:pPr>
                  <w:r>
                    <w:t xml:space="preserve">3.96</w:t>
                  </w:r>
                </w:p>
              </w:tc>
              <w:tc>
                <w:tcPr/>
                <w:p>
                  <w:pPr>
                    <w:pStyle w:val="Compact"/>
                    <w:jc w:val="center"/>
                  </w:pPr>
                  <w:r>
                    <w:t xml:space="preserve">96.4</w:t>
                  </w:r>
                </w:p>
              </w:tc>
              <w:tc>
                <w:tcPr/>
                <w:p>
                  <w:pPr>
                    <w:pStyle w:val="Compact"/>
                    <w:jc w:val="center"/>
                  </w:pPr>
                  <w:r>
                    <w:t xml:space="preserve">0.69</w:t>
                  </w:r>
                </w:p>
              </w:tc>
            </w:tr>
            <w:tr>
              <w:tc>
                <w:tcPr/>
                <w:p>
                  <w:pPr>
                    <w:pStyle w:val="Compact"/>
                    <w:jc w:val="center"/>
                  </w:pPr>
                  <w:r>
                    <w:t xml:space="preserve">5</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35.7</w:t>
                  </w:r>
                </w:p>
              </w:tc>
              <w:tc>
                <w:tcPr/>
                <w:p>
                  <w:pPr>
                    <w:pStyle w:val="Compact"/>
                    <w:jc w:val="center"/>
                  </w:pPr>
                  <w:r>
                    <w:t xml:space="preserve">6.34</w:t>
                  </w:r>
                </w:p>
              </w:tc>
              <w:tc>
                <w:tcPr/>
                <w:p>
                  <w:pPr>
                    <w:pStyle w:val="Compact"/>
                    <w:jc w:val="center"/>
                  </w:pPr>
                  <w:r>
                    <w:t xml:space="preserve">4.74</w:t>
                  </w:r>
                </w:p>
              </w:tc>
              <w:tc>
                <w:tcPr/>
                <w:p>
                  <w:pPr>
                    <w:pStyle w:val="Compact"/>
                    <w:jc w:val="center"/>
                  </w:pPr>
                  <w:r>
                    <w:t xml:space="preserve">96.5</w:t>
                  </w:r>
                </w:p>
              </w:tc>
              <w:tc>
                <w:tcPr/>
                <w:p>
                  <w:pPr>
                    <w:pStyle w:val="Compact"/>
                    <w:jc w:val="center"/>
                  </w:pPr>
                  <w:r>
                    <w:t xml:space="preserve">0.63</w:t>
                  </w:r>
                </w:p>
              </w:tc>
            </w:tr>
            <w:tr>
              <w:tc>
                <w:tcPr/>
                <w:p>
                  <w:pPr>
                    <w:pStyle w:val="Compact"/>
                    <w:jc w:val="center"/>
                  </w:pPr>
                  <w:r>
                    <w:t xml:space="preserve">6</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35.0</w:t>
                  </w:r>
                </w:p>
              </w:tc>
              <w:tc>
                <w:tcPr/>
                <w:p>
                  <w:pPr>
                    <w:pStyle w:val="Compact"/>
                    <w:jc w:val="center"/>
                  </w:pPr>
                  <w:r>
                    <w:t xml:space="preserve">6.30</w:t>
                  </w:r>
                </w:p>
              </w:tc>
              <w:tc>
                <w:tcPr/>
                <w:p>
                  <w:pPr>
                    <w:pStyle w:val="Compact"/>
                    <w:jc w:val="center"/>
                  </w:pPr>
                  <w:r>
                    <w:t xml:space="preserve">4.83</w:t>
                  </w:r>
                </w:p>
              </w:tc>
              <w:tc>
                <w:tcPr/>
                <w:p>
                  <w:pPr>
                    <w:pStyle w:val="Compact"/>
                    <w:jc w:val="center"/>
                  </w:pPr>
                  <w:r>
                    <w:t xml:space="preserve">99.5</w:t>
                  </w:r>
                </w:p>
              </w:tc>
              <w:tc>
                <w:tcPr/>
                <w:p>
                  <w:pPr>
                    <w:pStyle w:val="Compact"/>
                    <w:jc w:val="center"/>
                  </w:pPr>
                  <w:r>
                    <w:t xml:space="preserve">0.75</w:t>
                  </w:r>
                </w:p>
              </w:tc>
            </w:tr>
            <w:tr>
              <w:tc>
                <w:tcPr/>
                <w:p>
                  <w:pPr>
                    <w:pStyle w:val="Compact"/>
                    <w:jc w:val="center"/>
                  </w:pPr>
                  <w:r>
                    <w:t xml:space="preserve">7</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29.2</w:t>
                  </w:r>
                </w:p>
              </w:tc>
              <w:tc>
                <w:tcPr/>
                <w:p>
                  <w:pPr>
                    <w:pStyle w:val="Compact"/>
                    <w:jc w:val="center"/>
                  </w:pPr>
                  <w:r>
                    <w:t xml:space="preserve">5.92</w:t>
                  </w:r>
                </w:p>
              </w:tc>
              <w:tc>
                <w:tcPr/>
                <w:p>
                  <w:pPr>
                    <w:pStyle w:val="Compact"/>
                    <w:jc w:val="center"/>
                  </w:pPr>
                  <w:r>
                    <w:t xml:space="preserve">4.01</w:t>
                  </w:r>
                </w:p>
              </w:tc>
              <w:tc>
                <w:tcPr/>
                <w:p>
                  <w:pPr>
                    <w:pStyle w:val="Compact"/>
                    <w:jc w:val="center"/>
                  </w:pPr>
                  <w:r>
                    <w:t xml:space="preserve">97.4</w:t>
                  </w:r>
                </w:p>
              </w:tc>
              <w:tc>
                <w:tcPr/>
                <w:p>
                  <w:pPr>
                    <w:pStyle w:val="Compact"/>
                    <w:jc w:val="center"/>
                  </w:pPr>
                  <w:r>
                    <w:t xml:space="preserve">0.61</w:t>
                  </w:r>
                </w:p>
              </w:tc>
            </w:tr>
            <w:tr>
              <w:tc>
                <w:tcPr/>
                <w:p>
                  <w:pPr>
                    <w:pStyle w:val="Compact"/>
                    <w:jc w:val="center"/>
                  </w:pPr>
                  <w:r>
                    <w:t xml:space="preserve">8</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29.8</w:t>
                  </w:r>
                </w:p>
              </w:tc>
              <w:tc>
                <w:tcPr/>
                <w:p>
                  <w:pPr>
                    <w:pStyle w:val="Compact"/>
                    <w:jc w:val="center"/>
                  </w:pPr>
                  <w:r>
                    <w:t xml:space="preserve">5.95</w:t>
                  </w:r>
                </w:p>
              </w:tc>
              <w:tc>
                <w:tcPr/>
                <w:p>
                  <w:pPr>
                    <w:pStyle w:val="Compact"/>
                    <w:jc w:val="center"/>
                  </w:pPr>
                  <w:r>
                    <w:t xml:space="preserve">3.94</w:t>
                  </w:r>
                </w:p>
              </w:tc>
              <w:tc>
                <w:tcPr/>
                <w:p>
                  <w:pPr>
                    <w:pStyle w:val="Compact"/>
                    <w:jc w:val="center"/>
                  </w:pPr>
                  <w:r>
                    <w:t xml:space="preserve">96.9</w:t>
                  </w:r>
                </w:p>
              </w:tc>
              <w:tc>
                <w:tcPr/>
                <w:p>
                  <w:pPr>
                    <w:pStyle w:val="Compact"/>
                    <w:jc w:val="center"/>
                  </w:pPr>
                  <w:r>
                    <w:t xml:space="preserve">0.62</w:t>
                  </w:r>
                </w:p>
              </w:tc>
            </w:tr>
            <w:tr>
              <w:tc>
                <w:tcPr/>
                <w:p>
                  <w:pPr>
                    <w:pStyle w:val="Compact"/>
                    <w:jc w:val="center"/>
                  </w:pPr>
                  <w:r>
                    <w:t xml:space="preserve">9</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9.62</w:t>
                  </w:r>
                </w:p>
              </w:tc>
              <w:tc>
                <w:tcPr/>
                <w:p>
                  <w:pPr>
                    <w:pStyle w:val="Compact"/>
                    <w:jc w:val="center"/>
                  </w:pPr>
                  <w:r>
                    <w:t xml:space="preserve">7.00</w:t>
                  </w:r>
                </w:p>
              </w:tc>
              <w:tc>
                <w:tcPr/>
                <w:p>
                  <w:pPr>
                    <w:pStyle w:val="Compact"/>
                    <w:jc w:val="center"/>
                  </w:pPr>
                  <w:r>
                    <w:t xml:space="preserve">5.91</w:t>
                  </w:r>
                </w:p>
              </w:tc>
              <w:tc>
                <w:tcPr/>
                <w:p>
                  <w:pPr>
                    <w:pStyle w:val="Compact"/>
                    <w:jc w:val="center"/>
                  </w:pPr>
                  <w:r>
                    <w:t xml:space="preserve">97.3</w:t>
                  </w:r>
                </w:p>
              </w:tc>
              <w:tc>
                <w:tcPr/>
                <w:p>
                  <w:pPr>
                    <w:pStyle w:val="Compact"/>
                    <w:jc w:val="center"/>
                  </w:pPr>
                  <w:r>
                    <w:t xml:space="preserve">0.54</w:t>
                  </w:r>
                </w:p>
              </w:tc>
            </w:tr>
            <w:tr>
              <w:tc>
                <w:tcPr/>
                <w:p>
                  <w:pPr>
                    <w:pStyle w:val="Compact"/>
                    <w:jc w:val="center"/>
                  </w:pPr>
                  <w:r>
                    <w:t xml:space="preserve">10</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7.37</w:t>
                  </w:r>
                </w:p>
              </w:tc>
              <w:tc>
                <w:tcPr/>
                <w:p>
                  <w:pPr>
                    <w:pStyle w:val="Compact"/>
                    <w:jc w:val="center"/>
                  </w:pPr>
                  <w:r>
                    <w:t xml:space="preserve">7.40</w:t>
                  </w:r>
                </w:p>
              </w:tc>
              <w:tc>
                <w:tcPr/>
                <w:p>
                  <w:pPr>
                    <w:pStyle w:val="Compact"/>
                    <w:jc w:val="center"/>
                  </w:pPr>
                  <w:r>
                    <w:t xml:space="preserve">5.61</w:t>
                  </w:r>
                </w:p>
              </w:tc>
              <w:tc>
                <w:tcPr/>
                <w:p>
                  <w:pPr>
                    <w:pStyle w:val="Compact"/>
                    <w:jc w:val="center"/>
                  </w:pPr>
                  <w:r>
                    <w:t xml:space="preserve">95.3</w:t>
                  </w:r>
                </w:p>
              </w:tc>
              <w:tc>
                <w:tcPr/>
                <w:p>
                  <w:pPr>
                    <w:pStyle w:val="Compact"/>
                    <w:jc w:val="center"/>
                  </w:pPr>
                  <w:r>
                    <w:t xml:space="preserve">0.58</w:t>
                  </w:r>
                </w:p>
              </w:tc>
            </w:tr>
            <w:tr>
              <w:tc>
                <w:tcPr/>
                <w:p>
                  <w:pPr>
                    <w:pStyle w:val="Compact"/>
                    <w:jc w:val="center"/>
                  </w:pPr>
                  <w:r>
                    <w:t xml:space="preserve">11</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8.69</w:t>
                  </w:r>
                </w:p>
              </w:tc>
              <w:tc>
                <w:tcPr/>
                <w:p>
                  <w:pPr>
                    <w:pStyle w:val="Compact"/>
                    <w:jc w:val="center"/>
                  </w:pPr>
                  <w:r>
                    <w:t xml:space="preserve">6.61</w:t>
                  </w:r>
                </w:p>
              </w:tc>
              <w:tc>
                <w:tcPr/>
                <w:p>
                  <w:pPr>
                    <w:pStyle w:val="Compact"/>
                    <w:jc w:val="center"/>
                  </w:pPr>
                  <w:r>
                    <w:t xml:space="preserve">5.25</w:t>
                  </w:r>
                </w:p>
              </w:tc>
              <w:tc>
                <w:tcPr/>
                <w:p>
                  <w:pPr>
                    <w:pStyle w:val="Compact"/>
                    <w:jc w:val="center"/>
                  </w:pPr>
                  <w:r>
                    <w:t xml:space="preserve">97.2</w:t>
                  </w:r>
                </w:p>
              </w:tc>
              <w:tc>
                <w:tcPr/>
                <w:p>
                  <w:pPr>
                    <w:pStyle w:val="Compact"/>
                    <w:jc w:val="center"/>
                  </w:pPr>
                  <w:r>
                    <w:t xml:space="preserve">0.63</w:t>
                  </w:r>
                </w:p>
              </w:tc>
            </w:tr>
            <w:tr>
              <w:tc>
                <w:tcPr/>
                <w:p>
                  <w:pPr>
                    <w:pStyle w:val="Compact"/>
                    <w:jc w:val="center"/>
                  </w:pPr>
                  <w:r>
                    <w:t xml:space="preserve">12</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8.04</w:t>
                  </w:r>
                </w:p>
              </w:tc>
              <w:tc>
                <w:tcPr/>
                <w:p>
                  <w:pPr>
                    <w:pStyle w:val="Compact"/>
                    <w:jc w:val="center"/>
                  </w:pPr>
                  <w:r>
                    <w:t xml:space="preserve">6.71</w:t>
                  </w:r>
                </w:p>
              </w:tc>
              <w:tc>
                <w:tcPr/>
                <w:p>
                  <w:pPr>
                    <w:pStyle w:val="Compact"/>
                    <w:jc w:val="center"/>
                  </w:pPr>
                  <w:r>
                    <w:t xml:space="preserve">4.89</w:t>
                  </w:r>
                </w:p>
              </w:tc>
              <w:tc>
                <w:tcPr/>
                <w:p>
                  <w:pPr>
                    <w:pStyle w:val="Compact"/>
                    <w:jc w:val="center"/>
                  </w:pPr>
                  <w:r>
                    <w:t xml:space="preserve">97.3</w:t>
                  </w:r>
                </w:p>
              </w:tc>
              <w:tc>
                <w:tcPr/>
                <w:p>
                  <w:pPr>
                    <w:pStyle w:val="Compact"/>
                    <w:jc w:val="center"/>
                  </w:pPr>
                  <w:r>
                    <w:t xml:space="preserve">0.62</w:t>
                  </w:r>
                </w:p>
              </w:tc>
            </w:tr>
            <w:tr>
              <w:tc>
                <w:tcPr/>
                <w:p>
                  <w:pPr>
                    <w:pStyle w:val="Compact"/>
                    <w:jc w:val="center"/>
                  </w:pPr>
                  <w:r>
                    <w:t xml:space="preserve">13</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12.7</w:t>
                  </w:r>
                </w:p>
              </w:tc>
              <w:tc>
                <w:tcPr/>
                <w:p>
                  <w:pPr>
                    <w:pStyle w:val="Compact"/>
                    <w:jc w:val="center"/>
                  </w:pPr>
                  <w:r>
                    <w:t xml:space="preserve">6.59</w:t>
                  </w:r>
                </w:p>
              </w:tc>
              <w:tc>
                <w:tcPr/>
                <w:p>
                  <w:pPr>
                    <w:pStyle w:val="Compact"/>
                    <w:jc w:val="center"/>
                  </w:pPr>
                  <w:r>
                    <w:t xml:space="preserve">5.91</w:t>
                  </w:r>
                </w:p>
              </w:tc>
              <w:tc>
                <w:tcPr/>
                <w:p>
                  <w:pPr>
                    <w:pStyle w:val="Compact"/>
                    <w:jc w:val="center"/>
                  </w:pPr>
                  <w:r>
                    <w:t xml:space="preserve">99.5</w:t>
                  </w:r>
                </w:p>
              </w:tc>
              <w:tc>
                <w:tcPr/>
                <w:p>
                  <w:pPr>
                    <w:pStyle w:val="Compact"/>
                    <w:jc w:val="center"/>
                  </w:pPr>
                  <w:r>
                    <w:t xml:space="preserve">0.70</w:t>
                  </w:r>
                </w:p>
              </w:tc>
            </w:tr>
            <w:tr>
              <w:tc>
                <w:tcPr/>
                <w:p>
                  <w:pPr>
                    <w:pStyle w:val="Compact"/>
                    <w:jc w:val="center"/>
                  </w:pPr>
                  <w:r>
                    <w:t xml:space="preserve">14</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15.0</w:t>
                  </w:r>
                </w:p>
              </w:tc>
              <w:tc>
                <w:tcPr/>
                <w:p>
                  <w:pPr>
                    <w:pStyle w:val="Compact"/>
                    <w:jc w:val="center"/>
                  </w:pPr>
                  <w:r>
                    <w:t xml:space="preserve">8.34</w:t>
                  </w:r>
                </w:p>
              </w:tc>
              <w:tc>
                <w:tcPr/>
                <w:p>
                  <w:pPr>
                    <w:pStyle w:val="Compact"/>
                    <w:jc w:val="center"/>
                  </w:pPr>
                  <w:r>
                    <w:t xml:space="preserve">5.97</w:t>
                  </w:r>
                </w:p>
              </w:tc>
              <w:tc>
                <w:tcPr/>
                <w:p>
                  <w:pPr>
                    <w:pStyle w:val="Compact"/>
                    <w:jc w:val="center"/>
                  </w:pPr>
                  <w:r>
                    <w:t xml:space="preserve">98.1</w:t>
                  </w:r>
                </w:p>
              </w:tc>
              <w:tc>
                <w:tcPr/>
                <w:p>
                  <w:pPr>
                    <w:pStyle w:val="Compact"/>
                    <w:jc w:val="center"/>
                  </w:pPr>
                  <w:r>
                    <w:t xml:space="preserve">0.58</w:t>
                  </w:r>
                </w:p>
              </w:tc>
            </w:tr>
            <w:tr>
              <w:tc>
                <w:tcPr/>
                <w:p>
                  <w:pPr>
                    <w:pStyle w:val="Compact"/>
                    <w:jc w:val="center"/>
                  </w:pPr>
                  <w:r>
                    <w:t xml:space="preserve">15</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12.9</w:t>
                  </w:r>
                </w:p>
              </w:tc>
              <w:tc>
                <w:tcPr/>
                <w:p>
                  <w:pPr>
                    <w:pStyle w:val="Compact"/>
                    <w:jc w:val="center"/>
                  </w:pPr>
                  <w:r>
                    <w:t xml:space="preserve">6.69</w:t>
                  </w:r>
                </w:p>
              </w:tc>
              <w:tc>
                <w:tcPr/>
                <w:p>
                  <w:pPr>
                    <w:pStyle w:val="Compact"/>
                    <w:jc w:val="center"/>
                  </w:pPr>
                  <w:r>
                    <w:t xml:space="preserve">5.15</w:t>
                  </w:r>
                </w:p>
              </w:tc>
              <w:tc>
                <w:tcPr/>
                <w:p>
                  <w:pPr>
                    <w:pStyle w:val="Compact"/>
                    <w:jc w:val="center"/>
                  </w:pPr>
                  <w:r>
                    <w:t xml:space="preserve">96.6</w:t>
                  </w:r>
                </w:p>
              </w:tc>
              <w:tc>
                <w:tcPr/>
                <w:p>
                  <w:pPr>
                    <w:pStyle w:val="Compact"/>
                    <w:jc w:val="center"/>
                  </w:pPr>
                  <w:r>
                    <w:t xml:space="preserve">0.64</w:t>
                  </w:r>
                </w:p>
              </w:tc>
            </w:tr>
            <w:tr>
              <w:tc>
                <w:tcPr/>
                <w:p>
                  <w:pPr>
                    <w:pStyle w:val="Compact"/>
                    <w:jc w:val="center"/>
                  </w:pPr>
                  <w:r>
                    <w:t xml:space="preserve">16</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15.0</w:t>
                  </w:r>
                </w:p>
              </w:tc>
              <w:tc>
                <w:tcPr/>
                <w:p>
                  <w:pPr>
                    <w:pStyle w:val="Compact"/>
                    <w:jc w:val="center"/>
                  </w:pPr>
                  <w:r>
                    <w:t xml:space="preserve">6.52</w:t>
                  </w:r>
                </w:p>
              </w:tc>
              <w:tc>
                <w:tcPr/>
                <w:p>
                  <w:pPr>
                    <w:pStyle w:val="Compact"/>
                    <w:jc w:val="center"/>
                  </w:pPr>
                  <w:r>
                    <w:t xml:space="preserve">5.31</w:t>
                  </w:r>
                </w:p>
              </w:tc>
              <w:tc>
                <w:tcPr/>
                <w:p>
                  <w:pPr>
                    <w:pStyle w:val="Compact"/>
                    <w:jc w:val="center"/>
                  </w:pPr>
                  <w:r>
                    <w:t xml:space="preserve">96.5</w:t>
                  </w:r>
                </w:p>
              </w:tc>
              <w:tc>
                <w:tcPr/>
                <w:p>
                  <w:pPr>
                    <w:pStyle w:val="Compact"/>
                    <w:jc w:val="center"/>
                  </w:pPr>
                  <w:r>
                    <w:t xml:space="preserve">0.64</w:t>
                  </w:r>
                </w:p>
              </w:tc>
            </w:tr>
            <w:tr>
              <w:tc>
                <w:tcPr/>
                <w:p>
                  <w:pPr>
                    <w:pStyle w:val="Compact"/>
                    <w:jc w:val="center"/>
                  </w:pPr>
                  <w:r>
                    <w:t xml:space="preserve">17</w:t>
                  </w:r>
                </w:p>
              </w:tc>
              <w:tc>
                <w:tcPr>
                  <w:vMerge w:val="restart"/>
                </w:tcPr>
                <w:p>
                  <w:pPr>
                    <w:pStyle w:val="Compact"/>
                    <w:jc w:val="center"/>
                  </w:pPr>
                  <w:r>
                    <w:t xml:space="preserve">center</w:t>
                  </w: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16.2</w:t>
                  </w:r>
                </w:p>
              </w:tc>
              <w:tc>
                <w:tcPr/>
                <w:p>
                  <w:pPr>
                    <w:pStyle w:val="Compact"/>
                    <w:jc w:val="center"/>
                  </w:pPr>
                  <w:r>
                    <w:t xml:space="preserve">6.42</w:t>
                  </w:r>
                </w:p>
              </w:tc>
              <w:tc>
                <w:tcPr/>
                <w:p>
                  <w:pPr>
                    <w:pStyle w:val="Compact"/>
                    <w:jc w:val="center"/>
                  </w:pPr>
                  <w:r>
                    <w:t xml:space="preserve">4.54</w:t>
                  </w:r>
                </w:p>
              </w:tc>
              <w:tc>
                <w:tcPr/>
                <w:p>
                  <w:pPr>
                    <w:pStyle w:val="Compact"/>
                    <w:jc w:val="center"/>
                  </w:pPr>
                  <w:r>
                    <w:t xml:space="preserve">96.6</w:t>
                  </w:r>
                </w:p>
              </w:tc>
              <w:tc>
                <w:tcPr/>
                <w:p>
                  <w:pPr>
                    <w:pStyle w:val="Compact"/>
                    <w:jc w:val="center"/>
                  </w:pPr>
                  <w:r>
                    <w:t xml:space="preserve">0.62</w:t>
                  </w:r>
                </w:p>
              </w:tc>
            </w:tr>
            <w:tr>
              <w:tc>
                <w:tcPr/>
                <w:p>
                  <w:pPr>
                    <w:pStyle w:val="Compact"/>
                    <w:jc w:val="center"/>
                  </w:pPr>
                  <w:r>
                    <w:t xml:space="preserve">18</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17.5</w:t>
                  </w:r>
                </w:p>
              </w:tc>
              <w:tc>
                <w:tcPr/>
                <w:p>
                  <w:pPr>
                    <w:pStyle w:val="Compact"/>
                    <w:jc w:val="center"/>
                  </w:pPr>
                  <w:r>
                    <w:t xml:space="preserve">6.80</w:t>
                  </w:r>
                </w:p>
              </w:tc>
              <w:tc>
                <w:tcPr/>
                <w:p>
                  <w:pPr>
                    <w:pStyle w:val="Compact"/>
                    <w:jc w:val="center"/>
                  </w:pPr>
                  <w:r>
                    <w:t xml:space="preserve">5.08</w:t>
                  </w:r>
                </w:p>
              </w:tc>
              <w:tc>
                <w:tcPr/>
                <w:p>
                  <w:pPr>
                    <w:pStyle w:val="Compact"/>
                    <w:jc w:val="center"/>
                  </w:pPr>
                  <w:r>
                    <w:t xml:space="preserve">97.5</w:t>
                  </w:r>
                </w:p>
              </w:tc>
              <w:tc>
                <w:tcPr/>
                <w:p>
                  <w:pPr>
                    <w:pStyle w:val="Compact"/>
                    <w:jc w:val="center"/>
                  </w:pPr>
                  <w:r>
                    <w:t xml:space="preserve">0.68</w:t>
                  </w:r>
                </w:p>
              </w:tc>
            </w:tr>
            <w:tr>
              <w:tc>
                <w:tcPr/>
                <w:p>
                  <w:pPr>
                    <w:pStyle w:val="Compact"/>
                    <w:jc w:val="center"/>
                  </w:pPr>
                  <w:r>
                    <w:t xml:space="preserve">19</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11.6</w:t>
                  </w:r>
                </w:p>
              </w:tc>
              <w:tc>
                <w:tcPr/>
                <w:p>
                  <w:pPr>
                    <w:pStyle w:val="Compact"/>
                    <w:jc w:val="center"/>
                  </w:pPr>
                  <w:r>
                    <w:t xml:space="preserve">5.95</w:t>
                  </w:r>
                </w:p>
              </w:tc>
              <w:tc>
                <w:tcPr/>
                <w:p>
                  <w:pPr>
                    <w:pStyle w:val="Compact"/>
                    <w:jc w:val="center"/>
                  </w:pPr>
                  <w:r>
                    <w:t xml:space="preserve">4.83</w:t>
                  </w:r>
                </w:p>
              </w:tc>
              <w:tc>
                <w:tcPr/>
                <w:p>
                  <w:pPr>
                    <w:pStyle w:val="Compact"/>
                    <w:jc w:val="center"/>
                  </w:pPr>
                  <w:r>
                    <w:t xml:space="preserve">97.4</w:t>
                  </w:r>
                </w:p>
              </w:tc>
              <w:tc>
                <w:tcPr/>
                <w:p>
                  <w:pPr>
                    <w:pStyle w:val="Compact"/>
                    <w:jc w:val="center"/>
                  </w:pPr>
                  <w:r>
                    <w:t xml:space="preserve">0.72</w:t>
                  </w:r>
                </w:p>
              </w:tc>
            </w:tr>
            <w:tr>
              <w:tc>
                <w:tcPr>
                  <w:gridSpan w:val="11"/>
                </w:tcPr>
                <w:p>
                  <w:pPr>
                    <w:pStyle w:val="Compact"/>
                    <w:jc w:val="center"/>
                  </w:pPr>
                  <w:r>
                    <w:t xml:space="preserve">Factors: A, load pH. B, equil/Wash-1 conductivity. C, load conductivity. D, protein load.</w:t>
                  </w:r>
                </w:p>
              </w:tc>
            </w:tr>
            <w:tr>
              <w:tc>
                <w:tcPr>
                  <w:gridSpan w:val="11"/>
                </w:tcPr>
                <w:p>
                  <w:pPr>
                    <w:pStyle w:val="Compact"/>
                    <w:jc w:val="center"/>
                  </w:pPr>
                  <w:r>
                    <w:t xml:space="preserve">Not tested in this design: LMW by SEC.</w:t>
                  </w:r>
                </w:p>
              </w:tc>
            </w:tr>
          </w:tbl>
          <w:bookmarkEnd w:id="1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6" w:name="tbl-doe-aex-screening-sup"/>
          <w:p>
            <w:pPr>
              <w:jc w:val="center"/>
            </w:pPr>
            <w:pPr>
              <w:jc w:val="start"/>
              <w:spacing w:before="200"/>
              <w:pStyle w:val="ImageCaption"/>
            </w:pPr>
            <w:r>
              <w:t xml:space="preserve">Table 29: Invalidated first execution: Anion exchange screening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4"/>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XMuLV LRF</w:t>
                  </w:r>
                </w:p>
              </w:tc>
              <w:tc>
                <w:tcPr/>
                <w:p>
                  <w:pPr>
                    <w:pStyle w:val="Compact"/>
                    <w:jc w:val="center"/>
                  </w:pPr>
                  <w:r>
                    <w:t xml:space="preserve">MVM LRF</w:t>
                  </w:r>
                </w:p>
              </w:tc>
              <w:tc>
                <w:tcPr/>
                <w:p>
                  <w:pPr>
                    <w:pStyle w:val="Compact"/>
                    <w:jc w:val="center"/>
                  </w:pPr>
                  <w:r>
                    <w:t xml:space="preserve">Yield</w:t>
                  </w:r>
                </w:p>
              </w:tc>
              <w:tc>
                <w:tcPr/>
                <w:p>
                  <w:pPr>
                    <w:pStyle w:val="Compact"/>
                    <w:jc w:val="center"/>
                  </w:pPr>
                  <w:r>
                    <w:t xml:space="preserve">SEC</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mS/cm</w:t>
                  </w:r>
                </w:p>
              </w:tc>
              <w:tc>
                <w:tcPr/>
                <w:p>
                  <w:pPr>
                    <w:pStyle w:val="Compact"/>
                    <w:jc w:val="center"/>
                  </w:pPr>
                  <w:r>
                    <w:t xml:space="preserve">mS/cm</w:t>
                  </w:r>
                </w:p>
              </w:tc>
              <w:tc>
                <w:tcPr/>
                <w:p>
                  <w:pPr>
                    <w:pStyle w:val="Compact"/>
                    <w:jc w:val="center"/>
                  </w:pPr>
                  <w:r>
                    <w:t xml:space="preserve">g/L resin</w:t>
                  </w:r>
                </w:p>
              </w:tc>
              <w:tc>
                <w:tcPr/>
                <w:p>
                  <w:pPr>
                    <w:pStyle w:val="Compact"/>
                    <w:jc w:val="center"/>
                  </w:pPr>
                  <w:r>
                    <w:t xml:space="preserve">ng/mg</w:t>
                  </w:r>
                </w:p>
              </w:tc>
              <w:tc>
                <w:tcPr/>
                <w:p>
                  <w:pPr>
                    <w:pStyle w:val="Compact"/>
                    <w:jc w:val="center"/>
                  </w:pPr>
                  <w:r>
                    <w:t xml:space="preserve">log10</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17.4</w:t>
                  </w:r>
                </w:p>
              </w:tc>
              <w:tc>
                <w:tcPr/>
                <w:p>
                  <w:pPr>
                    <w:pStyle w:val="Compact"/>
                    <w:jc w:val="center"/>
                  </w:pPr>
                  <w:r>
                    <w:t xml:space="preserve">7.11</w:t>
                  </w:r>
                </w:p>
              </w:tc>
              <w:tc>
                <w:tcPr/>
                <w:p>
                  <w:pPr>
                    <w:pStyle w:val="Compact"/>
                    <w:jc w:val="center"/>
                  </w:pPr>
                  <w:r>
                    <w:t xml:space="preserve">5.05</w:t>
                  </w:r>
                </w:p>
              </w:tc>
              <w:tc>
                <w:tcPr/>
                <w:p>
                  <w:pPr>
                    <w:pStyle w:val="Compact"/>
                    <w:jc w:val="center"/>
                  </w:pPr>
                  <w:r>
                    <w:t xml:space="preserve">97.0</w:t>
                  </w:r>
                </w:p>
              </w:tc>
              <w:tc>
                <w:tcPr/>
                <w:p>
                  <w:pPr>
                    <w:pStyle w:val="Compact"/>
                    <w:jc w:val="center"/>
                  </w:pPr>
                  <w:r>
                    <w:t xml:space="preserve">0.67</w:t>
                  </w:r>
                </w:p>
              </w:tc>
            </w:tr>
            <w:tr>
              <w:tc>
                <w:tcPr/>
                <w:p>
                  <w:pPr>
                    <w:pStyle w:val="Compact"/>
                    <w:jc w:val="center"/>
                  </w:pPr>
                  <w:r>
                    <w:t xml:space="preserve">2</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14.2</w:t>
                  </w:r>
                </w:p>
              </w:tc>
              <w:tc>
                <w:tcPr/>
                <w:p>
                  <w:pPr>
                    <w:pStyle w:val="Compact"/>
                    <w:jc w:val="center"/>
                  </w:pPr>
                  <w:r>
                    <w:t xml:space="preserve">6.29</w:t>
                  </w:r>
                </w:p>
              </w:tc>
              <w:tc>
                <w:tcPr/>
                <w:p>
                  <w:pPr>
                    <w:pStyle w:val="Compact"/>
                    <w:jc w:val="center"/>
                  </w:pPr>
                  <w:r>
                    <w:t xml:space="preserve">4.85</w:t>
                  </w:r>
                </w:p>
              </w:tc>
              <w:tc>
                <w:tcPr/>
                <w:p>
                  <w:pPr>
                    <w:pStyle w:val="Compact"/>
                    <w:jc w:val="center"/>
                  </w:pPr>
                  <w:r>
                    <w:t xml:space="preserve">96.9</w:t>
                  </w:r>
                </w:p>
              </w:tc>
              <w:tc>
                <w:tcPr/>
                <w:p>
                  <w:pPr>
                    <w:pStyle w:val="Compact"/>
                    <w:jc w:val="center"/>
                  </w:pPr>
                  <w:r>
                    <w:t xml:space="preserve">0.61</w:t>
                  </w:r>
                </w:p>
              </w:tc>
            </w:tr>
            <w:tr>
              <w:tc>
                <w:tcPr/>
                <w:p>
                  <w:pPr>
                    <w:pStyle w:val="Compact"/>
                    <w:jc w:val="center"/>
                  </w:pPr>
                  <w:r>
                    <w:t xml:space="preserve">3</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11.5</w:t>
                  </w:r>
                </w:p>
              </w:tc>
              <w:tc>
                <w:tcPr/>
                <w:p>
                  <w:pPr>
                    <w:pStyle w:val="Compact"/>
                    <w:jc w:val="center"/>
                  </w:pPr>
                  <w:r>
                    <w:t xml:space="preserve">5.20</w:t>
                  </w:r>
                </w:p>
              </w:tc>
              <w:tc>
                <w:tcPr/>
                <w:p>
                  <w:pPr>
                    <w:pStyle w:val="Compact"/>
                    <w:jc w:val="center"/>
                  </w:pPr>
                  <w:r>
                    <w:t xml:space="preserve">3.89</w:t>
                  </w:r>
                </w:p>
              </w:tc>
              <w:tc>
                <w:tcPr/>
                <w:p>
                  <w:pPr>
                    <w:pStyle w:val="Compact"/>
                    <w:jc w:val="center"/>
                  </w:pPr>
                  <w:r>
                    <w:t xml:space="preserve">97.7</w:t>
                  </w:r>
                </w:p>
              </w:tc>
              <w:tc>
                <w:tcPr/>
                <w:p>
                  <w:pPr>
                    <w:pStyle w:val="Compact"/>
                    <w:jc w:val="center"/>
                  </w:pPr>
                  <w:r>
                    <w:t xml:space="preserve">0.63</w:t>
                  </w:r>
                </w:p>
              </w:tc>
            </w:tr>
            <w:tr>
              <w:tc>
                <w:tcPr/>
                <w:p>
                  <w:pPr>
                    <w:pStyle w:val="Compact"/>
                    <w:jc w:val="center"/>
                  </w:pPr>
                  <w:r>
                    <w:t xml:space="preserve">4</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14.9</w:t>
                  </w:r>
                </w:p>
              </w:tc>
              <w:tc>
                <w:tcPr/>
                <w:p>
                  <w:pPr>
                    <w:pStyle w:val="Compact"/>
                    <w:jc w:val="center"/>
                  </w:pPr>
                  <w:r>
                    <w:t xml:space="preserve">5.81</w:t>
                  </w:r>
                </w:p>
              </w:tc>
              <w:tc>
                <w:tcPr/>
                <w:p>
                  <w:pPr>
                    <w:pStyle w:val="Compact"/>
                    <w:jc w:val="center"/>
                  </w:pPr>
                  <w:r>
                    <w:t xml:space="preserve">3.37</w:t>
                  </w:r>
                </w:p>
              </w:tc>
              <w:tc>
                <w:tcPr/>
                <w:p>
                  <w:pPr>
                    <w:pStyle w:val="Compact"/>
                    <w:jc w:val="center"/>
                  </w:pPr>
                  <w:r>
                    <w:t xml:space="preserve">95.7</w:t>
                  </w:r>
                </w:p>
              </w:tc>
              <w:tc>
                <w:tcPr/>
                <w:p>
                  <w:pPr>
                    <w:pStyle w:val="Compact"/>
                    <w:jc w:val="center"/>
                  </w:pPr>
                  <w:r>
                    <w:t xml:space="preserve">0.69</w:t>
                  </w:r>
                </w:p>
              </w:tc>
            </w:tr>
            <w:tr>
              <w:tc>
                <w:tcPr/>
                <w:p>
                  <w:pPr>
                    <w:pStyle w:val="Compact"/>
                    <w:jc w:val="center"/>
                  </w:pPr>
                  <w:r>
                    <w:t xml:space="preserve">5</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37.8</w:t>
                  </w:r>
                </w:p>
              </w:tc>
              <w:tc>
                <w:tcPr/>
                <w:p>
                  <w:pPr>
                    <w:pStyle w:val="Compact"/>
                    <w:jc w:val="center"/>
                  </w:pPr>
                  <w:r>
                    <w:t xml:space="preserve">6.54</w:t>
                  </w:r>
                </w:p>
              </w:tc>
              <w:tc>
                <w:tcPr/>
                <w:p>
                  <w:pPr>
                    <w:pStyle w:val="Compact"/>
                    <w:jc w:val="center"/>
                  </w:pPr>
                  <w:r>
                    <w:t xml:space="preserve">4.95</w:t>
                  </w:r>
                </w:p>
              </w:tc>
              <w:tc>
                <w:tcPr/>
                <w:p>
                  <w:pPr>
                    <w:pStyle w:val="Compact"/>
                    <w:jc w:val="center"/>
                  </w:pPr>
                  <w:r>
                    <w:t xml:space="preserve">96.4</w:t>
                  </w:r>
                </w:p>
              </w:tc>
              <w:tc>
                <w:tcPr/>
                <w:p>
                  <w:pPr>
                    <w:pStyle w:val="Compact"/>
                    <w:jc w:val="center"/>
                  </w:pPr>
                  <w:r>
                    <w:t xml:space="preserve">0.52</w:t>
                  </w:r>
                </w:p>
              </w:tc>
            </w:tr>
            <w:tr>
              <w:tc>
                <w:tcPr/>
                <w:p>
                  <w:pPr>
                    <w:pStyle w:val="Compact"/>
                    <w:jc w:val="center"/>
                  </w:pPr>
                  <w:r>
                    <w:t xml:space="preserve">6</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150</w:t>
                  </w:r>
                </w:p>
              </w:tc>
              <w:tc>
                <w:tcPr/>
                <w:p>
                  <w:pPr>
                    <w:pStyle w:val="Compact"/>
                    <w:jc w:val="center"/>
                  </w:pPr>
                  <w:r>
                    <w:t xml:space="preserve">5.85</w:t>
                  </w:r>
                </w:p>
              </w:tc>
              <w:tc>
                <w:tcPr/>
                <w:p>
                  <w:pPr>
                    <w:pStyle w:val="Compact"/>
                    <w:jc w:val="center"/>
                  </w:pPr>
                  <w:r>
                    <w:t xml:space="preserve">4.90</w:t>
                  </w:r>
                </w:p>
              </w:tc>
              <w:tc>
                <w:tcPr/>
                <w:p>
                  <w:pPr>
                    <w:pStyle w:val="Compact"/>
                    <w:jc w:val="center"/>
                  </w:pPr>
                  <w:r>
                    <w:t xml:space="preserve">96.0</w:t>
                  </w:r>
                </w:p>
              </w:tc>
              <w:tc>
                <w:tcPr/>
                <w:p>
                  <w:pPr>
                    <w:pStyle w:val="Compact"/>
                    <w:jc w:val="center"/>
                  </w:pPr>
                  <w:r>
                    <w:t xml:space="preserve">0.64</w:t>
                  </w:r>
                </w:p>
              </w:tc>
            </w:tr>
            <w:tr>
              <w:tc>
                <w:tcPr/>
                <w:p>
                  <w:pPr>
                    <w:pStyle w:val="Compact"/>
                    <w:jc w:val="center"/>
                  </w:pPr>
                  <w:r>
                    <w:t xml:space="preserve">7</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32.8</w:t>
                  </w:r>
                </w:p>
              </w:tc>
              <w:tc>
                <w:tcPr/>
                <w:p>
                  <w:pPr>
                    <w:pStyle w:val="Compact"/>
                    <w:jc w:val="center"/>
                  </w:pPr>
                  <w:r>
                    <w:t xml:space="preserve">4.92</w:t>
                  </w:r>
                </w:p>
              </w:tc>
              <w:tc>
                <w:tcPr/>
                <w:p>
                  <w:pPr>
                    <w:pStyle w:val="Compact"/>
                    <w:jc w:val="center"/>
                  </w:pPr>
                  <w:r>
                    <w:t xml:space="preserve">3.68</w:t>
                  </w:r>
                </w:p>
              </w:tc>
              <w:tc>
                <w:tcPr/>
                <w:p>
                  <w:pPr>
                    <w:pStyle w:val="Compact"/>
                    <w:jc w:val="center"/>
                  </w:pPr>
                  <w:r>
                    <w:t xml:space="preserve">95.6</w:t>
                  </w:r>
                </w:p>
              </w:tc>
              <w:tc>
                <w:tcPr/>
                <w:p>
                  <w:pPr>
                    <w:pStyle w:val="Compact"/>
                    <w:jc w:val="center"/>
                  </w:pPr>
                  <w:r>
                    <w:t xml:space="preserve">0.60</w:t>
                  </w:r>
                </w:p>
              </w:tc>
            </w:tr>
            <w:tr>
              <w:tc>
                <w:tcPr/>
                <w:p>
                  <w:pPr>
                    <w:pStyle w:val="Compact"/>
                    <w:jc w:val="center"/>
                  </w:pPr>
                  <w:r>
                    <w:t xml:space="preserve">8</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97.9</w:t>
                  </w:r>
                </w:p>
              </w:tc>
              <w:tc>
                <w:tcPr/>
                <w:p>
                  <w:pPr>
                    <w:pStyle w:val="Compact"/>
                    <w:jc w:val="center"/>
                  </w:pPr>
                  <w:r>
                    <w:t xml:space="preserve">4.95</w:t>
                  </w:r>
                </w:p>
              </w:tc>
              <w:tc>
                <w:tcPr/>
                <w:p>
                  <w:pPr>
                    <w:pStyle w:val="Compact"/>
                    <w:jc w:val="center"/>
                  </w:pPr>
                  <w:r>
                    <w:t xml:space="preserve">3.62</w:t>
                  </w:r>
                </w:p>
              </w:tc>
              <w:tc>
                <w:tcPr/>
                <w:p>
                  <w:pPr>
                    <w:pStyle w:val="Compact"/>
                    <w:jc w:val="center"/>
                  </w:pPr>
                  <w:r>
                    <w:t xml:space="preserve">98.3</w:t>
                  </w:r>
                </w:p>
              </w:tc>
              <w:tc>
                <w:tcPr/>
                <w:p>
                  <w:pPr>
                    <w:pStyle w:val="Compact"/>
                    <w:jc w:val="center"/>
                  </w:pPr>
                  <w:r>
                    <w:t xml:space="preserve">0.65</w:t>
                  </w:r>
                </w:p>
              </w:tc>
            </w:tr>
            <w:tr>
              <w:tc>
                <w:tcPr/>
                <w:p>
                  <w:pPr>
                    <w:pStyle w:val="Compact"/>
                    <w:jc w:val="center"/>
                  </w:pPr>
                  <w:r>
                    <w:t xml:space="preserve">9</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5.45</w:t>
                  </w:r>
                </w:p>
              </w:tc>
              <w:tc>
                <w:tcPr/>
                <w:p>
                  <w:pPr>
                    <w:pStyle w:val="Compact"/>
                    <w:jc w:val="center"/>
                  </w:pPr>
                  <w:r>
                    <w:t xml:space="preserve">7.68</w:t>
                  </w:r>
                </w:p>
              </w:tc>
              <w:tc>
                <w:tcPr/>
                <w:p>
                  <w:pPr>
                    <w:pStyle w:val="Compact"/>
                    <w:jc w:val="center"/>
                  </w:pPr>
                  <w:r>
                    <w:t xml:space="preserve">6.06</w:t>
                  </w:r>
                </w:p>
              </w:tc>
              <w:tc>
                <w:tcPr/>
                <w:p>
                  <w:pPr>
                    <w:pStyle w:val="Compact"/>
                    <w:jc w:val="center"/>
                  </w:pPr>
                  <w:r>
                    <w:t xml:space="preserve">97.3</w:t>
                  </w:r>
                </w:p>
              </w:tc>
              <w:tc>
                <w:tcPr/>
                <w:p>
                  <w:pPr>
                    <w:pStyle w:val="Compact"/>
                    <w:jc w:val="center"/>
                  </w:pPr>
                  <w:r>
                    <w:t xml:space="preserve">0.49</w:t>
                  </w:r>
                </w:p>
              </w:tc>
            </w:tr>
            <w:tr>
              <w:tc>
                <w:tcPr/>
                <w:p>
                  <w:pPr>
                    <w:pStyle w:val="Compact"/>
                    <w:jc w:val="center"/>
                  </w:pPr>
                  <w:r>
                    <w:t xml:space="preserve">10</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6.93</w:t>
                  </w:r>
                </w:p>
              </w:tc>
              <w:tc>
                <w:tcPr/>
                <w:p>
                  <w:pPr>
                    <w:pStyle w:val="Compact"/>
                    <w:jc w:val="center"/>
                  </w:pPr>
                  <w:r>
                    <w:t xml:space="preserve">7.27</w:t>
                  </w:r>
                </w:p>
              </w:tc>
              <w:tc>
                <w:tcPr/>
                <w:p>
                  <w:pPr>
                    <w:pStyle w:val="Compact"/>
                    <w:jc w:val="center"/>
                  </w:pPr>
                  <w:r>
                    <w:t xml:space="preserve">5.71</w:t>
                  </w:r>
                </w:p>
              </w:tc>
              <w:tc>
                <w:tcPr/>
                <w:p>
                  <w:pPr>
                    <w:pStyle w:val="Compact"/>
                    <w:jc w:val="center"/>
                  </w:pPr>
                  <w:r>
                    <w:t xml:space="preserve">94.1</w:t>
                  </w:r>
                </w:p>
              </w:tc>
              <w:tc>
                <w:tcPr/>
                <w:p>
                  <w:pPr>
                    <w:pStyle w:val="Compact"/>
                    <w:jc w:val="center"/>
                  </w:pPr>
                  <w:r>
                    <w:t xml:space="preserve">0.66</w:t>
                  </w:r>
                </w:p>
              </w:tc>
            </w:tr>
            <w:tr>
              <w:tc>
                <w:tcPr/>
                <w:p>
                  <w:pPr>
                    <w:pStyle w:val="Compact"/>
                    <w:jc w:val="center"/>
                  </w:pPr>
                  <w:r>
                    <w:t xml:space="preserve">11</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5.67</w:t>
                  </w:r>
                </w:p>
              </w:tc>
              <w:tc>
                <w:tcPr/>
                <w:p>
                  <w:pPr>
                    <w:pStyle w:val="Compact"/>
                    <w:jc w:val="center"/>
                  </w:pPr>
                  <w:r>
                    <w:t xml:space="preserve">6.40</w:t>
                  </w:r>
                </w:p>
              </w:tc>
              <w:tc>
                <w:tcPr/>
                <w:p>
                  <w:pPr>
                    <w:pStyle w:val="Compact"/>
                    <w:jc w:val="center"/>
                  </w:pPr>
                  <w:r>
                    <w:t xml:space="preserve">4.94</w:t>
                  </w:r>
                </w:p>
              </w:tc>
              <w:tc>
                <w:tcPr/>
                <w:p>
                  <w:pPr>
                    <w:pStyle w:val="Compact"/>
                    <w:jc w:val="center"/>
                  </w:pPr>
                  <w:r>
                    <w:t xml:space="preserve">95.6</w:t>
                  </w:r>
                </w:p>
              </w:tc>
              <w:tc>
                <w:tcPr/>
                <w:p>
                  <w:pPr>
                    <w:pStyle w:val="Compact"/>
                    <w:jc w:val="center"/>
                  </w:pPr>
                  <w:r>
                    <w:t xml:space="preserve">0.66</w:t>
                  </w:r>
                </w:p>
              </w:tc>
            </w:tr>
            <w:tr>
              <w:tc>
                <w:tcPr/>
                <w:p>
                  <w:pPr>
                    <w:pStyle w:val="Compact"/>
                    <w:jc w:val="center"/>
                  </w:pPr>
                  <w:r>
                    <w:t xml:space="preserve">12</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7.55</w:t>
                  </w:r>
                </w:p>
              </w:tc>
              <w:tc>
                <w:tcPr/>
                <w:p>
                  <w:pPr>
                    <w:pStyle w:val="Compact"/>
                    <w:jc w:val="center"/>
                  </w:pPr>
                  <w:r>
                    <w:t xml:space="preserve">6.47</w:t>
                  </w:r>
                </w:p>
              </w:tc>
              <w:tc>
                <w:tcPr/>
                <w:p>
                  <w:pPr>
                    <w:pStyle w:val="Compact"/>
                    <w:jc w:val="center"/>
                  </w:pPr>
                  <w:r>
                    <w:t xml:space="preserve">4.73</w:t>
                  </w:r>
                </w:p>
              </w:tc>
              <w:tc>
                <w:tcPr/>
                <w:p>
                  <w:pPr>
                    <w:pStyle w:val="Compact"/>
                    <w:jc w:val="center"/>
                  </w:pPr>
                  <w:r>
                    <w:t xml:space="preserve">98.0</w:t>
                  </w:r>
                </w:p>
              </w:tc>
              <w:tc>
                <w:tcPr/>
                <w:p>
                  <w:pPr>
                    <w:pStyle w:val="Compact"/>
                    <w:jc w:val="center"/>
                  </w:pPr>
                  <w:r>
                    <w:t xml:space="preserve">0.69</w:t>
                  </w:r>
                </w:p>
              </w:tc>
            </w:tr>
            <w:tr>
              <w:tc>
                <w:tcPr/>
                <w:p>
                  <w:pPr>
                    <w:pStyle w:val="Compact"/>
                    <w:jc w:val="center"/>
                  </w:pPr>
                  <w:r>
                    <w:t xml:space="preserve">13</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18.1</w:t>
                  </w:r>
                </w:p>
              </w:tc>
              <w:tc>
                <w:tcPr/>
                <w:p>
                  <w:pPr>
                    <w:pStyle w:val="Compact"/>
                    <w:jc w:val="center"/>
                  </w:pPr>
                  <w:r>
                    <w:t xml:space="preserve">7.60</w:t>
                  </w:r>
                </w:p>
              </w:tc>
              <w:tc>
                <w:tcPr/>
                <w:p>
                  <w:pPr>
                    <w:pStyle w:val="Compact"/>
                    <w:jc w:val="center"/>
                  </w:pPr>
                  <w:r>
                    <w:t xml:space="preserve">6.08</w:t>
                  </w:r>
                </w:p>
              </w:tc>
              <w:tc>
                <w:tcPr/>
                <w:p>
                  <w:pPr>
                    <w:pStyle w:val="Compact"/>
                    <w:jc w:val="center"/>
                  </w:pPr>
                  <w:r>
                    <w:t xml:space="preserve">96.1</w:t>
                  </w:r>
                </w:p>
              </w:tc>
              <w:tc>
                <w:tcPr/>
                <w:p>
                  <w:pPr>
                    <w:pStyle w:val="Compact"/>
                    <w:jc w:val="center"/>
                  </w:pPr>
                  <w:r>
                    <w:t xml:space="preserve">0.67</w:t>
                  </w:r>
                </w:p>
              </w:tc>
            </w:tr>
            <w:tr>
              <w:tc>
                <w:tcPr/>
                <w:p>
                  <w:pPr>
                    <w:pStyle w:val="Compact"/>
                    <w:jc w:val="center"/>
                  </w:pPr>
                  <w:r>
                    <w:t xml:space="preserve">14</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76.5</w:t>
                  </w:r>
                </w:p>
              </w:tc>
              <w:tc>
                <w:tcPr/>
                <w:p>
                  <w:pPr>
                    <w:pStyle w:val="Compact"/>
                    <w:jc w:val="center"/>
                  </w:pPr>
                  <w:r>
                    <w:t xml:space="preserve">7.48</w:t>
                  </w:r>
                </w:p>
              </w:tc>
              <w:tc>
                <w:tcPr/>
                <w:p>
                  <w:pPr>
                    <w:pStyle w:val="Compact"/>
                    <w:jc w:val="center"/>
                  </w:pPr>
                  <w:r>
                    <w:t xml:space="preserve">6.17</w:t>
                  </w:r>
                </w:p>
              </w:tc>
              <w:tc>
                <w:tcPr/>
                <w:p>
                  <w:pPr>
                    <w:pStyle w:val="Compact"/>
                    <w:jc w:val="center"/>
                  </w:pPr>
                  <w:r>
                    <w:t xml:space="preserve">94.1</w:t>
                  </w:r>
                </w:p>
              </w:tc>
              <w:tc>
                <w:tcPr/>
                <w:p>
                  <w:pPr>
                    <w:pStyle w:val="Compact"/>
                    <w:jc w:val="center"/>
                  </w:pPr>
                  <w:r>
                    <w:t xml:space="preserve">0.69</w:t>
                  </w:r>
                </w:p>
              </w:tc>
            </w:tr>
            <w:tr>
              <w:tc>
                <w:tcPr/>
                <w:p>
                  <w:pPr>
                    <w:pStyle w:val="Compact"/>
                    <w:jc w:val="center"/>
                  </w:pPr>
                  <w:r>
                    <w:t xml:space="preserve">15</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13.8</w:t>
                  </w:r>
                </w:p>
              </w:tc>
              <w:tc>
                <w:tcPr/>
                <w:p>
                  <w:pPr>
                    <w:pStyle w:val="Compact"/>
                    <w:jc w:val="center"/>
                  </w:pPr>
                  <w:r>
                    <w:t xml:space="preserve">6.54</w:t>
                  </w:r>
                </w:p>
              </w:tc>
              <w:tc>
                <w:tcPr/>
                <w:p>
                  <w:pPr>
                    <w:pStyle w:val="Compact"/>
                    <w:jc w:val="center"/>
                  </w:pPr>
                  <w:r>
                    <w:t xml:space="preserve">5.07</w:t>
                  </w:r>
                </w:p>
              </w:tc>
              <w:tc>
                <w:tcPr/>
                <w:p>
                  <w:pPr>
                    <w:pStyle w:val="Compact"/>
                    <w:jc w:val="center"/>
                  </w:pPr>
                  <w:r>
                    <w:t xml:space="preserve">97.7</w:t>
                  </w:r>
                </w:p>
              </w:tc>
              <w:tc>
                <w:tcPr/>
                <w:p>
                  <w:pPr>
                    <w:pStyle w:val="Compact"/>
                    <w:jc w:val="center"/>
                  </w:pPr>
                  <w:r>
                    <w:t xml:space="preserve">0.64</w:t>
                  </w:r>
                </w:p>
              </w:tc>
            </w:tr>
            <w:tr>
              <w:tc>
                <w:tcPr/>
                <w:p>
                  <w:pPr>
                    <w:pStyle w:val="Compact"/>
                    <w:jc w:val="center"/>
                  </w:pPr>
                  <w:r>
                    <w:t xml:space="preserve">16</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60.2</w:t>
                  </w:r>
                </w:p>
              </w:tc>
              <w:tc>
                <w:tcPr/>
                <w:p>
                  <w:pPr>
                    <w:pStyle w:val="Compact"/>
                    <w:jc w:val="center"/>
                  </w:pPr>
                  <w:r>
                    <w:t xml:space="preserve">6.32</w:t>
                  </w:r>
                </w:p>
              </w:tc>
              <w:tc>
                <w:tcPr/>
                <w:p>
                  <w:pPr>
                    <w:pStyle w:val="Compact"/>
                    <w:jc w:val="center"/>
                  </w:pPr>
                  <w:r>
                    <w:t xml:space="preserve">4.84</w:t>
                  </w:r>
                </w:p>
              </w:tc>
              <w:tc>
                <w:tcPr/>
                <w:p>
                  <w:pPr>
                    <w:pStyle w:val="Compact"/>
                    <w:jc w:val="center"/>
                  </w:pPr>
                  <w:r>
                    <w:t xml:space="preserve">96.4</w:t>
                  </w:r>
                </w:p>
              </w:tc>
              <w:tc>
                <w:tcPr/>
                <w:p>
                  <w:pPr>
                    <w:pStyle w:val="Compact"/>
                    <w:jc w:val="center"/>
                  </w:pPr>
                  <w:r>
                    <w:t xml:space="preserve">0.70</w:t>
                  </w:r>
                </w:p>
              </w:tc>
            </w:tr>
            <w:tr>
              <w:tc>
                <w:tcPr/>
                <w:p>
                  <w:pPr>
                    <w:pStyle w:val="Compact"/>
                    <w:jc w:val="center"/>
                  </w:pPr>
                  <w:r>
                    <w:t xml:space="preserve">17</w:t>
                  </w:r>
                </w:p>
              </w:tc>
              <w:tc>
                <w:tcPr>
                  <w:vMerge w:val="restart"/>
                </w:tcPr>
                <w:p>
                  <w:pPr>
                    <w:pStyle w:val="Compact"/>
                    <w:jc w:val="center"/>
                  </w:pPr>
                  <w:r>
                    <w:t xml:space="preserve">center</w:t>
                  </w: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11.9</w:t>
                  </w:r>
                </w:p>
              </w:tc>
              <w:tc>
                <w:tcPr/>
                <w:p>
                  <w:pPr>
                    <w:pStyle w:val="Compact"/>
                    <w:jc w:val="center"/>
                  </w:pPr>
                  <w:r>
                    <w:t xml:space="preserve">6.78</w:t>
                  </w:r>
                </w:p>
              </w:tc>
              <w:tc>
                <w:tcPr/>
                <w:p>
                  <w:pPr>
                    <w:pStyle w:val="Compact"/>
                    <w:jc w:val="center"/>
                  </w:pPr>
                  <w:r>
                    <w:t xml:space="preserve">4.76</w:t>
                  </w:r>
                </w:p>
              </w:tc>
              <w:tc>
                <w:tcPr/>
                <w:p>
                  <w:pPr>
                    <w:pStyle w:val="Compact"/>
                    <w:jc w:val="center"/>
                  </w:pPr>
                  <w:r>
                    <w:t xml:space="preserve">94.8</w:t>
                  </w:r>
                </w:p>
              </w:tc>
              <w:tc>
                <w:tcPr/>
                <w:p>
                  <w:pPr>
                    <w:pStyle w:val="Compact"/>
                    <w:jc w:val="center"/>
                  </w:pPr>
                  <w:r>
                    <w:t xml:space="preserve">0.66</w:t>
                  </w:r>
                </w:p>
              </w:tc>
            </w:tr>
            <w:tr>
              <w:tc>
                <w:tcPr/>
                <w:p>
                  <w:pPr>
                    <w:pStyle w:val="Compact"/>
                    <w:jc w:val="center"/>
                  </w:pPr>
                  <w:r>
                    <w:t xml:space="preserve">18</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16.0</w:t>
                  </w:r>
                </w:p>
              </w:tc>
              <w:tc>
                <w:tcPr/>
                <w:p>
                  <w:pPr>
                    <w:pStyle w:val="Compact"/>
                    <w:jc w:val="center"/>
                  </w:pPr>
                  <w:r>
                    <w:t xml:space="preserve">6.28</w:t>
                  </w:r>
                </w:p>
              </w:tc>
              <w:tc>
                <w:tcPr/>
                <w:p>
                  <w:pPr>
                    <w:pStyle w:val="Compact"/>
                    <w:jc w:val="center"/>
                  </w:pPr>
                  <w:r>
                    <w:t xml:space="preserve">5.18</w:t>
                  </w:r>
                </w:p>
              </w:tc>
              <w:tc>
                <w:tcPr/>
                <w:p>
                  <w:pPr>
                    <w:pStyle w:val="Compact"/>
                    <w:jc w:val="center"/>
                  </w:pPr>
                  <w:r>
                    <w:t xml:space="preserve">96.1</w:t>
                  </w:r>
                </w:p>
              </w:tc>
              <w:tc>
                <w:tcPr/>
                <w:p>
                  <w:pPr>
                    <w:pStyle w:val="Compact"/>
                    <w:jc w:val="center"/>
                  </w:pPr>
                  <w:r>
                    <w:t xml:space="preserve">0.56</w:t>
                  </w:r>
                </w:p>
              </w:tc>
            </w:tr>
            <w:tr>
              <w:tc>
                <w:tcPr/>
                <w:p>
                  <w:pPr>
                    <w:pStyle w:val="Compact"/>
                    <w:jc w:val="center"/>
                  </w:pPr>
                  <w:r>
                    <w:t xml:space="preserve">19</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16.7</w:t>
                  </w:r>
                </w:p>
              </w:tc>
              <w:tc>
                <w:tcPr/>
                <w:p>
                  <w:pPr>
                    <w:pStyle w:val="Compact"/>
                    <w:jc w:val="center"/>
                  </w:pPr>
                  <w:r>
                    <w:t xml:space="preserve">6.74</w:t>
                  </w:r>
                </w:p>
              </w:tc>
              <w:tc>
                <w:tcPr/>
                <w:p>
                  <w:pPr>
                    <w:pStyle w:val="Compact"/>
                    <w:jc w:val="center"/>
                  </w:pPr>
                  <w:r>
                    <w:t xml:space="preserve">5.03</w:t>
                  </w:r>
                </w:p>
              </w:tc>
              <w:tc>
                <w:tcPr/>
                <w:p>
                  <w:pPr>
                    <w:pStyle w:val="Compact"/>
                    <w:jc w:val="center"/>
                  </w:pPr>
                  <w:r>
                    <w:t xml:space="preserve">96.7</w:t>
                  </w:r>
                </w:p>
              </w:tc>
              <w:tc>
                <w:tcPr/>
                <w:p>
                  <w:pPr>
                    <w:pStyle w:val="Compact"/>
                    <w:jc w:val="center"/>
                  </w:pPr>
                  <w:r>
                    <w:t xml:space="preserve">0.59</w:t>
                  </w:r>
                </w:p>
              </w:tc>
            </w:tr>
            <w:tr>
              <w:tc>
                <w:tcPr>
                  <w:gridSpan w:val="11"/>
                </w:tcPr>
                <w:p>
                  <w:pPr>
                    <w:pStyle w:val="Compact"/>
                    <w:jc w:val="center"/>
                  </w:pPr>
                  <w:r>
                    <w:t xml:space="preserve">Factors: A, load pH. B, equil/Wash-1 conductivity. C, load conductivity. D, protein load.</w:t>
                  </w:r>
                </w:p>
              </w:tc>
            </w:tr>
            <w:tr>
              <w:tc>
                <w:tcPr>
                  <w:gridSpan w:val="11"/>
                </w:tcPr>
                <w:p>
                  <w:pPr>
                    <w:pStyle w:val="Compact"/>
                    <w:jc w:val="center"/>
                  </w:pPr>
                  <w:r>
                    <w:t xml:space="preserve">Not tested in this design: LMW by nrCE-SDS.</w:t>
                  </w:r>
                </w:p>
              </w:tc>
            </w:tr>
          </w:tbl>
          <w:bookmarkEnd w:id="156"/>
          <w:p/>
        </w:tc>
      </w:tr>
    </w:tbl>
    <w:bookmarkEnd w:id="157"/>
    <w:bookmarkStart w:id="161" w:name="Xc987739a58e5854fe31352d470a2bebef9123c1"/>
    <w:p>
      <w:pPr>
        <w:pStyle w:val="Heading1"/>
      </w:pPr>
      <w:r>
        <w:t xml:space="preserve">Appendix B — Response-surface design matrix and responses</w:t>
      </w:r>
    </w:p>
    <w:p>
      <w:pPr>
        <w:pStyle w:val="FirstParagraph"/>
      </w:pPr>
      <w:hyperlink w:anchor="tbl-doe-aex-rsm">
        <w:r>
          <w:rPr>
            <w:rStyle w:val="Hyperlink"/>
          </w:rPr>
          <w:t xml:space="preserve">Table 30</w:t>
        </w:r>
      </w:hyperlink>
      <w:r>
        <w:t xml:space="preserve"> </w:t>
      </w:r>
      <w:r>
        <w:t xml:space="preserve">gives the settings and results of the re-executed response-surface design, and</w:t>
      </w:r>
      <w:r>
        <w:t xml:space="preserve"> </w:t>
      </w:r>
      <w:hyperlink w:anchor="tbl-doe-aex-aug">
        <w:r>
          <w:rPr>
            <w:rStyle w:val="Hyperlink"/>
          </w:rPr>
          <w:t xml:space="preserve">Table 31</w:t>
        </w:r>
      </w:hyperlink>
      <w:r>
        <w:t xml:space="preserve"> </w:t>
      </w:r>
      <w:r>
        <w:t xml:space="preserve">those of the augmentation runs of PD-008-01.</w:t>
      </w:r>
      <w:r>
        <w:t xml:space="preserve"> </w:t>
      </w:r>
      <w:hyperlink w:anchor="tbl-doe-aex-rsm-sup">
        <w:r>
          <w:rPr>
            <w:rStyle w:val="Hyperlink"/>
          </w:rPr>
          <w:t xml:space="preserve">Table 32</w:t>
        </w:r>
      </w:hyperlink>
      <w:r>
        <w:t xml:space="preserve"> </w:t>
      </w:r>
      <w:r>
        <w:t xml:space="preserve">gives the invalidated first execution of the response-surface design (DEV-008-01). Its results serve only to confirm the cause of that event, and no range, class or claim rests on them.</w:t>
      </w:r>
    </w:p>
    <w:tbl>
      <w:tblPr>
        <w:tblStyle w:val="Table"/>
        <w:tblW w:type="pct" w:w="5000"/>
        <w:tblLayout w:type="fixed"/>
        <w:tblLook w:firstRow="0" w:lastRow="0" w:firstColumn="0" w:lastColumn="0" w:noHBand="0" w:noVBand="0" w:val="0000"/>
      </w:tblPr>
      <w:tblGrid>
        <w:gridCol w:w="7920"/>
      </w:tblGrid>
      <w:tr>
        <w:tc>
          <w:tcPr/>
          <w:bookmarkStart w:id="158" w:name="tbl-doe-aex-rsm"/>
          <w:p>
            <w:pPr>
              <w:jc w:val="center"/>
            </w:pPr>
            <w:pPr>
              <w:jc w:val="start"/>
              <w:spacing w:before="200"/>
              <w:pStyle w:val="ImageCaption"/>
            </w:pPr>
            <w:r>
              <w:t xml:space="preserve">Table 30: Anion exchange response-surface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4"/>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XMuLV LRF</w:t>
                  </w:r>
                </w:p>
              </w:tc>
              <w:tc>
                <w:tcPr/>
                <w:p>
                  <w:pPr>
                    <w:pStyle w:val="Compact"/>
                    <w:jc w:val="center"/>
                  </w:pPr>
                  <w:r>
                    <w:t xml:space="preserve">MVM LRF</w:t>
                  </w:r>
                </w:p>
              </w:tc>
              <w:tc>
                <w:tcPr/>
                <w:p>
                  <w:pPr>
                    <w:pStyle w:val="Compact"/>
                    <w:jc w:val="center"/>
                  </w:pPr>
                  <w:r>
                    <w:t xml:space="preserve">Yield</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mS/cm</w:t>
                  </w:r>
                </w:p>
              </w:tc>
              <w:tc>
                <w:tcPr/>
                <w:p>
                  <w:pPr>
                    <w:pStyle w:val="Compact"/>
                    <w:jc w:val="center"/>
                  </w:pPr>
                  <w:r>
                    <w:t xml:space="preserve">mS/cm</w:t>
                  </w:r>
                </w:p>
              </w:tc>
              <w:tc>
                <w:tcPr/>
                <w:p>
                  <w:pPr>
                    <w:pStyle w:val="Compact"/>
                    <w:jc w:val="center"/>
                  </w:pPr>
                  <w:r>
                    <w:t xml:space="preserve">g/L resin</w:t>
                  </w:r>
                </w:p>
              </w:tc>
              <w:tc>
                <w:tcPr/>
                <w:p>
                  <w:pPr>
                    <w:pStyle w:val="Compact"/>
                    <w:jc w:val="center"/>
                  </w:pPr>
                  <w:r>
                    <w:t xml:space="preserve">ng/mg</w:t>
                  </w:r>
                </w:p>
              </w:tc>
              <w:tc>
                <w:tcPr/>
                <w:p>
                  <w:pPr>
                    <w:pStyle w:val="Compact"/>
                    <w:jc w:val="center"/>
                  </w:pPr>
                  <w:r>
                    <w:t xml:space="preserve">log10</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13.5</w:t>
                  </w:r>
                </w:p>
              </w:tc>
              <w:tc>
                <w:tcPr/>
                <w:p>
                  <w:pPr>
                    <w:pStyle w:val="Compact"/>
                    <w:jc w:val="center"/>
                  </w:pPr>
                  <w:r>
                    <w:t xml:space="preserve">6.72</w:t>
                  </w:r>
                </w:p>
              </w:tc>
              <w:tc>
                <w:tcPr/>
                <w:p>
                  <w:pPr>
                    <w:pStyle w:val="Compact"/>
                    <w:jc w:val="center"/>
                  </w:pPr>
                  <w:r>
                    <w:t xml:space="preserve">4.55</w:t>
                  </w:r>
                </w:p>
              </w:tc>
              <w:tc>
                <w:tcPr/>
                <w:p>
                  <w:pPr>
                    <w:pStyle w:val="Compact"/>
                    <w:jc w:val="center"/>
                  </w:pPr>
                  <w:r>
                    <w:t xml:space="preserve">95.1</w:t>
                  </w:r>
                </w:p>
              </w:tc>
              <w:tc>
                <w:tcPr/>
                <w:p>
                  <w:pPr>
                    <w:pStyle w:val="Compact"/>
                    <w:jc w:val="center"/>
                  </w:pPr>
                  <w:r>
                    <w:t xml:space="preserve">0.58</w:t>
                  </w:r>
                </w:p>
              </w:tc>
            </w:tr>
            <w:tr>
              <w:tc>
                <w:tcPr/>
                <w:p>
                  <w:pPr>
                    <w:pStyle w:val="Compact"/>
                    <w:jc w:val="center"/>
                  </w:pPr>
                  <w:r>
                    <w:t xml:space="preserve">2</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17.3</w:t>
                  </w:r>
                </w:p>
              </w:tc>
              <w:tc>
                <w:tcPr/>
                <w:p>
                  <w:pPr>
                    <w:pStyle w:val="Compact"/>
                    <w:jc w:val="center"/>
                  </w:pPr>
                  <w:r>
                    <w:t xml:space="preserve">6.03</w:t>
                  </w:r>
                </w:p>
              </w:tc>
              <w:tc>
                <w:tcPr/>
                <w:p>
                  <w:pPr>
                    <w:pStyle w:val="Compact"/>
                    <w:jc w:val="center"/>
                  </w:pPr>
                  <w:r>
                    <w:t xml:space="preserve">5.21</w:t>
                  </w:r>
                </w:p>
              </w:tc>
              <w:tc>
                <w:tcPr/>
                <w:p>
                  <w:pPr>
                    <w:pStyle w:val="Compact"/>
                    <w:jc w:val="center"/>
                  </w:pPr>
                  <w:r>
                    <w:t xml:space="preserve">98.9</w:t>
                  </w:r>
                </w:p>
              </w:tc>
              <w:tc>
                <w:tcPr/>
                <w:p>
                  <w:pPr>
                    <w:pStyle w:val="Compact"/>
                    <w:jc w:val="center"/>
                  </w:pPr>
                  <w:r>
                    <w:t xml:space="preserve">0.66</w:t>
                  </w:r>
                </w:p>
              </w:tc>
            </w:tr>
            <w:tr>
              <w:tc>
                <w:tcPr/>
                <w:p>
                  <w:pPr>
                    <w:pStyle w:val="Compact"/>
                    <w:jc w:val="center"/>
                  </w:pPr>
                  <w:r>
                    <w:t xml:space="preserve">3</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14.1</w:t>
                  </w:r>
                </w:p>
              </w:tc>
              <w:tc>
                <w:tcPr/>
                <w:p>
                  <w:pPr>
                    <w:pStyle w:val="Compact"/>
                    <w:jc w:val="center"/>
                  </w:pPr>
                  <w:r>
                    <w:t xml:space="preserve">5.87</w:t>
                  </w:r>
                </w:p>
              </w:tc>
              <w:tc>
                <w:tcPr/>
                <w:p>
                  <w:pPr>
                    <w:pStyle w:val="Compact"/>
                    <w:jc w:val="center"/>
                  </w:pPr>
                  <w:r>
                    <w:t xml:space="preserve">4.02</w:t>
                  </w:r>
                </w:p>
              </w:tc>
              <w:tc>
                <w:tcPr/>
                <w:p>
                  <w:pPr>
                    <w:pStyle w:val="Compact"/>
                    <w:jc w:val="center"/>
                  </w:pPr>
                  <w:r>
                    <w:t xml:space="preserve">99.5</w:t>
                  </w:r>
                </w:p>
              </w:tc>
              <w:tc>
                <w:tcPr/>
                <w:p>
                  <w:pPr>
                    <w:pStyle w:val="Compact"/>
                    <w:jc w:val="center"/>
                  </w:pPr>
                  <w:r>
                    <w:t xml:space="preserve">0.68</w:t>
                  </w:r>
                </w:p>
              </w:tc>
            </w:tr>
            <w:tr>
              <w:tc>
                <w:tcPr/>
                <w:p>
                  <w:pPr>
                    <w:pStyle w:val="Compact"/>
                    <w:jc w:val="center"/>
                  </w:pPr>
                  <w:r>
                    <w:t xml:space="preserve">4</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15.0</w:t>
                  </w:r>
                </w:p>
              </w:tc>
              <w:tc>
                <w:tcPr/>
                <w:p>
                  <w:pPr>
                    <w:pStyle w:val="Compact"/>
                    <w:jc w:val="center"/>
                  </w:pPr>
                  <w:r>
                    <w:t xml:space="preserve">5.30</w:t>
                  </w:r>
                </w:p>
              </w:tc>
              <w:tc>
                <w:tcPr/>
                <w:p>
                  <w:pPr>
                    <w:pStyle w:val="Compact"/>
                    <w:jc w:val="center"/>
                  </w:pPr>
                  <w:r>
                    <w:t xml:space="preserve">3.76</w:t>
                  </w:r>
                </w:p>
              </w:tc>
              <w:tc>
                <w:tcPr/>
                <w:p>
                  <w:pPr>
                    <w:pStyle w:val="Compact"/>
                    <w:jc w:val="center"/>
                  </w:pPr>
                  <w:r>
                    <w:t xml:space="preserve">95.1</w:t>
                  </w:r>
                </w:p>
              </w:tc>
              <w:tc>
                <w:tcPr/>
                <w:p>
                  <w:pPr>
                    <w:pStyle w:val="Compact"/>
                    <w:jc w:val="center"/>
                  </w:pPr>
                  <w:r>
                    <w:t xml:space="preserve">0.60</w:t>
                  </w:r>
                </w:p>
              </w:tc>
            </w:tr>
            <w:tr>
              <w:tc>
                <w:tcPr/>
                <w:p>
                  <w:pPr>
                    <w:pStyle w:val="Compact"/>
                    <w:jc w:val="center"/>
                  </w:pPr>
                  <w:r>
                    <w:t xml:space="preserve">5</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28.5</w:t>
                  </w:r>
                </w:p>
              </w:tc>
              <w:tc>
                <w:tcPr/>
                <w:p>
                  <w:pPr>
                    <w:pStyle w:val="Compact"/>
                    <w:jc w:val="center"/>
                  </w:pPr>
                  <w:r>
                    <w:t xml:space="preserve">6.53</w:t>
                  </w:r>
                </w:p>
              </w:tc>
              <w:tc>
                <w:tcPr/>
                <w:p>
                  <w:pPr>
                    <w:pStyle w:val="Compact"/>
                    <w:jc w:val="center"/>
                  </w:pPr>
                  <w:r>
                    <w:t xml:space="preserve">4.77</w:t>
                  </w:r>
                </w:p>
              </w:tc>
              <w:tc>
                <w:tcPr/>
                <w:p>
                  <w:pPr>
                    <w:pStyle w:val="Compact"/>
                    <w:jc w:val="center"/>
                  </w:pPr>
                  <w:r>
                    <w:t xml:space="preserve">98.8</w:t>
                  </w:r>
                </w:p>
              </w:tc>
              <w:tc>
                <w:tcPr/>
                <w:p>
                  <w:pPr>
                    <w:pStyle w:val="Compact"/>
                    <w:jc w:val="center"/>
                  </w:pPr>
                  <w:r>
                    <w:t xml:space="preserve">0.64</w:t>
                  </w:r>
                </w:p>
              </w:tc>
            </w:tr>
            <w:tr>
              <w:tc>
                <w:tcPr/>
                <w:p>
                  <w:pPr>
                    <w:pStyle w:val="Compact"/>
                    <w:jc w:val="center"/>
                  </w:pPr>
                  <w:r>
                    <w:t xml:space="preserve">6</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25.5</w:t>
                  </w:r>
                </w:p>
              </w:tc>
              <w:tc>
                <w:tcPr/>
                <w:p>
                  <w:pPr>
                    <w:pStyle w:val="Compact"/>
                    <w:jc w:val="center"/>
                  </w:pPr>
                  <w:r>
                    <w:t xml:space="preserve">6.71</w:t>
                  </w:r>
                </w:p>
              </w:tc>
              <w:tc>
                <w:tcPr/>
                <w:p>
                  <w:pPr>
                    <w:pStyle w:val="Compact"/>
                    <w:jc w:val="center"/>
                  </w:pPr>
                  <w:r>
                    <w:t xml:space="preserve">4.71</w:t>
                  </w:r>
                </w:p>
              </w:tc>
              <w:tc>
                <w:tcPr/>
                <w:p>
                  <w:pPr>
                    <w:pStyle w:val="Compact"/>
                    <w:jc w:val="center"/>
                  </w:pPr>
                  <w:r>
                    <w:t xml:space="preserve">96.3</w:t>
                  </w:r>
                </w:p>
              </w:tc>
              <w:tc>
                <w:tcPr/>
                <w:p>
                  <w:pPr>
                    <w:pStyle w:val="Compact"/>
                    <w:jc w:val="center"/>
                  </w:pPr>
                  <w:r>
                    <w:t xml:space="preserve">0.63</w:t>
                  </w:r>
                </w:p>
              </w:tc>
            </w:tr>
            <w:tr>
              <w:tc>
                <w:tcPr/>
                <w:p>
                  <w:pPr>
                    <w:pStyle w:val="Compact"/>
                    <w:jc w:val="center"/>
                  </w:pPr>
                  <w:r>
                    <w:t xml:space="preserve">7</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31.3</w:t>
                  </w:r>
                </w:p>
              </w:tc>
              <w:tc>
                <w:tcPr/>
                <w:p>
                  <w:pPr>
                    <w:pStyle w:val="Compact"/>
                    <w:jc w:val="center"/>
                  </w:pPr>
                  <w:r>
                    <w:t xml:space="preserve">5.36</w:t>
                  </w:r>
                </w:p>
              </w:tc>
              <w:tc>
                <w:tcPr/>
                <w:p>
                  <w:pPr>
                    <w:pStyle w:val="Compact"/>
                    <w:jc w:val="center"/>
                  </w:pPr>
                  <w:r>
                    <w:t xml:space="preserve">3.91</w:t>
                  </w:r>
                </w:p>
              </w:tc>
              <w:tc>
                <w:tcPr/>
                <w:p>
                  <w:pPr>
                    <w:pStyle w:val="Compact"/>
                    <w:jc w:val="center"/>
                  </w:pPr>
                  <w:r>
                    <w:t xml:space="preserve">99.5</w:t>
                  </w:r>
                </w:p>
              </w:tc>
              <w:tc>
                <w:tcPr/>
                <w:p>
                  <w:pPr>
                    <w:pStyle w:val="Compact"/>
                    <w:jc w:val="center"/>
                  </w:pPr>
                  <w:r>
                    <w:t xml:space="preserve">0.60</w:t>
                  </w:r>
                </w:p>
              </w:tc>
            </w:tr>
            <w:tr>
              <w:tc>
                <w:tcPr/>
                <w:p>
                  <w:pPr>
                    <w:pStyle w:val="Compact"/>
                    <w:jc w:val="center"/>
                  </w:pPr>
                  <w:r>
                    <w:t xml:space="preserve">8</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32.3</w:t>
                  </w:r>
                </w:p>
              </w:tc>
              <w:tc>
                <w:tcPr/>
                <w:p>
                  <w:pPr>
                    <w:pStyle w:val="Compact"/>
                    <w:jc w:val="center"/>
                  </w:pPr>
                  <w:r>
                    <w:t xml:space="preserve">5.06</w:t>
                  </w:r>
                </w:p>
              </w:tc>
              <w:tc>
                <w:tcPr/>
                <w:p>
                  <w:pPr>
                    <w:pStyle w:val="Compact"/>
                    <w:jc w:val="center"/>
                  </w:pPr>
                  <w:r>
                    <w:t xml:space="preserve">3.36</w:t>
                  </w:r>
                </w:p>
              </w:tc>
              <w:tc>
                <w:tcPr/>
                <w:p>
                  <w:pPr>
                    <w:pStyle w:val="Compact"/>
                    <w:jc w:val="center"/>
                  </w:pPr>
                  <w:r>
                    <w:t xml:space="preserve">96.6</w:t>
                  </w:r>
                </w:p>
              </w:tc>
              <w:tc>
                <w:tcPr/>
                <w:p>
                  <w:pPr>
                    <w:pStyle w:val="Compact"/>
                    <w:jc w:val="center"/>
                  </w:pPr>
                  <w:r>
                    <w:t xml:space="preserve">0.66</w:t>
                  </w:r>
                </w:p>
              </w:tc>
            </w:tr>
            <w:tr>
              <w:tc>
                <w:tcPr/>
                <w:p>
                  <w:pPr>
                    <w:pStyle w:val="Compact"/>
                    <w:jc w:val="center"/>
                  </w:pPr>
                  <w:r>
                    <w:t xml:space="preserve">9</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5.66</w:t>
                  </w:r>
                </w:p>
              </w:tc>
              <w:tc>
                <w:tcPr/>
                <w:p>
                  <w:pPr>
                    <w:pStyle w:val="Compact"/>
                    <w:jc w:val="center"/>
                  </w:pPr>
                  <w:r>
                    <w:t xml:space="preserve">7.50</w:t>
                  </w:r>
                </w:p>
              </w:tc>
              <w:tc>
                <w:tcPr/>
                <w:p>
                  <w:pPr>
                    <w:pStyle w:val="Compact"/>
                    <w:jc w:val="center"/>
                  </w:pPr>
                  <w:r>
                    <w:t xml:space="preserve">6.14</w:t>
                  </w:r>
                </w:p>
              </w:tc>
              <w:tc>
                <w:tcPr/>
                <w:p>
                  <w:pPr>
                    <w:pStyle w:val="Compact"/>
                    <w:jc w:val="center"/>
                  </w:pPr>
                  <w:r>
                    <w:t xml:space="preserve">97.4</w:t>
                  </w:r>
                </w:p>
              </w:tc>
              <w:tc>
                <w:tcPr/>
                <w:p>
                  <w:pPr>
                    <w:pStyle w:val="Compact"/>
                    <w:jc w:val="center"/>
                  </w:pPr>
                  <w:r>
                    <w:t xml:space="preserve">0.61</w:t>
                  </w:r>
                </w:p>
              </w:tc>
            </w:tr>
            <w:tr>
              <w:tc>
                <w:tcPr/>
                <w:p>
                  <w:pPr>
                    <w:pStyle w:val="Compact"/>
                    <w:jc w:val="center"/>
                  </w:pPr>
                  <w:r>
                    <w:t xml:space="preserve">10</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8.37</w:t>
                  </w:r>
                </w:p>
              </w:tc>
              <w:tc>
                <w:tcPr/>
                <w:p>
                  <w:pPr>
                    <w:pStyle w:val="Compact"/>
                    <w:jc w:val="center"/>
                  </w:pPr>
                  <w:r>
                    <w:t xml:space="preserve">7.83</w:t>
                  </w:r>
                </w:p>
              </w:tc>
              <w:tc>
                <w:tcPr/>
                <w:p>
                  <w:pPr>
                    <w:pStyle w:val="Compact"/>
                    <w:jc w:val="center"/>
                  </w:pPr>
                  <w:r>
                    <w:t xml:space="preserve">5.61</w:t>
                  </w:r>
                </w:p>
              </w:tc>
              <w:tc>
                <w:tcPr/>
                <w:p>
                  <w:pPr>
                    <w:pStyle w:val="Compact"/>
                    <w:jc w:val="center"/>
                  </w:pPr>
                  <w:r>
                    <w:t xml:space="preserve">98.9</w:t>
                  </w:r>
                </w:p>
              </w:tc>
              <w:tc>
                <w:tcPr/>
                <w:p>
                  <w:pPr>
                    <w:pStyle w:val="Compact"/>
                    <w:jc w:val="center"/>
                  </w:pPr>
                  <w:r>
                    <w:t xml:space="preserve">0.60</w:t>
                  </w:r>
                </w:p>
              </w:tc>
            </w:tr>
            <w:tr>
              <w:tc>
                <w:tcPr/>
                <w:p>
                  <w:pPr>
                    <w:pStyle w:val="Compact"/>
                    <w:jc w:val="center"/>
                  </w:pPr>
                  <w:r>
                    <w:t xml:space="preserve">11</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7.56</w:t>
                  </w:r>
                </w:p>
              </w:tc>
              <w:tc>
                <w:tcPr/>
                <w:p>
                  <w:pPr>
                    <w:pStyle w:val="Compact"/>
                    <w:jc w:val="center"/>
                  </w:pPr>
                  <w:r>
                    <w:t xml:space="preserve">6.49</w:t>
                  </w:r>
                </w:p>
              </w:tc>
              <w:tc>
                <w:tcPr/>
                <w:p>
                  <w:pPr>
                    <w:pStyle w:val="Compact"/>
                    <w:jc w:val="center"/>
                  </w:pPr>
                  <w:r>
                    <w:t xml:space="preserve">4.54</w:t>
                  </w:r>
                </w:p>
              </w:tc>
              <w:tc>
                <w:tcPr/>
                <w:p>
                  <w:pPr>
                    <w:pStyle w:val="Compact"/>
                    <w:jc w:val="center"/>
                  </w:pPr>
                  <w:r>
                    <w:t xml:space="preserve">97.2</w:t>
                  </w:r>
                </w:p>
              </w:tc>
              <w:tc>
                <w:tcPr/>
                <w:p>
                  <w:pPr>
                    <w:pStyle w:val="Compact"/>
                    <w:jc w:val="center"/>
                  </w:pPr>
                  <w:r>
                    <w:t xml:space="preserve">0.61</w:t>
                  </w:r>
                </w:p>
              </w:tc>
            </w:tr>
            <w:tr>
              <w:tc>
                <w:tcPr/>
                <w:p>
                  <w:pPr>
                    <w:pStyle w:val="Compact"/>
                    <w:jc w:val="center"/>
                  </w:pPr>
                  <w:r>
                    <w:t xml:space="preserve">12</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7.43</w:t>
                  </w:r>
                </w:p>
              </w:tc>
              <w:tc>
                <w:tcPr/>
                <w:p>
                  <w:pPr>
                    <w:pStyle w:val="Compact"/>
                    <w:jc w:val="center"/>
                  </w:pPr>
                  <w:r>
                    <w:t xml:space="preserve">7.13</w:t>
                  </w:r>
                </w:p>
              </w:tc>
              <w:tc>
                <w:tcPr/>
                <w:p>
                  <w:pPr>
                    <w:pStyle w:val="Compact"/>
                    <w:jc w:val="center"/>
                  </w:pPr>
                  <w:r>
                    <w:t xml:space="preserve">4.68</w:t>
                  </w:r>
                </w:p>
              </w:tc>
              <w:tc>
                <w:tcPr/>
                <w:p>
                  <w:pPr>
                    <w:pStyle w:val="Compact"/>
                    <w:jc w:val="center"/>
                  </w:pPr>
                  <w:r>
                    <w:t xml:space="preserve">98.8</w:t>
                  </w:r>
                </w:p>
              </w:tc>
              <w:tc>
                <w:tcPr/>
                <w:p>
                  <w:pPr>
                    <w:pStyle w:val="Compact"/>
                    <w:jc w:val="center"/>
                  </w:pPr>
                  <w:r>
                    <w:t xml:space="preserve">0.70</w:t>
                  </w:r>
                </w:p>
              </w:tc>
            </w:tr>
            <w:tr>
              <w:tc>
                <w:tcPr/>
                <w:p>
                  <w:pPr>
                    <w:pStyle w:val="Compact"/>
                    <w:jc w:val="center"/>
                  </w:pPr>
                  <w:r>
                    <w:t xml:space="preserve">13</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17.6</w:t>
                  </w:r>
                </w:p>
              </w:tc>
              <w:tc>
                <w:tcPr/>
                <w:p>
                  <w:pPr>
                    <w:pStyle w:val="Compact"/>
                    <w:jc w:val="center"/>
                  </w:pPr>
                  <w:r>
                    <w:t xml:space="preserve">7.18</w:t>
                  </w:r>
                </w:p>
              </w:tc>
              <w:tc>
                <w:tcPr/>
                <w:p>
                  <w:pPr>
                    <w:pStyle w:val="Compact"/>
                    <w:jc w:val="center"/>
                  </w:pPr>
                  <w:r>
                    <w:t xml:space="preserve">6.20</w:t>
                  </w:r>
                </w:p>
              </w:tc>
              <w:tc>
                <w:tcPr/>
                <w:p>
                  <w:pPr>
                    <w:pStyle w:val="Compact"/>
                    <w:jc w:val="center"/>
                  </w:pPr>
                  <w:r>
                    <w:t xml:space="preserve">97.4</w:t>
                  </w:r>
                </w:p>
              </w:tc>
              <w:tc>
                <w:tcPr/>
                <w:p>
                  <w:pPr>
                    <w:pStyle w:val="Compact"/>
                    <w:jc w:val="center"/>
                  </w:pPr>
                  <w:r>
                    <w:t xml:space="preserve">0.67</w:t>
                  </w:r>
                </w:p>
              </w:tc>
            </w:tr>
            <w:tr>
              <w:tc>
                <w:tcPr/>
                <w:p>
                  <w:pPr>
                    <w:pStyle w:val="Compact"/>
                    <w:jc w:val="center"/>
                  </w:pPr>
                  <w:r>
                    <w:t xml:space="preserve">14</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18.0</w:t>
                  </w:r>
                </w:p>
              </w:tc>
              <w:tc>
                <w:tcPr/>
                <w:p>
                  <w:pPr>
                    <w:pStyle w:val="Compact"/>
                    <w:jc w:val="center"/>
                  </w:pPr>
                  <w:r>
                    <w:t xml:space="preserve">8.12</w:t>
                  </w:r>
                </w:p>
              </w:tc>
              <w:tc>
                <w:tcPr/>
                <w:p>
                  <w:pPr>
                    <w:pStyle w:val="Compact"/>
                    <w:jc w:val="center"/>
                  </w:pPr>
                  <w:r>
                    <w:t xml:space="preserve">6.33</w:t>
                  </w:r>
                </w:p>
              </w:tc>
              <w:tc>
                <w:tcPr/>
                <w:p>
                  <w:pPr>
                    <w:pStyle w:val="Compact"/>
                    <w:jc w:val="center"/>
                  </w:pPr>
                  <w:r>
                    <w:t xml:space="preserve">96.8</w:t>
                  </w:r>
                </w:p>
              </w:tc>
              <w:tc>
                <w:tcPr/>
                <w:p>
                  <w:pPr>
                    <w:pStyle w:val="Compact"/>
                    <w:jc w:val="center"/>
                  </w:pPr>
                  <w:r>
                    <w:t xml:space="preserve">0.65</w:t>
                  </w:r>
                </w:p>
              </w:tc>
            </w:tr>
            <w:tr>
              <w:tc>
                <w:tcPr/>
                <w:p>
                  <w:pPr>
                    <w:pStyle w:val="Compact"/>
                    <w:jc w:val="center"/>
                  </w:pPr>
                  <w:r>
                    <w:t xml:space="preserve">15</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13.9</w:t>
                  </w:r>
                </w:p>
              </w:tc>
              <w:tc>
                <w:tcPr/>
                <w:p>
                  <w:pPr>
                    <w:pStyle w:val="Compact"/>
                    <w:jc w:val="center"/>
                  </w:pPr>
                  <w:r>
                    <w:t xml:space="preserve">6.58</w:t>
                  </w:r>
                </w:p>
              </w:tc>
              <w:tc>
                <w:tcPr/>
                <w:p>
                  <w:pPr>
                    <w:pStyle w:val="Compact"/>
                    <w:jc w:val="center"/>
                  </w:pPr>
                  <w:r>
                    <w:t xml:space="preserve">4.53</w:t>
                  </w:r>
                </w:p>
              </w:tc>
              <w:tc>
                <w:tcPr/>
                <w:p>
                  <w:pPr>
                    <w:pStyle w:val="Compact"/>
                    <w:jc w:val="center"/>
                  </w:pPr>
                  <w:r>
                    <w:t xml:space="preserve">96.0</w:t>
                  </w:r>
                </w:p>
              </w:tc>
              <w:tc>
                <w:tcPr/>
                <w:p>
                  <w:pPr>
                    <w:pStyle w:val="Compact"/>
                    <w:jc w:val="center"/>
                  </w:pPr>
                  <w:r>
                    <w:t xml:space="preserve">0.71</w:t>
                  </w:r>
                </w:p>
              </w:tc>
            </w:tr>
            <w:tr>
              <w:tc>
                <w:tcPr/>
                <w:p>
                  <w:pPr>
                    <w:pStyle w:val="Compact"/>
                    <w:jc w:val="center"/>
                  </w:pPr>
                  <w:r>
                    <w:t xml:space="preserve">16</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13.9</w:t>
                  </w:r>
                </w:p>
              </w:tc>
              <w:tc>
                <w:tcPr/>
                <w:p>
                  <w:pPr>
                    <w:pStyle w:val="Compact"/>
                    <w:jc w:val="center"/>
                  </w:pPr>
                  <w:r>
                    <w:t xml:space="preserve">6.37</w:t>
                  </w:r>
                </w:p>
              </w:tc>
              <w:tc>
                <w:tcPr/>
                <w:p>
                  <w:pPr>
                    <w:pStyle w:val="Compact"/>
                    <w:jc w:val="center"/>
                  </w:pPr>
                  <w:r>
                    <w:t xml:space="preserve">5.16</w:t>
                  </w:r>
                </w:p>
              </w:tc>
              <w:tc>
                <w:tcPr/>
                <w:p>
                  <w:pPr>
                    <w:pStyle w:val="Compact"/>
                    <w:jc w:val="center"/>
                  </w:pPr>
                  <w:r>
                    <w:t xml:space="preserve">97.3</w:t>
                  </w:r>
                </w:p>
              </w:tc>
              <w:tc>
                <w:tcPr/>
                <w:p>
                  <w:pPr>
                    <w:pStyle w:val="Compact"/>
                    <w:jc w:val="center"/>
                  </w:pPr>
                  <w:r>
                    <w:t xml:space="preserve">0.61</w:t>
                  </w:r>
                </w:p>
              </w:tc>
            </w:tr>
            <w:tr>
              <w:tc>
                <w:tcPr/>
                <w:p>
                  <w:pPr>
                    <w:pStyle w:val="Compact"/>
                    <w:jc w:val="center"/>
                  </w:pPr>
                  <w:r>
                    <w:t xml:space="preserve">17</w:t>
                  </w:r>
                </w:p>
              </w:tc>
              <w:tc>
                <w:tcPr>
                  <w:vMerge w:val="restart"/>
                </w:tcPr>
                <w:p>
                  <w:pPr>
                    <w:pStyle w:val="Compact"/>
                    <w:jc w:val="center"/>
                  </w:pPr>
                  <w:r>
                    <w:t xml:space="preserve">axial</w:t>
                  </w:r>
                </w:p>
              </w:tc>
              <w:tc>
                <w:tcPr/>
                <w:p>
                  <w:pPr>
                    <w:pStyle w:val="Compact"/>
                    <w:jc w:val="center"/>
                  </w:pPr>
                  <w:r>
                    <w:t xml:space="preserve">7.2</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23.0</w:t>
                  </w:r>
                </w:p>
              </w:tc>
              <w:tc>
                <w:tcPr/>
                <w:p>
                  <w:pPr>
                    <w:pStyle w:val="Compact"/>
                    <w:jc w:val="center"/>
                  </w:pPr>
                  <w:r>
                    <w:t xml:space="preserve">5.83</w:t>
                  </w:r>
                </w:p>
              </w:tc>
              <w:tc>
                <w:tcPr/>
                <w:p>
                  <w:pPr>
                    <w:pStyle w:val="Compact"/>
                    <w:jc w:val="center"/>
                  </w:pPr>
                  <w:r>
                    <w:t xml:space="preserve">4.10</w:t>
                  </w:r>
                </w:p>
              </w:tc>
              <w:tc>
                <w:tcPr/>
                <w:p>
                  <w:pPr>
                    <w:pStyle w:val="Compact"/>
                    <w:jc w:val="center"/>
                  </w:pPr>
                  <w:r>
                    <w:t xml:space="preserve">97.1</w:t>
                  </w:r>
                </w:p>
              </w:tc>
              <w:tc>
                <w:tcPr/>
                <w:p>
                  <w:pPr>
                    <w:pStyle w:val="Compact"/>
                    <w:jc w:val="center"/>
                  </w:pPr>
                  <w:r>
                    <w:t xml:space="preserve">0.65</w:t>
                  </w:r>
                </w:p>
              </w:tc>
            </w:tr>
            <w:tr>
              <w:tc>
                <w:tcPr/>
                <w:p>
                  <w:pPr>
                    <w:pStyle w:val="Compact"/>
                    <w:jc w:val="center"/>
                  </w:pPr>
                  <w:r>
                    <w:t xml:space="preserve">18</w:t>
                  </w:r>
                </w:p>
              </w:tc>
              <w:tc>
                <w:tcPr>
                  <w:gridSpan w:val="1"/>
                  <w:vMerge w:val="continue"/>
                </w:tcPr>
                <w:p>
                  <w:pPr/>
                </w:p>
              </w:tc>
              <w:tc>
                <w:tcPr/>
                <w:p>
                  <w:pPr>
                    <w:pStyle w:val="Compact"/>
                    <w:jc w:val="center"/>
                  </w:pPr>
                  <w:r>
                    <w:t xml:space="preserve">7.8</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12.0</w:t>
                  </w:r>
                </w:p>
              </w:tc>
              <w:tc>
                <w:tcPr/>
                <w:p>
                  <w:pPr>
                    <w:pStyle w:val="Compact"/>
                    <w:jc w:val="center"/>
                  </w:pPr>
                  <w:r>
                    <w:t xml:space="preserve">7.37</w:t>
                  </w:r>
                </w:p>
              </w:tc>
              <w:tc>
                <w:tcPr/>
                <w:p>
                  <w:pPr>
                    <w:pStyle w:val="Compact"/>
                    <w:jc w:val="center"/>
                  </w:pPr>
                  <w:r>
                    <w:t xml:space="preserve">4.91</w:t>
                  </w:r>
                </w:p>
              </w:tc>
              <w:tc>
                <w:tcPr/>
                <w:p>
                  <w:pPr>
                    <w:pStyle w:val="Compact"/>
                    <w:jc w:val="center"/>
                  </w:pPr>
                  <w:r>
                    <w:t xml:space="preserve">96.5</w:t>
                  </w:r>
                </w:p>
              </w:tc>
              <w:tc>
                <w:tcPr/>
                <w:p>
                  <w:pPr>
                    <w:pStyle w:val="Compact"/>
                    <w:jc w:val="center"/>
                  </w:pPr>
                  <w:r>
                    <w:t xml:space="preserve">0.65</w:t>
                  </w:r>
                </w:p>
              </w:tc>
            </w:tr>
            <w:tr>
              <w:tc>
                <w:tcPr/>
                <w:p>
                  <w:pPr>
                    <w:pStyle w:val="Compact"/>
                    <w:jc w:val="center"/>
                  </w:pPr>
                  <w:r>
                    <w:t xml:space="preserve">19</w:t>
                  </w:r>
                </w:p>
              </w:tc>
              <w:tc>
                <w:tcPr>
                  <w:gridSpan w:val="1"/>
                  <w:vMerge w:val="continue"/>
                </w:tcPr>
                <w:p>
                  <w:pPr/>
                </w:p>
              </w:tc>
              <w:tc>
                <w:tcPr/>
                <w:p>
                  <w:pPr>
                    <w:pStyle w:val="Compact"/>
                    <w:jc w:val="center"/>
                  </w:pPr>
                  <w:r>
                    <w:t xml:space="preserve">7.5</w:t>
                  </w:r>
                </w:p>
              </w:tc>
              <w:tc>
                <w:tcPr/>
                <w:p>
                  <w:pPr>
                    <w:pStyle w:val="Compact"/>
                    <w:jc w:val="center"/>
                  </w:pPr>
                  <w:r>
                    <w:t xml:space="preserve">1.6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8.10</w:t>
                  </w:r>
                </w:p>
              </w:tc>
              <w:tc>
                <w:tcPr/>
                <w:p>
                  <w:pPr>
                    <w:pStyle w:val="Compact"/>
                    <w:jc w:val="center"/>
                  </w:pPr>
                  <w:r>
                    <w:t xml:space="preserve">6.42</w:t>
                  </w:r>
                </w:p>
              </w:tc>
              <w:tc>
                <w:tcPr/>
                <w:p>
                  <w:pPr>
                    <w:pStyle w:val="Compact"/>
                    <w:jc w:val="center"/>
                  </w:pPr>
                  <w:r>
                    <w:t xml:space="preserve">4.93</w:t>
                  </w:r>
                </w:p>
              </w:tc>
              <w:tc>
                <w:tcPr/>
                <w:p>
                  <w:pPr>
                    <w:pStyle w:val="Compact"/>
                    <w:jc w:val="center"/>
                  </w:pPr>
                  <w:r>
                    <w:t xml:space="preserve">94.6</w:t>
                  </w:r>
                </w:p>
              </w:tc>
              <w:tc>
                <w:tcPr/>
                <w:p>
                  <w:pPr>
                    <w:pStyle w:val="Compact"/>
                    <w:jc w:val="center"/>
                  </w:pPr>
                  <w:r>
                    <w:t xml:space="preserve">0.55</w:t>
                  </w:r>
                </w:p>
              </w:tc>
            </w:tr>
            <w:tr>
              <w:tc>
                <w:tcPr/>
                <w:p>
                  <w:pPr>
                    <w:pStyle w:val="Compact"/>
                    <w:jc w:val="center"/>
                  </w:pPr>
                  <w:r>
                    <w:t xml:space="preserve">20</w:t>
                  </w:r>
                </w:p>
              </w:tc>
              <w:tc>
                <w:tcPr>
                  <w:gridSpan w:val="1"/>
                  <w:vMerge w:val="continue"/>
                </w:tcPr>
                <w:p>
                  <w:pPr/>
                </w:p>
              </w:tc>
              <w:tc>
                <w:tcPr/>
                <w:p>
                  <w:pPr>
                    <w:pStyle w:val="Compact"/>
                    <w:jc w:val="center"/>
                  </w:pPr>
                  <w:r>
                    <w:t xml:space="preserve">7.5</w:t>
                  </w:r>
                </w:p>
              </w:tc>
              <w:tc>
                <w:tcPr/>
                <w:p>
                  <w:pPr>
                    <w:pStyle w:val="Compact"/>
                    <w:jc w:val="center"/>
                  </w:pPr>
                  <w:r>
                    <w:t xml:space="preserve">3.6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27.5</w:t>
                  </w:r>
                </w:p>
              </w:tc>
              <w:tc>
                <w:tcPr/>
                <w:p>
                  <w:pPr>
                    <w:pStyle w:val="Compact"/>
                    <w:jc w:val="center"/>
                  </w:pPr>
                  <w:r>
                    <w:t xml:space="preserve">6.00</w:t>
                  </w:r>
                </w:p>
              </w:tc>
              <w:tc>
                <w:tcPr/>
                <w:p>
                  <w:pPr>
                    <w:pStyle w:val="Compact"/>
                    <w:jc w:val="center"/>
                  </w:pPr>
                  <w:r>
                    <w:t xml:space="preserve">5.02</w:t>
                  </w:r>
                </w:p>
              </w:tc>
              <w:tc>
                <w:tcPr/>
                <w:p>
                  <w:pPr>
                    <w:pStyle w:val="Compact"/>
                    <w:jc w:val="center"/>
                  </w:pPr>
                  <w:r>
                    <w:t xml:space="preserve">97.2</w:t>
                  </w:r>
                </w:p>
              </w:tc>
              <w:tc>
                <w:tcPr/>
                <w:p>
                  <w:pPr>
                    <w:pStyle w:val="Compact"/>
                    <w:jc w:val="center"/>
                  </w:pPr>
                  <w:r>
                    <w:t xml:space="preserve">0.60</w:t>
                  </w:r>
                </w:p>
              </w:tc>
            </w:tr>
            <w:tr>
              <w:tc>
                <w:tcPr/>
                <w:p>
                  <w:pPr>
                    <w:pStyle w:val="Compact"/>
                    <w:jc w:val="center"/>
                  </w:pPr>
                  <w:r>
                    <w:t xml:space="preserve">21</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3</w:t>
                  </w:r>
                </w:p>
              </w:tc>
              <w:tc>
                <w:tcPr/>
                <w:p>
                  <w:pPr>
                    <w:pStyle w:val="Compact"/>
                    <w:jc w:val="center"/>
                  </w:pPr>
                  <w:r>
                    <w:t xml:space="preserve">175</w:t>
                  </w:r>
                </w:p>
              </w:tc>
              <w:tc>
                <w:tcPr/>
                <w:p>
                  <w:pPr>
                    <w:pStyle w:val="Compact"/>
                    <w:jc w:val="center"/>
                  </w:pPr>
                  <w:r>
                    <w:t xml:space="preserve">15.6</w:t>
                  </w:r>
                </w:p>
              </w:tc>
              <w:tc>
                <w:tcPr/>
                <w:p>
                  <w:pPr>
                    <w:pStyle w:val="Compact"/>
                    <w:jc w:val="center"/>
                  </w:pPr>
                  <w:r>
                    <w:t xml:space="preserve">7.44</w:t>
                  </w:r>
                </w:p>
              </w:tc>
              <w:tc>
                <w:tcPr/>
                <w:p>
                  <w:pPr>
                    <w:pStyle w:val="Compact"/>
                    <w:jc w:val="center"/>
                  </w:pPr>
                  <w:r>
                    <w:t xml:space="preserve">5.14</w:t>
                  </w:r>
                </w:p>
              </w:tc>
              <w:tc>
                <w:tcPr/>
                <w:p>
                  <w:pPr>
                    <w:pStyle w:val="Compact"/>
                    <w:jc w:val="center"/>
                  </w:pPr>
                  <w:r>
                    <w:t xml:space="preserve">95.2</w:t>
                  </w:r>
                </w:p>
              </w:tc>
              <w:tc>
                <w:tcPr/>
                <w:p>
                  <w:pPr>
                    <w:pStyle w:val="Compact"/>
                    <w:jc w:val="center"/>
                  </w:pPr>
                  <w:r>
                    <w:t xml:space="preserve">0.66</w:t>
                  </w:r>
                </w:p>
              </w:tc>
            </w:tr>
            <w:tr>
              <w:tc>
                <w:tcPr/>
                <w:p>
                  <w:pPr>
                    <w:pStyle w:val="Compact"/>
                    <w:jc w:val="center"/>
                  </w:pPr>
                  <w:r>
                    <w:t xml:space="preserve">22</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8</w:t>
                  </w:r>
                </w:p>
              </w:tc>
              <w:tc>
                <w:tcPr/>
                <w:p>
                  <w:pPr>
                    <w:pStyle w:val="Compact"/>
                    <w:jc w:val="center"/>
                  </w:pPr>
                  <w:r>
                    <w:t xml:space="preserve">175</w:t>
                  </w:r>
                </w:p>
              </w:tc>
              <w:tc>
                <w:tcPr/>
                <w:p>
                  <w:pPr>
                    <w:pStyle w:val="Compact"/>
                    <w:jc w:val="center"/>
                  </w:pPr>
                  <w:r>
                    <w:t xml:space="preserve">15.5</w:t>
                  </w:r>
                </w:p>
              </w:tc>
              <w:tc>
                <w:tcPr/>
                <w:p>
                  <w:pPr>
                    <w:pStyle w:val="Compact"/>
                    <w:jc w:val="center"/>
                  </w:pPr>
                  <w:r>
                    <w:t xml:space="preserve">5.93</w:t>
                  </w:r>
                </w:p>
              </w:tc>
              <w:tc>
                <w:tcPr/>
                <w:p>
                  <w:pPr>
                    <w:pStyle w:val="Compact"/>
                    <w:jc w:val="center"/>
                  </w:pPr>
                  <w:r>
                    <w:t xml:space="preserve">4.56</w:t>
                  </w:r>
                </w:p>
              </w:tc>
              <w:tc>
                <w:tcPr/>
                <w:p>
                  <w:pPr>
                    <w:pStyle w:val="Compact"/>
                    <w:jc w:val="center"/>
                  </w:pPr>
                  <w:r>
                    <w:t xml:space="preserve">96.7</w:t>
                  </w:r>
                </w:p>
              </w:tc>
              <w:tc>
                <w:tcPr/>
                <w:p>
                  <w:pPr>
                    <w:pStyle w:val="Compact"/>
                    <w:jc w:val="center"/>
                  </w:pPr>
                  <w:r>
                    <w:t xml:space="preserve">0.66</w:t>
                  </w:r>
                </w:p>
              </w:tc>
            </w:tr>
            <w:tr>
              <w:tc>
                <w:tcPr/>
                <w:p>
                  <w:pPr>
                    <w:pStyle w:val="Compact"/>
                    <w:jc w:val="center"/>
                  </w:pPr>
                  <w:r>
                    <w:t xml:space="preserve">23</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50</w:t>
                  </w:r>
                </w:p>
              </w:tc>
              <w:tc>
                <w:tcPr/>
                <w:p>
                  <w:pPr>
                    <w:pStyle w:val="Compact"/>
                    <w:jc w:val="center"/>
                  </w:pPr>
                  <w:r>
                    <w:t xml:space="preserve">13.0</w:t>
                  </w:r>
                </w:p>
              </w:tc>
              <w:tc>
                <w:tcPr/>
                <w:p>
                  <w:pPr>
                    <w:pStyle w:val="Compact"/>
                    <w:jc w:val="center"/>
                  </w:pPr>
                  <w:r>
                    <w:t xml:space="preserve">6.52</w:t>
                  </w:r>
                </w:p>
              </w:tc>
              <w:tc>
                <w:tcPr/>
                <w:p>
                  <w:pPr>
                    <w:pStyle w:val="Compact"/>
                    <w:jc w:val="center"/>
                  </w:pPr>
                  <w:r>
                    <w:t xml:space="preserve">4.81</w:t>
                  </w:r>
                </w:p>
              </w:tc>
              <w:tc>
                <w:tcPr/>
                <w:p>
                  <w:pPr>
                    <w:pStyle w:val="Compact"/>
                    <w:jc w:val="center"/>
                  </w:pPr>
                  <w:r>
                    <w:t xml:space="preserve">96.8</w:t>
                  </w:r>
                </w:p>
              </w:tc>
              <w:tc>
                <w:tcPr/>
                <w:p>
                  <w:pPr>
                    <w:pStyle w:val="Compact"/>
                    <w:jc w:val="center"/>
                  </w:pPr>
                  <w:r>
                    <w:t xml:space="preserve">0.45</w:t>
                  </w:r>
                </w:p>
              </w:tc>
            </w:tr>
            <w:tr>
              <w:tc>
                <w:tcPr/>
                <w:p>
                  <w:pPr>
                    <w:pStyle w:val="Compact"/>
                    <w:jc w:val="center"/>
                  </w:pPr>
                  <w:r>
                    <w:t xml:space="preserve">24</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300</w:t>
                  </w:r>
                </w:p>
              </w:tc>
              <w:tc>
                <w:tcPr/>
                <w:p>
                  <w:pPr>
                    <w:pStyle w:val="Compact"/>
                    <w:jc w:val="center"/>
                  </w:pPr>
                  <w:r>
                    <w:t xml:space="preserve">14.3</w:t>
                  </w:r>
                </w:p>
              </w:tc>
              <w:tc>
                <w:tcPr/>
                <w:p>
                  <w:pPr>
                    <w:pStyle w:val="Compact"/>
                    <w:jc w:val="center"/>
                  </w:pPr>
                  <w:r>
                    <w:t xml:space="preserve">6.70</w:t>
                  </w:r>
                </w:p>
              </w:tc>
              <w:tc>
                <w:tcPr/>
                <w:p>
                  <w:pPr>
                    <w:pStyle w:val="Compact"/>
                    <w:jc w:val="center"/>
                  </w:pPr>
                  <w:r>
                    <w:t xml:space="preserve">5.11</w:t>
                  </w:r>
                </w:p>
              </w:tc>
              <w:tc>
                <w:tcPr/>
                <w:p>
                  <w:pPr>
                    <w:pStyle w:val="Compact"/>
                    <w:jc w:val="center"/>
                  </w:pPr>
                  <w:r>
                    <w:t xml:space="preserve">95.2</w:t>
                  </w:r>
                </w:p>
              </w:tc>
              <w:tc>
                <w:tcPr/>
                <w:p>
                  <w:pPr>
                    <w:pStyle w:val="Compact"/>
                    <w:jc w:val="center"/>
                  </w:pPr>
                  <w:r>
                    <w:t xml:space="preserve">0.68</w:t>
                  </w:r>
                </w:p>
              </w:tc>
            </w:tr>
            <w:tr>
              <w:tc>
                <w:tcPr/>
                <w:p>
                  <w:pPr>
                    <w:pStyle w:val="Compact"/>
                    <w:jc w:val="center"/>
                  </w:pPr>
                  <w:r>
                    <w:t xml:space="preserve">25</w:t>
                  </w:r>
                </w:p>
              </w:tc>
              <w:tc>
                <w:tcPr>
                  <w:vMerge w:val="restart"/>
                </w:tcPr>
                <w:p>
                  <w:pPr>
                    <w:pStyle w:val="Compact"/>
                    <w:jc w:val="center"/>
                  </w:pPr>
                  <w:r>
                    <w:t xml:space="preserve">center</w:t>
                  </w: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15.0</w:t>
                  </w:r>
                </w:p>
              </w:tc>
              <w:tc>
                <w:tcPr/>
                <w:p>
                  <w:pPr>
                    <w:pStyle w:val="Compact"/>
                    <w:jc w:val="center"/>
                  </w:pPr>
                  <w:r>
                    <w:t xml:space="preserve">6.59</w:t>
                  </w:r>
                </w:p>
              </w:tc>
              <w:tc>
                <w:tcPr/>
                <w:p>
                  <w:pPr>
                    <w:pStyle w:val="Compact"/>
                    <w:jc w:val="center"/>
                  </w:pPr>
                  <w:r>
                    <w:t xml:space="preserve">4.42</w:t>
                  </w:r>
                </w:p>
              </w:tc>
              <w:tc>
                <w:tcPr/>
                <w:p>
                  <w:pPr>
                    <w:pStyle w:val="Compact"/>
                    <w:jc w:val="center"/>
                  </w:pPr>
                  <w:r>
                    <w:t xml:space="preserve">95.8</w:t>
                  </w:r>
                </w:p>
              </w:tc>
              <w:tc>
                <w:tcPr/>
                <w:p>
                  <w:pPr>
                    <w:pStyle w:val="Compact"/>
                    <w:jc w:val="center"/>
                  </w:pPr>
                  <w:r>
                    <w:t xml:space="preserve">0.73</w:t>
                  </w:r>
                </w:p>
              </w:tc>
            </w:tr>
            <w:tr>
              <w:tc>
                <w:tcPr/>
                <w:p>
                  <w:pPr>
                    <w:pStyle w:val="Compact"/>
                    <w:jc w:val="center"/>
                  </w:pPr>
                  <w:r>
                    <w:t xml:space="preserve">26</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10.7</w:t>
                  </w:r>
                </w:p>
              </w:tc>
              <w:tc>
                <w:tcPr/>
                <w:p>
                  <w:pPr>
                    <w:pStyle w:val="Compact"/>
                    <w:jc w:val="center"/>
                  </w:pPr>
                  <w:r>
                    <w:t xml:space="preserve">6.03</w:t>
                  </w:r>
                </w:p>
              </w:tc>
              <w:tc>
                <w:tcPr/>
                <w:p>
                  <w:pPr>
                    <w:pStyle w:val="Compact"/>
                    <w:jc w:val="center"/>
                  </w:pPr>
                  <w:r>
                    <w:t xml:space="preserve">5.20</w:t>
                  </w:r>
                </w:p>
              </w:tc>
              <w:tc>
                <w:tcPr/>
                <w:p>
                  <w:pPr>
                    <w:pStyle w:val="Compact"/>
                    <w:jc w:val="center"/>
                  </w:pPr>
                  <w:r>
                    <w:t xml:space="preserve">97.5</w:t>
                  </w:r>
                </w:p>
              </w:tc>
              <w:tc>
                <w:tcPr/>
                <w:p>
                  <w:pPr>
                    <w:pStyle w:val="Compact"/>
                    <w:jc w:val="center"/>
                  </w:pPr>
                  <w:r>
                    <w:t xml:space="preserve">0.55</w:t>
                  </w:r>
                </w:p>
              </w:tc>
            </w:tr>
            <w:tr>
              <w:tc>
                <w:tcPr/>
                <w:p>
                  <w:pPr>
                    <w:pStyle w:val="Compact"/>
                    <w:jc w:val="center"/>
                  </w:pPr>
                  <w:r>
                    <w:t xml:space="preserve">27</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16.3</w:t>
                  </w:r>
                </w:p>
              </w:tc>
              <w:tc>
                <w:tcPr/>
                <w:p>
                  <w:pPr>
                    <w:pStyle w:val="Compact"/>
                    <w:jc w:val="center"/>
                  </w:pPr>
                  <w:r>
                    <w:t xml:space="preserve">7.05</w:t>
                  </w:r>
                </w:p>
              </w:tc>
              <w:tc>
                <w:tcPr/>
                <w:p>
                  <w:pPr>
                    <w:pStyle w:val="Compact"/>
                    <w:jc w:val="center"/>
                  </w:pPr>
                  <w:r>
                    <w:t xml:space="preserve">5.04</w:t>
                  </w:r>
                </w:p>
              </w:tc>
              <w:tc>
                <w:tcPr/>
                <w:p>
                  <w:pPr>
                    <w:pStyle w:val="Compact"/>
                    <w:jc w:val="center"/>
                  </w:pPr>
                  <w:r>
                    <w:t xml:space="preserve">97.7</w:t>
                  </w:r>
                </w:p>
              </w:tc>
              <w:tc>
                <w:tcPr/>
                <w:p>
                  <w:pPr>
                    <w:pStyle w:val="Compact"/>
                    <w:jc w:val="center"/>
                  </w:pPr>
                  <w:r>
                    <w:t xml:space="preserve">0.52</w:t>
                  </w:r>
                </w:p>
              </w:tc>
            </w:tr>
            <w:tr>
              <w:tc>
                <w:tcPr/>
                <w:p>
                  <w:pPr>
                    <w:pStyle w:val="Compact"/>
                    <w:jc w:val="center"/>
                  </w:pPr>
                  <w:r>
                    <w:t xml:space="preserve">28</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12.6</w:t>
                  </w:r>
                </w:p>
              </w:tc>
              <w:tc>
                <w:tcPr/>
                <w:p>
                  <w:pPr>
                    <w:pStyle w:val="Compact"/>
                    <w:jc w:val="center"/>
                  </w:pPr>
                  <w:r>
                    <w:t xml:space="preserve">6.86</w:t>
                  </w:r>
                </w:p>
              </w:tc>
              <w:tc>
                <w:tcPr/>
                <w:p>
                  <w:pPr>
                    <w:pStyle w:val="Compact"/>
                    <w:jc w:val="center"/>
                  </w:pPr>
                  <w:r>
                    <w:t xml:space="preserve">4.92</w:t>
                  </w:r>
                </w:p>
              </w:tc>
              <w:tc>
                <w:tcPr/>
                <w:p>
                  <w:pPr>
                    <w:pStyle w:val="Compact"/>
                    <w:jc w:val="center"/>
                  </w:pPr>
                  <w:r>
                    <w:t xml:space="preserve">95.3</w:t>
                  </w:r>
                </w:p>
              </w:tc>
              <w:tc>
                <w:tcPr/>
                <w:p>
                  <w:pPr>
                    <w:pStyle w:val="Compact"/>
                    <w:jc w:val="center"/>
                  </w:pPr>
                  <w:r>
                    <w:t xml:space="preserve">0.64</w:t>
                  </w:r>
                </w:p>
              </w:tc>
            </w:tr>
            <w:tr>
              <w:tc>
                <w:tcPr>
                  <w:gridSpan w:val="11"/>
                </w:tcPr>
                <w:p>
                  <w:pPr>
                    <w:pStyle w:val="Compact"/>
                    <w:jc w:val="center"/>
                  </w:pPr>
                  <w:r>
                    <w:t xml:space="preserve">Factors: A, load pH. B, equil/Wash-1 conductivity. C, load conductivity. D, protein load.</w:t>
                  </w:r>
                </w:p>
              </w:tc>
            </w:tr>
            <w:tr>
              <w:tc>
                <w:tcPr>
                  <w:gridSpan w:val="11"/>
                </w:tcPr>
                <w:p>
                  <w:pPr>
                    <w:pStyle w:val="Compact"/>
                    <w:jc w:val="center"/>
                  </w:pPr>
                  <w:r>
                    <w:t xml:space="preserve">Not tested in this design: LMW by SEC.</w:t>
                  </w:r>
                </w:p>
              </w:tc>
            </w:tr>
          </w:tbl>
          <w:bookmarkEnd w:id="15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9" w:name="tbl-doe-aex-aug"/>
          <w:p>
            <w:pPr>
              <w:jc w:val="center"/>
            </w:pPr>
            <w:pPr>
              <w:jc w:val="start"/>
              <w:spacing w:before="200"/>
              <w:pStyle w:val="ImageCaption"/>
            </w:pPr>
            <w:r>
              <w:t xml:space="preserve">Table 31: Anion exchange augmentation design, settings and results.</w:t>
            </w:r>
          </w:p>
          <w:tbl>
            <w:tblPr>
              <w:tblStyle w:val="Table"/>
              <w:tblW w:type="auto" w:w="0"/>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2"/>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Yield</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mS/cm</w:t>
                  </w:r>
                </w:p>
              </w:tc>
              <w:tc>
                <w:tcPr/>
                <w:p>
                  <w:pPr>
                    <w:pStyle w:val="Compact"/>
                    <w:jc w:val="center"/>
                  </w:pPr>
                  <w:r>
                    <w:t xml:space="preserve">mS/cm</w:t>
                  </w:r>
                </w:p>
              </w:tc>
              <w:tc>
                <w:tcPr/>
                <w:p>
                  <w:pPr>
                    <w:pStyle w:val="Compact"/>
                    <w:jc w:val="center"/>
                  </w:pPr>
                  <w:r>
                    <w:t xml:space="preserve">g/L resin</w:t>
                  </w:r>
                </w:p>
              </w:tc>
              <w:tc>
                <w:tcPr/>
                <w:p>
                  <w:pPr>
                    <w:pStyle w:val="Compact"/>
                    <w:jc w:val="center"/>
                  </w:pPr>
                  <w:r>
                    <w:t xml:space="preserve">ng/mg</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29</w:t>
                  </w:r>
                </w:p>
              </w:tc>
              <w:tc>
                <w:tcPr>
                  <w:vMerge w:val="restart"/>
                </w:tcPr>
                <w:p>
                  <w:pPr>
                    <w:pStyle w:val="Compact"/>
                    <w:jc w:val="center"/>
                  </w:pPr>
                  <w:r>
                    <w:t xml:space="preserve">augmentation</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175</w:t>
                  </w:r>
                </w:p>
              </w:tc>
              <w:tc>
                <w:tcPr/>
                <w:p>
                  <w:pPr>
                    <w:pStyle w:val="Compact"/>
                    <w:jc w:val="center"/>
                  </w:pPr>
                  <w:r>
                    <w:t xml:space="preserve">16.4</w:t>
                  </w:r>
                </w:p>
              </w:tc>
              <w:tc>
                <w:tcPr/>
                <w:p>
                  <w:pPr>
                    <w:pStyle w:val="Compact"/>
                    <w:jc w:val="center"/>
                  </w:pPr>
                  <w:r>
                    <w:t xml:space="preserve">98.2</w:t>
                  </w:r>
                </w:p>
              </w:tc>
              <w:tc>
                <w:tcPr/>
                <w:p>
                  <w:pPr>
                    <w:pStyle w:val="Compact"/>
                    <w:jc w:val="center"/>
                  </w:pPr>
                  <w:r>
                    <w:t xml:space="preserve">0.67</w:t>
                  </w:r>
                </w:p>
              </w:tc>
            </w:tr>
            <w:tr>
              <w:tc>
                <w:tcPr/>
                <w:p>
                  <w:pPr>
                    <w:pStyle w:val="Compact"/>
                    <w:jc w:val="center"/>
                  </w:pPr>
                  <w:r>
                    <w:t xml:space="preserve">30</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5.5</w:t>
                  </w:r>
                </w:p>
              </w:tc>
              <w:tc>
                <w:tcPr/>
                <w:p>
                  <w:pPr>
                    <w:pStyle w:val="Compact"/>
                    <w:jc w:val="center"/>
                  </w:pPr>
                  <w:r>
                    <w:t xml:space="preserve">50</w:t>
                  </w:r>
                </w:p>
              </w:tc>
              <w:tc>
                <w:tcPr/>
                <w:p>
                  <w:pPr>
                    <w:pStyle w:val="Compact"/>
                    <w:jc w:val="center"/>
                  </w:pPr>
                  <w:r>
                    <w:t xml:space="preserve">17.6</w:t>
                  </w:r>
                </w:p>
              </w:tc>
              <w:tc>
                <w:tcPr/>
                <w:p>
                  <w:pPr>
                    <w:pStyle w:val="Compact"/>
                    <w:jc w:val="center"/>
                  </w:pPr>
                  <w:r>
                    <w:t xml:space="preserve">97.9</w:t>
                  </w:r>
                </w:p>
              </w:tc>
              <w:tc>
                <w:tcPr/>
                <w:p>
                  <w:pPr>
                    <w:pStyle w:val="Compact"/>
                    <w:jc w:val="center"/>
                  </w:pPr>
                  <w:r>
                    <w:t xml:space="preserve">0.75</w:t>
                  </w:r>
                </w:p>
              </w:tc>
            </w:tr>
            <w:tr>
              <w:tc>
                <w:tcPr/>
                <w:p>
                  <w:pPr>
                    <w:pStyle w:val="Compact"/>
                    <w:jc w:val="center"/>
                  </w:pPr>
                  <w:r>
                    <w:t xml:space="preserve">31</w:t>
                  </w:r>
                </w:p>
              </w:tc>
              <w:tc>
                <w:tcPr>
                  <w:gridSpan w:val="1"/>
                  <w:vMerge w:val="continue"/>
                </w:tcPr>
                <w:p>
                  <w:pPr/>
                </w:p>
              </w:tc>
              <w:tc>
                <w:tcPr/>
                <w:p>
                  <w:pPr>
                    <w:pStyle w:val="Compact"/>
                    <w:jc w:val="center"/>
                  </w:pPr>
                  <w:r>
                    <w:t xml:space="preserve">7.2</w:t>
                  </w:r>
                </w:p>
              </w:tc>
              <w:tc>
                <w:tcPr/>
                <w:p>
                  <w:pPr>
                    <w:pStyle w:val="Compact"/>
                    <w:jc w:val="center"/>
                  </w:pPr>
                  <w:r>
                    <w:t xml:space="preserve">2.6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17.4</w:t>
                  </w:r>
                </w:p>
              </w:tc>
              <w:tc>
                <w:tcPr/>
                <w:p>
                  <w:pPr>
                    <w:pStyle w:val="Compact"/>
                    <w:jc w:val="center"/>
                  </w:pPr>
                  <w:r>
                    <w:t xml:space="preserve">95.3</w:t>
                  </w:r>
                </w:p>
              </w:tc>
              <w:tc>
                <w:tcPr/>
                <w:p>
                  <w:pPr>
                    <w:pStyle w:val="Compact"/>
                    <w:jc w:val="center"/>
                  </w:pPr>
                  <w:r>
                    <w:t xml:space="preserve">0.75</w:t>
                  </w:r>
                </w:p>
              </w:tc>
            </w:tr>
            <w:tr>
              <w:tc>
                <w:tcPr/>
                <w:p>
                  <w:pPr>
                    <w:pStyle w:val="Compact"/>
                    <w:jc w:val="center"/>
                  </w:pPr>
                  <w:r>
                    <w:t xml:space="preserve">32</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5.5</w:t>
                  </w:r>
                </w:p>
              </w:tc>
              <w:tc>
                <w:tcPr/>
                <w:p>
                  <w:pPr>
                    <w:pStyle w:val="Compact"/>
                    <w:jc w:val="center"/>
                  </w:pPr>
                  <w:r>
                    <w:t xml:space="preserve">300</w:t>
                  </w:r>
                </w:p>
              </w:tc>
              <w:tc>
                <w:tcPr/>
                <w:p>
                  <w:pPr>
                    <w:pStyle w:val="Compact"/>
                    <w:jc w:val="center"/>
                  </w:pPr>
                  <w:r>
                    <w:t xml:space="preserve">29.5</w:t>
                  </w:r>
                </w:p>
              </w:tc>
              <w:tc>
                <w:tcPr/>
                <w:p>
                  <w:pPr>
                    <w:pStyle w:val="Compact"/>
                    <w:jc w:val="center"/>
                  </w:pPr>
                  <w:r>
                    <w:t xml:space="preserve">96.9</w:t>
                  </w:r>
                </w:p>
              </w:tc>
              <w:tc>
                <w:tcPr/>
                <w:p>
                  <w:pPr>
                    <w:pStyle w:val="Compact"/>
                    <w:jc w:val="center"/>
                  </w:pPr>
                  <w:r>
                    <w:t xml:space="preserve">0.58</w:t>
                  </w:r>
                </w:p>
              </w:tc>
            </w:tr>
            <w:tr>
              <w:tc>
                <w:tcPr/>
                <w:p>
                  <w:pPr>
                    <w:pStyle w:val="Compact"/>
                    <w:jc w:val="center"/>
                  </w:pPr>
                  <w:r>
                    <w:t xml:space="preserve">33</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32.8</w:t>
                  </w:r>
                </w:p>
              </w:tc>
              <w:tc>
                <w:tcPr/>
                <w:p>
                  <w:pPr>
                    <w:pStyle w:val="Compact"/>
                    <w:jc w:val="center"/>
                  </w:pPr>
                  <w:r>
                    <w:t xml:space="preserve">96.2</w:t>
                  </w:r>
                </w:p>
              </w:tc>
              <w:tc>
                <w:tcPr/>
                <w:p>
                  <w:pPr>
                    <w:pStyle w:val="Compact"/>
                    <w:jc w:val="center"/>
                  </w:pPr>
                  <w:r>
                    <w:t xml:space="preserve">0.66</w:t>
                  </w:r>
                </w:p>
              </w:tc>
            </w:tr>
            <w:tr>
              <w:tc>
                <w:tcPr/>
                <w:p>
                  <w:pPr>
                    <w:pStyle w:val="Compact"/>
                    <w:jc w:val="center"/>
                  </w:pPr>
                  <w:r>
                    <w:t xml:space="preserve">34</w:t>
                  </w:r>
                </w:p>
              </w:tc>
              <w:tc>
                <w:tcPr>
                  <w:gridSpan w:val="1"/>
                  <w:vMerge w:val="continue"/>
                </w:tcPr>
                <w:p>
                  <w:pPr/>
                </w:p>
              </w:tc>
              <w:tc>
                <w:tcPr/>
                <w:p>
                  <w:pPr>
                    <w:pStyle w:val="Compact"/>
                    <w:jc w:val="center"/>
                  </w:pPr>
                  <w:r>
                    <w:t xml:space="preserve">7.5</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10.5</w:t>
                  </w:r>
                </w:p>
              </w:tc>
              <w:tc>
                <w:tcPr/>
                <w:p>
                  <w:pPr>
                    <w:pStyle w:val="Compact"/>
                    <w:jc w:val="center"/>
                  </w:pPr>
                  <w:r>
                    <w:t xml:space="preserve">95.9</w:t>
                  </w:r>
                </w:p>
              </w:tc>
              <w:tc>
                <w:tcPr/>
                <w:p>
                  <w:pPr>
                    <w:pStyle w:val="Compact"/>
                    <w:jc w:val="center"/>
                  </w:pPr>
                  <w:r>
                    <w:t xml:space="preserve">0.69</w:t>
                  </w:r>
                </w:p>
              </w:tc>
            </w:tr>
            <w:tr>
              <w:tc>
                <w:tcPr/>
                <w:p>
                  <w:pPr>
                    <w:pStyle w:val="Compact"/>
                    <w:jc w:val="center"/>
                  </w:pPr>
                  <w:r>
                    <w:t xml:space="preserve">35</w:t>
                  </w:r>
                </w:p>
              </w:tc>
              <w:tc>
                <w:tcPr>
                  <w:gridSpan w:val="1"/>
                  <w:vMerge w:val="continue"/>
                </w:tcPr>
                <w:p>
                  <w:pPr/>
                </w:p>
              </w:tc>
              <w:tc>
                <w:tcPr/>
                <w:p>
                  <w:pPr>
                    <w:pStyle w:val="Compact"/>
                    <w:jc w:val="center"/>
                  </w:pPr>
                  <w:r>
                    <w:t xml:space="preserve">7.5</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19.8</w:t>
                  </w:r>
                </w:p>
              </w:tc>
              <w:tc>
                <w:tcPr/>
                <w:p>
                  <w:pPr>
                    <w:pStyle w:val="Compact"/>
                    <w:jc w:val="center"/>
                  </w:pPr>
                  <w:r>
                    <w:t xml:space="preserve">97.0</w:t>
                  </w:r>
                </w:p>
              </w:tc>
              <w:tc>
                <w:tcPr/>
                <w:p>
                  <w:pPr>
                    <w:pStyle w:val="Compact"/>
                    <w:jc w:val="center"/>
                  </w:pPr>
                  <w:r>
                    <w:t xml:space="preserve">0.56</w:t>
                  </w:r>
                </w:p>
              </w:tc>
            </w:tr>
            <w:tr>
              <w:tc>
                <w:tcPr/>
                <w:p>
                  <w:pPr>
                    <w:pStyle w:val="Compact"/>
                    <w:jc w:val="center"/>
                  </w:pPr>
                  <w:r>
                    <w:t xml:space="preserve">36</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6.64</w:t>
                  </w:r>
                </w:p>
              </w:tc>
              <w:tc>
                <w:tcPr/>
                <w:p>
                  <w:pPr>
                    <w:pStyle w:val="Compact"/>
                    <w:jc w:val="center"/>
                  </w:pPr>
                  <w:r>
                    <w:t xml:space="preserve">96.8</w:t>
                  </w:r>
                </w:p>
              </w:tc>
              <w:tc>
                <w:tcPr/>
                <w:p>
                  <w:pPr>
                    <w:pStyle w:val="Compact"/>
                    <w:jc w:val="center"/>
                  </w:pPr>
                  <w:r>
                    <w:t xml:space="preserve">0.76</w:t>
                  </w:r>
                </w:p>
              </w:tc>
            </w:tr>
            <w:tr>
              <w:tc>
                <w:tcPr/>
                <w:p>
                  <w:pPr>
                    <w:pStyle w:val="Compact"/>
                    <w:jc w:val="center"/>
                  </w:pPr>
                  <w:r>
                    <w:t xml:space="preserve">37</w:t>
                  </w:r>
                </w:p>
              </w:tc>
              <w:tc>
                <w:tcPr>
                  <w:gridSpan w:val="1"/>
                  <w:vMerge w:val="continue"/>
                </w:tcPr>
                <w:p>
                  <w:pPr/>
                </w:p>
              </w:tc>
              <w:tc>
                <w:tcPr/>
                <w:p>
                  <w:pPr>
                    <w:pStyle w:val="Compact"/>
                    <w:jc w:val="center"/>
                  </w:pPr>
                  <w:r>
                    <w:t xml:space="preserve">7.8</w:t>
                  </w:r>
                </w:p>
              </w:tc>
              <w:tc>
                <w:tcPr/>
                <w:p>
                  <w:pPr>
                    <w:pStyle w:val="Compact"/>
                    <w:jc w:val="center"/>
                  </w:pPr>
                  <w:r>
                    <w:t xml:space="preserve">2.6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13.3</w:t>
                  </w:r>
                </w:p>
              </w:tc>
              <w:tc>
                <w:tcPr/>
                <w:p>
                  <w:pPr>
                    <w:pStyle w:val="Compact"/>
                    <w:jc w:val="center"/>
                  </w:pPr>
                  <w:r>
                    <w:t xml:space="preserve">94.8</w:t>
                  </w:r>
                </w:p>
              </w:tc>
              <w:tc>
                <w:tcPr/>
                <w:p>
                  <w:pPr>
                    <w:pStyle w:val="Compact"/>
                    <w:jc w:val="center"/>
                  </w:pPr>
                  <w:r>
                    <w:t xml:space="preserve">0.63</w:t>
                  </w:r>
                </w:p>
              </w:tc>
            </w:tr>
            <w:tr>
              <w:tc>
                <w:tcPr/>
                <w:p>
                  <w:pPr>
                    <w:pStyle w:val="Compact"/>
                    <w:jc w:val="center"/>
                  </w:pPr>
                  <w:r>
                    <w:t xml:space="preserve">38</w:t>
                  </w:r>
                </w:p>
              </w:tc>
              <w:tc>
                <w:tcPr>
                  <w:gridSpan w:val="1"/>
                  <w:vMerge w:val="continue"/>
                </w:tcPr>
                <w:p>
                  <w:pPr/>
                </w:p>
              </w:tc>
              <w:tc>
                <w:tcPr/>
                <w:p>
                  <w:pPr>
                    <w:pStyle w:val="Compact"/>
                    <w:jc w:val="center"/>
                  </w:pPr>
                  <w:r>
                    <w:t xml:space="preserve">7.8</w:t>
                  </w:r>
                </w:p>
              </w:tc>
              <w:tc>
                <w:tcPr/>
                <w:p>
                  <w:pPr>
                    <w:pStyle w:val="Compact"/>
                    <w:jc w:val="center"/>
                  </w:pPr>
                  <w:r>
                    <w:t xml:space="preserve">2.6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9.30</w:t>
                  </w:r>
                </w:p>
              </w:tc>
              <w:tc>
                <w:tcPr/>
                <w:p>
                  <w:pPr>
                    <w:pStyle w:val="Compact"/>
                    <w:jc w:val="center"/>
                  </w:pPr>
                  <w:r>
                    <w:t xml:space="preserve">99.5</w:t>
                  </w:r>
                </w:p>
              </w:tc>
              <w:tc>
                <w:tcPr/>
                <w:p>
                  <w:pPr>
                    <w:pStyle w:val="Compact"/>
                    <w:jc w:val="center"/>
                  </w:pPr>
                  <w:r>
                    <w:t xml:space="preserve">0.59</w:t>
                  </w:r>
                </w:p>
              </w:tc>
            </w:tr>
            <w:tr>
              <w:tc>
                <w:tcPr/>
                <w:p>
                  <w:pPr>
                    <w:pStyle w:val="Compact"/>
                    <w:jc w:val="center"/>
                  </w:pPr>
                  <w:r>
                    <w:t xml:space="preserve">39</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175</w:t>
                  </w:r>
                </w:p>
              </w:tc>
              <w:tc>
                <w:tcPr/>
                <w:p>
                  <w:pPr>
                    <w:pStyle w:val="Compact"/>
                    <w:jc w:val="center"/>
                  </w:pPr>
                  <w:r>
                    <w:t xml:space="preserve">17.1</w:t>
                  </w:r>
                </w:p>
              </w:tc>
              <w:tc>
                <w:tcPr/>
                <w:p>
                  <w:pPr>
                    <w:pStyle w:val="Compact"/>
                    <w:jc w:val="center"/>
                  </w:pPr>
                  <w:r>
                    <w:t xml:space="preserve">98.2</w:t>
                  </w:r>
                </w:p>
              </w:tc>
              <w:tc>
                <w:tcPr/>
                <w:p>
                  <w:pPr>
                    <w:pStyle w:val="Compact"/>
                    <w:jc w:val="center"/>
                  </w:pPr>
                  <w:r>
                    <w:t xml:space="preserve">0.60</w:t>
                  </w:r>
                </w:p>
              </w:tc>
            </w:tr>
            <w:tr>
              <w:tc>
                <w:tcPr/>
                <w:p>
                  <w:pPr>
                    <w:pStyle w:val="Compact"/>
                    <w:jc w:val="center"/>
                  </w:pPr>
                  <w:r>
                    <w:t xml:space="preserve">40</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5.5</w:t>
                  </w:r>
                </w:p>
              </w:tc>
              <w:tc>
                <w:tcPr/>
                <w:p>
                  <w:pPr>
                    <w:pStyle w:val="Compact"/>
                    <w:jc w:val="center"/>
                  </w:pPr>
                  <w:r>
                    <w:t xml:space="preserve">50</w:t>
                  </w:r>
                </w:p>
              </w:tc>
              <w:tc>
                <w:tcPr/>
                <w:p>
                  <w:pPr>
                    <w:pStyle w:val="Compact"/>
                    <w:jc w:val="center"/>
                  </w:pPr>
                  <w:r>
                    <w:t xml:space="preserve">16.0</w:t>
                  </w:r>
                </w:p>
              </w:tc>
              <w:tc>
                <w:tcPr/>
                <w:p>
                  <w:pPr>
                    <w:pStyle w:val="Compact"/>
                    <w:jc w:val="center"/>
                  </w:pPr>
                  <w:r>
                    <w:t xml:space="preserve">94.7</w:t>
                  </w:r>
                </w:p>
              </w:tc>
              <w:tc>
                <w:tcPr/>
                <w:p>
                  <w:pPr>
                    <w:pStyle w:val="Compact"/>
                    <w:jc w:val="center"/>
                  </w:pPr>
                  <w:r>
                    <w:t xml:space="preserve">0.75</w:t>
                  </w:r>
                </w:p>
              </w:tc>
            </w:tr>
            <w:tr>
              <w:tc>
                <w:tcPr>
                  <w:gridSpan w:val="9"/>
                </w:tcPr>
                <w:p>
                  <w:pPr>
                    <w:pStyle w:val="Compact"/>
                    <w:jc w:val="center"/>
                  </w:pPr>
                  <w:r>
                    <w:t xml:space="preserve">Factors: A, load pH. B, equil/Wash-1 conductivity. C, load conductivity. D, protein load.</w:t>
                  </w:r>
                </w:p>
              </w:tc>
            </w:tr>
            <w:tr>
              <w:tc>
                <w:tcPr>
                  <w:gridSpan w:val="9"/>
                </w:tcPr>
                <w:p>
                  <w:pPr>
                    <w:pStyle w:val="Compact"/>
                    <w:jc w:val="center"/>
                  </w:pPr>
                  <w:r>
                    <w:t xml:space="preserve">Not tested in this design: XMuLV LRF, MVM LRF, LMW by SEC.</w:t>
                  </w:r>
                </w:p>
              </w:tc>
            </w:tr>
          </w:tbl>
          <w:bookmarkEnd w:id="1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0" w:name="tbl-doe-aex-rsm-sup"/>
          <w:p>
            <w:pPr>
              <w:jc w:val="center"/>
            </w:pPr>
            <w:pPr>
              <w:jc w:val="start"/>
              <w:spacing w:before="200"/>
              <w:pStyle w:val="ImageCaption"/>
            </w:pPr>
            <w:r>
              <w:t xml:space="preserve">Table 32: Invalidated first execution: Anion exchange response-surface design, settings and results.</w:t>
            </w:r>
          </w:p>
          <w:tbl>
            <w:tblPr>
              <w:tblStyle w:val="Table"/>
              <w:tblW w:type="auto" w:w="0"/>
              <w:tblLook w:firstRow="1" w:lastRow="1"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4"/>
                </w:tcPr>
                <w:p>
                  <w:pPr>
                    <w:pStyle w:val="Compact"/>
                    <w:jc w:val="center"/>
                  </w:pPr>
                  <w:r>
                    <w:t xml:space="preserve">Factor settings</w:t>
                  </w:r>
                </w:p>
              </w:tc>
              <w:tc>
                <w:tcPr>
                  <w:gridSpan w:val="4"/>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c>
                <w:tcPr/>
                <w:p>
                  <w:pPr>
                    <w:pStyle w:val="Compact"/>
                    <w:jc w:val="center"/>
                  </w:pPr>
                  <w:r>
                    <w:t xml:space="preserve">HCP</w:t>
                  </w:r>
                </w:p>
              </w:tc>
              <w:tc>
                <w:tcPr/>
                <w:p>
                  <w:pPr>
                    <w:pStyle w:val="Compact"/>
                    <w:jc w:val="center"/>
                  </w:pPr>
                  <w:r>
                    <w:t xml:space="preserve">XMuLV LRF</w:t>
                  </w:r>
                </w:p>
              </w:tc>
              <w:tc>
                <w:tcPr/>
                <w:p>
                  <w:pPr>
                    <w:pStyle w:val="Compact"/>
                    <w:jc w:val="center"/>
                  </w:pPr>
                  <w:r>
                    <w:t xml:space="preserve">MVM LRF</w:t>
                  </w:r>
                </w:p>
              </w:tc>
              <w:tc>
                <w:tcPr/>
                <w:p>
                  <w:pPr>
                    <w:pStyle w:val="Compact"/>
                    <w:jc w:val="center"/>
                  </w:pPr>
                  <w:r>
                    <w:t xml:space="preserve">Yield</w:t>
                  </w:r>
                </w:p>
              </w:tc>
              <w:tc>
                <w:tcPr/>
                <w:p>
                  <w:pPr>
                    <w:pStyle w:val="Compact"/>
                    <w:jc w:val="center"/>
                  </w:pPr>
                  <w:r>
                    <w:t xml:space="preserve">SEC</w:t>
                  </w:r>
                </w:p>
              </w:tc>
            </w:tr>
            <w:tr>
              <w:trPr>
                <w:tblHeader w:val="on"/>
              </w:trPr>
              <w:tc>
                <w:tcPr>
                  <w:gridSpan w:val="1"/>
                  <w:vMerge w:val="continue"/>
                </w:tcPr>
                <w:p>
                  <w:pPr/>
                </w:p>
              </w:tc>
              <w:tc>
                <w:tcPr>
                  <w:gridSpan w:val="1"/>
                  <w:vMerge w:val="continue"/>
                </w:tcPr>
                <w:p>
                  <w:pPr/>
                </w:p>
              </w:tc>
              <w:tc>
                <w:tcPr/>
                <w:p>
                  <w:pPr>
                    <w:pStyle w:val="Compact"/>
                    <w:jc w:val="center"/>
                  </w:pPr>
                  <w:r>
                    <w:t xml:space="preserve">pH</w:t>
                  </w:r>
                </w:p>
              </w:tc>
              <w:tc>
                <w:tcPr/>
                <w:p>
                  <w:pPr>
                    <w:pStyle w:val="Compact"/>
                    <w:jc w:val="center"/>
                  </w:pPr>
                  <w:r>
                    <w:t xml:space="preserve">mS/cm</w:t>
                  </w:r>
                </w:p>
              </w:tc>
              <w:tc>
                <w:tcPr/>
                <w:p>
                  <w:pPr>
                    <w:pStyle w:val="Compact"/>
                    <w:jc w:val="center"/>
                  </w:pPr>
                  <w:r>
                    <w:t xml:space="preserve">mS/cm</w:t>
                  </w:r>
                </w:p>
              </w:tc>
              <w:tc>
                <w:tcPr/>
                <w:p>
                  <w:pPr>
                    <w:pStyle w:val="Compact"/>
                    <w:jc w:val="center"/>
                  </w:pPr>
                  <w:r>
                    <w:t xml:space="preserve">g/L resin</w:t>
                  </w:r>
                </w:p>
              </w:tc>
              <w:tc>
                <w:tcPr/>
                <w:p>
                  <w:pPr>
                    <w:pStyle w:val="Compact"/>
                    <w:jc w:val="center"/>
                  </w:pPr>
                  <w:r>
                    <w:t xml:space="preserve">ng/mg</w:t>
                  </w:r>
                </w:p>
              </w:tc>
              <w:tc>
                <w:tcPr/>
                <w:p>
                  <w:pPr>
                    <w:pStyle w:val="Compact"/>
                    <w:jc w:val="center"/>
                  </w:pPr>
                  <w:r>
                    <w:t xml:space="preserve">log10</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13.5</w:t>
                  </w:r>
                </w:p>
              </w:tc>
              <w:tc>
                <w:tcPr/>
                <w:p>
                  <w:pPr>
                    <w:pStyle w:val="Compact"/>
                    <w:jc w:val="center"/>
                  </w:pPr>
                  <w:r>
                    <w:t xml:space="preserve">6.77</w:t>
                  </w:r>
                </w:p>
              </w:tc>
              <w:tc>
                <w:tcPr/>
                <w:p>
                  <w:pPr>
                    <w:pStyle w:val="Compact"/>
                    <w:jc w:val="center"/>
                  </w:pPr>
                  <w:r>
                    <w:t xml:space="preserve">4.97</w:t>
                  </w:r>
                </w:p>
              </w:tc>
              <w:tc>
                <w:tcPr/>
                <w:p>
                  <w:pPr>
                    <w:pStyle w:val="Compact"/>
                    <w:jc w:val="center"/>
                  </w:pPr>
                  <w:r>
                    <w:t xml:space="preserve">96.8</w:t>
                  </w:r>
                </w:p>
              </w:tc>
              <w:tc>
                <w:tcPr/>
                <w:p>
                  <w:pPr>
                    <w:pStyle w:val="Compact"/>
                    <w:jc w:val="center"/>
                  </w:pPr>
                  <w:r>
                    <w:t xml:space="preserve">0.68</w:t>
                  </w:r>
                </w:p>
              </w:tc>
            </w:tr>
            <w:tr>
              <w:tc>
                <w:tcPr/>
                <w:p>
                  <w:pPr>
                    <w:pStyle w:val="Compact"/>
                    <w:jc w:val="center"/>
                  </w:pPr>
                  <w:r>
                    <w:t xml:space="preserve">2</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18.8</w:t>
                  </w:r>
                </w:p>
              </w:tc>
              <w:tc>
                <w:tcPr/>
                <w:p>
                  <w:pPr>
                    <w:pStyle w:val="Compact"/>
                    <w:jc w:val="center"/>
                  </w:pPr>
                  <w:r>
                    <w:t xml:space="preserve">7.18</w:t>
                  </w:r>
                </w:p>
              </w:tc>
              <w:tc>
                <w:tcPr/>
                <w:p>
                  <w:pPr>
                    <w:pStyle w:val="Compact"/>
                    <w:jc w:val="center"/>
                  </w:pPr>
                  <w:r>
                    <w:t xml:space="preserve">4.61</w:t>
                  </w:r>
                </w:p>
              </w:tc>
              <w:tc>
                <w:tcPr/>
                <w:p>
                  <w:pPr>
                    <w:pStyle w:val="Compact"/>
                    <w:jc w:val="center"/>
                  </w:pPr>
                  <w:r>
                    <w:t xml:space="preserve">97.4</w:t>
                  </w:r>
                </w:p>
              </w:tc>
              <w:tc>
                <w:tcPr/>
                <w:p>
                  <w:pPr>
                    <w:pStyle w:val="Compact"/>
                    <w:jc w:val="center"/>
                  </w:pPr>
                  <w:r>
                    <w:t xml:space="preserve">0.68</w:t>
                  </w:r>
                </w:p>
              </w:tc>
            </w:tr>
            <w:tr>
              <w:tc>
                <w:tcPr/>
                <w:p>
                  <w:pPr>
                    <w:pStyle w:val="Compact"/>
                    <w:jc w:val="center"/>
                  </w:pPr>
                  <w:r>
                    <w:t xml:space="preserve">3</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12.7</w:t>
                  </w:r>
                </w:p>
              </w:tc>
              <w:tc>
                <w:tcPr/>
                <w:p>
                  <w:pPr>
                    <w:pStyle w:val="Compact"/>
                    <w:jc w:val="center"/>
                  </w:pPr>
                  <w:r>
                    <w:t xml:space="preserve">5.25</w:t>
                  </w:r>
                </w:p>
              </w:tc>
              <w:tc>
                <w:tcPr/>
                <w:p>
                  <w:pPr>
                    <w:pStyle w:val="Compact"/>
                    <w:jc w:val="center"/>
                  </w:pPr>
                  <w:r>
                    <w:t xml:space="preserve">3.71</w:t>
                  </w:r>
                </w:p>
              </w:tc>
              <w:tc>
                <w:tcPr/>
                <w:p>
                  <w:pPr>
                    <w:pStyle w:val="Compact"/>
                    <w:jc w:val="center"/>
                  </w:pPr>
                  <w:r>
                    <w:t xml:space="preserve">96.6</w:t>
                  </w:r>
                </w:p>
              </w:tc>
              <w:tc>
                <w:tcPr/>
                <w:p>
                  <w:pPr>
                    <w:pStyle w:val="Compact"/>
                    <w:jc w:val="center"/>
                  </w:pPr>
                  <w:r>
                    <w:t xml:space="preserve">0.64</w:t>
                  </w:r>
                </w:p>
              </w:tc>
            </w:tr>
            <w:tr>
              <w:tc>
                <w:tcPr/>
                <w:p>
                  <w:pPr>
                    <w:pStyle w:val="Compact"/>
                    <w:jc w:val="center"/>
                  </w:pPr>
                  <w:r>
                    <w:t xml:space="preserve">4</w:t>
                  </w:r>
                </w:p>
              </w:tc>
              <w:tc>
                <w:tcPr>
                  <w:gridSpan w:val="1"/>
                  <w:vMerge w:val="continue"/>
                </w:tcPr>
                <w:p>
                  <w:pPr/>
                </w:p>
              </w:tc>
              <w:tc>
                <w:tcPr/>
                <w:p>
                  <w:pPr>
                    <w:pStyle w:val="Compact"/>
                    <w:jc w:val="center"/>
                  </w:pPr>
                  <w:r>
                    <w:t xml:space="preserve">7.2</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20.6</w:t>
                  </w:r>
                </w:p>
              </w:tc>
              <w:tc>
                <w:tcPr/>
                <w:p>
                  <w:pPr>
                    <w:pStyle w:val="Compact"/>
                    <w:jc w:val="center"/>
                  </w:pPr>
                  <w:r>
                    <w:t xml:space="preserve">5.43</w:t>
                  </w:r>
                </w:p>
              </w:tc>
              <w:tc>
                <w:tcPr/>
                <w:p>
                  <w:pPr>
                    <w:pStyle w:val="Compact"/>
                    <w:jc w:val="center"/>
                  </w:pPr>
                  <w:r>
                    <w:t xml:space="preserve">4.03</w:t>
                  </w:r>
                </w:p>
              </w:tc>
              <w:tc>
                <w:tcPr/>
                <w:p>
                  <w:pPr>
                    <w:pStyle w:val="Compact"/>
                    <w:jc w:val="center"/>
                  </w:pPr>
                  <w:r>
                    <w:t xml:space="preserve">99.4</w:t>
                  </w:r>
                </w:p>
              </w:tc>
              <w:tc>
                <w:tcPr/>
                <w:p>
                  <w:pPr>
                    <w:pStyle w:val="Compact"/>
                    <w:jc w:val="center"/>
                  </w:pPr>
                  <w:r>
                    <w:t xml:space="preserve">0.65</w:t>
                  </w:r>
                </w:p>
              </w:tc>
            </w:tr>
            <w:tr>
              <w:tc>
                <w:tcPr/>
                <w:p>
                  <w:pPr>
                    <w:pStyle w:val="Compact"/>
                    <w:jc w:val="center"/>
                  </w:pPr>
                  <w:r>
                    <w:t xml:space="preserve">5</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36.1</w:t>
                  </w:r>
                </w:p>
              </w:tc>
              <w:tc>
                <w:tcPr/>
                <w:p>
                  <w:pPr>
                    <w:pStyle w:val="Compact"/>
                    <w:jc w:val="center"/>
                  </w:pPr>
                  <w:r>
                    <w:t xml:space="preserve">6.42</w:t>
                  </w:r>
                </w:p>
              </w:tc>
              <w:tc>
                <w:tcPr/>
                <w:p>
                  <w:pPr>
                    <w:pStyle w:val="Compact"/>
                    <w:jc w:val="center"/>
                  </w:pPr>
                  <w:r>
                    <w:t xml:space="preserve">4.66</w:t>
                  </w:r>
                </w:p>
              </w:tc>
              <w:tc>
                <w:tcPr/>
                <w:p>
                  <w:pPr>
                    <w:pStyle w:val="Compact"/>
                    <w:jc w:val="center"/>
                  </w:pPr>
                  <w:r>
                    <w:t xml:space="preserve">98.9</w:t>
                  </w:r>
                </w:p>
              </w:tc>
              <w:tc>
                <w:tcPr/>
                <w:p>
                  <w:pPr>
                    <w:pStyle w:val="Compact"/>
                    <w:jc w:val="center"/>
                  </w:pPr>
                  <w:r>
                    <w:t xml:space="preserve">0.65</w:t>
                  </w:r>
                </w:p>
              </w:tc>
            </w:tr>
            <w:tr>
              <w:tc>
                <w:tcPr/>
                <w:p>
                  <w:pPr>
                    <w:pStyle w:val="Compact"/>
                    <w:jc w:val="center"/>
                  </w:pPr>
                  <w:r>
                    <w:t xml:space="preserve">6</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124</w:t>
                  </w:r>
                </w:p>
              </w:tc>
              <w:tc>
                <w:tcPr/>
                <w:p>
                  <w:pPr>
                    <w:pStyle w:val="Compact"/>
                    <w:jc w:val="center"/>
                  </w:pPr>
                  <w:r>
                    <w:t xml:space="preserve">6.73</w:t>
                  </w:r>
                </w:p>
              </w:tc>
              <w:tc>
                <w:tcPr/>
                <w:p>
                  <w:pPr>
                    <w:pStyle w:val="Compact"/>
                    <w:jc w:val="center"/>
                  </w:pPr>
                  <w:r>
                    <w:t xml:space="preserve">4.96</w:t>
                  </w:r>
                </w:p>
              </w:tc>
              <w:tc>
                <w:tcPr/>
                <w:p>
                  <w:pPr>
                    <w:pStyle w:val="Compact"/>
                    <w:jc w:val="center"/>
                  </w:pPr>
                  <w:r>
                    <w:t xml:space="preserve">98.1</w:t>
                  </w:r>
                </w:p>
              </w:tc>
              <w:tc>
                <w:tcPr/>
                <w:p>
                  <w:pPr>
                    <w:pStyle w:val="Compact"/>
                    <w:jc w:val="center"/>
                  </w:pPr>
                  <w:r>
                    <w:t xml:space="preserve">0.63</w:t>
                  </w:r>
                </w:p>
              </w:tc>
            </w:tr>
            <w:tr>
              <w:tc>
                <w:tcPr/>
                <w:p>
                  <w:pPr>
                    <w:pStyle w:val="Compact"/>
                    <w:jc w:val="center"/>
                  </w:pPr>
                  <w:r>
                    <w:t xml:space="preserve">7</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35.4</w:t>
                  </w:r>
                </w:p>
              </w:tc>
              <w:tc>
                <w:tcPr/>
                <w:p>
                  <w:pPr>
                    <w:pStyle w:val="Compact"/>
                    <w:jc w:val="center"/>
                  </w:pPr>
                  <w:r>
                    <w:t xml:space="preserve">5.12</w:t>
                  </w:r>
                </w:p>
              </w:tc>
              <w:tc>
                <w:tcPr/>
                <w:p>
                  <w:pPr>
                    <w:pStyle w:val="Compact"/>
                    <w:jc w:val="center"/>
                  </w:pPr>
                  <w:r>
                    <w:t xml:space="preserve">3.88</w:t>
                  </w:r>
                </w:p>
              </w:tc>
              <w:tc>
                <w:tcPr/>
                <w:p>
                  <w:pPr>
                    <w:pStyle w:val="Compact"/>
                    <w:jc w:val="center"/>
                  </w:pPr>
                  <w:r>
                    <w:t xml:space="preserve">98.2</w:t>
                  </w:r>
                </w:p>
              </w:tc>
              <w:tc>
                <w:tcPr/>
                <w:p>
                  <w:pPr>
                    <w:pStyle w:val="Compact"/>
                    <w:jc w:val="center"/>
                  </w:pPr>
                  <w:r>
                    <w:t xml:space="preserve">0.61</w:t>
                  </w:r>
                </w:p>
              </w:tc>
            </w:tr>
            <w:tr>
              <w:tc>
                <w:tcPr/>
                <w:p>
                  <w:pPr>
                    <w:pStyle w:val="Compact"/>
                    <w:jc w:val="center"/>
                  </w:pPr>
                  <w:r>
                    <w:t xml:space="preserve">8</w:t>
                  </w:r>
                </w:p>
              </w:tc>
              <w:tc>
                <w:tcPr>
                  <w:gridSpan w:val="1"/>
                  <w:vMerge w:val="continue"/>
                </w:tcPr>
                <w:p>
                  <w:pPr/>
                </w:p>
              </w:tc>
              <w:tc>
                <w:tcPr/>
                <w:p>
                  <w:pPr>
                    <w:pStyle w:val="Compact"/>
                    <w:jc w:val="center"/>
                  </w:pPr>
                  <w:r>
                    <w:t xml:space="preserve">7.2</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130</w:t>
                  </w:r>
                </w:p>
              </w:tc>
              <w:tc>
                <w:tcPr/>
                <w:p>
                  <w:pPr>
                    <w:pStyle w:val="Compact"/>
                    <w:jc w:val="center"/>
                  </w:pPr>
                  <w:r>
                    <w:t xml:space="preserve">5.09</w:t>
                  </w:r>
                </w:p>
              </w:tc>
              <w:tc>
                <w:tcPr/>
                <w:p>
                  <w:pPr>
                    <w:pStyle w:val="Compact"/>
                    <w:jc w:val="center"/>
                  </w:pPr>
                  <w:r>
                    <w:t xml:space="preserve">3.85</w:t>
                  </w:r>
                </w:p>
              </w:tc>
              <w:tc>
                <w:tcPr/>
                <w:p>
                  <w:pPr>
                    <w:pStyle w:val="Compact"/>
                    <w:jc w:val="center"/>
                  </w:pPr>
                  <w:r>
                    <w:t xml:space="preserve">99.5</w:t>
                  </w:r>
                </w:p>
              </w:tc>
              <w:tc>
                <w:tcPr/>
                <w:p>
                  <w:pPr>
                    <w:pStyle w:val="Compact"/>
                    <w:jc w:val="center"/>
                  </w:pPr>
                  <w:r>
                    <w:t xml:space="preserve">0.70</w:t>
                  </w:r>
                </w:p>
              </w:tc>
            </w:tr>
            <w:tr>
              <w:tc>
                <w:tcPr/>
                <w:p>
                  <w:pPr>
                    <w:pStyle w:val="Compact"/>
                    <w:jc w:val="center"/>
                  </w:pPr>
                  <w:r>
                    <w:t xml:space="preserve">9</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7.04</w:t>
                  </w:r>
                </w:p>
              </w:tc>
              <w:tc>
                <w:tcPr/>
                <w:p>
                  <w:pPr>
                    <w:pStyle w:val="Compact"/>
                    <w:jc w:val="center"/>
                  </w:pPr>
                  <w:r>
                    <w:t xml:space="preserve">7.60</w:t>
                  </w:r>
                </w:p>
              </w:tc>
              <w:tc>
                <w:tcPr/>
                <w:p>
                  <w:pPr>
                    <w:pStyle w:val="Compact"/>
                    <w:jc w:val="center"/>
                  </w:pPr>
                  <w:r>
                    <w:t xml:space="preserve">5.94</w:t>
                  </w:r>
                </w:p>
              </w:tc>
              <w:tc>
                <w:tcPr/>
                <w:p>
                  <w:pPr>
                    <w:pStyle w:val="Compact"/>
                    <w:jc w:val="center"/>
                  </w:pPr>
                  <w:r>
                    <w:t xml:space="preserve">98.0</w:t>
                  </w:r>
                </w:p>
              </w:tc>
              <w:tc>
                <w:tcPr/>
                <w:p>
                  <w:pPr>
                    <w:pStyle w:val="Compact"/>
                    <w:jc w:val="center"/>
                  </w:pPr>
                  <w:r>
                    <w:t xml:space="preserve">0.66</w:t>
                  </w:r>
                </w:p>
              </w:tc>
            </w:tr>
            <w:tr>
              <w:tc>
                <w:tcPr/>
                <w:p>
                  <w:pPr>
                    <w:pStyle w:val="Compact"/>
                    <w:jc w:val="center"/>
                  </w:pPr>
                  <w:r>
                    <w:t xml:space="preserve">10</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7.43</w:t>
                  </w:r>
                </w:p>
              </w:tc>
              <w:tc>
                <w:tcPr/>
                <w:p>
                  <w:pPr>
                    <w:pStyle w:val="Compact"/>
                    <w:jc w:val="center"/>
                  </w:pPr>
                  <w:r>
                    <w:t xml:space="preserve">7.44</w:t>
                  </w:r>
                </w:p>
              </w:tc>
              <w:tc>
                <w:tcPr/>
                <w:p>
                  <w:pPr>
                    <w:pStyle w:val="Compact"/>
                    <w:jc w:val="center"/>
                  </w:pPr>
                  <w:r>
                    <w:t xml:space="preserve">6.55</w:t>
                  </w:r>
                </w:p>
              </w:tc>
              <w:tc>
                <w:tcPr/>
                <w:p>
                  <w:pPr>
                    <w:pStyle w:val="Compact"/>
                    <w:jc w:val="center"/>
                  </w:pPr>
                  <w:r>
                    <w:t xml:space="preserve">98.3</w:t>
                  </w:r>
                </w:p>
              </w:tc>
              <w:tc>
                <w:tcPr/>
                <w:p>
                  <w:pPr>
                    <w:pStyle w:val="Compact"/>
                    <w:jc w:val="center"/>
                  </w:pPr>
                  <w:r>
                    <w:t xml:space="preserve">0.61</w:t>
                  </w:r>
                </w:p>
              </w:tc>
            </w:tr>
            <w:tr>
              <w:tc>
                <w:tcPr/>
                <w:p>
                  <w:pPr>
                    <w:pStyle w:val="Compact"/>
                    <w:jc w:val="center"/>
                  </w:pPr>
                  <w:r>
                    <w:t xml:space="preserve">11</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5.58</w:t>
                  </w:r>
                </w:p>
              </w:tc>
              <w:tc>
                <w:tcPr/>
                <w:p>
                  <w:pPr>
                    <w:pStyle w:val="Compact"/>
                    <w:jc w:val="center"/>
                  </w:pPr>
                  <w:r>
                    <w:t xml:space="preserve">6.25</w:t>
                  </w:r>
                </w:p>
              </w:tc>
              <w:tc>
                <w:tcPr/>
                <w:p>
                  <w:pPr>
                    <w:pStyle w:val="Compact"/>
                    <w:jc w:val="center"/>
                  </w:pPr>
                  <w:r>
                    <w:t xml:space="preserve">5.15</w:t>
                  </w:r>
                </w:p>
              </w:tc>
              <w:tc>
                <w:tcPr/>
                <w:p>
                  <w:pPr>
                    <w:pStyle w:val="Compact"/>
                    <w:jc w:val="center"/>
                  </w:pPr>
                  <w:r>
                    <w:t xml:space="preserve">97.1</w:t>
                  </w:r>
                </w:p>
              </w:tc>
              <w:tc>
                <w:tcPr/>
                <w:p>
                  <w:pPr>
                    <w:pStyle w:val="Compact"/>
                    <w:jc w:val="center"/>
                  </w:pPr>
                  <w:r>
                    <w:t xml:space="preserve">0.66</w:t>
                  </w:r>
                </w:p>
              </w:tc>
            </w:tr>
            <w:tr>
              <w:tc>
                <w:tcPr/>
                <w:p>
                  <w:pPr>
                    <w:pStyle w:val="Compact"/>
                    <w:jc w:val="center"/>
                  </w:pPr>
                  <w:r>
                    <w:t xml:space="preserve">12</w:t>
                  </w:r>
                </w:p>
              </w:tc>
              <w:tc>
                <w:tcPr>
                  <w:gridSpan w:val="1"/>
                  <w:vMerge w:val="continue"/>
                </w:tcPr>
                <w:p>
                  <w:pPr/>
                </w:p>
              </w:tc>
              <w:tc>
                <w:tcPr/>
                <w:p>
                  <w:pPr>
                    <w:pStyle w:val="Compact"/>
                    <w:jc w:val="center"/>
                  </w:pPr>
                  <w:r>
                    <w:t xml:space="preserve">7.8</w:t>
                  </w:r>
                </w:p>
              </w:tc>
              <w:tc>
                <w:tcPr/>
                <w:p>
                  <w:pPr>
                    <w:pStyle w:val="Compact"/>
                    <w:jc w:val="center"/>
                  </w:pPr>
                  <w:r>
                    <w:t xml:space="preserve">1.6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6.41</w:t>
                  </w:r>
                </w:p>
              </w:tc>
              <w:tc>
                <w:tcPr/>
                <w:p>
                  <w:pPr>
                    <w:pStyle w:val="Compact"/>
                    <w:jc w:val="center"/>
                  </w:pPr>
                  <w:r>
                    <w:t xml:space="preserve">6.75</w:t>
                  </w:r>
                </w:p>
              </w:tc>
              <w:tc>
                <w:tcPr/>
                <w:p>
                  <w:pPr>
                    <w:pStyle w:val="Compact"/>
                    <w:jc w:val="center"/>
                  </w:pPr>
                  <w:r>
                    <w:t xml:space="preserve">4.84</w:t>
                  </w:r>
                </w:p>
              </w:tc>
              <w:tc>
                <w:tcPr/>
                <w:p>
                  <w:pPr>
                    <w:pStyle w:val="Compact"/>
                    <w:jc w:val="center"/>
                  </w:pPr>
                  <w:r>
                    <w:t xml:space="preserve">94.0</w:t>
                  </w:r>
                </w:p>
              </w:tc>
              <w:tc>
                <w:tcPr/>
                <w:p>
                  <w:pPr>
                    <w:pStyle w:val="Compact"/>
                    <w:jc w:val="center"/>
                  </w:pPr>
                  <w:r>
                    <w:t xml:space="preserve">0.56</w:t>
                  </w:r>
                </w:p>
              </w:tc>
            </w:tr>
            <w:tr>
              <w:tc>
                <w:tcPr/>
                <w:p>
                  <w:pPr>
                    <w:pStyle w:val="Compact"/>
                    <w:jc w:val="center"/>
                  </w:pPr>
                  <w:r>
                    <w:t xml:space="preserve">13</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50</w:t>
                  </w:r>
                </w:p>
              </w:tc>
              <w:tc>
                <w:tcPr/>
                <w:p>
                  <w:pPr>
                    <w:pStyle w:val="Compact"/>
                    <w:jc w:val="center"/>
                  </w:pPr>
                  <w:r>
                    <w:t xml:space="preserve">20.6</w:t>
                  </w:r>
                </w:p>
              </w:tc>
              <w:tc>
                <w:tcPr/>
                <w:p>
                  <w:pPr>
                    <w:pStyle w:val="Compact"/>
                    <w:jc w:val="center"/>
                  </w:pPr>
                  <w:r>
                    <w:t xml:space="preserve">6.90</w:t>
                  </w:r>
                </w:p>
              </w:tc>
              <w:tc>
                <w:tcPr/>
                <w:p>
                  <w:pPr>
                    <w:pStyle w:val="Compact"/>
                    <w:jc w:val="center"/>
                  </w:pPr>
                  <w:r>
                    <w:t xml:space="preserve">6.20</w:t>
                  </w:r>
                </w:p>
              </w:tc>
              <w:tc>
                <w:tcPr/>
                <w:p>
                  <w:pPr>
                    <w:pStyle w:val="Compact"/>
                    <w:jc w:val="center"/>
                  </w:pPr>
                  <w:r>
                    <w:t xml:space="preserve">95.7</w:t>
                  </w:r>
                </w:p>
              </w:tc>
              <w:tc>
                <w:tcPr/>
                <w:p>
                  <w:pPr>
                    <w:pStyle w:val="Compact"/>
                    <w:jc w:val="center"/>
                  </w:pPr>
                  <w:r>
                    <w:t xml:space="preserve">0.61</w:t>
                  </w:r>
                </w:p>
              </w:tc>
            </w:tr>
            <w:tr>
              <w:tc>
                <w:tcPr/>
                <w:p>
                  <w:pPr>
                    <w:pStyle w:val="Compact"/>
                    <w:jc w:val="center"/>
                  </w:pPr>
                  <w:r>
                    <w:t xml:space="preserve">14</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3</w:t>
                  </w:r>
                </w:p>
              </w:tc>
              <w:tc>
                <w:tcPr/>
                <w:p>
                  <w:pPr>
                    <w:pStyle w:val="Compact"/>
                    <w:jc w:val="center"/>
                  </w:pPr>
                  <w:r>
                    <w:t xml:space="preserve">300</w:t>
                  </w:r>
                </w:p>
              </w:tc>
              <w:tc>
                <w:tcPr/>
                <w:p>
                  <w:pPr>
                    <w:pStyle w:val="Compact"/>
                    <w:jc w:val="center"/>
                  </w:pPr>
                  <w:r>
                    <w:t xml:space="preserve">76.4</w:t>
                  </w:r>
                </w:p>
              </w:tc>
              <w:tc>
                <w:tcPr/>
                <w:p>
                  <w:pPr>
                    <w:pStyle w:val="Compact"/>
                    <w:jc w:val="center"/>
                  </w:pPr>
                  <w:r>
                    <w:t xml:space="preserve">7.70</w:t>
                  </w:r>
                </w:p>
              </w:tc>
              <w:tc>
                <w:tcPr/>
                <w:p>
                  <w:pPr>
                    <w:pStyle w:val="Compact"/>
                    <w:jc w:val="center"/>
                  </w:pPr>
                  <w:r>
                    <w:t xml:space="preserve">5.91</w:t>
                  </w:r>
                </w:p>
              </w:tc>
              <w:tc>
                <w:tcPr/>
                <w:p>
                  <w:pPr>
                    <w:pStyle w:val="Compact"/>
                    <w:jc w:val="center"/>
                  </w:pPr>
                  <w:r>
                    <w:t xml:space="preserve">97.1</w:t>
                  </w:r>
                </w:p>
              </w:tc>
              <w:tc>
                <w:tcPr/>
                <w:p>
                  <w:pPr>
                    <w:pStyle w:val="Compact"/>
                    <w:jc w:val="center"/>
                  </w:pPr>
                  <w:r>
                    <w:t xml:space="preserve">0.60</w:t>
                  </w:r>
                </w:p>
              </w:tc>
            </w:tr>
            <w:tr>
              <w:tc>
                <w:tcPr/>
                <w:p>
                  <w:pPr>
                    <w:pStyle w:val="Compact"/>
                    <w:jc w:val="center"/>
                  </w:pPr>
                  <w:r>
                    <w:t xml:space="preserve">15</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50</w:t>
                  </w:r>
                </w:p>
              </w:tc>
              <w:tc>
                <w:tcPr/>
                <w:p>
                  <w:pPr>
                    <w:pStyle w:val="Compact"/>
                    <w:jc w:val="center"/>
                  </w:pPr>
                  <w:r>
                    <w:t xml:space="preserve">15.2</w:t>
                  </w:r>
                </w:p>
              </w:tc>
              <w:tc>
                <w:tcPr/>
                <w:p>
                  <w:pPr>
                    <w:pStyle w:val="Compact"/>
                    <w:jc w:val="center"/>
                  </w:pPr>
                  <w:r>
                    <w:t xml:space="preserve">6.42</w:t>
                  </w:r>
                </w:p>
              </w:tc>
              <w:tc>
                <w:tcPr/>
                <w:p>
                  <w:pPr>
                    <w:pStyle w:val="Compact"/>
                    <w:jc w:val="center"/>
                  </w:pPr>
                  <w:r>
                    <w:t xml:space="preserve">5.09</w:t>
                  </w:r>
                </w:p>
              </w:tc>
              <w:tc>
                <w:tcPr/>
                <w:p>
                  <w:pPr>
                    <w:pStyle w:val="Compact"/>
                    <w:jc w:val="center"/>
                  </w:pPr>
                  <w:r>
                    <w:t xml:space="preserve">98.8</w:t>
                  </w:r>
                </w:p>
              </w:tc>
              <w:tc>
                <w:tcPr/>
                <w:p>
                  <w:pPr>
                    <w:pStyle w:val="Compact"/>
                    <w:jc w:val="center"/>
                  </w:pPr>
                  <w:r>
                    <w:t xml:space="preserve">0.55</w:t>
                  </w:r>
                </w:p>
              </w:tc>
            </w:tr>
            <w:tr>
              <w:tc>
                <w:tcPr/>
                <w:p>
                  <w:pPr>
                    <w:pStyle w:val="Compact"/>
                    <w:jc w:val="center"/>
                  </w:pPr>
                  <w:r>
                    <w:t xml:space="preserve">16</w:t>
                  </w:r>
                </w:p>
              </w:tc>
              <w:tc>
                <w:tcPr>
                  <w:gridSpan w:val="1"/>
                  <w:vMerge w:val="continue"/>
                </w:tcPr>
                <w:p>
                  <w:pPr/>
                </w:p>
              </w:tc>
              <w:tc>
                <w:tcPr/>
                <w:p>
                  <w:pPr>
                    <w:pStyle w:val="Compact"/>
                    <w:jc w:val="center"/>
                  </w:pPr>
                  <w:r>
                    <w:t xml:space="preserve">7.8</w:t>
                  </w:r>
                </w:p>
              </w:tc>
              <w:tc>
                <w:tcPr/>
                <w:p>
                  <w:pPr>
                    <w:pStyle w:val="Compact"/>
                    <w:jc w:val="center"/>
                  </w:pPr>
                  <w:r>
                    <w:t xml:space="preserve">3.6</w:t>
                  </w:r>
                </w:p>
              </w:tc>
              <w:tc>
                <w:tcPr/>
                <w:p>
                  <w:pPr>
                    <w:pStyle w:val="Compact"/>
                    <w:jc w:val="center"/>
                  </w:pPr>
                  <w:r>
                    <w:t xml:space="preserve">8</w:t>
                  </w:r>
                </w:p>
              </w:tc>
              <w:tc>
                <w:tcPr/>
                <w:p>
                  <w:pPr>
                    <w:pStyle w:val="Compact"/>
                    <w:jc w:val="center"/>
                  </w:pPr>
                  <w:r>
                    <w:t xml:space="preserve">300</w:t>
                  </w:r>
                </w:p>
              </w:tc>
              <w:tc>
                <w:tcPr/>
                <w:p>
                  <w:pPr>
                    <w:pStyle w:val="Compact"/>
                    <w:jc w:val="center"/>
                  </w:pPr>
                  <w:r>
                    <w:t xml:space="preserve">54.8</w:t>
                  </w:r>
                </w:p>
              </w:tc>
              <w:tc>
                <w:tcPr/>
                <w:p>
                  <w:pPr>
                    <w:pStyle w:val="Compact"/>
                    <w:jc w:val="center"/>
                  </w:pPr>
                  <w:r>
                    <w:t xml:space="preserve">6.02</w:t>
                  </w:r>
                </w:p>
              </w:tc>
              <w:tc>
                <w:tcPr/>
                <w:p>
                  <w:pPr>
                    <w:pStyle w:val="Compact"/>
                    <w:jc w:val="center"/>
                  </w:pPr>
                  <w:r>
                    <w:t xml:space="preserve">4.59</w:t>
                  </w:r>
                </w:p>
              </w:tc>
              <w:tc>
                <w:tcPr/>
                <w:p>
                  <w:pPr>
                    <w:pStyle w:val="Compact"/>
                    <w:jc w:val="center"/>
                  </w:pPr>
                  <w:r>
                    <w:t xml:space="preserve">95.3</w:t>
                  </w:r>
                </w:p>
              </w:tc>
              <w:tc>
                <w:tcPr/>
                <w:p>
                  <w:pPr>
                    <w:pStyle w:val="Compact"/>
                    <w:jc w:val="center"/>
                  </w:pPr>
                  <w:r>
                    <w:t xml:space="preserve">0.50</w:t>
                  </w:r>
                </w:p>
              </w:tc>
            </w:tr>
            <w:tr>
              <w:tc>
                <w:tcPr/>
                <w:p>
                  <w:pPr>
                    <w:pStyle w:val="Compact"/>
                    <w:jc w:val="center"/>
                  </w:pPr>
                  <w:r>
                    <w:t xml:space="preserve">17</w:t>
                  </w:r>
                </w:p>
              </w:tc>
              <w:tc>
                <w:tcPr>
                  <w:vMerge w:val="restart"/>
                </w:tcPr>
                <w:p>
                  <w:pPr>
                    <w:pStyle w:val="Compact"/>
                    <w:jc w:val="center"/>
                  </w:pPr>
                  <w:r>
                    <w:t xml:space="preserve">axial</w:t>
                  </w:r>
                </w:p>
              </w:tc>
              <w:tc>
                <w:tcPr/>
                <w:p>
                  <w:pPr>
                    <w:pStyle w:val="Compact"/>
                    <w:jc w:val="center"/>
                  </w:pPr>
                  <w:r>
                    <w:t xml:space="preserve">7.2</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17.8</w:t>
                  </w:r>
                </w:p>
              </w:tc>
              <w:tc>
                <w:tcPr/>
                <w:p>
                  <w:pPr>
                    <w:pStyle w:val="Compact"/>
                    <w:jc w:val="center"/>
                  </w:pPr>
                  <w:r>
                    <w:t xml:space="preserve">5.96</w:t>
                  </w:r>
                </w:p>
              </w:tc>
              <w:tc>
                <w:tcPr/>
                <w:p>
                  <w:pPr>
                    <w:pStyle w:val="Compact"/>
                    <w:jc w:val="center"/>
                  </w:pPr>
                  <w:r>
                    <w:t xml:space="preserve">4.31</w:t>
                  </w:r>
                </w:p>
              </w:tc>
              <w:tc>
                <w:tcPr/>
                <w:p>
                  <w:pPr>
                    <w:pStyle w:val="Compact"/>
                    <w:jc w:val="center"/>
                  </w:pPr>
                  <w:r>
                    <w:t xml:space="preserve">95.7</w:t>
                  </w:r>
                </w:p>
              </w:tc>
              <w:tc>
                <w:tcPr/>
                <w:p>
                  <w:pPr>
                    <w:pStyle w:val="Compact"/>
                    <w:jc w:val="center"/>
                  </w:pPr>
                  <w:r>
                    <w:t xml:space="preserve">0.68</w:t>
                  </w:r>
                </w:p>
              </w:tc>
            </w:tr>
            <w:tr>
              <w:tc>
                <w:tcPr/>
                <w:p>
                  <w:pPr>
                    <w:pStyle w:val="Compact"/>
                    <w:jc w:val="center"/>
                  </w:pPr>
                  <w:r>
                    <w:t xml:space="preserve">18</w:t>
                  </w:r>
                </w:p>
              </w:tc>
              <w:tc>
                <w:tcPr>
                  <w:gridSpan w:val="1"/>
                  <w:vMerge w:val="continue"/>
                </w:tcPr>
                <w:p>
                  <w:pPr/>
                </w:p>
              </w:tc>
              <w:tc>
                <w:tcPr/>
                <w:p>
                  <w:pPr>
                    <w:pStyle w:val="Compact"/>
                    <w:jc w:val="center"/>
                  </w:pPr>
                  <w:r>
                    <w:t xml:space="preserve">7.8</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10.2</w:t>
                  </w:r>
                </w:p>
              </w:tc>
              <w:tc>
                <w:tcPr/>
                <w:p>
                  <w:pPr>
                    <w:pStyle w:val="Compact"/>
                    <w:jc w:val="center"/>
                  </w:pPr>
                  <w:r>
                    <w:t xml:space="preserve">6.73</w:t>
                  </w:r>
                </w:p>
              </w:tc>
              <w:tc>
                <w:tcPr/>
                <w:p>
                  <w:pPr>
                    <w:pStyle w:val="Compact"/>
                    <w:jc w:val="center"/>
                  </w:pPr>
                  <w:r>
                    <w:t xml:space="preserve">5.74</w:t>
                  </w:r>
                </w:p>
              </w:tc>
              <w:tc>
                <w:tcPr/>
                <w:p>
                  <w:pPr>
                    <w:pStyle w:val="Compact"/>
                    <w:jc w:val="center"/>
                  </w:pPr>
                  <w:r>
                    <w:t xml:space="preserve">96.9</w:t>
                  </w:r>
                </w:p>
              </w:tc>
              <w:tc>
                <w:tcPr/>
                <w:p>
                  <w:pPr>
                    <w:pStyle w:val="Compact"/>
                    <w:jc w:val="center"/>
                  </w:pPr>
                  <w:r>
                    <w:t xml:space="preserve">0.68</w:t>
                  </w:r>
                </w:p>
              </w:tc>
            </w:tr>
            <w:tr>
              <w:tc>
                <w:tcPr/>
                <w:p>
                  <w:pPr>
                    <w:pStyle w:val="Compact"/>
                    <w:jc w:val="center"/>
                  </w:pPr>
                  <w:r>
                    <w:t xml:space="preserve">19</w:t>
                  </w:r>
                </w:p>
              </w:tc>
              <w:tc>
                <w:tcPr>
                  <w:gridSpan w:val="1"/>
                  <w:vMerge w:val="continue"/>
                </w:tcPr>
                <w:p>
                  <w:pPr/>
                </w:p>
              </w:tc>
              <w:tc>
                <w:tcPr/>
                <w:p>
                  <w:pPr>
                    <w:pStyle w:val="Compact"/>
                    <w:jc w:val="center"/>
                  </w:pPr>
                  <w:r>
                    <w:t xml:space="preserve">7.5</w:t>
                  </w:r>
                </w:p>
              </w:tc>
              <w:tc>
                <w:tcPr/>
                <w:p>
                  <w:pPr>
                    <w:pStyle w:val="Compact"/>
                    <w:jc w:val="center"/>
                  </w:pPr>
                  <w:r>
                    <w:t xml:space="preserve">1.6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8.54</w:t>
                  </w:r>
                </w:p>
              </w:tc>
              <w:tc>
                <w:tcPr/>
                <w:p>
                  <w:pPr>
                    <w:pStyle w:val="Compact"/>
                    <w:jc w:val="center"/>
                  </w:pPr>
                  <w:r>
                    <w:t xml:space="preserve">5.91</w:t>
                  </w:r>
                </w:p>
              </w:tc>
              <w:tc>
                <w:tcPr/>
                <w:p>
                  <w:pPr>
                    <w:pStyle w:val="Compact"/>
                    <w:jc w:val="center"/>
                  </w:pPr>
                  <w:r>
                    <w:t xml:space="preserve">4.64</w:t>
                  </w:r>
                </w:p>
              </w:tc>
              <w:tc>
                <w:tcPr/>
                <w:p>
                  <w:pPr>
                    <w:pStyle w:val="Compact"/>
                    <w:jc w:val="center"/>
                  </w:pPr>
                  <w:r>
                    <w:t xml:space="preserve">97.3</w:t>
                  </w:r>
                </w:p>
              </w:tc>
              <w:tc>
                <w:tcPr/>
                <w:p>
                  <w:pPr>
                    <w:pStyle w:val="Compact"/>
                    <w:jc w:val="center"/>
                  </w:pPr>
                  <w:r>
                    <w:t xml:space="preserve">0.78</w:t>
                  </w:r>
                </w:p>
              </w:tc>
            </w:tr>
            <w:tr>
              <w:tc>
                <w:tcPr/>
                <w:p>
                  <w:pPr>
                    <w:pStyle w:val="Compact"/>
                    <w:jc w:val="center"/>
                  </w:pPr>
                  <w:r>
                    <w:t xml:space="preserve">20</w:t>
                  </w:r>
                </w:p>
              </w:tc>
              <w:tc>
                <w:tcPr>
                  <w:gridSpan w:val="1"/>
                  <w:vMerge w:val="continue"/>
                </w:tcPr>
                <w:p>
                  <w:pPr/>
                </w:p>
              </w:tc>
              <w:tc>
                <w:tcPr/>
                <w:p>
                  <w:pPr>
                    <w:pStyle w:val="Compact"/>
                    <w:jc w:val="center"/>
                  </w:pPr>
                  <w:r>
                    <w:t xml:space="preserve">7.5</w:t>
                  </w:r>
                </w:p>
              </w:tc>
              <w:tc>
                <w:tcPr/>
                <w:p>
                  <w:pPr>
                    <w:pStyle w:val="Compact"/>
                    <w:jc w:val="center"/>
                  </w:pPr>
                  <w:r>
                    <w:t xml:space="preserve">3.6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17.2</w:t>
                  </w:r>
                </w:p>
              </w:tc>
              <w:tc>
                <w:tcPr/>
                <w:p>
                  <w:pPr>
                    <w:pStyle w:val="Compact"/>
                    <w:jc w:val="center"/>
                  </w:pPr>
                  <w:r>
                    <w:t xml:space="preserve">7.00</w:t>
                  </w:r>
                </w:p>
              </w:tc>
              <w:tc>
                <w:tcPr/>
                <w:p>
                  <w:pPr>
                    <w:pStyle w:val="Compact"/>
                    <w:jc w:val="center"/>
                  </w:pPr>
                  <w:r>
                    <w:t xml:space="preserve">4.80</w:t>
                  </w:r>
                </w:p>
              </w:tc>
              <w:tc>
                <w:tcPr/>
                <w:p>
                  <w:pPr>
                    <w:pStyle w:val="Compact"/>
                    <w:jc w:val="center"/>
                  </w:pPr>
                  <w:r>
                    <w:t xml:space="preserve">97.5</w:t>
                  </w:r>
                </w:p>
              </w:tc>
              <w:tc>
                <w:tcPr/>
                <w:p>
                  <w:pPr>
                    <w:pStyle w:val="Compact"/>
                    <w:jc w:val="center"/>
                  </w:pPr>
                  <w:r>
                    <w:t xml:space="preserve">0.64</w:t>
                  </w:r>
                </w:p>
              </w:tc>
            </w:tr>
            <w:tr>
              <w:tc>
                <w:tcPr/>
                <w:p>
                  <w:pPr>
                    <w:pStyle w:val="Compact"/>
                    <w:jc w:val="center"/>
                  </w:pPr>
                  <w:r>
                    <w:t xml:space="preserve">21</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3</w:t>
                  </w:r>
                </w:p>
              </w:tc>
              <w:tc>
                <w:tcPr/>
                <w:p>
                  <w:pPr>
                    <w:pStyle w:val="Compact"/>
                    <w:jc w:val="center"/>
                  </w:pPr>
                  <w:r>
                    <w:t xml:space="preserve">175</w:t>
                  </w:r>
                </w:p>
              </w:tc>
              <w:tc>
                <w:tcPr/>
                <w:p>
                  <w:pPr>
                    <w:pStyle w:val="Compact"/>
                    <w:jc w:val="center"/>
                  </w:pPr>
                  <w:r>
                    <w:t xml:space="preserve">13.4</w:t>
                  </w:r>
                </w:p>
              </w:tc>
              <w:tc>
                <w:tcPr/>
                <w:p>
                  <w:pPr>
                    <w:pStyle w:val="Compact"/>
                    <w:jc w:val="center"/>
                  </w:pPr>
                  <w:r>
                    <w:t xml:space="preserve">6.64</w:t>
                  </w:r>
                </w:p>
              </w:tc>
              <w:tc>
                <w:tcPr/>
                <w:p>
                  <w:pPr>
                    <w:pStyle w:val="Compact"/>
                    <w:jc w:val="center"/>
                  </w:pPr>
                  <w:r>
                    <w:t xml:space="preserve">5.10</w:t>
                  </w:r>
                </w:p>
              </w:tc>
              <w:tc>
                <w:tcPr/>
                <w:p>
                  <w:pPr>
                    <w:pStyle w:val="Compact"/>
                    <w:jc w:val="center"/>
                  </w:pPr>
                  <w:r>
                    <w:t xml:space="preserve">96.1</w:t>
                  </w:r>
                </w:p>
              </w:tc>
              <w:tc>
                <w:tcPr/>
                <w:p>
                  <w:pPr>
                    <w:pStyle w:val="Compact"/>
                    <w:jc w:val="center"/>
                  </w:pPr>
                  <w:r>
                    <w:t xml:space="preserve">0.63</w:t>
                  </w:r>
                </w:p>
              </w:tc>
            </w:tr>
            <w:tr>
              <w:tc>
                <w:tcPr/>
                <w:p>
                  <w:pPr>
                    <w:pStyle w:val="Compact"/>
                    <w:jc w:val="center"/>
                  </w:pPr>
                  <w:r>
                    <w:t xml:space="preserve">22</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8</w:t>
                  </w:r>
                </w:p>
              </w:tc>
              <w:tc>
                <w:tcPr/>
                <w:p>
                  <w:pPr>
                    <w:pStyle w:val="Compact"/>
                    <w:jc w:val="center"/>
                  </w:pPr>
                  <w:r>
                    <w:t xml:space="preserve">175</w:t>
                  </w:r>
                </w:p>
              </w:tc>
              <w:tc>
                <w:tcPr/>
                <w:p>
                  <w:pPr>
                    <w:pStyle w:val="Compact"/>
                    <w:jc w:val="center"/>
                  </w:pPr>
                  <w:r>
                    <w:t xml:space="preserve">15.5</w:t>
                  </w:r>
                </w:p>
              </w:tc>
              <w:tc>
                <w:tcPr/>
                <w:p>
                  <w:pPr>
                    <w:pStyle w:val="Compact"/>
                    <w:jc w:val="center"/>
                  </w:pPr>
                  <w:r>
                    <w:t xml:space="preserve">5.71</w:t>
                  </w:r>
                </w:p>
              </w:tc>
              <w:tc>
                <w:tcPr/>
                <w:p>
                  <w:pPr>
                    <w:pStyle w:val="Compact"/>
                    <w:jc w:val="center"/>
                  </w:pPr>
                  <w:r>
                    <w:t xml:space="preserve">4.01</w:t>
                  </w:r>
                </w:p>
              </w:tc>
              <w:tc>
                <w:tcPr/>
                <w:p>
                  <w:pPr>
                    <w:pStyle w:val="Compact"/>
                    <w:jc w:val="center"/>
                  </w:pPr>
                  <w:r>
                    <w:t xml:space="preserve">97.1</w:t>
                  </w:r>
                </w:p>
              </w:tc>
              <w:tc>
                <w:tcPr/>
                <w:p>
                  <w:pPr>
                    <w:pStyle w:val="Compact"/>
                    <w:jc w:val="center"/>
                  </w:pPr>
                  <w:r>
                    <w:t xml:space="preserve">0.67</w:t>
                  </w:r>
                </w:p>
              </w:tc>
            </w:tr>
            <w:tr>
              <w:tc>
                <w:tcPr/>
                <w:p>
                  <w:pPr>
                    <w:pStyle w:val="Compact"/>
                    <w:jc w:val="center"/>
                  </w:pPr>
                  <w:r>
                    <w:t xml:space="preserve">23</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50</w:t>
                  </w:r>
                </w:p>
              </w:tc>
              <w:tc>
                <w:tcPr/>
                <w:p>
                  <w:pPr>
                    <w:pStyle w:val="Compact"/>
                    <w:jc w:val="center"/>
                  </w:pPr>
                  <w:r>
                    <w:t xml:space="preserve">14.3</w:t>
                  </w:r>
                </w:p>
              </w:tc>
              <w:tc>
                <w:tcPr/>
                <w:p>
                  <w:pPr>
                    <w:pStyle w:val="Compact"/>
                    <w:jc w:val="center"/>
                  </w:pPr>
                  <w:r>
                    <w:t xml:space="preserve">6.42</w:t>
                  </w:r>
                </w:p>
              </w:tc>
              <w:tc>
                <w:tcPr/>
                <w:p>
                  <w:pPr>
                    <w:pStyle w:val="Compact"/>
                    <w:jc w:val="center"/>
                  </w:pPr>
                  <w:r>
                    <w:t xml:space="preserve">4.89</w:t>
                  </w:r>
                </w:p>
              </w:tc>
              <w:tc>
                <w:tcPr/>
                <w:p>
                  <w:pPr>
                    <w:pStyle w:val="Compact"/>
                    <w:jc w:val="center"/>
                  </w:pPr>
                  <w:r>
                    <w:t xml:space="preserve">96.6</w:t>
                  </w:r>
                </w:p>
              </w:tc>
              <w:tc>
                <w:tcPr/>
                <w:p>
                  <w:pPr>
                    <w:pStyle w:val="Compact"/>
                    <w:jc w:val="center"/>
                  </w:pPr>
                  <w:r>
                    <w:t xml:space="preserve">0.65</w:t>
                  </w:r>
                </w:p>
              </w:tc>
            </w:tr>
            <w:tr>
              <w:tc>
                <w:tcPr/>
                <w:p>
                  <w:pPr>
                    <w:pStyle w:val="Compact"/>
                    <w:jc w:val="center"/>
                  </w:pPr>
                  <w:r>
                    <w:t xml:space="preserve">24</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300</w:t>
                  </w:r>
                </w:p>
              </w:tc>
              <w:tc>
                <w:tcPr/>
                <w:p>
                  <w:pPr>
                    <w:pStyle w:val="Compact"/>
                    <w:jc w:val="center"/>
                  </w:pPr>
                  <w:r>
                    <w:t xml:space="preserve">16.8</w:t>
                  </w:r>
                </w:p>
              </w:tc>
              <w:tc>
                <w:tcPr/>
                <w:p>
                  <w:pPr>
                    <w:pStyle w:val="Compact"/>
                    <w:jc w:val="center"/>
                  </w:pPr>
                  <w:r>
                    <w:t xml:space="preserve">6.45</w:t>
                  </w:r>
                </w:p>
              </w:tc>
              <w:tc>
                <w:tcPr/>
                <w:p>
                  <w:pPr>
                    <w:pStyle w:val="Compact"/>
                    <w:jc w:val="center"/>
                  </w:pPr>
                  <w:r>
                    <w:t xml:space="preserve">5.19</w:t>
                  </w:r>
                </w:p>
              </w:tc>
              <w:tc>
                <w:tcPr/>
                <w:p>
                  <w:pPr>
                    <w:pStyle w:val="Compact"/>
                    <w:jc w:val="center"/>
                  </w:pPr>
                  <w:r>
                    <w:t xml:space="preserve">98.9</w:t>
                  </w:r>
                </w:p>
              </w:tc>
              <w:tc>
                <w:tcPr/>
                <w:p>
                  <w:pPr>
                    <w:pStyle w:val="Compact"/>
                    <w:jc w:val="center"/>
                  </w:pPr>
                  <w:r>
                    <w:t xml:space="preserve">0.64</w:t>
                  </w:r>
                </w:p>
              </w:tc>
            </w:tr>
            <w:tr>
              <w:tc>
                <w:tcPr/>
                <w:p>
                  <w:pPr>
                    <w:pStyle w:val="Compact"/>
                    <w:jc w:val="center"/>
                  </w:pPr>
                  <w:r>
                    <w:t xml:space="preserve">25</w:t>
                  </w:r>
                </w:p>
              </w:tc>
              <w:tc>
                <w:tcPr>
                  <w:vMerge w:val="restart"/>
                </w:tcPr>
                <w:p>
                  <w:pPr>
                    <w:pStyle w:val="Compact"/>
                    <w:jc w:val="center"/>
                  </w:pPr>
                  <w:r>
                    <w:t xml:space="preserve">center</w:t>
                  </w: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16.9</w:t>
                  </w:r>
                </w:p>
              </w:tc>
              <w:tc>
                <w:tcPr/>
                <w:p>
                  <w:pPr>
                    <w:pStyle w:val="Compact"/>
                    <w:jc w:val="center"/>
                  </w:pPr>
                  <w:r>
                    <w:t xml:space="preserve">5.86</w:t>
                  </w:r>
                </w:p>
              </w:tc>
              <w:tc>
                <w:tcPr/>
                <w:p>
                  <w:pPr>
                    <w:pStyle w:val="Compact"/>
                    <w:jc w:val="center"/>
                  </w:pPr>
                  <w:r>
                    <w:t xml:space="preserve">4.89</w:t>
                  </w:r>
                </w:p>
              </w:tc>
              <w:tc>
                <w:tcPr/>
                <w:p>
                  <w:pPr>
                    <w:pStyle w:val="Compact"/>
                    <w:jc w:val="center"/>
                  </w:pPr>
                  <w:r>
                    <w:t xml:space="preserve">97.5</w:t>
                  </w:r>
                </w:p>
              </w:tc>
              <w:tc>
                <w:tcPr/>
                <w:p>
                  <w:pPr>
                    <w:pStyle w:val="Compact"/>
                    <w:jc w:val="center"/>
                  </w:pPr>
                  <w:r>
                    <w:t xml:space="preserve">0.66</w:t>
                  </w:r>
                </w:p>
              </w:tc>
            </w:tr>
            <w:tr>
              <w:tc>
                <w:tcPr/>
                <w:p>
                  <w:pPr>
                    <w:pStyle w:val="Compact"/>
                    <w:jc w:val="center"/>
                  </w:pPr>
                  <w:r>
                    <w:t xml:space="preserve">26</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15.1</w:t>
                  </w:r>
                </w:p>
              </w:tc>
              <w:tc>
                <w:tcPr/>
                <w:p>
                  <w:pPr>
                    <w:pStyle w:val="Compact"/>
                    <w:jc w:val="center"/>
                  </w:pPr>
                  <w:r>
                    <w:t xml:space="preserve">6.22</w:t>
                  </w:r>
                </w:p>
              </w:tc>
              <w:tc>
                <w:tcPr/>
                <w:p>
                  <w:pPr>
                    <w:pStyle w:val="Compact"/>
                    <w:jc w:val="center"/>
                  </w:pPr>
                  <w:r>
                    <w:t xml:space="preserve">4.57</w:t>
                  </w:r>
                </w:p>
              </w:tc>
              <w:tc>
                <w:tcPr/>
                <w:p>
                  <w:pPr>
                    <w:pStyle w:val="Compact"/>
                    <w:jc w:val="center"/>
                  </w:pPr>
                  <w:r>
                    <w:t xml:space="preserve">95.4</w:t>
                  </w:r>
                </w:p>
              </w:tc>
              <w:tc>
                <w:tcPr/>
                <w:p>
                  <w:pPr>
                    <w:pStyle w:val="Compact"/>
                    <w:jc w:val="center"/>
                  </w:pPr>
                  <w:r>
                    <w:t xml:space="preserve">0.64</w:t>
                  </w:r>
                </w:p>
              </w:tc>
            </w:tr>
            <w:tr>
              <w:tc>
                <w:tcPr/>
                <w:p>
                  <w:pPr>
                    <w:pStyle w:val="Compact"/>
                    <w:jc w:val="center"/>
                  </w:pPr>
                  <w:r>
                    <w:t xml:space="preserve">27</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12.6</w:t>
                  </w:r>
                </w:p>
              </w:tc>
              <w:tc>
                <w:tcPr/>
                <w:p>
                  <w:pPr>
                    <w:pStyle w:val="Compact"/>
                    <w:jc w:val="center"/>
                  </w:pPr>
                  <w:r>
                    <w:t xml:space="preserve">6.54</w:t>
                  </w:r>
                </w:p>
              </w:tc>
              <w:tc>
                <w:tcPr/>
                <w:p>
                  <w:pPr>
                    <w:pStyle w:val="Compact"/>
                    <w:jc w:val="center"/>
                  </w:pPr>
                  <w:r>
                    <w:t xml:space="preserve">4.59</w:t>
                  </w:r>
                </w:p>
              </w:tc>
              <w:tc>
                <w:tcPr/>
                <w:p>
                  <w:pPr>
                    <w:pStyle w:val="Compact"/>
                    <w:jc w:val="center"/>
                  </w:pPr>
                  <w:r>
                    <w:t xml:space="preserve">94.9</w:t>
                  </w:r>
                </w:p>
              </w:tc>
              <w:tc>
                <w:tcPr/>
                <w:p>
                  <w:pPr>
                    <w:pStyle w:val="Compact"/>
                    <w:jc w:val="center"/>
                  </w:pPr>
                  <w:r>
                    <w:t xml:space="preserve">0.60</w:t>
                  </w:r>
                </w:p>
              </w:tc>
            </w:tr>
            <w:tr>
              <w:tc>
                <w:tcPr/>
                <w:p>
                  <w:pPr>
                    <w:pStyle w:val="Compact"/>
                    <w:jc w:val="center"/>
                  </w:pPr>
                  <w:r>
                    <w:t xml:space="preserve">28</w:t>
                  </w:r>
                </w:p>
              </w:tc>
              <w:tc>
                <w:tcPr>
                  <w:gridSpan w:val="1"/>
                  <w:vMerge w:val="continue"/>
                </w:tcPr>
                <w:p>
                  <w:pPr/>
                </w:p>
              </w:tc>
              <w:tc>
                <w:tcPr/>
                <w:p>
                  <w:pPr>
                    <w:pStyle w:val="Compact"/>
                    <w:jc w:val="center"/>
                  </w:pPr>
                  <w:r>
                    <w:t xml:space="preserve">7.5</w:t>
                  </w:r>
                </w:p>
              </w:tc>
              <w:tc>
                <w:tcPr/>
                <w:p>
                  <w:pPr>
                    <w:pStyle w:val="Compact"/>
                    <w:jc w:val="center"/>
                  </w:pPr>
                  <w:r>
                    <w:t xml:space="preserve">2.6</w:t>
                  </w:r>
                </w:p>
              </w:tc>
              <w:tc>
                <w:tcPr/>
                <w:p>
                  <w:pPr>
                    <w:pStyle w:val="Compact"/>
                    <w:jc w:val="center"/>
                  </w:pPr>
                  <w:r>
                    <w:t xml:space="preserve">5.5</w:t>
                  </w:r>
                </w:p>
              </w:tc>
              <w:tc>
                <w:tcPr/>
                <w:p>
                  <w:pPr>
                    <w:pStyle w:val="Compact"/>
                    <w:jc w:val="center"/>
                  </w:pPr>
                  <w:r>
                    <w:t xml:space="preserve">175</w:t>
                  </w:r>
                </w:p>
              </w:tc>
              <w:tc>
                <w:tcPr/>
                <w:p>
                  <w:pPr>
                    <w:pStyle w:val="Compact"/>
                    <w:jc w:val="center"/>
                  </w:pPr>
                  <w:r>
                    <w:t xml:space="preserve">9.74</w:t>
                  </w:r>
                </w:p>
              </w:tc>
              <w:tc>
                <w:tcPr/>
                <w:p>
                  <w:pPr>
                    <w:pStyle w:val="Compact"/>
                    <w:jc w:val="center"/>
                  </w:pPr>
                  <w:r>
                    <w:t xml:space="preserve">6.47</w:t>
                  </w:r>
                </w:p>
              </w:tc>
              <w:tc>
                <w:tcPr/>
                <w:p>
                  <w:pPr>
                    <w:pStyle w:val="Compact"/>
                    <w:jc w:val="center"/>
                  </w:pPr>
                  <w:r>
                    <w:t xml:space="preserve">5.06</w:t>
                  </w:r>
                </w:p>
              </w:tc>
              <w:tc>
                <w:tcPr/>
                <w:p>
                  <w:pPr>
                    <w:pStyle w:val="Compact"/>
                    <w:jc w:val="center"/>
                  </w:pPr>
                  <w:r>
                    <w:t xml:space="preserve">95.9</w:t>
                  </w:r>
                </w:p>
              </w:tc>
              <w:tc>
                <w:tcPr/>
                <w:p>
                  <w:pPr>
                    <w:pStyle w:val="Compact"/>
                    <w:jc w:val="center"/>
                  </w:pPr>
                  <w:r>
                    <w:t xml:space="preserve">0.70</w:t>
                  </w:r>
                </w:p>
              </w:tc>
            </w:tr>
            <w:tr>
              <w:tc>
                <w:tcPr>
                  <w:gridSpan w:val="11"/>
                </w:tcPr>
                <w:p>
                  <w:pPr>
                    <w:pStyle w:val="Compact"/>
                    <w:jc w:val="center"/>
                  </w:pPr>
                  <w:r>
                    <w:t xml:space="preserve">Factors: A, load pH. B, equil/Wash-1 conductivity. C, load conductivity. D, protein load.</w:t>
                  </w:r>
                </w:p>
              </w:tc>
            </w:tr>
            <w:tr>
              <w:tc>
                <w:tcPr>
                  <w:gridSpan w:val="11"/>
                </w:tcPr>
                <w:p>
                  <w:pPr>
                    <w:pStyle w:val="Compact"/>
                    <w:jc w:val="center"/>
                  </w:pPr>
                  <w:r>
                    <w:t xml:space="preserve">Not tested in this design: LMW by nrCE-SDS.</w:t>
                  </w:r>
                </w:p>
              </w:tc>
            </w:tr>
          </w:tbl>
          <w:bookmarkEnd w:id="160"/>
          <w:p/>
        </w:tc>
      </w:tr>
    </w:tbl>
    <w:bookmarkEnd w:id="161"/>
    <w:bookmarkStart w:id="164" w:name="Xa2fac5041b4173f7385fa99ae36b1e5b6f06fdd"/>
    <w:p>
      <w:pPr>
        <w:pStyle w:val="Heading1"/>
      </w:pPr>
      <w:r>
        <w:t xml:space="preserve">Appendix C — Full effect and coefficient tables</w:t>
      </w:r>
    </w:p>
    <w:p>
      <w:pPr>
        <w:pStyle w:val="FirstParagraph"/>
      </w:pPr>
      <w:hyperlink w:anchor="tbl-effects-all">
        <w:r>
          <w:rPr>
            <w:rStyle w:val="Hyperlink"/>
          </w:rPr>
          <w:t xml:space="preserve">Table 33</w:t>
        </w:r>
      </w:hyperlink>
      <w:r>
        <w:t xml:space="preserve"> </w:t>
      </w:r>
      <w:r>
        <w:t xml:space="preserve">gives every screening effect of every output, and</w:t>
      </w:r>
      <w:r>
        <w:t xml:space="preserve"> </w:t>
      </w:r>
      <w:hyperlink w:anchor="tbl-coef-rest">
        <w:r>
          <w:rPr>
            <w:rStyle w:val="Hyperlink"/>
          </w:rPr>
          <w:t xml:space="preserve">Table 34</w:t>
        </w:r>
      </w:hyperlink>
      <w:r>
        <w:t xml:space="preserve"> </w:t>
      </w:r>
      <w:r>
        <w:t xml:space="preserve">the coefficients of the selected models of step yield and fragments, which contain no term besides the block.</w:t>
      </w:r>
    </w:p>
    <w:tbl>
      <w:tblPr>
        <w:tblStyle w:val="Table"/>
        <w:tblW w:type="pct" w:w="5000"/>
        <w:tblLayout w:type="fixed"/>
        <w:tblLook w:firstRow="0" w:lastRow="0" w:firstColumn="0" w:lastColumn="0" w:noHBand="0" w:noVBand="0" w:val="0000"/>
      </w:tblPr>
      <w:tblGrid>
        <w:gridCol w:w="7920"/>
      </w:tblGrid>
      <w:tr>
        <w:tc>
          <w:tcPr/>
          <w:bookmarkStart w:id="162" w:name="tbl-effects-all"/>
          <w:p>
            <w:pPr>
              <w:jc w:val="center"/>
            </w:pPr>
            <w:pPr>
              <w:jc w:val="start"/>
              <w:spacing w:before="200"/>
              <w:pStyle w:val="ImageCaption"/>
            </w:pPr>
            <w:r>
              <w:t xml:space="preserve">Table 33: Screening effects of every anion exchange output.</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w:t>
                  </w:r>
                </w:p>
              </w:tc>
            </w:tr>
            <w:tr>
              <w:tc>
                <w:tcPr>
                  <w:vMerge w:val="restart"/>
                </w:tcPr>
                <w:p>
                  <w:pPr>
                    <w:pStyle w:val="Compact"/>
                    <w:jc w:val="center"/>
                  </w:pPr>
                  <w:r>
                    <w:t xml:space="preserve">Pool host cell protein (ng/mg)</w:t>
                  </w:r>
                </w:p>
              </w:tc>
              <w:tc>
                <w:tcPr/>
                <w:p>
                  <w:pPr>
                    <w:pStyle w:val="Compact"/>
                    <w:jc w:val="center"/>
                  </w:pPr>
                  <w:r>
                    <w:t xml:space="preserve">B</w:t>
                  </w:r>
                </w:p>
              </w:tc>
              <w:tc>
                <w:tcPr/>
                <w:p>
                  <w:pPr>
                    <w:pStyle w:val="Compact"/>
                    <w:jc w:val="center"/>
                  </w:pPr>
                  <w:r>
                    <w:t xml:space="preserve">12.086</w:t>
                  </w:r>
                </w:p>
              </w:tc>
              <w:tc>
                <w:tcPr/>
                <w:p>
                  <w:pPr>
                    <w:pStyle w:val="Compact"/>
                    <w:jc w:val="center"/>
                  </w:pPr>
                  <w:r>
                    <w:t xml:space="preserve">6.043</w:t>
                  </w:r>
                </w:p>
              </w:tc>
              <w:tc>
                <w:tcPr/>
                <w:p>
                  <w:pPr>
                    <w:pStyle w:val="Compact"/>
                    <w:jc w:val="center"/>
                  </w:pPr>
                  <w:r>
                    <w:t xml:space="preserve">0.613</w:t>
                  </w:r>
                </w:p>
              </w:tc>
              <w:tc>
                <w:tcPr/>
                <w:p>
                  <w:pPr>
                    <w:pStyle w:val="Compact"/>
                    <w:jc w:val="center"/>
                  </w:pPr>
                  <w:r>
                    <w:t xml:space="preserve">9.85</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−11.917</w:t>
                  </w:r>
                </w:p>
              </w:tc>
              <w:tc>
                <w:tcPr/>
                <w:p>
                  <w:pPr>
                    <w:pStyle w:val="Compact"/>
                    <w:jc w:val="center"/>
                  </w:pPr>
                  <w:r>
                    <w:t xml:space="preserve">−5.958</w:t>
                  </w:r>
                </w:p>
              </w:tc>
              <w:tc>
                <w:tcPr/>
                <w:p>
                  <w:pPr>
                    <w:pStyle w:val="Compact"/>
                    <w:jc w:val="center"/>
                  </w:pPr>
                  <w:r>
                    <w:t xml:space="preserve">0.613</w:t>
                  </w:r>
                </w:p>
              </w:tc>
              <w:tc>
                <w:tcPr/>
                <w:p>
                  <w:pPr>
                    <w:pStyle w:val="Compact"/>
                    <w:jc w:val="center"/>
                  </w:pPr>
                  <w:r>
                    <w:t xml:space="preserve">−9.72</w:t>
                  </w:r>
                </w:p>
              </w:tc>
              <w:tc>
                <w:tcPr/>
                <w:p>
                  <w:pPr>
                    <w:pStyle w:val="Compact"/>
                    <w:jc w:val="center"/>
                  </w:pPr>
                  <w:r>
                    <w:t xml:space="preserve">&lt; 0.001</w:t>
                  </w:r>
                </w:p>
              </w:tc>
            </w:tr>
            <w:tr>
              <w:tc>
                <w:tcPr>
                  <w:gridSpan w:val="1"/>
                  <w:vMerge w:val="continue"/>
                </w:tcPr>
                <w:p>
                  <w:pPr/>
                </w:p>
              </w:tc>
              <w:tc>
                <w:tcPr/>
                <w:p>
                  <w:pPr>
                    <w:pStyle w:val="Compact"/>
                    <w:jc w:val="center"/>
                  </w:pPr>
                  <w:r>
                    <w:t xml:space="preserve">AB</w:t>
                  </w:r>
                </w:p>
              </w:tc>
              <w:tc>
                <w:tcPr/>
                <w:p>
                  <w:pPr>
                    <w:pStyle w:val="Compact"/>
                    <w:jc w:val="center"/>
                  </w:pPr>
                  <w:r>
                    <w:t xml:space="preserve">−6.630</w:t>
                  </w:r>
                </w:p>
              </w:tc>
              <w:tc>
                <w:tcPr/>
                <w:p>
                  <w:pPr>
                    <w:pStyle w:val="Compact"/>
                    <w:jc w:val="center"/>
                  </w:pPr>
                  <w:r>
                    <w:t xml:space="preserve">−3.315</w:t>
                  </w:r>
                </w:p>
              </w:tc>
              <w:tc>
                <w:tcPr/>
                <w:p>
                  <w:pPr>
                    <w:pStyle w:val="Compact"/>
                    <w:jc w:val="center"/>
                  </w:pPr>
                  <w:r>
                    <w:t xml:space="preserve">0.613</w:t>
                  </w:r>
                </w:p>
              </w:tc>
              <w:tc>
                <w:tcPr/>
                <w:p>
                  <w:pPr>
                    <w:pStyle w:val="Compact"/>
                    <w:jc w:val="center"/>
                  </w:pPr>
                  <w:r>
                    <w:t xml:space="preserve">−5.41</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−1.658</w:t>
                  </w:r>
                </w:p>
              </w:tc>
              <w:tc>
                <w:tcPr/>
                <w:p>
                  <w:pPr>
                    <w:pStyle w:val="Compact"/>
                    <w:jc w:val="center"/>
                  </w:pPr>
                  <w:r>
                    <w:t xml:space="preserve">−0.829</w:t>
                  </w:r>
                </w:p>
              </w:tc>
              <w:tc>
                <w:tcPr/>
                <w:p>
                  <w:pPr>
                    <w:pStyle w:val="Compact"/>
                    <w:jc w:val="center"/>
                  </w:pPr>
                  <w:r>
                    <w:t xml:space="preserve">0.613</w:t>
                  </w:r>
                </w:p>
              </w:tc>
              <w:tc>
                <w:tcPr/>
                <w:p>
                  <w:pPr>
                    <w:pStyle w:val="Compact"/>
                    <w:jc w:val="center"/>
                  </w:pPr>
                  <w:r>
                    <w:t xml:space="preserve">−1.35</w:t>
                  </w:r>
                </w:p>
              </w:tc>
              <w:tc>
                <w:tcPr/>
                <w:p>
                  <w:pPr>
                    <w:pStyle w:val="Compact"/>
                    <w:jc w:val="center"/>
                  </w:pPr>
                  <w:r>
                    <w:t xml:space="preserve">0.213</w:t>
                  </w:r>
                </w:p>
              </w:tc>
            </w:tr>
            <w:tr>
              <w:tc>
                <w:tcPr>
                  <w:gridSpan w:val="1"/>
                  <w:vMerge w:val="continue"/>
                </w:tcPr>
                <w:p>
                  <w:pPr/>
                </w:p>
              </w:tc>
              <w:tc>
                <w:tcPr/>
                <w:p>
                  <w:pPr>
                    <w:pStyle w:val="Compact"/>
                    <w:jc w:val="center"/>
                  </w:pPr>
                  <w:r>
                    <w:t xml:space="preserve">AC</w:t>
                  </w:r>
                </w:p>
              </w:tc>
              <w:tc>
                <w:tcPr/>
                <w:p>
                  <w:pPr>
                    <w:pStyle w:val="Compact"/>
                    <w:jc w:val="center"/>
                  </w:pPr>
                  <w:r>
                    <w:t xml:space="preserve">1.655</w:t>
                  </w:r>
                </w:p>
              </w:tc>
              <w:tc>
                <w:tcPr/>
                <w:p>
                  <w:pPr>
                    <w:pStyle w:val="Compact"/>
                    <w:jc w:val="center"/>
                  </w:pPr>
                  <w:r>
                    <w:t xml:space="preserve">0.827</w:t>
                  </w:r>
                </w:p>
              </w:tc>
              <w:tc>
                <w:tcPr/>
                <w:p>
                  <w:pPr>
                    <w:pStyle w:val="Compact"/>
                    <w:jc w:val="center"/>
                  </w:pPr>
                  <w:r>
                    <w:t xml:space="preserve">0.613</w:t>
                  </w:r>
                </w:p>
              </w:tc>
              <w:tc>
                <w:tcPr/>
                <w:p>
                  <w:pPr>
                    <w:pStyle w:val="Compact"/>
                    <w:jc w:val="center"/>
                  </w:pPr>
                  <w:r>
                    <w:t xml:space="preserve">1.35</w:t>
                  </w:r>
                </w:p>
              </w:tc>
              <w:tc>
                <w:tcPr/>
                <w:p>
                  <w:pPr>
                    <w:pStyle w:val="Compact"/>
                    <w:jc w:val="center"/>
                  </w:pPr>
                  <w:r>
                    <w:t xml:space="preserve">0.214</w:t>
                  </w:r>
                </w:p>
              </w:tc>
            </w:tr>
            <w:tr>
              <w:tc>
                <w:tcPr>
                  <w:gridSpan w:val="1"/>
                  <w:vMerge w:val="continue"/>
                </w:tcPr>
                <w:p>
                  <w:pPr/>
                </w:p>
              </w:tc>
              <w:tc>
                <w:tcPr/>
                <w:p>
                  <w:pPr>
                    <w:pStyle w:val="Compact"/>
                    <w:jc w:val="center"/>
                  </w:pPr>
                  <w:r>
                    <w:t xml:space="preserve">BC</w:t>
                  </w:r>
                </w:p>
              </w:tc>
              <w:tc>
                <w:tcPr/>
                <w:p>
                  <w:pPr>
                    <w:pStyle w:val="Compact"/>
                    <w:jc w:val="center"/>
                  </w:pPr>
                  <w:r>
                    <w:t xml:space="preserve">−1.210</w:t>
                  </w:r>
                </w:p>
              </w:tc>
              <w:tc>
                <w:tcPr/>
                <w:p>
                  <w:pPr>
                    <w:pStyle w:val="Compact"/>
                    <w:jc w:val="center"/>
                  </w:pPr>
                  <w:r>
                    <w:t xml:space="preserve">−0.605</w:t>
                  </w:r>
                </w:p>
              </w:tc>
              <w:tc>
                <w:tcPr/>
                <w:p>
                  <w:pPr>
                    <w:pStyle w:val="Compact"/>
                    <w:jc w:val="center"/>
                  </w:pPr>
                  <w:r>
                    <w:t xml:space="preserve">0.613</w:t>
                  </w:r>
                </w:p>
              </w:tc>
              <w:tc>
                <w:tcPr/>
                <w:p>
                  <w:pPr>
                    <w:pStyle w:val="Compact"/>
                    <w:jc w:val="center"/>
                  </w:pPr>
                  <w:r>
                    <w:t xml:space="preserve">−0.99</w:t>
                  </w:r>
                </w:p>
              </w:tc>
              <w:tc>
                <w:tcPr/>
                <w:p>
                  <w:pPr>
                    <w:pStyle w:val="Compact"/>
                    <w:jc w:val="center"/>
                  </w:pPr>
                  <w:r>
                    <w:t xml:space="preserve">0.353</w:t>
                  </w:r>
                </w:p>
              </w:tc>
            </w:tr>
            <w:tr>
              <w:tc>
                <w:tcPr>
                  <w:gridSpan w:val="1"/>
                  <w:vMerge w:val="continue"/>
                </w:tcPr>
                <w:p>
                  <w:pPr/>
                </w:p>
              </w:tc>
              <w:tc>
                <w:tcPr/>
                <w:p>
                  <w:pPr>
                    <w:pStyle w:val="Compact"/>
                    <w:jc w:val="center"/>
                  </w:pPr>
                  <w:r>
                    <w:t xml:space="preserve">D</w:t>
                  </w:r>
                </w:p>
              </w:tc>
              <w:tc>
                <w:tcPr/>
                <w:p>
                  <w:pPr>
                    <w:pStyle w:val="Compact"/>
                    <w:jc w:val="center"/>
                  </w:pPr>
                  <w:r>
                    <w:t xml:space="preserve">0.885</w:t>
                  </w:r>
                </w:p>
              </w:tc>
              <w:tc>
                <w:tcPr/>
                <w:p>
                  <w:pPr>
                    <w:pStyle w:val="Compact"/>
                    <w:jc w:val="center"/>
                  </w:pPr>
                  <w:r>
                    <w:t xml:space="preserve">0.443</w:t>
                  </w:r>
                </w:p>
              </w:tc>
              <w:tc>
                <w:tcPr/>
                <w:p>
                  <w:pPr>
                    <w:pStyle w:val="Compact"/>
                    <w:jc w:val="center"/>
                  </w:pPr>
                  <w:r>
                    <w:t xml:space="preserve">0.613</w:t>
                  </w:r>
                </w:p>
              </w:tc>
              <w:tc>
                <w:tcPr/>
                <w:p>
                  <w:pPr>
                    <w:pStyle w:val="Compact"/>
                    <w:jc w:val="center"/>
                  </w:pPr>
                  <w:r>
                    <w:t xml:space="preserve">0.72</w:t>
                  </w:r>
                </w:p>
              </w:tc>
              <w:tc>
                <w:tcPr/>
                <w:p>
                  <w:pPr>
                    <w:pStyle w:val="Compact"/>
                    <w:jc w:val="center"/>
                  </w:pPr>
                  <w:r>
                    <w:t xml:space="preserve">0.491</w:t>
                  </w:r>
                </w:p>
              </w:tc>
            </w:tr>
            <w:tr>
              <w:tc>
                <w:tcPr>
                  <w:gridSpan w:val="1"/>
                  <w:vMerge w:val="continue"/>
                </w:tcPr>
                <w:p>
                  <w:pPr/>
                </w:p>
              </w:tc>
              <w:tc>
                <w:tcPr/>
                <w:p>
                  <w:pPr>
                    <w:pStyle w:val="Compact"/>
                    <w:jc w:val="center"/>
                  </w:pPr>
                  <w:r>
                    <w:t xml:space="preserve">AD</w:t>
                  </w:r>
                </w:p>
              </w:tc>
              <w:tc>
                <w:tcPr/>
                <w:p>
                  <w:pPr>
                    <w:pStyle w:val="Compact"/>
                    <w:jc w:val="center"/>
                  </w:pPr>
                  <w:r>
                    <w:t xml:space="preserve">−0.498</w:t>
                  </w:r>
                </w:p>
              </w:tc>
              <w:tc>
                <w:tcPr/>
                <w:p>
                  <w:pPr>
                    <w:pStyle w:val="Compact"/>
                    <w:jc w:val="center"/>
                  </w:pPr>
                  <w:r>
                    <w:t xml:space="preserve">−0.249</w:t>
                  </w:r>
                </w:p>
              </w:tc>
              <w:tc>
                <w:tcPr/>
                <w:p>
                  <w:pPr>
                    <w:pStyle w:val="Compact"/>
                    <w:jc w:val="center"/>
                  </w:pPr>
                  <w:r>
                    <w:t xml:space="preserve">0.613</w:t>
                  </w:r>
                </w:p>
              </w:tc>
              <w:tc>
                <w:tcPr/>
                <w:p>
                  <w:pPr>
                    <w:pStyle w:val="Compact"/>
                    <w:jc w:val="center"/>
                  </w:pPr>
                  <w:r>
                    <w:t xml:space="preserve">−0.41</w:t>
                  </w:r>
                </w:p>
              </w:tc>
              <w:tc>
                <w:tcPr/>
                <w:p>
                  <w:pPr>
                    <w:pStyle w:val="Compact"/>
                    <w:jc w:val="center"/>
                  </w:pPr>
                  <w:r>
                    <w:t xml:space="preserve">0.696</w:t>
                  </w:r>
                </w:p>
              </w:tc>
            </w:tr>
            <w:tr>
              <w:tc>
                <w:tcPr>
                  <w:gridSpan w:val="1"/>
                  <w:vMerge w:val="continue"/>
                </w:tcPr>
                <w:p>
                  <w:pPr/>
                </w:p>
              </w:tc>
              <w:tc>
                <w:tcPr/>
                <w:p>
                  <w:pPr>
                    <w:pStyle w:val="Compact"/>
                    <w:jc w:val="center"/>
                  </w:pPr>
                  <w:r>
                    <w:t xml:space="preserve">CD</w:t>
                  </w:r>
                </w:p>
              </w:tc>
              <w:tc>
                <w:tcPr/>
                <w:p>
                  <w:pPr>
                    <w:pStyle w:val="Compact"/>
                    <w:jc w:val="center"/>
                  </w:pPr>
                  <w:r>
                    <w:t xml:space="preserve">0.261</w:t>
                  </w:r>
                </w:p>
              </w:tc>
              <w:tc>
                <w:tcPr/>
                <w:p>
                  <w:pPr>
                    <w:pStyle w:val="Compact"/>
                    <w:jc w:val="center"/>
                  </w:pPr>
                  <w:r>
                    <w:t xml:space="preserve">0.130</w:t>
                  </w:r>
                </w:p>
              </w:tc>
              <w:tc>
                <w:tcPr/>
                <w:p>
                  <w:pPr>
                    <w:pStyle w:val="Compact"/>
                    <w:jc w:val="center"/>
                  </w:pPr>
                  <w:r>
                    <w:t xml:space="preserve">0.613</w:t>
                  </w:r>
                </w:p>
              </w:tc>
              <w:tc>
                <w:tcPr/>
                <w:p>
                  <w:pPr>
                    <w:pStyle w:val="Compact"/>
                    <w:jc w:val="center"/>
                  </w:pPr>
                  <w:r>
                    <w:t xml:space="preserve">0.21</w:t>
                  </w:r>
                </w:p>
              </w:tc>
              <w:tc>
                <w:tcPr/>
                <w:p>
                  <w:pPr>
                    <w:pStyle w:val="Compact"/>
                    <w:jc w:val="center"/>
                  </w:pPr>
                  <w:r>
                    <w:t xml:space="preserve">0.837</w:t>
                  </w:r>
                </w:p>
              </w:tc>
            </w:tr>
            <w:tr>
              <w:tc>
                <w:tcPr>
                  <w:gridSpan w:val="1"/>
                  <w:vMerge w:val="continue"/>
                </w:tcPr>
                <w:p>
                  <w:pPr/>
                </w:p>
              </w:tc>
              <w:tc>
                <w:tcPr/>
                <w:p>
                  <w:pPr>
                    <w:pStyle w:val="Compact"/>
                    <w:jc w:val="center"/>
                  </w:pPr>
                  <w:r>
                    <w:t xml:space="preserve">BD</w:t>
                  </w:r>
                </w:p>
              </w:tc>
              <w:tc>
                <w:tcPr/>
                <w:p>
                  <w:pPr>
                    <w:pStyle w:val="Compact"/>
                    <w:jc w:val="center"/>
                  </w:pPr>
                  <w:r>
                    <w:t xml:space="preserve">0.224</w:t>
                  </w:r>
                </w:p>
              </w:tc>
              <w:tc>
                <w:tcPr/>
                <w:p>
                  <w:pPr>
                    <w:pStyle w:val="Compact"/>
                    <w:jc w:val="center"/>
                  </w:pPr>
                  <w:r>
                    <w:t xml:space="preserve">0.112</w:t>
                  </w:r>
                </w:p>
              </w:tc>
              <w:tc>
                <w:tcPr/>
                <w:p>
                  <w:pPr>
                    <w:pStyle w:val="Compact"/>
                    <w:jc w:val="center"/>
                  </w:pPr>
                  <w:r>
                    <w:t xml:space="preserve">0.613</w:t>
                  </w:r>
                </w:p>
              </w:tc>
              <w:tc>
                <w:tcPr/>
                <w:p>
                  <w:pPr>
                    <w:pStyle w:val="Compact"/>
                    <w:jc w:val="center"/>
                  </w:pPr>
                  <w:r>
                    <w:t xml:space="preserve">0.18</w:t>
                  </w:r>
                </w:p>
              </w:tc>
              <w:tc>
                <w:tcPr/>
                <w:p>
                  <w:pPr>
                    <w:pStyle w:val="Compact"/>
                    <w:jc w:val="center"/>
                  </w:pPr>
                  <w:r>
                    <w:t xml:space="preserve">0.860</w:t>
                  </w:r>
                </w:p>
              </w:tc>
            </w:tr>
            <w:tr>
              <w:tc>
                <w:tcPr>
                  <w:vMerge w:val="restart"/>
                </w:tcPr>
                <w:p>
                  <w:pPr>
                    <w:pStyle w:val="Compact"/>
                    <w:jc w:val="center"/>
                  </w:pPr>
                  <w:r>
                    <w:t xml:space="preserve">XMuLV LRF (log10)</w:t>
                  </w:r>
                </w:p>
              </w:tc>
              <w:tc>
                <w:tcPr/>
                <w:p>
                  <w:pPr>
                    <w:pStyle w:val="Compact"/>
                    <w:jc w:val="center"/>
                  </w:pPr>
                  <w:r>
                    <w:t xml:space="preserve">A</w:t>
                  </w:r>
                </w:p>
              </w:tc>
              <w:tc>
                <w:tcPr/>
                <w:p>
                  <w:pPr>
                    <w:pStyle w:val="Compact"/>
                    <w:jc w:val="center"/>
                  </w:pPr>
                  <w:r>
                    <w:t xml:space="preserve">1.001</w:t>
                  </w:r>
                </w:p>
              </w:tc>
              <w:tc>
                <w:tcPr/>
                <w:p>
                  <w:pPr>
                    <w:pStyle w:val="Compact"/>
                    <w:jc w:val="center"/>
                  </w:pPr>
                  <w:r>
                    <w:t xml:space="preserve">0.501</w:t>
                  </w:r>
                </w:p>
              </w:tc>
              <w:tc>
                <w:tcPr/>
                <w:p>
                  <w:pPr>
                    <w:pStyle w:val="Compact"/>
                    <w:jc w:val="center"/>
                  </w:pPr>
                  <w:r>
                    <w:t xml:space="preserve">0.098</w:t>
                  </w:r>
                </w:p>
              </w:tc>
              <w:tc>
                <w:tcPr/>
                <w:p>
                  <w:pPr>
                    <w:pStyle w:val="Compact"/>
                    <w:jc w:val="center"/>
                  </w:pPr>
                  <w:r>
                    <w:t xml:space="preserve">5.10</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−0.605</w:t>
                  </w:r>
                </w:p>
              </w:tc>
              <w:tc>
                <w:tcPr/>
                <w:p>
                  <w:pPr>
                    <w:pStyle w:val="Compact"/>
                    <w:jc w:val="center"/>
                  </w:pPr>
                  <w:r>
                    <w:t xml:space="preserve">−0.302</w:t>
                  </w:r>
                </w:p>
              </w:tc>
              <w:tc>
                <w:tcPr/>
                <w:p>
                  <w:pPr>
                    <w:pStyle w:val="Compact"/>
                    <w:jc w:val="center"/>
                  </w:pPr>
                  <w:r>
                    <w:t xml:space="preserve">0.098</w:t>
                  </w:r>
                </w:p>
              </w:tc>
              <w:tc>
                <w:tcPr/>
                <w:p>
                  <w:pPr>
                    <w:pStyle w:val="Compact"/>
                    <w:jc w:val="center"/>
                  </w:pPr>
                  <w:r>
                    <w:t xml:space="preserve">−3.08</w:t>
                  </w:r>
                </w:p>
              </w:tc>
              <w:tc>
                <w:tcPr/>
                <w:p>
                  <w:pPr>
                    <w:pStyle w:val="Compact"/>
                    <w:jc w:val="center"/>
                  </w:pPr>
                  <w:r>
                    <w:t xml:space="preserve">0.015</w:t>
                  </w:r>
                </w:p>
              </w:tc>
            </w:tr>
            <w:tr>
              <w:tc>
                <w:tcPr>
                  <w:gridSpan w:val="1"/>
                  <w:vMerge w:val="continue"/>
                </w:tcPr>
                <w:p>
                  <w:pPr/>
                </w:p>
              </w:tc>
              <w:tc>
                <w:tcPr/>
                <w:p>
                  <w:pPr>
                    <w:pStyle w:val="Compact"/>
                    <w:jc w:val="center"/>
                  </w:pPr>
                  <w:r>
                    <w:t xml:space="preserve">D</w:t>
                  </w:r>
                </w:p>
              </w:tc>
              <w:tc>
                <w:tcPr/>
                <w:p>
                  <w:pPr>
                    <w:pStyle w:val="Compact"/>
                    <w:jc w:val="center"/>
                  </w:pPr>
                  <w:r>
                    <w:t xml:space="preserve">0.268</w:t>
                  </w:r>
                </w:p>
              </w:tc>
              <w:tc>
                <w:tcPr/>
                <w:p>
                  <w:pPr>
                    <w:pStyle w:val="Compact"/>
                    <w:jc w:val="center"/>
                  </w:pPr>
                  <w:r>
                    <w:t xml:space="preserve">0.134</w:t>
                  </w:r>
                </w:p>
              </w:tc>
              <w:tc>
                <w:tcPr/>
                <w:p>
                  <w:pPr>
                    <w:pStyle w:val="Compact"/>
                    <w:jc w:val="center"/>
                  </w:pPr>
                  <w:r>
                    <w:t xml:space="preserve">0.098</w:t>
                  </w:r>
                </w:p>
              </w:tc>
              <w:tc>
                <w:tcPr/>
                <w:p>
                  <w:pPr>
                    <w:pStyle w:val="Compact"/>
                    <w:jc w:val="center"/>
                  </w:pPr>
                  <w:r>
                    <w:t xml:space="preserve">1.37</w:t>
                  </w:r>
                </w:p>
              </w:tc>
              <w:tc>
                <w:tcPr/>
                <w:p>
                  <w:pPr>
                    <w:pStyle w:val="Compact"/>
                    <w:jc w:val="center"/>
                  </w:pPr>
                  <w:r>
                    <w:t xml:space="preserve">0.209</w:t>
                  </w:r>
                </w:p>
              </w:tc>
            </w:tr>
            <w:tr>
              <w:tc>
                <w:tcPr>
                  <w:gridSpan w:val="1"/>
                  <w:vMerge w:val="continue"/>
                </w:tcPr>
                <w:p>
                  <w:pPr/>
                </w:p>
              </w:tc>
              <w:tc>
                <w:tcPr/>
                <w:p>
                  <w:pPr>
                    <w:pStyle w:val="Compact"/>
                    <w:jc w:val="center"/>
                  </w:pPr>
                  <w:r>
                    <w:t xml:space="preserve">CD</w:t>
                  </w:r>
                </w:p>
              </w:tc>
              <w:tc>
                <w:tcPr/>
                <w:p>
                  <w:pPr>
                    <w:pStyle w:val="Compact"/>
                    <w:jc w:val="center"/>
                  </w:pPr>
                  <w:r>
                    <w:t xml:space="preserve">−0.255</w:t>
                  </w:r>
                </w:p>
              </w:tc>
              <w:tc>
                <w:tcPr/>
                <w:p>
                  <w:pPr>
                    <w:pStyle w:val="Compact"/>
                    <w:jc w:val="center"/>
                  </w:pPr>
                  <w:r>
                    <w:t xml:space="preserve">−0.128</w:t>
                  </w:r>
                </w:p>
              </w:tc>
              <w:tc>
                <w:tcPr/>
                <w:p>
                  <w:pPr>
                    <w:pStyle w:val="Compact"/>
                    <w:jc w:val="center"/>
                  </w:pPr>
                  <w:r>
                    <w:t xml:space="preserve">0.098</w:t>
                  </w:r>
                </w:p>
              </w:tc>
              <w:tc>
                <w:tcPr/>
                <w:p>
                  <w:pPr>
                    <w:pStyle w:val="Compact"/>
                    <w:jc w:val="center"/>
                  </w:pPr>
                  <w:r>
                    <w:t xml:space="preserve">−1.30</w:t>
                  </w:r>
                </w:p>
              </w:tc>
              <w:tc>
                <w:tcPr/>
                <w:p>
                  <w:pPr>
                    <w:pStyle w:val="Compact"/>
                    <w:jc w:val="center"/>
                  </w:pPr>
                  <w:r>
                    <w:t xml:space="preserve">0.230</w:t>
                  </w:r>
                </w:p>
              </w:tc>
            </w:tr>
            <w:tr>
              <w:tc>
                <w:tcPr>
                  <w:gridSpan w:val="1"/>
                  <w:vMerge w:val="continue"/>
                </w:tcPr>
                <w:p>
                  <w:pPr/>
                </w:p>
              </w:tc>
              <w:tc>
                <w:tcPr/>
                <w:p>
                  <w:pPr>
                    <w:pStyle w:val="Compact"/>
                    <w:jc w:val="center"/>
                  </w:pPr>
                  <w:r>
                    <w:t xml:space="preserve">AD</w:t>
                  </w:r>
                </w:p>
              </w:tc>
              <w:tc>
                <w:tcPr/>
                <w:p>
                  <w:pPr>
                    <w:pStyle w:val="Compact"/>
                    <w:jc w:val="center"/>
                  </w:pPr>
                  <w:r>
                    <w:t xml:space="preserve">0.250</w:t>
                  </w:r>
                </w:p>
              </w:tc>
              <w:tc>
                <w:tcPr/>
                <w:p>
                  <w:pPr>
                    <w:pStyle w:val="Compact"/>
                    <w:jc w:val="center"/>
                  </w:pPr>
                  <w:r>
                    <w:t xml:space="preserve">0.125</w:t>
                  </w:r>
                </w:p>
              </w:tc>
              <w:tc>
                <w:tcPr/>
                <w:p>
                  <w:pPr>
                    <w:pStyle w:val="Compact"/>
                    <w:jc w:val="center"/>
                  </w:pPr>
                  <w:r>
                    <w:t xml:space="preserve">0.098</w:t>
                  </w:r>
                </w:p>
              </w:tc>
              <w:tc>
                <w:tcPr/>
                <w:p>
                  <w:pPr>
                    <w:pStyle w:val="Compact"/>
                    <w:jc w:val="center"/>
                  </w:pPr>
                  <w:r>
                    <w:t xml:space="preserve">1.27</w:t>
                  </w:r>
                </w:p>
              </w:tc>
              <w:tc>
                <w:tcPr/>
                <w:p>
                  <w:pPr>
                    <w:pStyle w:val="Compact"/>
                    <w:jc w:val="center"/>
                  </w:pPr>
                  <w:r>
                    <w:t xml:space="preserve">0.240</w:t>
                  </w:r>
                </w:p>
              </w:tc>
            </w:tr>
            <w:tr>
              <w:tc>
                <w:tcPr>
                  <w:gridSpan w:val="1"/>
                  <w:vMerge w:val="continue"/>
                </w:tcPr>
                <w:p>
                  <w:pPr/>
                </w:p>
              </w:tc>
              <w:tc>
                <w:tcPr/>
                <w:p>
                  <w:pPr>
                    <w:pStyle w:val="Compact"/>
                    <w:jc w:val="center"/>
                  </w:pPr>
                  <w:r>
                    <w:t xml:space="preserve">B</w:t>
                  </w:r>
                </w:p>
              </w:tc>
              <w:tc>
                <w:tcPr/>
                <w:p>
                  <w:pPr>
                    <w:pStyle w:val="Compact"/>
                    <w:jc w:val="center"/>
                  </w:pPr>
                  <w:r>
                    <w:t xml:space="preserve">0.198</w:t>
                  </w:r>
                </w:p>
              </w:tc>
              <w:tc>
                <w:tcPr/>
                <w:p>
                  <w:pPr>
                    <w:pStyle w:val="Compact"/>
                    <w:jc w:val="center"/>
                  </w:pPr>
                  <w:r>
                    <w:t xml:space="preserve">0.099</w:t>
                  </w:r>
                </w:p>
              </w:tc>
              <w:tc>
                <w:tcPr/>
                <w:p>
                  <w:pPr>
                    <w:pStyle w:val="Compact"/>
                    <w:jc w:val="center"/>
                  </w:pPr>
                  <w:r>
                    <w:t xml:space="preserve">0.098</w:t>
                  </w:r>
                </w:p>
              </w:tc>
              <w:tc>
                <w:tcPr/>
                <w:p>
                  <w:pPr>
                    <w:pStyle w:val="Compact"/>
                    <w:jc w:val="center"/>
                  </w:pPr>
                  <w:r>
                    <w:t xml:space="preserve">1.01</w:t>
                  </w:r>
                </w:p>
              </w:tc>
              <w:tc>
                <w:tcPr/>
                <w:p>
                  <w:pPr>
                    <w:pStyle w:val="Compact"/>
                    <w:jc w:val="center"/>
                  </w:pPr>
                  <w:r>
                    <w:t xml:space="preserve">0.342</w:t>
                  </w:r>
                </w:p>
              </w:tc>
            </w:tr>
            <w:tr>
              <w:tc>
                <w:tcPr>
                  <w:gridSpan w:val="1"/>
                  <w:vMerge w:val="continue"/>
                </w:tcPr>
                <w:p>
                  <w:pPr/>
                </w:p>
              </w:tc>
              <w:tc>
                <w:tcPr/>
                <w:p>
                  <w:pPr>
                    <w:pStyle w:val="Compact"/>
                    <w:jc w:val="center"/>
                  </w:pPr>
                  <w:r>
                    <w:t xml:space="preserve">BD</w:t>
                  </w:r>
                </w:p>
              </w:tc>
              <w:tc>
                <w:tcPr/>
                <w:p>
                  <w:pPr>
                    <w:pStyle w:val="Compact"/>
                    <w:jc w:val="center"/>
                  </w:pPr>
                  <w:r>
                    <w:t xml:space="preserve">0.126</w:t>
                  </w:r>
                </w:p>
              </w:tc>
              <w:tc>
                <w:tcPr/>
                <w:p>
                  <w:pPr>
                    <w:pStyle w:val="Compact"/>
                    <w:jc w:val="center"/>
                  </w:pPr>
                  <w:r>
                    <w:t xml:space="preserve">0.063</w:t>
                  </w:r>
                </w:p>
              </w:tc>
              <w:tc>
                <w:tcPr/>
                <w:p>
                  <w:pPr>
                    <w:pStyle w:val="Compact"/>
                    <w:jc w:val="center"/>
                  </w:pPr>
                  <w:r>
                    <w:t xml:space="preserve">0.098</w:t>
                  </w:r>
                </w:p>
              </w:tc>
              <w:tc>
                <w:tcPr/>
                <w:p>
                  <w:pPr>
                    <w:pStyle w:val="Compact"/>
                    <w:jc w:val="center"/>
                  </w:pPr>
                  <w:r>
                    <w:t xml:space="preserve">0.64</w:t>
                  </w:r>
                </w:p>
              </w:tc>
              <w:tc>
                <w:tcPr/>
                <w:p>
                  <w:pPr>
                    <w:pStyle w:val="Compact"/>
                    <w:jc w:val="center"/>
                  </w:pPr>
                  <w:r>
                    <w:t xml:space="preserve">0.538</w:t>
                  </w:r>
                </w:p>
              </w:tc>
            </w:tr>
            <w:tr>
              <w:tc>
                <w:tcPr>
                  <w:gridSpan w:val="1"/>
                  <w:vMerge w:val="continue"/>
                </w:tcPr>
                <w:p>
                  <w:pPr/>
                </w:p>
              </w:tc>
              <w:tc>
                <w:tcPr/>
                <w:p>
                  <w:pPr>
                    <w:pStyle w:val="Compact"/>
                    <w:jc w:val="center"/>
                  </w:pPr>
                  <w:r>
                    <w:t xml:space="preserve">AC</w:t>
                  </w:r>
                </w:p>
              </w:tc>
              <w:tc>
                <w:tcPr/>
                <w:p>
                  <w:pPr>
                    <w:pStyle w:val="Compact"/>
                    <w:jc w:val="center"/>
                  </w:pPr>
                  <w:r>
                    <w:t xml:space="preserve">−0.097</w:t>
                  </w:r>
                </w:p>
              </w:tc>
              <w:tc>
                <w:tcPr/>
                <w:p>
                  <w:pPr>
                    <w:pStyle w:val="Compact"/>
                    <w:jc w:val="center"/>
                  </w:pPr>
                  <w:r>
                    <w:t xml:space="preserve">−0.048</w:t>
                  </w:r>
                </w:p>
              </w:tc>
              <w:tc>
                <w:tcPr/>
                <w:p>
                  <w:pPr>
                    <w:pStyle w:val="Compact"/>
                    <w:jc w:val="center"/>
                  </w:pPr>
                  <w:r>
                    <w:t xml:space="preserve">0.098</w:t>
                  </w:r>
                </w:p>
              </w:tc>
              <w:tc>
                <w:tcPr/>
                <w:p>
                  <w:pPr>
                    <w:pStyle w:val="Compact"/>
                    <w:jc w:val="center"/>
                  </w:pPr>
                  <w:r>
                    <w:t xml:space="preserve">−0.49</w:t>
                  </w:r>
                </w:p>
              </w:tc>
              <w:tc>
                <w:tcPr/>
                <w:p>
                  <w:pPr>
                    <w:pStyle w:val="Compact"/>
                    <w:jc w:val="center"/>
                  </w:pPr>
                  <w:r>
                    <w:t xml:space="preserve">0.635</w:t>
                  </w:r>
                </w:p>
              </w:tc>
            </w:tr>
            <w:tr>
              <w:tc>
                <w:tcPr>
                  <w:gridSpan w:val="1"/>
                  <w:vMerge w:val="continue"/>
                </w:tcPr>
                <w:p>
                  <w:pPr/>
                </w:p>
              </w:tc>
              <w:tc>
                <w:tcPr/>
                <w:p>
                  <w:pPr>
                    <w:pStyle w:val="Compact"/>
                    <w:jc w:val="center"/>
                  </w:pPr>
                  <w:r>
                    <w:t xml:space="preserve">AB</w:t>
                  </w:r>
                </w:p>
              </w:tc>
              <w:tc>
                <w:tcPr/>
                <w:p>
                  <w:pPr>
                    <w:pStyle w:val="Compact"/>
                    <w:jc w:val="center"/>
                  </w:pPr>
                  <w:r>
                    <w:t xml:space="preserve">−0.094</w:t>
                  </w:r>
                </w:p>
              </w:tc>
              <w:tc>
                <w:tcPr/>
                <w:p>
                  <w:pPr>
                    <w:pStyle w:val="Compact"/>
                    <w:jc w:val="center"/>
                  </w:pPr>
                  <w:r>
                    <w:t xml:space="preserve">−0.047</w:t>
                  </w:r>
                </w:p>
              </w:tc>
              <w:tc>
                <w:tcPr/>
                <w:p>
                  <w:pPr>
                    <w:pStyle w:val="Compact"/>
                    <w:jc w:val="center"/>
                  </w:pPr>
                  <w:r>
                    <w:t xml:space="preserve">0.098</w:t>
                  </w:r>
                </w:p>
              </w:tc>
              <w:tc>
                <w:tcPr/>
                <w:p>
                  <w:pPr>
                    <w:pStyle w:val="Compact"/>
                    <w:jc w:val="center"/>
                  </w:pPr>
                  <w:r>
                    <w:t xml:space="preserve">−0.48</w:t>
                  </w:r>
                </w:p>
              </w:tc>
              <w:tc>
                <w:tcPr/>
                <w:p>
                  <w:pPr>
                    <w:pStyle w:val="Compact"/>
                    <w:jc w:val="center"/>
                  </w:pPr>
                  <w:r>
                    <w:t xml:space="preserve">0.645</w:t>
                  </w:r>
                </w:p>
              </w:tc>
            </w:tr>
            <w:tr>
              <w:tc>
                <w:tcPr>
                  <w:gridSpan w:val="1"/>
                  <w:vMerge w:val="continue"/>
                </w:tcPr>
                <w:p>
                  <w:pPr/>
                </w:p>
              </w:tc>
              <w:tc>
                <w:tcPr/>
                <w:p>
                  <w:pPr>
                    <w:pStyle w:val="Compact"/>
                    <w:jc w:val="center"/>
                  </w:pPr>
                  <w:r>
                    <w:t xml:space="preserve">BC</w:t>
                  </w:r>
                </w:p>
              </w:tc>
              <w:tc>
                <w:tcPr/>
                <w:p>
                  <w:pPr>
                    <w:pStyle w:val="Compact"/>
                    <w:jc w:val="center"/>
                  </w:pPr>
                  <w:r>
                    <w:t xml:space="preserve">−0.017</w:t>
                  </w:r>
                </w:p>
              </w:tc>
              <w:tc>
                <w:tcPr/>
                <w:p>
                  <w:pPr>
                    <w:pStyle w:val="Compact"/>
                    <w:jc w:val="center"/>
                  </w:pPr>
                  <w:r>
                    <w:t xml:space="preserve">−0.008</w:t>
                  </w:r>
                </w:p>
              </w:tc>
              <w:tc>
                <w:tcPr/>
                <w:p>
                  <w:pPr>
                    <w:pStyle w:val="Compact"/>
                    <w:jc w:val="center"/>
                  </w:pPr>
                  <w:r>
                    <w:t xml:space="preserve">0.098</w:t>
                  </w:r>
                </w:p>
              </w:tc>
              <w:tc>
                <w:tcPr/>
                <w:p>
                  <w:pPr>
                    <w:pStyle w:val="Compact"/>
                    <w:jc w:val="center"/>
                  </w:pPr>
                  <w:r>
                    <w:t xml:space="preserve">−0.09</w:t>
                  </w:r>
                </w:p>
              </w:tc>
              <w:tc>
                <w:tcPr/>
                <w:p>
                  <w:pPr>
                    <w:pStyle w:val="Compact"/>
                    <w:jc w:val="center"/>
                  </w:pPr>
                  <w:r>
                    <w:t xml:space="preserve">0.934</w:t>
                  </w:r>
                </w:p>
              </w:tc>
            </w:tr>
            <w:tr>
              <w:tc>
                <w:tcPr>
                  <w:vMerge w:val="restart"/>
                </w:tcPr>
                <w:p>
                  <w:pPr>
                    <w:pStyle w:val="Compact"/>
                    <w:jc w:val="center"/>
                  </w:pPr>
                  <w:r>
                    <w:t xml:space="preserve">MVM LRF (log10)</w:t>
                  </w:r>
                </w:p>
              </w:tc>
              <w:tc>
                <w:tcPr/>
                <w:p>
                  <w:pPr>
                    <w:pStyle w:val="Compact"/>
                    <w:jc w:val="center"/>
                  </w:pPr>
                  <w:r>
                    <w:t xml:space="preserve">A</w:t>
                  </w:r>
                </w:p>
              </w:tc>
              <w:tc>
                <w:tcPr/>
                <w:p>
                  <w:pPr>
                    <w:pStyle w:val="Compact"/>
                    <w:jc w:val="center"/>
                  </w:pPr>
                  <w:r>
                    <w:t xml:space="preserve">1.220</w:t>
                  </w:r>
                </w:p>
              </w:tc>
              <w:tc>
                <w:tcPr/>
                <w:p>
                  <w:pPr>
                    <w:pStyle w:val="Compact"/>
                    <w:jc w:val="center"/>
                  </w:pPr>
                  <w:r>
                    <w:t xml:space="preserve">0.610</w:t>
                  </w:r>
                </w:p>
              </w:tc>
              <w:tc>
                <w:tcPr/>
                <w:p>
                  <w:pPr>
                    <w:pStyle w:val="Compact"/>
                    <w:jc w:val="center"/>
                  </w:pPr>
                  <w:r>
                    <w:t xml:space="preserve">0.045</w:t>
                  </w:r>
                </w:p>
              </w:tc>
              <w:tc>
                <w:tcPr/>
                <w:p>
                  <w:pPr>
                    <w:pStyle w:val="Compact"/>
                    <w:jc w:val="center"/>
                  </w:pPr>
                  <w:r>
                    <w:t xml:space="preserve">13.68</w:t>
                  </w:r>
                </w:p>
              </w:tc>
              <w:tc>
                <w:tcPr/>
                <w:p>
                  <w:pPr>
                    <w:pStyle w:val="Compact"/>
                    <w:jc w:val="center"/>
                  </w:pPr>
                  <w:r>
                    <w:t xml:space="preserve">&lt; 0.001</w:t>
                  </w:r>
                </w:p>
              </w:tc>
            </w:tr>
            <w:tr>
              <w:tc>
                <w:tcPr>
                  <w:gridSpan w:val="1"/>
                  <w:vMerge w:val="continue"/>
                </w:tcPr>
                <w:p>
                  <w:pPr/>
                </w:p>
              </w:tc>
              <w:tc>
                <w:tcPr/>
                <w:p>
                  <w:pPr>
                    <w:pStyle w:val="Compact"/>
                    <w:jc w:val="center"/>
                  </w:pPr>
                  <w:r>
                    <w:t xml:space="preserve">C</w:t>
                  </w:r>
                </w:p>
              </w:tc>
              <w:tc>
                <w:tcPr/>
                <w:p>
                  <w:pPr>
                    <w:pStyle w:val="Compact"/>
                    <w:jc w:val="center"/>
                  </w:pPr>
                  <w:r>
                    <w:t xml:space="preserve">−0.715</w:t>
                  </w:r>
                </w:p>
              </w:tc>
              <w:tc>
                <w:tcPr/>
                <w:p>
                  <w:pPr>
                    <w:pStyle w:val="Compact"/>
                    <w:jc w:val="center"/>
                  </w:pPr>
                  <w:r>
                    <w:t xml:space="preserve">−0.357</w:t>
                  </w:r>
                </w:p>
              </w:tc>
              <w:tc>
                <w:tcPr/>
                <w:p>
                  <w:pPr>
                    <w:pStyle w:val="Compact"/>
                    <w:jc w:val="center"/>
                  </w:pPr>
                  <w:r>
                    <w:t xml:space="preserve">0.045</w:t>
                  </w:r>
                </w:p>
              </w:tc>
              <w:tc>
                <w:tcPr/>
                <w:p>
                  <w:pPr>
                    <w:pStyle w:val="Compact"/>
                    <w:jc w:val="center"/>
                  </w:pPr>
                  <w:r>
                    <w:t xml:space="preserve">−8.01</w:t>
                  </w:r>
                </w:p>
              </w:tc>
              <w:tc>
                <w:tcPr/>
                <w:p>
                  <w:pPr>
                    <w:pStyle w:val="Compact"/>
                    <w:jc w:val="center"/>
                  </w:pPr>
                  <w:r>
                    <w:t xml:space="preserve">&lt; 0.001</w:t>
                  </w:r>
                </w:p>
              </w:tc>
            </w:tr>
            <w:tr>
              <w:tc>
                <w:tcPr>
                  <w:gridSpan w:val="1"/>
                  <w:vMerge w:val="continue"/>
                </w:tcPr>
                <w:p>
                  <w:pPr/>
                </w:p>
              </w:tc>
              <w:tc>
                <w:tcPr/>
                <w:p>
                  <w:pPr>
                    <w:pStyle w:val="Compact"/>
                    <w:jc w:val="center"/>
                  </w:pPr>
                  <w:r>
                    <w:t xml:space="preserve">B</w:t>
                  </w:r>
                </w:p>
              </w:tc>
              <w:tc>
                <w:tcPr/>
                <w:p>
                  <w:pPr>
                    <w:pStyle w:val="Compact"/>
                    <w:jc w:val="center"/>
                  </w:pPr>
                  <w:r>
                    <w:t xml:space="preserve">0.182</w:t>
                  </w:r>
                </w:p>
              </w:tc>
              <w:tc>
                <w:tcPr/>
                <w:p>
                  <w:pPr>
                    <w:pStyle w:val="Compact"/>
                    <w:jc w:val="center"/>
                  </w:pPr>
                  <w:r>
                    <w:t xml:space="preserve">0.091</w:t>
                  </w:r>
                </w:p>
              </w:tc>
              <w:tc>
                <w:tcPr/>
                <w:p>
                  <w:pPr>
                    <w:pStyle w:val="Compact"/>
                    <w:jc w:val="center"/>
                  </w:pPr>
                  <w:r>
                    <w:t xml:space="preserve">0.045</w:t>
                  </w:r>
                </w:p>
              </w:tc>
              <w:tc>
                <w:tcPr/>
                <w:p>
                  <w:pPr>
                    <w:pStyle w:val="Compact"/>
                    <w:jc w:val="center"/>
                  </w:pPr>
                  <w:r>
                    <w:t xml:space="preserve">2.04</w:t>
                  </w:r>
                </w:p>
              </w:tc>
              <w:tc>
                <w:tcPr/>
                <w:p>
                  <w:pPr>
                    <w:pStyle w:val="Compact"/>
                    <w:jc w:val="center"/>
                  </w:pPr>
                  <w:r>
                    <w:t xml:space="preserve">0.076</w:t>
                  </w:r>
                </w:p>
              </w:tc>
            </w:tr>
            <w:tr>
              <w:tc>
                <w:tcPr>
                  <w:gridSpan w:val="1"/>
                  <w:vMerge w:val="continue"/>
                </w:tcPr>
                <w:p>
                  <w:pPr/>
                </w:p>
              </w:tc>
              <w:tc>
                <w:tcPr/>
                <w:p>
                  <w:pPr>
                    <w:pStyle w:val="Compact"/>
                    <w:jc w:val="center"/>
                  </w:pPr>
                  <w:r>
                    <w:t xml:space="preserve">BD</w:t>
                  </w:r>
                </w:p>
              </w:tc>
              <w:tc>
                <w:tcPr/>
                <w:p>
                  <w:pPr>
                    <w:pStyle w:val="Compact"/>
                    <w:jc w:val="center"/>
                  </w:pPr>
                  <w:r>
                    <w:t xml:space="preserve">0.107</w:t>
                  </w:r>
                </w:p>
              </w:tc>
              <w:tc>
                <w:tcPr/>
                <w:p>
                  <w:pPr>
                    <w:pStyle w:val="Compact"/>
                    <w:jc w:val="center"/>
                  </w:pPr>
                  <w:r>
                    <w:t xml:space="preserve">0.054</w:t>
                  </w:r>
                </w:p>
              </w:tc>
              <w:tc>
                <w:tcPr/>
                <w:p>
                  <w:pPr>
                    <w:pStyle w:val="Compact"/>
                    <w:jc w:val="center"/>
                  </w:pPr>
                  <w:r>
                    <w:t xml:space="preserve">0.045</w:t>
                  </w:r>
                </w:p>
              </w:tc>
              <w:tc>
                <w:tcPr/>
                <w:p>
                  <w:pPr>
                    <w:pStyle w:val="Compact"/>
                    <w:jc w:val="center"/>
                  </w:pPr>
                  <w:r>
                    <w:t xml:space="preserve">1.20</w:t>
                  </w:r>
                </w:p>
              </w:tc>
              <w:tc>
                <w:tcPr/>
                <w:p>
                  <w:pPr>
                    <w:pStyle w:val="Compact"/>
                    <w:jc w:val="center"/>
                  </w:pPr>
                  <w:r>
                    <w:t xml:space="preserve">0.263</w:t>
                  </w:r>
                </w:p>
              </w:tc>
            </w:tr>
            <w:tr>
              <w:tc>
                <w:tcPr>
                  <w:gridSpan w:val="1"/>
                  <w:vMerge w:val="continue"/>
                </w:tcPr>
                <w:p>
                  <w:pPr/>
                </w:p>
              </w:tc>
              <w:tc>
                <w:tcPr/>
                <w:p>
                  <w:pPr>
                    <w:pStyle w:val="Compact"/>
                    <w:jc w:val="center"/>
                  </w:pPr>
                  <w:r>
                    <w:t xml:space="preserve">AD</w:t>
                  </w:r>
                </w:p>
              </w:tc>
              <w:tc>
                <w:tcPr/>
                <w:p>
                  <w:pPr>
                    <w:pStyle w:val="Compact"/>
                    <w:jc w:val="center"/>
                  </w:pPr>
                  <w:r>
                    <w:t xml:space="preserve">−0.063</w:t>
                  </w:r>
                </w:p>
              </w:tc>
              <w:tc>
                <w:tcPr/>
                <w:p>
                  <w:pPr>
                    <w:pStyle w:val="Compact"/>
                    <w:jc w:val="center"/>
                  </w:pPr>
                  <w:r>
                    <w:t xml:space="preserve">−0.031</w:t>
                  </w:r>
                </w:p>
              </w:tc>
              <w:tc>
                <w:tcPr/>
                <w:p>
                  <w:pPr>
                    <w:pStyle w:val="Compact"/>
                    <w:jc w:val="center"/>
                  </w:pPr>
                  <w:r>
                    <w:t xml:space="preserve">0.045</w:t>
                  </w:r>
                </w:p>
              </w:tc>
              <w:tc>
                <w:tcPr/>
                <w:p>
                  <w:pPr>
                    <w:pStyle w:val="Compact"/>
                    <w:jc w:val="center"/>
                  </w:pPr>
                  <w:r>
                    <w:t xml:space="preserve">−0.70</w:t>
                  </w:r>
                </w:p>
              </w:tc>
              <w:tc>
                <w:tcPr/>
                <w:p>
                  <w:pPr>
                    <w:pStyle w:val="Compact"/>
                    <w:jc w:val="center"/>
                  </w:pPr>
                  <w:r>
                    <w:t xml:space="preserve">0.502</w:t>
                  </w:r>
                </w:p>
              </w:tc>
            </w:tr>
            <w:tr>
              <w:tc>
                <w:tcPr>
                  <w:gridSpan w:val="1"/>
                  <w:vMerge w:val="continue"/>
                </w:tcPr>
                <w:p>
                  <w:pPr/>
                </w:p>
              </w:tc>
              <w:tc>
                <w:tcPr/>
                <w:p>
                  <w:pPr>
                    <w:pStyle w:val="Compact"/>
                    <w:jc w:val="center"/>
                  </w:pPr>
                  <w:r>
                    <w:t xml:space="preserve">D</w:t>
                  </w:r>
                </w:p>
              </w:tc>
              <w:tc>
                <w:tcPr/>
                <w:p>
                  <w:pPr>
                    <w:pStyle w:val="Compact"/>
                    <w:jc w:val="center"/>
                  </w:pPr>
                  <w:r>
                    <w:t xml:space="preserve">−0.045</w:t>
                  </w:r>
                </w:p>
              </w:tc>
              <w:tc>
                <w:tcPr/>
                <w:p>
                  <w:pPr>
                    <w:pStyle w:val="Compact"/>
                    <w:jc w:val="center"/>
                  </w:pPr>
                  <w:r>
                    <w:t xml:space="preserve">−0.023</w:t>
                  </w:r>
                </w:p>
              </w:tc>
              <w:tc>
                <w:tcPr/>
                <w:p>
                  <w:pPr>
                    <w:pStyle w:val="Compact"/>
                    <w:jc w:val="center"/>
                  </w:pPr>
                  <w:r>
                    <w:t xml:space="preserve">0.045</w:t>
                  </w:r>
                </w:p>
              </w:tc>
              <w:tc>
                <w:tcPr/>
                <w:p>
                  <w:pPr>
                    <w:pStyle w:val="Compact"/>
                    <w:jc w:val="center"/>
                  </w:pPr>
                  <w:r>
                    <w:t xml:space="preserve">−0.51</w:t>
                  </w:r>
                </w:p>
              </w:tc>
              <w:tc>
                <w:tcPr/>
                <w:p>
                  <w:pPr>
                    <w:pStyle w:val="Compact"/>
                    <w:jc w:val="center"/>
                  </w:pPr>
                  <w:r>
                    <w:t xml:space="preserve">0.626</w:t>
                  </w:r>
                </w:p>
              </w:tc>
            </w:tr>
            <w:tr>
              <w:tc>
                <w:tcPr>
                  <w:gridSpan w:val="1"/>
                  <w:vMerge w:val="continue"/>
                </w:tcPr>
                <w:p>
                  <w:pPr/>
                </w:p>
              </w:tc>
              <w:tc>
                <w:tcPr/>
                <w:p>
                  <w:pPr>
                    <w:pStyle w:val="Compact"/>
                    <w:jc w:val="center"/>
                  </w:pPr>
                  <w:r>
                    <w:t xml:space="preserve">BC</w:t>
                  </w:r>
                </w:p>
              </w:tc>
              <w:tc>
                <w:tcPr/>
                <w:p>
                  <w:pPr>
                    <w:pStyle w:val="Compact"/>
                    <w:jc w:val="center"/>
                  </w:pPr>
                  <w:r>
                    <w:t xml:space="preserve">−0.044</w:t>
                  </w:r>
                </w:p>
              </w:tc>
              <w:tc>
                <w:tcPr/>
                <w:p>
                  <w:pPr>
                    <w:pStyle w:val="Compact"/>
                    <w:jc w:val="center"/>
                  </w:pPr>
                  <w:r>
                    <w:t xml:space="preserve">−0.022</w:t>
                  </w:r>
                </w:p>
              </w:tc>
              <w:tc>
                <w:tcPr/>
                <w:p>
                  <w:pPr>
                    <w:pStyle w:val="Compact"/>
                    <w:jc w:val="center"/>
                  </w:pPr>
                  <w:r>
                    <w:t xml:space="preserve">0.045</w:t>
                  </w:r>
                </w:p>
              </w:tc>
              <w:tc>
                <w:tcPr/>
                <w:p>
                  <w:pPr>
                    <w:pStyle w:val="Compact"/>
                    <w:jc w:val="center"/>
                  </w:pPr>
                  <w:r>
                    <w:t xml:space="preserve">−0.50</w:t>
                  </w:r>
                </w:p>
              </w:tc>
              <w:tc>
                <w:tcPr/>
                <w:p>
                  <w:pPr>
                    <w:pStyle w:val="Compact"/>
                    <w:jc w:val="center"/>
                  </w:pPr>
                  <w:r>
                    <w:t xml:space="preserve">0.634</w:t>
                  </w:r>
                </w:p>
              </w:tc>
            </w:tr>
            <w:tr>
              <w:tc>
                <w:tcPr>
                  <w:gridSpan w:val="1"/>
                  <w:vMerge w:val="continue"/>
                </w:tcPr>
                <w:p>
                  <w:pPr/>
                </w:p>
              </w:tc>
              <w:tc>
                <w:tcPr/>
                <w:p>
                  <w:pPr>
                    <w:pStyle w:val="Compact"/>
                    <w:jc w:val="center"/>
                  </w:pPr>
                  <w:r>
                    <w:t xml:space="preserve">CD</w:t>
                  </w:r>
                </w:p>
              </w:tc>
              <w:tc>
                <w:tcPr/>
                <w:p>
                  <w:pPr>
                    <w:pStyle w:val="Compact"/>
                    <w:jc w:val="center"/>
                  </w:pPr>
                  <w:r>
                    <w:t xml:space="preserve">0.033</w:t>
                  </w:r>
                </w:p>
              </w:tc>
              <w:tc>
                <w:tcPr/>
                <w:p>
                  <w:pPr>
                    <w:pStyle w:val="Compact"/>
                    <w:jc w:val="center"/>
                  </w:pPr>
                  <w:r>
                    <w:t xml:space="preserve">0.017</w:t>
                  </w:r>
                </w:p>
              </w:tc>
              <w:tc>
                <w:tcPr/>
                <w:p>
                  <w:pPr>
                    <w:pStyle w:val="Compact"/>
                    <w:jc w:val="center"/>
                  </w:pPr>
                  <w:r>
                    <w:t xml:space="preserve">0.045</w:t>
                  </w:r>
                </w:p>
              </w:tc>
              <w:tc>
                <w:tcPr/>
                <w:p>
                  <w:pPr>
                    <w:pStyle w:val="Compact"/>
                    <w:jc w:val="center"/>
                  </w:pPr>
                  <w:r>
                    <w:t xml:space="preserve">0.37</w:t>
                  </w:r>
                </w:p>
              </w:tc>
              <w:tc>
                <w:tcPr/>
                <w:p>
                  <w:pPr>
                    <w:pStyle w:val="Compact"/>
                    <w:jc w:val="center"/>
                  </w:pPr>
                  <w:r>
                    <w:t xml:space="preserve">0.718</w:t>
                  </w:r>
                </w:p>
              </w:tc>
            </w:tr>
            <w:tr>
              <w:tc>
                <w:tcPr>
                  <w:gridSpan w:val="1"/>
                  <w:vMerge w:val="continue"/>
                </w:tcPr>
                <w:p>
                  <w:pPr/>
                </w:p>
              </w:tc>
              <w:tc>
                <w:tcPr/>
                <w:p>
                  <w:pPr>
                    <w:pStyle w:val="Compact"/>
                    <w:jc w:val="center"/>
                  </w:pPr>
                  <w:r>
                    <w:t xml:space="preserve">AC</w:t>
                  </w:r>
                </w:p>
              </w:tc>
              <w:tc>
                <w:tcPr/>
                <w:p>
                  <w:pPr>
                    <w:pStyle w:val="Compact"/>
                    <w:jc w:val="center"/>
                  </w:pPr>
                  <w:r>
                    <w:t xml:space="preserve">0.014</w:t>
                  </w:r>
                </w:p>
              </w:tc>
              <w:tc>
                <w:tcPr/>
                <w:p>
                  <w:pPr>
                    <w:pStyle w:val="Compact"/>
                    <w:jc w:val="center"/>
                  </w:pPr>
                  <w:r>
                    <w:t xml:space="preserve">0.007</w:t>
                  </w:r>
                </w:p>
              </w:tc>
              <w:tc>
                <w:tcPr/>
                <w:p>
                  <w:pPr>
                    <w:pStyle w:val="Compact"/>
                    <w:jc w:val="center"/>
                  </w:pPr>
                  <w:r>
                    <w:t xml:space="preserve">0.045</w:t>
                  </w:r>
                </w:p>
              </w:tc>
              <w:tc>
                <w:tcPr/>
                <w:p>
                  <w:pPr>
                    <w:pStyle w:val="Compact"/>
                    <w:jc w:val="center"/>
                  </w:pPr>
                  <w:r>
                    <w:t xml:space="preserve">0.15</w:t>
                  </w:r>
                </w:p>
              </w:tc>
              <w:tc>
                <w:tcPr/>
                <w:p>
                  <w:pPr>
                    <w:pStyle w:val="Compact"/>
                    <w:jc w:val="center"/>
                  </w:pPr>
                  <w:r>
                    <w:t xml:space="preserve">0.883</w:t>
                  </w:r>
                </w:p>
              </w:tc>
            </w:tr>
            <w:tr>
              <w:tc>
                <w:tcPr>
                  <w:gridSpan w:val="1"/>
                  <w:vMerge w:val="continue"/>
                </w:tcPr>
                <w:p>
                  <w:pPr/>
                </w:p>
              </w:tc>
              <w:tc>
                <w:tcPr/>
                <w:p>
                  <w:pPr>
                    <w:pStyle w:val="Compact"/>
                    <w:jc w:val="center"/>
                  </w:pPr>
                  <w:r>
                    <w:t xml:space="preserve">AB</w:t>
                  </w:r>
                </w:p>
              </w:tc>
              <w:tc>
                <w:tcPr/>
                <w:p>
                  <w:pPr>
                    <w:pStyle w:val="Compact"/>
                    <w:jc w:val="center"/>
                  </w:pPr>
                  <w:r>
                    <w:t xml:space="preserve">−0.013</w:t>
                  </w:r>
                </w:p>
              </w:tc>
              <w:tc>
                <w:tcPr/>
                <w:p>
                  <w:pPr>
                    <w:pStyle w:val="Compact"/>
                    <w:jc w:val="center"/>
                  </w:pPr>
                  <w:r>
                    <w:t xml:space="preserve">−0.007</w:t>
                  </w:r>
                </w:p>
              </w:tc>
              <w:tc>
                <w:tcPr/>
                <w:p>
                  <w:pPr>
                    <w:pStyle w:val="Compact"/>
                    <w:jc w:val="center"/>
                  </w:pPr>
                  <w:r>
                    <w:t xml:space="preserve">0.045</w:t>
                  </w:r>
                </w:p>
              </w:tc>
              <w:tc>
                <w:tcPr/>
                <w:p>
                  <w:pPr>
                    <w:pStyle w:val="Compact"/>
                    <w:jc w:val="center"/>
                  </w:pPr>
                  <w:r>
                    <w:t xml:space="preserve">−0.15</w:t>
                  </w:r>
                </w:p>
              </w:tc>
              <w:tc>
                <w:tcPr/>
                <w:p>
                  <w:pPr>
                    <w:pStyle w:val="Compact"/>
                    <w:jc w:val="center"/>
                  </w:pPr>
                  <w:r>
                    <w:t xml:space="preserve">0.886</w:t>
                  </w:r>
                </w:p>
              </w:tc>
            </w:tr>
            <w:tr>
              <w:tc>
                <w:tcPr>
                  <w:vMerge w:val="restart"/>
                </w:tcPr>
                <w:p>
                  <w:pPr>
                    <w:pStyle w:val="Compact"/>
                    <w:jc w:val="center"/>
                  </w:pPr>
                  <w:r>
                    <w:t xml:space="preserve">Step yield (%)</w:t>
                  </w:r>
                </w:p>
              </w:tc>
              <w:tc>
                <w:tcPr/>
                <w:p>
                  <w:pPr>
                    <w:pStyle w:val="Compact"/>
                    <w:jc w:val="center"/>
                  </w:pPr>
                  <w:r>
                    <w:t xml:space="preserve">C</w:t>
                  </w:r>
                </w:p>
              </w:tc>
              <w:tc>
                <w:tcPr/>
                <w:p>
                  <w:pPr>
                    <w:pStyle w:val="Compact"/>
                    <w:jc w:val="center"/>
                  </w:pPr>
                  <w:r>
                    <w:t xml:space="preserve">−1.165</w:t>
                  </w:r>
                </w:p>
              </w:tc>
              <w:tc>
                <w:tcPr/>
                <w:p>
                  <w:pPr>
                    <w:pStyle w:val="Compact"/>
                    <w:jc w:val="center"/>
                  </w:pPr>
                  <w:r>
                    <w:t xml:space="preserve">−0.582</w:t>
                  </w:r>
                </w:p>
              </w:tc>
              <w:tc>
                <w:tcPr/>
                <w:p>
                  <w:pPr>
                    <w:pStyle w:val="Compact"/>
                    <w:jc w:val="center"/>
                  </w:pPr>
                  <w:r>
                    <w:t xml:space="preserve">0.315</w:t>
                  </w:r>
                </w:p>
              </w:tc>
              <w:tc>
                <w:tcPr/>
                <w:p>
                  <w:pPr>
                    <w:pStyle w:val="Compact"/>
                    <w:jc w:val="center"/>
                  </w:pPr>
                  <w:r>
                    <w:t xml:space="preserve">−1.85</w:t>
                  </w:r>
                </w:p>
              </w:tc>
              <w:tc>
                <w:tcPr/>
                <w:p>
                  <w:pPr>
                    <w:pStyle w:val="Compact"/>
                    <w:jc w:val="center"/>
                  </w:pPr>
                  <w:r>
                    <w:t xml:space="preserve">0.102</w:t>
                  </w:r>
                </w:p>
              </w:tc>
            </w:tr>
            <w:tr>
              <w:tc>
                <w:tcPr>
                  <w:gridSpan w:val="1"/>
                  <w:vMerge w:val="continue"/>
                </w:tcPr>
                <w:p>
                  <w:pPr/>
                </w:p>
              </w:tc>
              <w:tc>
                <w:tcPr/>
                <w:p>
                  <w:pPr>
                    <w:pStyle w:val="Compact"/>
                    <w:jc w:val="center"/>
                  </w:pPr>
                  <w:r>
                    <w:t xml:space="preserve">B</w:t>
                  </w:r>
                </w:p>
              </w:tc>
              <w:tc>
                <w:tcPr/>
                <w:p>
                  <w:pPr>
                    <w:pStyle w:val="Compact"/>
                    <w:jc w:val="center"/>
                  </w:pPr>
                  <w:r>
                    <w:t xml:space="preserve">0.743</w:t>
                  </w:r>
                </w:p>
              </w:tc>
              <w:tc>
                <w:tcPr/>
                <w:p>
                  <w:pPr>
                    <w:pStyle w:val="Compact"/>
                    <w:jc w:val="center"/>
                  </w:pPr>
                  <w:r>
                    <w:t xml:space="preserve">0.371</w:t>
                  </w:r>
                </w:p>
              </w:tc>
              <w:tc>
                <w:tcPr/>
                <w:p>
                  <w:pPr>
                    <w:pStyle w:val="Compact"/>
                    <w:jc w:val="center"/>
                  </w:pPr>
                  <w:r>
                    <w:t xml:space="preserve">0.315</w:t>
                  </w:r>
                </w:p>
              </w:tc>
              <w:tc>
                <w:tcPr/>
                <w:p>
                  <w:pPr>
                    <w:pStyle w:val="Compact"/>
                    <w:jc w:val="center"/>
                  </w:pPr>
                  <w:r>
                    <w:t xml:space="preserve">1.18</w:t>
                  </w:r>
                </w:p>
              </w:tc>
              <w:tc>
                <w:tcPr/>
                <w:p>
                  <w:pPr>
                    <w:pStyle w:val="Compact"/>
                    <w:jc w:val="center"/>
                  </w:pPr>
                  <w:r>
                    <w:t xml:space="preserve">0.272</w:t>
                  </w:r>
                </w:p>
              </w:tc>
            </w:tr>
            <w:tr>
              <w:tc>
                <w:tcPr>
                  <w:gridSpan w:val="1"/>
                  <w:vMerge w:val="continue"/>
                </w:tcPr>
                <w:p>
                  <w:pPr/>
                </w:p>
              </w:tc>
              <w:tc>
                <w:tcPr/>
                <w:p>
                  <w:pPr>
                    <w:pStyle w:val="Compact"/>
                    <w:jc w:val="center"/>
                  </w:pPr>
                  <w:r>
                    <w:t xml:space="preserve">AD</w:t>
                  </w:r>
                </w:p>
              </w:tc>
              <w:tc>
                <w:tcPr/>
                <w:p>
                  <w:pPr>
                    <w:pStyle w:val="Compact"/>
                    <w:jc w:val="center"/>
                  </w:pPr>
                  <w:r>
                    <w:t xml:space="preserve">−0.715</w:t>
                  </w:r>
                </w:p>
              </w:tc>
              <w:tc>
                <w:tcPr/>
                <w:p>
                  <w:pPr>
                    <w:pStyle w:val="Compact"/>
                    <w:jc w:val="center"/>
                  </w:pPr>
                  <w:r>
                    <w:t xml:space="preserve">−0.357</w:t>
                  </w:r>
                </w:p>
              </w:tc>
              <w:tc>
                <w:tcPr/>
                <w:p>
                  <w:pPr>
                    <w:pStyle w:val="Compact"/>
                    <w:jc w:val="center"/>
                  </w:pPr>
                  <w:r>
                    <w:t xml:space="preserve">0.315</w:t>
                  </w:r>
                </w:p>
              </w:tc>
              <w:tc>
                <w:tcPr/>
                <w:p>
                  <w:pPr>
                    <w:pStyle w:val="Compact"/>
                    <w:jc w:val="center"/>
                  </w:pPr>
                  <w:r>
                    <w:t xml:space="preserve">−1.13</w:t>
                  </w:r>
                </w:p>
              </w:tc>
              <w:tc>
                <w:tcPr/>
                <w:p>
                  <w:pPr>
                    <w:pStyle w:val="Compact"/>
                    <w:jc w:val="center"/>
                  </w:pPr>
                  <w:r>
                    <w:t xml:space="preserve">0.290</w:t>
                  </w:r>
                </w:p>
              </w:tc>
            </w:tr>
            <w:tr>
              <w:tc>
                <w:tcPr>
                  <w:gridSpan w:val="1"/>
                  <w:vMerge w:val="continue"/>
                </w:tcPr>
                <w:p>
                  <w:pPr/>
                </w:p>
              </w:tc>
              <w:tc>
                <w:tcPr/>
                <w:p>
                  <w:pPr>
                    <w:pStyle w:val="Compact"/>
                    <w:jc w:val="center"/>
                  </w:pPr>
                  <w:r>
                    <w:t xml:space="preserve">AC</w:t>
                  </w:r>
                </w:p>
              </w:tc>
              <w:tc>
                <w:tcPr/>
                <w:p>
                  <w:pPr>
                    <w:pStyle w:val="Compact"/>
                    <w:jc w:val="center"/>
                  </w:pPr>
                  <w:r>
                    <w:t xml:space="preserve">0.513</w:t>
                  </w:r>
                </w:p>
              </w:tc>
              <w:tc>
                <w:tcPr/>
                <w:p>
                  <w:pPr>
                    <w:pStyle w:val="Compact"/>
                    <w:jc w:val="center"/>
                  </w:pPr>
                  <w:r>
                    <w:t xml:space="preserve">0.257</w:t>
                  </w:r>
                </w:p>
              </w:tc>
              <w:tc>
                <w:tcPr/>
                <w:p>
                  <w:pPr>
                    <w:pStyle w:val="Compact"/>
                    <w:jc w:val="center"/>
                  </w:pPr>
                  <w:r>
                    <w:t xml:space="preserve">0.315</w:t>
                  </w:r>
                </w:p>
              </w:tc>
              <w:tc>
                <w:tcPr/>
                <w:p>
                  <w:pPr>
                    <w:pStyle w:val="Compact"/>
                    <w:jc w:val="center"/>
                  </w:pPr>
                  <w:r>
                    <w:t xml:space="preserve">0.81</w:t>
                  </w:r>
                </w:p>
              </w:tc>
              <w:tc>
                <w:tcPr/>
                <w:p>
                  <w:pPr>
                    <w:pStyle w:val="Compact"/>
                    <w:jc w:val="center"/>
                  </w:pPr>
                  <w:r>
                    <w:t xml:space="preserve">0.439</w:t>
                  </w:r>
                </w:p>
              </w:tc>
            </w:tr>
            <w:tr>
              <w:tc>
                <w:tcPr>
                  <w:gridSpan w:val="1"/>
                  <w:vMerge w:val="continue"/>
                </w:tcPr>
                <w:p>
                  <w:pPr/>
                </w:p>
              </w:tc>
              <w:tc>
                <w:tcPr/>
                <w:p>
                  <w:pPr>
                    <w:pStyle w:val="Compact"/>
                    <w:jc w:val="center"/>
                  </w:pPr>
                  <w:r>
                    <w:t xml:space="preserve">BC</w:t>
                  </w:r>
                </w:p>
              </w:tc>
              <w:tc>
                <w:tcPr/>
                <w:p>
                  <w:pPr>
                    <w:pStyle w:val="Compact"/>
                    <w:jc w:val="center"/>
                  </w:pPr>
                  <w:r>
                    <w:t xml:space="preserve">−0.392</w:t>
                  </w:r>
                </w:p>
              </w:tc>
              <w:tc>
                <w:tcPr/>
                <w:p>
                  <w:pPr>
                    <w:pStyle w:val="Compact"/>
                    <w:jc w:val="center"/>
                  </w:pPr>
                  <w:r>
                    <w:t xml:space="preserve">−0.196</w:t>
                  </w:r>
                </w:p>
              </w:tc>
              <w:tc>
                <w:tcPr/>
                <w:p>
                  <w:pPr>
                    <w:pStyle w:val="Compact"/>
                    <w:jc w:val="center"/>
                  </w:pPr>
                  <w:r>
                    <w:t xml:space="preserve">0.315</w:t>
                  </w:r>
                </w:p>
              </w:tc>
              <w:tc>
                <w:tcPr/>
                <w:p>
                  <w:pPr>
                    <w:pStyle w:val="Compact"/>
                    <w:jc w:val="center"/>
                  </w:pPr>
                  <w:r>
                    <w:t xml:space="preserve">−0.62</w:t>
                  </w:r>
                </w:p>
              </w:tc>
              <w:tc>
                <w:tcPr/>
                <w:p>
                  <w:pPr>
                    <w:pStyle w:val="Compact"/>
                    <w:jc w:val="center"/>
                  </w:pPr>
                  <w:r>
                    <w:t xml:space="preserve">0.551</w:t>
                  </w:r>
                </w:p>
              </w:tc>
            </w:tr>
            <w:tr>
              <w:tc>
                <w:tcPr>
                  <w:gridSpan w:val="1"/>
                  <w:vMerge w:val="continue"/>
                </w:tcPr>
                <w:p>
                  <w:pPr/>
                </w:p>
              </w:tc>
              <w:tc>
                <w:tcPr/>
                <w:p>
                  <w:pPr>
                    <w:pStyle w:val="Compact"/>
                    <w:jc w:val="center"/>
                  </w:pPr>
                  <w:r>
                    <w:t xml:space="preserve">BD</w:t>
                  </w:r>
                </w:p>
              </w:tc>
              <w:tc>
                <w:tcPr/>
                <w:p>
                  <w:pPr>
                    <w:pStyle w:val="Compact"/>
                    <w:jc w:val="center"/>
                  </w:pPr>
                  <w:r>
                    <w:t xml:space="preserve">0.383</w:t>
                  </w:r>
                </w:p>
              </w:tc>
              <w:tc>
                <w:tcPr/>
                <w:p>
                  <w:pPr>
                    <w:pStyle w:val="Compact"/>
                    <w:jc w:val="center"/>
                  </w:pPr>
                  <w:r>
                    <w:t xml:space="preserve">0.192</w:t>
                  </w:r>
                </w:p>
              </w:tc>
              <w:tc>
                <w:tcPr/>
                <w:p>
                  <w:pPr>
                    <w:pStyle w:val="Compact"/>
                    <w:jc w:val="center"/>
                  </w:pPr>
                  <w:r>
                    <w:t xml:space="preserve">0.315</w:t>
                  </w:r>
                </w:p>
              </w:tc>
              <w:tc>
                <w:tcPr/>
                <w:p>
                  <w:pPr>
                    <w:pStyle w:val="Compact"/>
                    <w:jc w:val="center"/>
                  </w:pPr>
                  <w:r>
                    <w:t xml:space="preserve">0.61</w:t>
                  </w:r>
                </w:p>
              </w:tc>
              <w:tc>
                <w:tcPr/>
                <w:p>
                  <w:pPr>
                    <w:pStyle w:val="Compact"/>
                    <w:jc w:val="center"/>
                  </w:pPr>
                  <w:r>
                    <w:t xml:space="preserve">0.560</w:t>
                  </w:r>
                </w:p>
              </w:tc>
            </w:tr>
            <w:tr>
              <w:tc>
                <w:tcPr>
                  <w:gridSpan w:val="1"/>
                  <w:vMerge w:val="continue"/>
                </w:tcPr>
                <w:p>
                  <w:pPr/>
                </w:p>
              </w:tc>
              <w:tc>
                <w:tcPr/>
                <w:p>
                  <w:pPr>
                    <w:pStyle w:val="Compact"/>
                    <w:jc w:val="center"/>
                  </w:pPr>
                  <w:r>
                    <w:t xml:space="preserve">CD</w:t>
                  </w:r>
                </w:p>
              </w:tc>
              <w:tc>
                <w:tcPr/>
                <w:p>
                  <w:pPr>
                    <w:pStyle w:val="Compact"/>
                    <w:jc w:val="center"/>
                  </w:pPr>
                  <w:r>
                    <w:t xml:space="preserve">0.346</w:t>
                  </w:r>
                </w:p>
              </w:tc>
              <w:tc>
                <w:tcPr/>
                <w:p>
                  <w:pPr>
                    <w:pStyle w:val="Compact"/>
                    <w:jc w:val="center"/>
                  </w:pPr>
                  <w:r>
                    <w:t xml:space="preserve">0.173</w:t>
                  </w:r>
                </w:p>
              </w:tc>
              <w:tc>
                <w:tcPr/>
                <w:p>
                  <w:pPr>
                    <w:pStyle w:val="Compact"/>
                    <w:jc w:val="center"/>
                  </w:pPr>
                  <w:r>
                    <w:t xml:space="preserve">0.315</w:t>
                  </w:r>
                </w:p>
              </w:tc>
              <w:tc>
                <w:tcPr/>
                <w:p>
                  <w:pPr>
                    <w:pStyle w:val="Compact"/>
                    <w:jc w:val="center"/>
                  </w:pPr>
                  <w:r>
                    <w:t xml:space="preserve">0.55</w:t>
                  </w:r>
                </w:p>
              </w:tc>
              <w:tc>
                <w:tcPr/>
                <w:p>
                  <w:pPr>
                    <w:pStyle w:val="Compact"/>
                    <w:jc w:val="center"/>
                  </w:pPr>
                  <w:r>
                    <w:t xml:space="preserve">0.598</w:t>
                  </w:r>
                </w:p>
              </w:tc>
            </w:tr>
            <w:tr>
              <w:tc>
                <w:tcPr>
                  <w:gridSpan w:val="1"/>
                  <w:vMerge w:val="continue"/>
                </w:tcPr>
                <w:p>
                  <w:pPr/>
                </w:p>
              </w:tc>
              <w:tc>
                <w:tcPr/>
                <w:p>
                  <w:pPr>
                    <w:pStyle w:val="Compact"/>
                    <w:jc w:val="center"/>
                  </w:pPr>
                  <w:r>
                    <w:t xml:space="preserve">AB</w:t>
                  </w:r>
                </w:p>
              </w:tc>
              <w:tc>
                <w:tcPr/>
                <w:p>
                  <w:pPr>
                    <w:pStyle w:val="Compact"/>
                    <w:jc w:val="center"/>
                  </w:pPr>
                  <w:r>
                    <w:t xml:space="preserve">0.141</w:t>
                  </w:r>
                </w:p>
              </w:tc>
              <w:tc>
                <w:tcPr/>
                <w:p>
                  <w:pPr>
                    <w:pStyle w:val="Compact"/>
                    <w:jc w:val="center"/>
                  </w:pPr>
                  <w:r>
                    <w:t xml:space="preserve">0.071</w:t>
                  </w:r>
                </w:p>
              </w:tc>
              <w:tc>
                <w:tcPr/>
                <w:p>
                  <w:pPr>
                    <w:pStyle w:val="Compact"/>
                    <w:jc w:val="center"/>
                  </w:pPr>
                  <w:r>
                    <w:t xml:space="preserve">0.315</w:t>
                  </w:r>
                </w:p>
              </w:tc>
              <w:tc>
                <w:tcPr/>
                <w:p>
                  <w:pPr>
                    <w:pStyle w:val="Compact"/>
                    <w:jc w:val="center"/>
                  </w:pPr>
                  <w:r>
                    <w:t xml:space="preserve">0.22</w:t>
                  </w:r>
                </w:p>
              </w:tc>
              <w:tc>
                <w:tcPr/>
                <w:p>
                  <w:pPr>
                    <w:pStyle w:val="Compact"/>
                    <w:jc w:val="center"/>
                  </w:pPr>
                  <w:r>
                    <w:t xml:space="preserve">0.828</w:t>
                  </w:r>
                </w:p>
              </w:tc>
            </w:tr>
            <w:tr>
              <w:tc>
                <w:tcPr>
                  <w:gridSpan w:val="1"/>
                  <w:vMerge w:val="continue"/>
                </w:tcPr>
                <w:p>
                  <w:pPr/>
                </w:p>
              </w:tc>
              <w:tc>
                <w:tcPr/>
                <w:p>
                  <w:pPr>
                    <w:pStyle w:val="Compact"/>
                    <w:jc w:val="center"/>
                  </w:pPr>
                  <w:r>
                    <w:t xml:space="preserve">D</w:t>
                  </w:r>
                </w:p>
              </w:tc>
              <w:tc>
                <w:tcPr/>
                <w:p>
                  <w:pPr>
                    <w:pStyle w:val="Compact"/>
                    <w:jc w:val="center"/>
                  </w:pPr>
                  <w:r>
                    <w:t xml:space="preserve">−0.136</w:t>
                  </w:r>
                </w:p>
              </w:tc>
              <w:tc>
                <w:tcPr/>
                <w:p>
                  <w:pPr>
                    <w:pStyle w:val="Compact"/>
                    <w:jc w:val="center"/>
                  </w:pPr>
                  <w:r>
                    <w:t xml:space="preserve">−0.068</w:t>
                  </w:r>
                </w:p>
              </w:tc>
              <w:tc>
                <w:tcPr/>
                <w:p>
                  <w:pPr>
                    <w:pStyle w:val="Compact"/>
                    <w:jc w:val="center"/>
                  </w:pPr>
                  <w:r>
                    <w:t xml:space="preserve">0.315</w:t>
                  </w:r>
                </w:p>
              </w:tc>
              <w:tc>
                <w:tcPr/>
                <w:p>
                  <w:pPr>
                    <w:pStyle w:val="Compact"/>
                    <w:jc w:val="center"/>
                  </w:pPr>
                  <w:r>
                    <w:t xml:space="preserve">−0.22</w:t>
                  </w:r>
                </w:p>
              </w:tc>
              <w:tc>
                <w:tcPr/>
                <w:p>
                  <w:pPr>
                    <w:pStyle w:val="Compact"/>
                    <w:jc w:val="center"/>
                  </w:pPr>
                  <w:r>
                    <w:t xml:space="preserve">0.835</w:t>
                  </w:r>
                </w:p>
              </w:tc>
            </w:tr>
            <w:tr>
              <w:tc>
                <w:tcPr>
                  <w:gridSpan w:val="1"/>
                  <w:vMerge w:val="continue"/>
                </w:tcPr>
                <w:p>
                  <w:pPr/>
                </w:p>
              </w:tc>
              <w:tc>
                <w:tcPr/>
                <w:p>
                  <w:pPr>
                    <w:pStyle w:val="Compact"/>
                    <w:jc w:val="center"/>
                  </w:pPr>
                  <w:r>
                    <w:t xml:space="preserve">A</w:t>
                  </w:r>
                </w:p>
              </w:tc>
              <w:tc>
                <w:tcPr/>
                <w:p>
                  <w:pPr>
                    <w:pStyle w:val="Compact"/>
                    <w:jc w:val="center"/>
                  </w:pPr>
                  <w:r>
                    <w:t xml:space="preserve">−0.066</w:t>
                  </w:r>
                </w:p>
              </w:tc>
              <w:tc>
                <w:tcPr/>
                <w:p>
                  <w:pPr>
                    <w:pStyle w:val="Compact"/>
                    <w:jc w:val="center"/>
                  </w:pPr>
                  <w:r>
                    <w:t xml:space="preserve">−0.033</w:t>
                  </w:r>
                </w:p>
              </w:tc>
              <w:tc>
                <w:tcPr/>
                <w:p>
                  <w:pPr>
                    <w:pStyle w:val="Compact"/>
                    <w:jc w:val="center"/>
                  </w:pPr>
                  <w:r>
                    <w:t xml:space="preserve">0.315</w:t>
                  </w:r>
                </w:p>
              </w:tc>
              <w:tc>
                <w:tcPr/>
                <w:p>
                  <w:pPr>
                    <w:pStyle w:val="Compact"/>
                    <w:jc w:val="center"/>
                  </w:pPr>
                  <w:r>
                    <w:t xml:space="preserve">−0.11</w:t>
                  </w:r>
                </w:p>
              </w:tc>
              <w:tc>
                <w:tcPr/>
                <w:p>
                  <w:pPr>
                    <w:pStyle w:val="Compact"/>
                    <w:jc w:val="center"/>
                  </w:pPr>
                  <w:r>
                    <w:t xml:space="preserve">0.919</w:t>
                  </w:r>
                </w:p>
              </w:tc>
            </w:tr>
            <w:tr>
              <w:tc>
                <w:tcPr>
                  <w:vMerge w:val="restart"/>
                </w:tcPr>
                <w:p>
                  <w:pPr>
                    <w:pStyle w:val="Compact"/>
                    <w:jc w:val="center"/>
                  </w:pPr>
                  <w:r>
                    <w:t xml:space="preserve">Fragments, LMW (%)</w:t>
                  </w:r>
                </w:p>
              </w:tc>
              <w:tc>
                <w:tcPr/>
                <w:p>
                  <w:pPr>
                    <w:pStyle w:val="Compact"/>
                    <w:jc w:val="center"/>
                  </w:pPr>
                  <w:r>
                    <w:t xml:space="preserve">AD</w:t>
                  </w:r>
                </w:p>
              </w:tc>
              <w:tc>
                <w:tcPr/>
                <w:p>
                  <w:pPr>
                    <w:pStyle w:val="Compact"/>
                    <w:jc w:val="center"/>
                  </w:pPr>
                  <w:r>
                    <w:t xml:space="preserve">−0.064</w:t>
                  </w:r>
                </w:p>
              </w:tc>
              <w:tc>
                <w:tcPr/>
                <w:p>
                  <w:pPr>
                    <w:pStyle w:val="Compact"/>
                    <w:jc w:val="center"/>
                  </w:pPr>
                  <w:r>
                    <w:t xml:space="preserve">−0.032</w:t>
                  </w:r>
                </w:p>
              </w:tc>
              <w:tc>
                <w:tcPr/>
                <w:p>
                  <w:pPr>
                    <w:pStyle w:val="Compact"/>
                    <w:jc w:val="center"/>
                  </w:pPr>
                  <w:r>
                    <w:t xml:space="preserve">0.012</w:t>
                  </w:r>
                </w:p>
              </w:tc>
              <w:tc>
                <w:tcPr/>
                <w:p>
                  <w:pPr>
                    <w:pStyle w:val="Compact"/>
                    <w:jc w:val="center"/>
                  </w:pPr>
                  <w:r>
                    <w:t xml:space="preserve">−2.65</w:t>
                  </w:r>
                </w:p>
              </w:tc>
              <w:tc>
                <w:tcPr/>
                <w:p>
                  <w:pPr>
                    <w:pStyle w:val="Compact"/>
                    <w:jc w:val="center"/>
                  </w:pPr>
                  <w:r>
                    <w:t xml:space="preserve">0.029</w:t>
                  </w:r>
                </w:p>
              </w:tc>
            </w:tr>
            <w:tr>
              <w:tc>
                <w:tcPr>
                  <w:gridSpan w:val="1"/>
                  <w:vMerge w:val="continue"/>
                </w:tcPr>
                <w:p>
                  <w:pPr/>
                </w:p>
              </w:tc>
              <w:tc>
                <w:tcPr/>
                <w:p>
                  <w:pPr>
                    <w:pStyle w:val="Compact"/>
                    <w:jc w:val="center"/>
                  </w:pPr>
                  <w:r>
                    <w:t xml:space="preserve">D</w:t>
                  </w:r>
                </w:p>
              </w:tc>
              <w:tc>
                <w:tcPr/>
                <w:p>
                  <w:pPr>
                    <w:pStyle w:val="Compact"/>
                    <w:jc w:val="center"/>
                  </w:pPr>
                  <w:r>
                    <w:t xml:space="preserve">0.039</w:t>
                  </w:r>
                </w:p>
              </w:tc>
              <w:tc>
                <w:tcPr/>
                <w:p>
                  <w:pPr>
                    <w:pStyle w:val="Compact"/>
                    <w:jc w:val="center"/>
                  </w:pPr>
                  <w:r>
                    <w:t xml:space="preserve">0.020</w:t>
                  </w:r>
                </w:p>
              </w:tc>
              <w:tc>
                <w:tcPr/>
                <w:p>
                  <w:pPr>
                    <w:pStyle w:val="Compact"/>
                    <w:jc w:val="center"/>
                  </w:pPr>
                  <w:r>
                    <w:t xml:space="preserve">0.012</w:t>
                  </w:r>
                </w:p>
              </w:tc>
              <w:tc>
                <w:tcPr/>
                <w:p>
                  <w:pPr>
                    <w:pStyle w:val="Compact"/>
                    <w:jc w:val="center"/>
                  </w:pPr>
                  <w:r>
                    <w:t xml:space="preserve">1.64</w:t>
                  </w:r>
                </w:p>
              </w:tc>
              <w:tc>
                <w:tcPr/>
                <w:p>
                  <w:pPr>
                    <w:pStyle w:val="Compact"/>
                    <w:jc w:val="center"/>
                  </w:pPr>
                  <w:r>
                    <w:t xml:space="preserve">0.140</w:t>
                  </w:r>
                </w:p>
              </w:tc>
            </w:tr>
            <w:tr>
              <w:tc>
                <w:tcPr>
                  <w:gridSpan w:val="1"/>
                  <w:vMerge w:val="continue"/>
                </w:tcPr>
                <w:p>
                  <w:pPr/>
                </w:p>
              </w:tc>
              <w:tc>
                <w:tcPr/>
                <w:p>
                  <w:pPr>
                    <w:pStyle w:val="Compact"/>
                    <w:jc w:val="center"/>
                  </w:pPr>
                  <w:r>
                    <w:t xml:space="preserve">AC</w:t>
                  </w:r>
                </w:p>
              </w:tc>
              <w:tc>
                <w:tcPr/>
                <w:p>
                  <w:pPr>
                    <w:pStyle w:val="Compact"/>
                    <w:jc w:val="center"/>
                  </w:pPr>
                  <w:r>
                    <w:t xml:space="preserve">0.038</w:t>
                  </w:r>
                </w:p>
              </w:tc>
              <w:tc>
                <w:tcPr/>
                <w:p>
                  <w:pPr>
                    <w:pStyle w:val="Compact"/>
                    <w:jc w:val="center"/>
                  </w:pPr>
                  <w:r>
                    <w:t xml:space="preserve">0.019</w:t>
                  </w:r>
                </w:p>
              </w:tc>
              <w:tc>
                <w:tcPr/>
                <w:p>
                  <w:pPr>
                    <w:pStyle w:val="Compact"/>
                    <w:jc w:val="center"/>
                  </w:pPr>
                  <w:r>
                    <w:t xml:space="preserve">0.012</w:t>
                  </w:r>
                </w:p>
              </w:tc>
              <w:tc>
                <w:tcPr/>
                <w:p>
                  <w:pPr>
                    <w:pStyle w:val="Compact"/>
                    <w:jc w:val="center"/>
                  </w:pPr>
                  <w:r>
                    <w:t xml:space="preserve">1.58</w:t>
                  </w:r>
                </w:p>
              </w:tc>
              <w:tc>
                <w:tcPr/>
                <w:p>
                  <w:pPr>
                    <w:pStyle w:val="Compact"/>
                    <w:jc w:val="center"/>
                  </w:pPr>
                  <w:r>
                    <w:t xml:space="preserve">0.152</w:t>
                  </w:r>
                </w:p>
              </w:tc>
            </w:tr>
            <w:tr>
              <w:tc>
                <w:tcPr>
                  <w:gridSpan w:val="1"/>
                  <w:vMerge w:val="continue"/>
                </w:tcPr>
                <w:p>
                  <w:pPr/>
                </w:p>
              </w:tc>
              <w:tc>
                <w:tcPr/>
                <w:p>
                  <w:pPr>
                    <w:pStyle w:val="Compact"/>
                    <w:jc w:val="center"/>
                  </w:pPr>
                  <w:r>
                    <w:t xml:space="preserve">A</w:t>
                  </w:r>
                </w:p>
              </w:tc>
              <w:tc>
                <w:tcPr/>
                <w:p>
                  <w:pPr>
                    <w:pStyle w:val="Compact"/>
                    <w:jc w:val="center"/>
                  </w:pPr>
                  <w:r>
                    <w:t xml:space="preserve">−0.035</w:t>
                  </w:r>
                </w:p>
              </w:tc>
              <w:tc>
                <w:tcPr/>
                <w:p>
                  <w:pPr>
                    <w:pStyle w:val="Compact"/>
                    <w:jc w:val="center"/>
                  </w:pPr>
                  <w:r>
                    <w:t xml:space="preserve">−0.017</w:t>
                  </w:r>
                </w:p>
              </w:tc>
              <w:tc>
                <w:tcPr/>
                <w:p>
                  <w:pPr>
                    <w:pStyle w:val="Compact"/>
                    <w:jc w:val="center"/>
                  </w:pPr>
                  <w:r>
                    <w:t xml:space="preserve">0.012</w:t>
                  </w:r>
                </w:p>
              </w:tc>
              <w:tc>
                <w:tcPr/>
                <w:p>
                  <w:pPr>
                    <w:pStyle w:val="Compact"/>
                    <w:jc w:val="center"/>
                  </w:pPr>
                  <w:r>
                    <w:t xml:space="preserve">−1.46</w:t>
                  </w:r>
                </w:p>
              </w:tc>
              <w:tc>
                <w:tcPr/>
                <w:p>
                  <w:pPr>
                    <w:pStyle w:val="Compact"/>
                    <w:jc w:val="center"/>
                  </w:pPr>
                  <w:r>
                    <w:t xml:space="preserve">0.184</w:t>
                  </w:r>
                </w:p>
              </w:tc>
            </w:tr>
            <w:tr>
              <w:tc>
                <w:tcPr>
                  <w:gridSpan w:val="1"/>
                  <w:vMerge w:val="continue"/>
                </w:tcPr>
                <w:p>
                  <w:pPr/>
                </w:p>
              </w:tc>
              <w:tc>
                <w:tcPr/>
                <w:p>
                  <w:pPr>
                    <w:pStyle w:val="Compact"/>
                    <w:jc w:val="center"/>
                  </w:pPr>
                  <w:r>
                    <w:t xml:space="preserve">BD</w:t>
                  </w:r>
                </w:p>
              </w:tc>
              <w:tc>
                <w:tcPr/>
                <w:p>
                  <w:pPr>
                    <w:pStyle w:val="Compact"/>
                    <w:jc w:val="center"/>
                  </w:pPr>
                  <w:r>
                    <w:t xml:space="preserve">−0.035</w:t>
                  </w:r>
                </w:p>
              </w:tc>
              <w:tc>
                <w:tcPr/>
                <w:p>
                  <w:pPr>
                    <w:pStyle w:val="Compact"/>
                    <w:jc w:val="center"/>
                  </w:pPr>
                  <w:r>
                    <w:t xml:space="preserve">−0.017</w:t>
                  </w:r>
                </w:p>
              </w:tc>
              <w:tc>
                <w:tcPr/>
                <w:p>
                  <w:pPr>
                    <w:pStyle w:val="Compact"/>
                    <w:jc w:val="center"/>
                  </w:pPr>
                  <w:r>
                    <w:t xml:space="preserve">0.012</w:t>
                  </w:r>
                </w:p>
              </w:tc>
              <w:tc>
                <w:tcPr/>
                <w:p>
                  <w:pPr>
                    <w:pStyle w:val="Compact"/>
                    <w:jc w:val="center"/>
                  </w:pPr>
                  <w:r>
                    <w:t xml:space="preserve">−1.45</w:t>
                  </w:r>
                </w:p>
              </w:tc>
              <w:tc>
                <w:tcPr/>
                <w:p>
                  <w:pPr>
                    <w:pStyle w:val="Compact"/>
                    <w:jc w:val="center"/>
                  </w:pPr>
                  <w:r>
                    <w:t xml:space="preserve">0.185</w:t>
                  </w:r>
                </w:p>
              </w:tc>
            </w:tr>
            <w:tr>
              <w:tc>
                <w:tcPr>
                  <w:gridSpan w:val="1"/>
                  <w:vMerge w:val="continue"/>
                </w:tcPr>
                <w:p>
                  <w:pPr/>
                </w:p>
              </w:tc>
              <w:tc>
                <w:tcPr/>
                <w:p>
                  <w:pPr>
                    <w:pStyle w:val="Compact"/>
                    <w:jc w:val="center"/>
                  </w:pPr>
                  <w:r>
                    <w:t xml:space="preserve">BC</w:t>
                  </w:r>
                </w:p>
              </w:tc>
              <w:tc>
                <w:tcPr/>
                <w:p>
                  <w:pPr>
                    <w:pStyle w:val="Compact"/>
                    <w:jc w:val="center"/>
                  </w:pPr>
                  <w:r>
                    <w:t xml:space="preserve">−0.030</w:t>
                  </w:r>
                </w:p>
              </w:tc>
              <w:tc>
                <w:tcPr/>
                <w:p>
                  <w:pPr>
                    <w:pStyle w:val="Compact"/>
                    <w:jc w:val="center"/>
                  </w:pPr>
                  <w:r>
                    <w:t xml:space="preserve">−0.015</w:t>
                  </w:r>
                </w:p>
              </w:tc>
              <w:tc>
                <w:tcPr/>
                <w:p>
                  <w:pPr>
                    <w:pStyle w:val="Compact"/>
                    <w:jc w:val="center"/>
                  </w:pPr>
                  <w:r>
                    <w:t xml:space="preserve">0.012</w:t>
                  </w:r>
                </w:p>
              </w:tc>
              <w:tc>
                <w:tcPr/>
                <w:p>
                  <w:pPr>
                    <w:pStyle w:val="Compact"/>
                    <w:jc w:val="center"/>
                  </w:pPr>
                  <w:r>
                    <w:t xml:space="preserve">−1.27</w:t>
                  </w:r>
                </w:p>
              </w:tc>
              <w:tc>
                <w:tcPr/>
                <w:p>
                  <w:pPr>
                    <w:pStyle w:val="Compact"/>
                    <w:jc w:val="center"/>
                  </w:pPr>
                  <w:r>
                    <w:t xml:space="preserve">0.241</w:t>
                  </w:r>
                </w:p>
              </w:tc>
            </w:tr>
            <w:tr>
              <w:tc>
                <w:tcPr>
                  <w:gridSpan w:val="1"/>
                  <w:vMerge w:val="continue"/>
                </w:tcPr>
                <w:p>
                  <w:pPr/>
                </w:p>
              </w:tc>
              <w:tc>
                <w:tcPr/>
                <w:p>
                  <w:pPr>
                    <w:pStyle w:val="Compact"/>
                    <w:jc w:val="center"/>
                  </w:pPr>
                  <w:r>
                    <w:t xml:space="preserve">B</w:t>
                  </w:r>
                </w:p>
              </w:tc>
              <w:tc>
                <w:tcPr/>
                <w:p>
                  <w:pPr>
                    <w:pStyle w:val="Compact"/>
                    <w:jc w:val="center"/>
                  </w:pPr>
                  <w:r>
                    <w:t xml:space="preserve">0.025</w:t>
                  </w:r>
                </w:p>
              </w:tc>
              <w:tc>
                <w:tcPr/>
                <w:p>
                  <w:pPr>
                    <w:pStyle w:val="Compact"/>
                    <w:jc w:val="center"/>
                  </w:pPr>
                  <w:r>
                    <w:t xml:space="preserve">0.012</w:t>
                  </w:r>
                </w:p>
              </w:tc>
              <w:tc>
                <w:tcPr/>
                <w:p>
                  <w:pPr>
                    <w:pStyle w:val="Compact"/>
                    <w:jc w:val="center"/>
                  </w:pPr>
                  <w:r>
                    <w:t xml:space="preserve">0.012</w:t>
                  </w:r>
                </w:p>
              </w:tc>
              <w:tc>
                <w:tcPr/>
                <w:p>
                  <w:pPr>
                    <w:pStyle w:val="Compact"/>
                    <w:jc w:val="center"/>
                  </w:pPr>
                  <w:r>
                    <w:t xml:space="preserve">1.04</w:t>
                  </w:r>
                </w:p>
              </w:tc>
              <w:tc>
                <w:tcPr/>
                <w:p>
                  <w:pPr>
                    <w:pStyle w:val="Compact"/>
                    <w:jc w:val="center"/>
                  </w:pPr>
                  <w:r>
                    <w:t xml:space="preserve">0.329</w:t>
                  </w:r>
                </w:p>
              </w:tc>
            </w:tr>
            <w:tr>
              <w:tc>
                <w:tcPr>
                  <w:gridSpan w:val="1"/>
                  <w:vMerge w:val="continue"/>
                </w:tcPr>
                <w:p>
                  <w:pPr/>
                </w:p>
              </w:tc>
              <w:tc>
                <w:tcPr/>
                <w:p>
                  <w:pPr>
                    <w:pStyle w:val="Compact"/>
                    <w:jc w:val="center"/>
                  </w:pPr>
                  <w:r>
                    <w:t xml:space="preserve">AB</w:t>
                  </w:r>
                </w:p>
              </w:tc>
              <w:tc>
                <w:tcPr/>
                <w:p>
                  <w:pPr>
                    <w:pStyle w:val="Compact"/>
                    <w:jc w:val="center"/>
                  </w:pPr>
                  <w:r>
                    <w:t xml:space="preserve">0.022</w:t>
                  </w:r>
                </w:p>
              </w:tc>
              <w:tc>
                <w:tcPr/>
                <w:p>
                  <w:pPr>
                    <w:pStyle w:val="Compact"/>
                    <w:jc w:val="center"/>
                  </w:pPr>
                  <w:r>
                    <w:t xml:space="preserve">0.011</w:t>
                  </w:r>
                </w:p>
              </w:tc>
              <w:tc>
                <w:tcPr/>
                <w:p>
                  <w:pPr>
                    <w:pStyle w:val="Compact"/>
                    <w:jc w:val="center"/>
                  </w:pPr>
                  <w:r>
                    <w:t xml:space="preserve">0.012</w:t>
                  </w:r>
                </w:p>
              </w:tc>
              <w:tc>
                <w:tcPr/>
                <w:p>
                  <w:pPr>
                    <w:pStyle w:val="Compact"/>
                    <w:jc w:val="center"/>
                  </w:pPr>
                  <w:r>
                    <w:t xml:space="preserve">0.92</w:t>
                  </w:r>
                </w:p>
              </w:tc>
              <w:tc>
                <w:tcPr/>
                <w:p>
                  <w:pPr>
                    <w:pStyle w:val="Compact"/>
                    <w:jc w:val="center"/>
                  </w:pPr>
                  <w:r>
                    <w:t xml:space="preserve">0.382</w:t>
                  </w:r>
                </w:p>
              </w:tc>
            </w:tr>
            <w:tr>
              <w:tc>
                <w:tcPr>
                  <w:gridSpan w:val="1"/>
                  <w:vMerge w:val="continue"/>
                </w:tcPr>
                <w:p>
                  <w:pPr/>
                </w:p>
              </w:tc>
              <w:tc>
                <w:tcPr/>
                <w:p>
                  <w:pPr>
                    <w:pStyle w:val="Compact"/>
                    <w:jc w:val="center"/>
                  </w:pPr>
                  <w:r>
                    <w:t xml:space="preserve">CD</w:t>
                  </w:r>
                </w:p>
              </w:tc>
              <w:tc>
                <w:tcPr/>
                <w:p>
                  <w:pPr>
                    <w:pStyle w:val="Compact"/>
                    <w:jc w:val="center"/>
                  </w:pPr>
                  <w:r>
                    <w:t xml:space="preserve">−0.017</w:t>
                  </w:r>
                </w:p>
              </w:tc>
              <w:tc>
                <w:tcPr/>
                <w:p>
                  <w:pPr>
                    <w:pStyle w:val="Compact"/>
                    <w:jc w:val="center"/>
                  </w:pPr>
                  <w:r>
                    <w:t xml:space="preserve">−0.009</w:t>
                  </w:r>
                </w:p>
              </w:tc>
              <w:tc>
                <w:tcPr/>
                <w:p>
                  <w:pPr>
                    <w:pStyle w:val="Compact"/>
                    <w:jc w:val="center"/>
                  </w:pPr>
                  <w:r>
                    <w:t xml:space="preserve">0.012</w:t>
                  </w:r>
                </w:p>
              </w:tc>
              <w:tc>
                <w:tcPr/>
                <w:p>
                  <w:pPr>
                    <w:pStyle w:val="Compact"/>
                    <w:jc w:val="center"/>
                  </w:pPr>
                  <w:r>
                    <w:t xml:space="preserve">−0.71</w:t>
                  </w:r>
                </w:p>
              </w:tc>
              <w:tc>
                <w:tcPr/>
                <w:p>
                  <w:pPr>
                    <w:pStyle w:val="Compact"/>
                    <w:jc w:val="center"/>
                  </w:pPr>
                  <w:r>
                    <w:t xml:space="preserve">0.499</w:t>
                  </w:r>
                </w:p>
              </w:tc>
            </w:tr>
            <w:tr>
              <w:tc>
                <w:tcPr>
                  <w:gridSpan w:val="1"/>
                  <w:vMerge w:val="continue"/>
                </w:tcPr>
                <w:p>
                  <w:pPr/>
                </w:p>
              </w:tc>
              <w:tc>
                <w:tcPr/>
                <w:p>
                  <w:pPr>
                    <w:pStyle w:val="Compact"/>
                    <w:jc w:val="center"/>
                  </w:pPr>
                  <w:r>
                    <w:t xml:space="preserve">C</w:t>
                  </w:r>
                </w:p>
              </w:tc>
              <w:tc>
                <w:tcPr/>
                <w:p>
                  <w:pPr>
                    <w:pStyle w:val="Compact"/>
                    <w:jc w:val="center"/>
                  </w:pPr>
                  <w:r>
                    <w:t xml:space="preserve">−0.005</w:t>
                  </w:r>
                </w:p>
              </w:tc>
              <w:tc>
                <w:tcPr/>
                <w:p>
                  <w:pPr>
                    <w:pStyle w:val="Compact"/>
                    <w:jc w:val="center"/>
                  </w:pPr>
                  <w:r>
                    <w:t xml:space="preserve">−0.003</w:t>
                  </w:r>
                </w:p>
              </w:tc>
              <w:tc>
                <w:tcPr/>
                <w:p>
                  <w:pPr>
                    <w:pStyle w:val="Compact"/>
                    <w:jc w:val="center"/>
                  </w:pPr>
                  <w:r>
                    <w:t xml:space="preserve">0.012</w:t>
                  </w:r>
                </w:p>
              </w:tc>
              <w:tc>
                <w:tcPr/>
                <w:p>
                  <w:pPr>
                    <w:pStyle w:val="Compact"/>
                    <w:jc w:val="center"/>
                  </w:pPr>
                  <w:r>
                    <w:t xml:space="preserve">−0.23</w:t>
                  </w:r>
                </w:p>
              </w:tc>
              <w:tc>
                <w:tcPr/>
                <w:p>
                  <w:pPr>
                    <w:pStyle w:val="Compact"/>
                    <w:jc w:val="center"/>
                  </w:pPr>
                  <w:r>
                    <w:t xml:space="preserve">0.827</w:t>
                  </w:r>
                </w:p>
              </w:tc>
            </w:tr>
            <w:tr>
              <w:tc>
                <w:tcPr>
                  <w:gridSpan w:val="7"/>
                </w:tcPr>
                <w:p>
                  <w:pPr>
                    <w:pStyle w:val="Compact"/>
                    <w:jc w:val="center"/>
                  </w:pPr>
                  <w:r>
                    <w:t xml:space="preserve">Coded units. A, load pH. B, Equil/Wash-1 conductivity. C, load conductivity. D, protein load. Two letters, the interaction of the two parameters. An effect is twice the coefficient.</w:t>
                  </w:r>
                </w:p>
              </w:tc>
            </w:tr>
          </w:tbl>
          <w:bookmarkEnd w:id="16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3" w:name="tbl-coef-rest"/>
          <w:p>
            <w:pPr>
              <w:jc w:val="center"/>
            </w:pPr>
            <w:pPr>
              <w:jc w:val="start"/>
              <w:spacing w:before="200"/>
              <w:pStyle w:val="ImageCaption"/>
            </w:pPr>
            <w:r>
              <w:t xml:space="preserve">Table 34: Coefficients of the selected models of step yield and fragments.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w:t>
                  </w:r>
                </w:p>
              </w:tc>
            </w:tr>
            <w:tr>
              <w:tc>
                <w:tcPr>
                  <w:vMerge w:val="restart"/>
                </w:tcPr>
                <w:p>
                  <w:pPr>
                    <w:pStyle w:val="Compact"/>
                    <w:jc w:val="center"/>
                  </w:pPr>
                  <w:r>
                    <w:t xml:space="preserve">Step yield (%)</w:t>
                  </w:r>
                </w:p>
              </w:tc>
              <w:tc>
                <w:tcPr/>
                <w:p>
                  <w:pPr>
                    <w:pStyle w:val="Compact"/>
                    <w:jc w:val="center"/>
                  </w:pPr>
                  <w:r>
                    <w:t xml:space="preserve">Intercept</w:t>
                  </w:r>
                </w:p>
              </w:tc>
              <w:tc>
                <w:tcPr/>
                <w:p>
                  <w:pPr>
                    <w:pStyle w:val="Compact"/>
                    <w:jc w:val="center"/>
                  </w:pPr>
                  <w:r>
                    <w:t xml:space="preserve">96.8808</w:t>
                  </w:r>
                </w:p>
              </w:tc>
              <w:tc>
                <w:tcPr/>
                <w:p>
                  <w:pPr>
                    <w:pStyle w:val="Compact"/>
                    <w:jc w:val="center"/>
                  </w:pPr>
                  <w:r>
                    <w:t xml:space="preserve">0.2466</w:t>
                  </w:r>
                </w:p>
              </w:tc>
              <w:tc>
                <w:tcPr/>
                <w:p>
                  <w:pPr>
                    <w:pStyle w:val="Compact"/>
                    <w:jc w:val="center"/>
                  </w:pPr>
                  <w:r>
                    <w:t xml:space="preserve">392.92</w:t>
                  </w:r>
                </w:p>
              </w:tc>
              <w:tc>
                <w:tcPr/>
                <w:p>
                  <w:pPr>
                    <w:pStyle w:val="Compact"/>
                    <w:jc w:val="center"/>
                  </w:pPr>
                  <w:r>
                    <w:t xml:space="preserve">&lt; 0.001</w:t>
                  </w:r>
                </w:p>
              </w:tc>
            </w:tr>
            <w:tr>
              <w:tc>
                <w:tcPr>
                  <w:gridSpan w:val="1"/>
                  <w:vMerge w:val="continue"/>
                </w:tcPr>
                <w:p>
                  <w:pPr/>
                </w:p>
              </w:tc>
              <w:tc>
                <w:tcPr/>
                <w:p>
                  <w:pPr>
                    <w:pStyle w:val="Compact"/>
                    <w:jc w:val="center"/>
                  </w:pPr>
                  <w:r>
                    <w:t xml:space="preserve">Block</w:t>
                  </w:r>
                </w:p>
              </w:tc>
              <w:tc>
                <w:tcPr/>
                <w:p>
                  <w:pPr>
                    <w:pStyle w:val="Compact"/>
                    <w:jc w:val="center"/>
                  </w:pPr>
                  <w:r>
                    <w:t xml:space="preserve">−0.0923</w:t>
                  </w:r>
                </w:p>
              </w:tc>
              <w:tc>
                <w:tcPr/>
                <w:p>
                  <w:pPr>
                    <w:pStyle w:val="Compact"/>
                    <w:jc w:val="center"/>
                  </w:pPr>
                  <w:r>
                    <w:t xml:space="preserve">0.2466</w:t>
                  </w:r>
                </w:p>
              </w:tc>
              <w:tc>
                <w:tcPr/>
                <w:p>
                  <w:pPr>
                    <w:pStyle w:val="Compact"/>
                    <w:jc w:val="center"/>
                  </w:pPr>
                  <w:r>
                    <w:t xml:space="preserve">−0.37</w:t>
                  </w:r>
                </w:p>
              </w:tc>
              <w:tc>
                <w:tcPr/>
                <w:p>
                  <w:pPr>
                    <w:pStyle w:val="Compact"/>
                    <w:jc w:val="center"/>
                  </w:pPr>
                  <w:r>
                    <w:t xml:space="preserve">0.710</w:t>
                  </w:r>
                </w:p>
              </w:tc>
            </w:tr>
            <w:tr>
              <w:tc>
                <w:tcPr>
                  <w:vMerge w:val="restart"/>
                </w:tcPr>
                <w:p>
                  <w:pPr>
                    <w:pStyle w:val="Compact"/>
                    <w:jc w:val="center"/>
                  </w:pPr>
                  <w:r>
                    <w:t xml:space="preserve">Fragments, LMW (%)</w:t>
                  </w:r>
                </w:p>
              </w:tc>
              <w:tc>
                <w:tcPr/>
                <w:p>
                  <w:pPr>
                    <w:pStyle w:val="Compact"/>
                    <w:jc w:val="center"/>
                  </w:pPr>
                  <w:r>
                    <w:t xml:space="preserve">Intercept</w:t>
                  </w:r>
                </w:p>
              </w:tc>
              <w:tc>
                <w:tcPr/>
                <w:p>
                  <w:pPr>
                    <w:pStyle w:val="Compact"/>
                    <w:jc w:val="center"/>
                  </w:pPr>
                  <w:r>
                    <w:t xml:space="preserve">0.6462</w:t>
                  </w:r>
                </w:p>
              </w:tc>
              <w:tc>
                <w:tcPr/>
                <w:p>
                  <w:pPr>
                    <w:pStyle w:val="Compact"/>
                    <w:jc w:val="center"/>
                  </w:pPr>
                  <w:r>
                    <w:t xml:space="preserve">0.0112</w:t>
                  </w:r>
                </w:p>
              </w:tc>
              <w:tc>
                <w:tcPr/>
                <w:p>
                  <w:pPr>
                    <w:pStyle w:val="Compact"/>
                    <w:jc w:val="center"/>
                  </w:pPr>
                  <w:r>
                    <w:t xml:space="preserve">57.66</w:t>
                  </w:r>
                </w:p>
              </w:tc>
              <w:tc>
                <w:tcPr/>
                <w:p>
                  <w:pPr>
                    <w:pStyle w:val="Compact"/>
                    <w:jc w:val="center"/>
                  </w:pPr>
                  <w:r>
                    <w:t xml:space="preserve">&lt; 0.001</w:t>
                  </w:r>
                </w:p>
              </w:tc>
            </w:tr>
            <w:tr>
              <w:tc>
                <w:tcPr>
                  <w:gridSpan w:val="1"/>
                  <w:vMerge w:val="continue"/>
                </w:tcPr>
                <w:p>
                  <w:pPr/>
                </w:p>
              </w:tc>
              <w:tc>
                <w:tcPr/>
                <w:p>
                  <w:pPr>
                    <w:pStyle w:val="Compact"/>
                    <w:jc w:val="center"/>
                  </w:pPr>
                  <w:r>
                    <w:t xml:space="preserve">Block</w:t>
                  </w:r>
                </w:p>
              </w:tc>
              <w:tc>
                <w:tcPr/>
                <w:p>
                  <w:pPr>
                    <w:pStyle w:val="Compact"/>
                    <w:jc w:val="center"/>
                  </w:pPr>
                  <w:r>
                    <w:t xml:space="preserve">0.0194</w:t>
                  </w:r>
                </w:p>
              </w:tc>
              <w:tc>
                <w:tcPr/>
                <w:p>
                  <w:pPr>
                    <w:pStyle w:val="Compact"/>
                    <w:jc w:val="center"/>
                  </w:pPr>
                  <w:r>
                    <w:t xml:space="preserve">0.0112</w:t>
                  </w:r>
                </w:p>
              </w:tc>
              <w:tc>
                <w:tcPr/>
                <w:p>
                  <w:pPr>
                    <w:pStyle w:val="Compact"/>
                    <w:jc w:val="center"/>
                  </w:pPr>
                  <w:r>
                    <w:t xml:space="preserve">1.73</w:t>
                  </w:r>
                </w:p>
              </w:tc>
              <w:tc>
                <w:tcPr/>
                <w:p>
                  <w:pPr>
                    <w:pStyle w:val="Compact"/>
                    <w:jc w:val="center"/>
                  </w:pPr>
                  <w:r>
                    <w:t xml:space="preserve">0.091</w:t>
                  </w:r>
                </w:p>
              </w:tc>
            </w:tr>
            <w:tr>
              <w:tc>
                <w:tcPr>
                  <w:gridSpan w:val="6"/>
                </w:tcPr>
                <w:p>
                  <w:pPr>
                    <w:pStyle w:val="Compact"/>
                    <w:jc w:val="center"/>
                  </w:pPr>
                  <w:r>
                    <w:t xml:space="preserve">Block, the augmentation runs against the planned runs, coded −1 and +1.</w:t>
                  </w:r>
                </w:p>
              </w:tc>
            </w:tr>
          </w:tbl>
          <w:bookmarkEnd w:id="163"/>
          <w:p/>
        </w:tc>
      </w:tr>
    </w:tbl>
    <w:bookmarkEnd w:id="164"/>
    <w:bookmarkStart w:id="166" w:name="appendix-d-analytical-methods-summary"/>
    <w:p>
      <w:pPr>
        <w:pStyle w:val="Heading1"/>
      </w:pPr>
      <w:r>
        <w:t xml:space="preserve">Appendix D — Analytical methods summary</w:t>
      </w:r>
    </w:p>
    <w:p>
      <w:pPr>
        <w:pStyle w:val="FirstParagraph"/>
      </w:pPr>
      <w:hyperlink w:anchor="tbl-methods-summary">
        <w:r>
          <w:rPr>
            <w:rStyle w:val="Hyperlink"/>
          </w:rPr>
          <w:t xml:space="preserve">Table 35</w:t>
        </w:r>
      </w:hyperlink>
      <w:r>
        <w:t xml:space="preserve"> </w:t>
      </w:r>
      <w:r>
        <w:t xml:space="preserve">summarises the methods behind the responses of this report, with the precision and LOQ of each from its validation record.</w:t>
      </w:r>
    </w:p>
    <w:tbl>
      <w:tblPr>
        <w:tblStyle w:val="Table"/>
        <w:tblW w:type="pct" w:w="5000"/>
        <w:tblLayout w:type="fixed"/>
        <w:tblLook w:firstRow="0" w:lastRow="0" w:firstColumn="0" w:lastColumn="0" w:noHBand="0" w:noVBand="0" w:val="0000"/>
      </w:tblPr>
      <w:tblGrid>
        <w:gridCol w:w="7920"/>
      </w:tblGrid>
      <w:tr>
        <w:tc>
          <w:tcPr/>
          <w:bookmarkStart w:id="165" w:name="tbl-methods-summary"/>
          <w:p>
            <w:pPr>
              <w:jc w:val="center"/>
            </w:pPr>
            <w:pPr>
              <w:jc w:val="start"/>
              <w:spacing w:before="200"/>
              <w:pStyle w:val="ImageCaption"/>
            </w:pPr>
            <w:r>
              <w:t xml:space="preserve">Table 35: Analytical methods behind the responses of the anion exchange characterization.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Method</w:t>
                  </w:r>
                </w:p>
              </w:tc>
              <w:tc>
                <w:tcPr/>
                <w:p>
                  <w:pPr>
                    <w:pStyle w:val="Compact"/>
                    <w:jc w:val="center"/>
                  </w:pPr>
                  <w:r>
                    <w:t xml:space="preserve">Title</w:t>
                  </w:r>
                </w:p>
              </w:tc>
              <w:tc>
                <w:tcPr/>
                <w:p>
                  <w:pPr>
                    <w:pStyle w:val="Compact"/>
                    <w:jc w:val="center"/>
                  </w:pPr>
                  <w:r>
                    <w:t xml:space="preserve">Measured in this report</w:t>
                  </w:r>
                </w:p>
              </w:tc>
              <w:tc>
                <w:tcPr/>
                <w:p>
                  <w:pPr>
                    <w:pStyle w:val="Compact"/>
                    <w:jc w:val="center"/>
                  </w:pPr>
                  <w:r>
                    <w:t xml:space="preserve">Precision</w:t>
                  </w:r>
                </w:p>
              </w:tc>
              <w:tc>
                <w:tcPr/>
                <w:p>
                  <w:pPr>
                    <w:pStyle w:val="Compact"/>
                    <w:jc w:val="center"/>
                  </w:pPr>
                  <w:r>
                    <w:t xml:space="preserve">LOQ</w:t>
                  </w:r>
                </w:p>
              </w:tc>
            </w:tr>
            <w:tr>
              <w:tc>
                <w:tcPr/>
                <w:p>
                  <w:pPr>
                    <w:pStyle w:val="Compact"/>
                    <w:jc w:val="center"/>
                  </w:pPr>
                  <w:r>
                    <w:t xml:space="preserve">AMV-3012</w:t>
                  </w:r>
                </w:p>
              </w:tc>
              <w:tc>
                <w:tcPr/>
                <w:p>
                  <w:pPr>
                    <w:pStyle w:val="Compact"/>
                    <w:jc w:val="center"/>
                  </w:pPr>
                  <w:r>
                    <w:t xml:space="preserve">Host-Cell Protein ELISA</w:t>
                  </w:r>
                </w:p>
              </w:tc>
              <w:tc>
                <w:tcPr/>
                <w:p>
                  <w:pPr>
                    <w:pStyle w:val="Compact"/>
                    <w:jc w:val="center"/>
                  </w:pPr>
                  <w:r>
                    <w:t xml:space="preserve">Pool host cell protein</w:t>
                  </w:r>
                </w:p>
              </w:tc>
              <w:tc>
                <w:tcPr/>
                <w:p>
                  <w:pPr>
                    <w:pStyle w:val="Compact"/>
                    <w:jc w:val="center"/>
                  </w:pPr>
                  <w:r>
                    <w:t xml:space="preserve">9.5 % CV</w:t>
                  </w:r>
                </w:p>
              </w:tc>
              <w:tc>
                <w:tcPr/>
                <w:p>
                  <w:pPr>
                    <w:pStyle w:val="Compact"/>
                    <w:jc w:val="center"/>
                  </w:pPr>
                  <w:r>
                    <w:t xml:space="preserve">1 ng/mg</w:t>
                  </w:r>
                </w:p>
              </w:tc>
            </w:tr>
            <w:tr>
              <w:tc>
                <w:tcPr/>
                <w:p>
                  <w:pPr>
                    <w:pStyle w:val="Compact"/>
                    <w:jc w:val="center"/>
                  </w:pPr>
                  <w:r>
                    <w:t xml:space="preserve">AMV-3019</w:t>
                  </w:r>
                </w:p>
              </w:tc>
              <w:tc>
                <w:tcPr/>
                <w:p>
                  <w:pPr>
                    <w:pStyle w:val="Compact"/>
                    <w:jc w:val="center"/>
                  </w:pPr>
                  <w:r>
                    <w:t xml:space="preserve">Protein Concentration by A280 (UV)</w:t>
                  </w:r>
                </w:p>
              </w:tc>
              <w:tc>
                <w:tcPr/>
                <w:p>
                  <w:pPr>
                    <w:pStyle w:val="Compact"/>
                    <w:jc w:val="center"/>
                  </w:pPr>
                  <w:r>
                    <w:t xml:space="preserve">Step yield, antibody in load and pool</w:t>
                  </w:r>
                </w:p>
              </w:tc>
              <w:tc>
                <w:tcPr/>
                <w:p>
                  <w:pPr>
                    <w:pStyle w:val="Compact"/>
                    <w:jc w:val="center"/>
                  </w:pPr>
                  <w:r>
                    <w:t xml:space="preserve">1.2 % CV</w:t>
                  </w:r>
                </w:p>
              </w:tc>
              <w:tc>
                <w:tcPr/>
                <w:p>
                  <w:pPr>
                    <w:pStyle w:val="Compact"/>
                    <w:jc w:val="center"/>
                  </w:pPr>
                  <w:r>
                    <w:t xml:space="preserve">0.5 g/L</w:t>
                  </w:r>
                </w:p>
              </w:tc>
            </w:tr>
            <w:tr>
              <w:tc>
                <w:tcPr/>
                <w:p>
                  <w:pPr>
                    <w:pStyle w:val="Compact"/>
                    <w:jc w:val="center"/>
                  </w:pPr>
                  <w:r>
                    <w:t xml:space="preserve">AMV-3014</w:t>
                  </w:r>
                </w:p>
              </w:tc>
              <w:tc>
                <w:tcPr/>
                <w:p>
                  <w:pPr>
                    <w:pStyle w:val="Compact"/>
                    <w:jc w:val="center"/>
                  </w:pPr>
                  <w:r>
                    <w:t xml:space="preserve">Residual DNA (qPCR)</w:t>
                  </w:r>
                </w:p>
              </w:tc>
              <w:tc>
                <w:tcPr/>
                <w:p>
                  <w:pPr>
                    <w:pStyle w:val="Compact"/>
                    <w:jc w:val="center"/>
                  </w:pPr>
                  <w:r>
                    <w:t xml:space="preserve">Residual DNA, load and pool</w:t>
                  </w:r>
                </w:p>
              </w:tc>
              <w:tc>
                <w:tcPr/>
                <w:p>
                  <w:pPr>
                    <w:pStyle w:val="Compact"/>
                    <w:jc w:val="center"/>
                  </w:pPr>
                  <w:r>
                    <w:t xml:space="preserve">15 % CV</w:t>
                  </w:r>
                </w:p>
              </w:tc>
              <w:tc>
                <w:tcPr/>
                <w:p>
                  <w:pPr>
                    <w:pStyle w:val="Compact"/>
                    <w:jc w:val="center"/>
                  </w:pPr>
                  <w:r>
                    <w:t xml:space="preserve">1 pg/mg</w:t>
                  </w:r>
                </w:p>
              </w:tc>
            </w:tr>
            <w:tr>
              <w:tc>
                <w:tcPr/>
                <w:p>
                  <w:pPr>
                    <w:pStyle w:val="Compact"/>
                    <w:jc w:val="center"/>
                  </w:pPr>
                  <w:r>
                    <w:t xml:space="preserve">AMV-3016</w:t>
                  </w:r>
                </w:p>
              </w:tc>
              <w:tc>
                <w:tcPr/>
                <w:p>
                  <w:pPr>
                    <w:pStyle w:val="Compact"/>
                    <w:jc w:val="center"/>
                  </w:pPr>
                  <w:r>
                    <w:t xml:space="preserve">Leached Protein A by ELISA (ppm)</w:t>
                  </w:r>
                </w:p>
              </w:tc>
              <w:tc>
                <w:tcPr/>
                <w:p>
                  <w:pPr>
                    <w:pStyle w:val="Compact"/>
                    <w:jc w:val="center"/>
                  </w:pPr>
                  <w:r>
                    <w:t xml:space="preserve">Leached Protein A, load and pool</w:t>
                  </w:r>
                </w:p>
              </w:tc>
              <w:tc>
                <w:tcPr/>
                <w:p>
                  <w:pPr>
                    <w:pStyle w:val="Compact"/>
                    <w:jc w:val="center"/>
                  </w:pPr>
                  <w:r>
                    <w:t xml:space="preserve">6.5 % CV</w:t>
                  </w:r>
                </w:p>
              </w:tc>
              <w:tc>
                <w:tcPr/>
                <w:p>
                  <w:pPr>
                    <w:pStyle w:val="Compact"/>
                    <w:jc w:val="center"/>
                  </w:pPr>
                  <w:r>
                    <w:t xml:space="preserve">0.25 ppm</w:t>
                  </w:r>
                </w:p>
              </w:tc>
            </w:tr>
            <w:tr>
              <w:tc>
                <w:tcPr/>
                <w:p>
                  <w:pPr>
                    <w:pStyle w:val="Compact"/>
                    <w:jc w:val="center"/>
                  </w:pPr>
                  <w:r>
                    <w:t xml:space="preserve">AMV-3017</w:t>
                  </w:r>
                </w:p>
              </w:tc>
              <w:tc>
                <w:tcPr/>
                <w:p>
                  <w:pPr>
                    <w:pStyle w:val="Compact"/>
                    <w:jc w:val="center"/>
                  </w:pPr>
                  <w:r>
                    <w:t xml:space="preserve">XMuLV Infectivity Titre (TCID50)</w:t>
                  </w:r>
                </w:p>
              </w:tc>
              <w:tc>
                <w:tcPr/>
                <w:p>
                  <w:pPr>
                    <w:pStyle w:val="Compact"/>
                    <w:jc w:val="center"/>
                  </w:pPr>
                  <w:r>
                    <w:t xml:space="preserve">XMuLV infectivity, spiked load and pool</w:t>
                  </w:r>
                </w:p>
              </w:tc>
              <w:tc>
                <w:tcPr/>
                <w:p>
                  <w:pPr>
                    <w:pStyle w:val="Compact"/>
                    <w:jc w:val="center"/>
                  </w:pPr>
                  <w:r>
                    <w:t xml:space="preserve">0.3 log10</w:t>
                  </w:r>
                </w:p>
              </w:tc>
              <w:tc>
                <w:tcPr/>
                <w:p>
                  <w:pPr>
                    <w:pStyle w:val="Compact"/>
                    <w:jc w:val="center"/>
                  </w:pPr>
                  <w:r>
                    <w:t xml:space="preserve">1.5 log10 TCID50/mL</w:t>
                  </w:r>
                </w:p>
              </w:tc>
            </w:tr>
            <w:tr>
              <w:tc>
                <w:tcPr/>
                <w:p>
                  <w:pPr>
                    <w:pStyle w:val="Compact"/>
                    <w:jc w:val="center"/>
                  </w:pPr>
                  <w:r>
                    <w:t xml:space="preserve">AMV-3018</w:t>
                  </w:r>
                </w:p>
              </w:tc>
              <w:tc>
                <w:tcPr/>
                <w:p>
                  <w:pPr>
                    <w:pStyle w:val="Compact"/>
                    <w:jc w:val="center"/>
                  </w:pPr>
                  <w:r>
                    <w:t xml:space="preserve">MVM Infectivity Titre (TCID50/qPCR)</w:t>
                  </w:r>
                </w:p>
              </w:tc>
              <w:tc>
                <w:tcPr/>
                <w:p>
                  <w:pPr>
                    <w:pStyle w:val="Compact"/>
                    <w:jc w:val="center"/>
                  </w:pPr>
                  <w:r>
                    <w:t xml:space="preserve">MVM infectivity, spiked load and pool</w:t>
                  </w:r>
                </w:p>
              </w:tc>
              <w:tc>
                <w:tcPr/>
                <w:p>
                  <w:pPr>
                    <w:pStyle w:val="Compact"/>
                    <w:jc w:val="center"/>
                  </w:pPr>
                  <w:r>
                    <w:t xml:space="preserve">0.32 log10</w:t>
                  </w:r>
                </w:p>
              </w:tc>
              <w:tc>
                <w:tcPr/>
                <w:p>
                  <w:pPr>
                    <w:pStyle w:val="Compact"/>
                    <w:jc w:val="center"/>
                  </w:pPr>
                  <w:r>
                    <w:t xml:space="preserve">1.4 log10 TCID50/mL</w:t>
                  </w:r>
                </w:p>
              </w:tc>
            </w:tr>
            <w:tr>
              <w:tc>
                <w:tcPr/>
                <w:p>
                  <w:pPr>
                    <w:pStyle w:val="Compact"/>
                    <w:jc w:val="center"/>
                  </w:pPr>
                  <w:r>
                    <w:t xml:space="preserve">AMV-3013</w:t>
                  </w:r>
                </w:p>
              </w:tc>
              <w:tc>
                <w:tcPr/>
                <w:p>
                  <w:pPr>
                    <w:pStyle w:val="Compact"/>
                    <w:jc w:val="center"/>
                  </w:pPr>
                  <w:r>
                    <w:t xml:space="preserve">Charge Variants (icIEF)</w:t>
                  </w:r>
                </w:p>
              </w:tc>
              <w:tc>
                <w:tcPr/>
                <w:p>
                  <w:pPr>
                    <w:pStyle w:val="Compact"/>
                    <w:jc w:val="center"/>
                  </w:pPr>
                  <w:r>
                    <w:t xml:space="preserve">Charge variants of the load</w:t>
                  </w:r>
                </w:p>
              </w:tc>
              <w:tc>
                <w:tcPr/>
                <w:p>
                  <w:pPr>
                    <w:pStyle w:val="Compact"/>
                    <w:jc w:val="center"/>
                  </w:pPr>
                  <w:r>
                    <w:t xml:space="preserve">2 % CV</w:t>
                  </w:r>
                </w:p>
              </w:tc>
              <w:tc>
                <w:tcPr/>
                <w:p>
                  <w:pPr>
                    <w:pStyle w:val="Compact"/>
                    <w:jc w:val="center"/>
                  </w:pPr>
                  <w:r>
                    <w:t xml:space="preserve">1 % acidic</w:t>
                  </w:r>
                </w:p>
              </w:tc>
            </w:tr>
            <w:tr>
              <w:tc>
                <w:tcPr/>
                <w:p>
                  <w:pPr>
                    <w:pStyle w:val="Compact"/>
                    <w:jc w:val="center"/>
                  </w:pPr>
                  <w:r>
                    <w:t xml:space="preserve">AMV-3020</w:t>
                  </w:r>
                </w:p>
              </w:tc>
              <w:tc>
                <w:tcPr/>
                <w:p>
                  <w:pPr>
                    <w:pStyle w:val="Compact"/>
                    <w:jc w:val="center"/>
                  </w:pPr>
                  <w:r>
                    <w:t xml:space="preserve">Purity (non-reduced CE-SDS)</w:t>
                  </w:r>
                </w:p>
              </w:tc>
              <w:tc>
                <w:tcPr/>
                <w:p>
                  <w:pPr>
                    <w:pStyle w:val="Compact"/>
                    <w:jc w:val="center"/>
                  </w:pPr>
                  <w:r>
                    <w:t xml:space="preserve">Fragments (LMW) in the pool</w:t>
                  </w:r>
                </w:p>
              </w:tc>
              <w:tc>
                <w:tcPr/>
                <w:p>
                  <w:pPr>
                    <w:pStyle w:val="Compact"/>
                    <w:jc w:val="center"/>
                  </w:pPr>
                  <w:r>
                    <w:t xml:space="preserve">SD 0.06 %</w:t>
                  </w:r>
                </w:p>
              </w:tc>
              <w:tc>
                <w:tcPr/>
                <w:p>
                  <w:pPr>
                    <w:pStyle w:val="Compact"/>
                    <w:jc w:val="center"/>
                  </w:pPr>
                  <w:r>
                    <w:t xml:space="preserve">0.1 %</w:t>
                  </w:r>
                </w:p>
              </w:tc>
            </w:tr>
            <w:tr>
              <w:tc>
                <w:tcPr>
                  <w:gridSpan w:val="5"/>
                </w:tcPr>
                <w:p>
                  <w:pPr>
                    <w:pStyle w:val="Compact"/>
                    <w:jc w:val="center"/>
                  </w:pPr>
                  <w:r>
                    <w:t xml:space="preserve">Precision from the validation record of each method, as a coefficient of variation, CV, as a repeatability in log10 for the infectivity assays, or as a standard deviation, SD, for nrCE-SDS. The performance characteristics are held in the validation reports.</w:t>
                  </w:r>
                </w:p>
              </w:tc>
            </w:tr>
          </w:tbl>
          <w:bookmarkEnd w:id="165"/>
          <w:p/>
        </w:tc>
      </w:tr>
    </w:tbl>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87" Target="media/rId87.png" /><Relationship Type="http://schemas.openxmlformats.org/officeDocument/2006/relationships/image" Id="rId109" Target="media/rId109.png" /><Relationship Type="http://schemas.openxmlformats.org/officeDocument/2006/relationships/image" Id="rId117" Target="media/rId117.png" /><Relationship Type="http://schemas.openxmlformats.org/officeDocument/2006/relationships/image" Id="rId113" Target="media/rId1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2026-10-11T12:25:38Z</dcterms:created>
  <dcterms:modified xsi:type="dcterms:W3CDTF">2026-10-11T12:25:38Z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Anion Exchange Chromatography (Step 8) — PCR-008</vt:lpwstr>
  </property>
  <property fmtid="{D5CDD505-2E9C-101B-9397-08002B2CF9AE}" pid="15" name="tbl-cap-location">
    <vt:lpwstr>top</vt:lpwstr>
  </property>
  <property fmtid="{D5CDD505-2E9C-101B-9397-08002B2CF9AE}" pid="16" name="toc-title">
    <vt:lpwstr>Table of contents</vt:lpwstr>
  </property>
</Properties>
</file>