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ANOVA, analysis of variance; BLA,</w:t>
      </w:r>
      <w:r>
        <w:t xml:space="preserve"> </w:t>
      </w:r>
      <w:r>
        <w:t xml:space="preserve">Biologics License Application; CCD, central composite design; Cpk, process capability</w:t>
      </w:r>
      <w:r>
        <w:t xml:space="preserve"> </w:t>
      </w:r>
      <w:r>
        <w:t xml:space="preserve">index (one-sided); CPP, critical process parameter; CQA, critical quality attribute;</w:t>
      </w:r>
      <w:r>
        <w:t xml:space="preserve"> </w:t>
      </w:r>
      <w:r>
        <w:t xml:space="preserve">DoE, design of experiments; DS, drug substance; GPP, general process parameter; HCP,</w:t>
      </w:r>
      <w:r>
        <w:t xml:space="preserve"> </w:t>
      </w:r>
      <w:r>
        <w:t xml:space="preserve">host-cell protein; HILIC-UPLC, hydrophilic-interaction ultra-performance liquid</w:t>
      </w:r>
      <w:r>
        <w:t xml:space="preserve"> </w:t>
      </w:r>
      <w:r>
        <w:t xml:space="preserve">chromatography; HMW, high-molecular-weight (aggregate) species; icIEF, imaged capillary</w:t>
      </w:r>
      <w:r>
        <w:t xml:space="preserve"> </w:t>
      </w:r>
      <w:r>
        <w:t xml:space="preserve">isoelectric focusing; KPP, key process parameter; MSAT, Manufacturing Science and</w:t>
      </w:r>
      <w:r>
        <w:t xml:space="preserve"> </w:t>
      </w:r>
      <w:r>
        <w:t xml:space="preserve">Technology; NOR, normal operating range; PAR, proven acceptable range; pCO₂, dissolved</w:t>
      </w:r>
      <w:r>
        <w:t xml:space="preserve"> </w:t>
      </w:r>
      <w:r>
        <w:t xml:space="preserve">carbon-dioxide partial pressure; QbD, quality by design; RMSE, root-mean-square error;</w:t>
      </w:r>
      <w:r>
        <w:t xml:space="preserve"> </w:t>
      </w:r>
      <w:r>
        <w:t xml:space="preserve">RSM, response-surface methodology (model); SDM, scale-down model; SEC-HPLC,</w:t>
      </w:r>
      <w:r>
        <w:t xml:space="preserve"> </w:t>
      </w:r>
      <w:r>
        <w:t xml:space="preserve">size-exclusion high-performance liquid chromatography; USP, upstream processing; VH,</w:t>
      </w:r>
      <w:r>
        <w:t xml:space="preserve"> </w:t>
      </w:r>
      <w:r>
        <w:t xml:space="preserve">very high (criticality);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production bioreactor (Step 3) is the fed-batch upstream operation in which A-Mab is</w:t>
      </w:r>
      <w:r>
        <w:t xml:space="preserve"> </w:t>
      </w:r>
      <w:r>
        <w:t xml:space="preserve">expressed and in which its glycan, charge-variant and aggregate critical quality</w:t>
      </w:r>
      <w:r>
        <w:t xml:space="preserve"> </w:t>
      </w:r>
      <w:r>
        <w:t xml:space="preserve">attributes are formed; it is the</w:t>
      </w:r>
      <w:r>
        <w:t xml:space="preserve"> </w:t>
      </w:r>
      <w:r>
        <w:rPr>
          <w:b/>
          <w:bCs/>
        </w:rPr>
        <w:t xml:space="preserve">design-space step</w:t>
      </w:r>
      <w:r>
        <w:t xml:space="preserve"> </w:t>
      </w:r>
      <w:r>
        <w:t xml:space="preserve">of the drug-substance process and</w:t>
      </w:r>
      <w:r>
        <w:t xml:space="preserve"> </w:t>
      </w:r>
      <w:r>
        <w:t xml:space="preserve">the quality-attribute-richest characterization in the campaign. This report documents the</w:t>
      </w:r>
      <w:r>
        <w:t xml:space="preserve"> </w:t>
      </w:r>
      <w:r>
        <w:t xml:space="preserve">Stage 1 (Process Design) characterization executed under the paired plan PCP-003 on a</w:t>
      </w:r>
      <w:r>
        <w:t xml:space="preserve"> </w:t>
      </w:r>
      <w:r>
        <w:t xml:space="preserve">qualified scale-down model, following the process-validation lifecycle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enhanced, quality-by-design development</w:t>
      </w:r>
      <w:r>
        <w:t xml:space="preserve"> </w:t>
      </w:r>
      <w:r>
        <w:t xml:space="preserve">approach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built on the A-Mab case study</w:t>
      </w:r>
      <w:r>
        <w:t xml:space="preserve"> </w:t>
      </w:r>
      <w:r>
        <w:t xml:space="preserve">(CMC Biotech Working Group 2009)</w:t>
      </w:r>
      <w:r>
        <w:t xml:space="preserve">. Its</w:t>
      </w:r>
      <w:r>
        <w:t xml:space="preserve"> </w:t>
      </w:r>
      <w:r>
        <w:t xml:space="preserve">conclusion, stated first: the step is well understood, and a response-surface model over</w:t>
      </w:r>
      <w:r>
        <w:t xml:space="preserve"> </w:t>
      </w:r>
      <w:r>
        <w:t xml:space="preserve">the well-controlled culture parameters defines an operating region in which the glycan,</w:t>
      </w:r>
      <w:r>
        <w:t xml:space="preserve"> </w:t>
      </w:r>
      <w:r>
        <w:t xml:space="preserve">charge-variant and aggregate CQAs remain within their acceptance limits across the</w:t>
      </w:r>
      <w:r>
        <w:t xml:space="preserve"> </w:t>
      </w:r>
      <w:r>
        <w:t xml:space="preserve">characterized ranges.</w:t>
      </w:r>
    </w:p>
    <w:p>
      <w:pPr>
        <w:pStyle w:val="BodyText"/>
      </w:pPr>
      <w:r>
        <w:t xml:space="preserve">Of the 9 parameters carried into the study, 5 are</w:t>
      </w:r>
      <w:r>
        <w:t xml:space="preserve"> </w:t>
      </w:r>
      <w:r>
        <w:t xml:space="preserve">classified well-controlled critical process parameters (WC-CPP) — culture pH, temperature,</w:t>
      </w:r>
      <w:r>
        <w:t xml:space="preserve"> </w:t>
      </w:r>
      <w:r>
        <w:t xml:space="preserve">dissolved CO₂ (pCO₂), osmolality and culture duration — while 3 are key</w:t>
      </w:r>
      <w:r>
        <w:t xml:space="preserve"> </w:t>
      </w:r>
      <w:r>
        <w:t xml:space="preserve">process parameters and 1 is a general process parameter. No parameter</w:t>
      </w:r>
      <w:r>
        <w:t xml:space="preserve"> </w:t>
      </w:r>
      <w:r>
        <w:t xml:space="preserve">required the most stringent (critical process parameter) control (n = 0),</w:t>
      </w:r>
      <w:r>
        <w:t xml:space="preserve"> </w:t>
      </w:r>
      <w:r>
        <w:t xml:space="preserve">because each active parameter is controlled to a range within which the governed CQAs stay</w:t>
      </w:r>
      <w:r>
        <w:t xml:space="preserve"> </w:t>
      </w:r>
      <w:r>
        <w:t xml:space="preserve">in limit; the classification rationale, parameter by parameter, is given in the parameter-</w:t>
      </w:r>
      <w:r>
        <w:t xml:space="preserve"> </w:t>
      </w:r>
      <w:r>
        <w:t xml:space="preserve">classification section.</w:t>
      </w:r>
    </w:p>
    <w:p>
      <w:pPr>
        <w:pStyle w:val="BodyText"/>
      </w:pPr>
      <w:r>
        <w:t xml:space="preserve">The step forms 7 CQAs: the afucosylation, galactosylation and</w:t>
      </w:r>
      <w:r>
        <w:t xml:space="preserve"> </w:t>
      </w:r>
      <w:r>
        <w:t xml:space="preserve">high-mannose glycans — the attributes that, through the antibody’s ADCC mechanism of</w:t>
      </w:r>
      <w:r>
        <w:t xml:space="preserve"> </w:t>
      </w:r>
      <w:r>
        <w:t xml:space="preserve">action, are efficacy-linked — together with the aggregate (HMW) and acidic charge-variant</w:t>
      </w:r>
      <w:r>
        <w:t xml:space="preserve"> </w:t>
      </w:r>
      <w:r>
        <w:t xml:space="preserve">attributes and the incoming host-cell-protein and residual-DNA impurity burden. The five</w:t>
      </w:r>
      <w:r>
        <w:t xml:space="preserve"> </w:t>
      </w:r>
      <w:r>
        <w:t xml:space="preserve">glycan, charge and aggregate responses were quantified with face-centred central-composite</w:t>
      </w:r>
      <w:r>
        <w:t xml:space="preserve"> </w:t>
      </w:r>
      <w:r>
        <w:t xml:space="preserve">response-surface designs whose models are adequate across the board (R² from</w:t>
      </w:r>
      <w:r>
        <w:t xml:space="preserve"> </w:t>
      </w:r>
      <w:r>
        <w:t xml:space="preserve">0.91 to 0.97, adjusted R² ≥</w:t>
      </w:r>
      <w:r>
        <w:t xml:space="preserve"> </w:t>
      </w:r>
      <w:r>
        <w:t xml:space="preserve">0.81, no significant lack of fit against the centre-point pure</w:t>
      </w:r>
      <w:r>
        <w:t xml:space="preserve"> </w:t>
      </w:r>
      <w:r>
        <w:t xml:space="preserve">error).</w:t>
      </w:r>
    </w:p>
    <w:p>
      <w:pPr>
        <w:pStyle w:val="BodyText"/>
      </w:pPr>
      <w:r>
        <w:t xml:space="preserve">At commercial scale, a Monte-Carlo simulation of 2,000</w:t>
      </w:r>
      <w:r>
        <w:t xml:space="preserve"> </w:t>
      </w:r>
      <w:r>
        <w:t xml:space="preserve">normal-operating-range batches confirms that every CQA the step forms is capable, the</w:t>
      </w:r>
      <w:r>
        <w:t xml:space="preserve"> </w:t>
      </w:r>
      <w:r>
        <w:t xml:space="preserve">tightest margin belonging to High Mannose at Cpk 1.94 —</w:t>
      </w:r>
      <w:r>
        <w:t xml:space="preserve"> </w:t>
      </w:r>
      <w:r>
        <w:t xml:space="preserve">roughly 5.8 standard deviations from its nearest specification</w:t>
      </w:r>
      <w:r>
        <w:t xml:space="preserve"> </w:t>
      </w:r>
      <w:r>
        <w:t xml:space="preserve">limit — consistent with that attribute’s very-high criticality. That the step’s own</w:t>
      </w:r>
      <w:r>
        <w:t xml:space="preserve"> </w:t>
      </w:r>
      <w:r>
        <w:t xml:space="preserve">tightest capability nonetheless clears its limit with this margin is the quantitative form</w:t>
      </w:r>
      <w:r>
        <w:t xml:space="preserve"> </w:t>
      </w:r>
      <w:r>
        <w:t xml:space="preserve">of the design-space claim. Because every attribute met its acceptance criterion at</w:t>
      </w:r>
      <w:r>
        <w:t xml:space="preserve"> </w:t>
      </w:r>
      <w:r>
        <w:t xml:space="preserve">scale-down, the commercial process is guaranteed to produce in-specification drug substance</w:t>
      </w:r>
      <w:r>
        <w:t xml:space="preserve"> </w:t>
      </w:r>
      <w:r>
        <w:t xml:space="preserve">indefinitely, and no further confirmation at commercial scale is required.</w:t>
      </w:r>
    </w:p>
    <w:p>
      <w:pPr>
        <w:pStyle w:val="BodyText"/>
      </w:pPr>
      <w:r>
        <w:t xml:space="preserve">2 deviations were recorded during execution — a dissolved-CO₂ probe drift on</w:t>
      </w:r>
      <w:r>
        <w:t xml:space="preserve"> </w:t>
      </w:r>
      <w:r>
        <w:t xml:space="preserve">one screening run and a nutrient-feed under-delivery on one centre-point batch — and each</w:t>
      </w:r>
      <w:r>
        <w:t xml:space="preserve"> </w:t>
      </w:r>
      <w:r>
        <w:t xml:space="preserve">was investigated, bounded to within the studied ranges and retained without altering any</w:t>
      </w:r>
      <w:r>
        <w:t xml:space="preserve"> </w:t>
      </w:r>
      <w:r>
        <w:t xml:space="preserve">parameter classification or the operating region (see the deviations section).</w:t>
      </w:r>
    </w:p>
    <w:p>
      <w:pPr>
        <w:pStyle w:val="BodyText"/>
      </w:pPr>
      <w:r>
        <w:t xml:space="preserve">The step therefore guarantees, within the characterized culture ranges and on the qualified</w:t>
      </w:r>
      <w:r>
        <w:t xml:space="preserve"> </w:t>
      </w:r>
      <w:r>
        <w:t xml:space="preserve">scale-down model, the formation of in-specification product quality;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t xml:space="preserve">itself deliver the process’s impurity-clearance or viral-safety claims. The host-cell-</w:t>
      </w:r>
      <w:r>
        <w:t xml:space="preserve"> </w:t>
      </w:r>
      <w:r>
        <w:t xml:space="preserve">protein and DNA burden it sets is cleared to release levels by the downstream purification</w:t>
      </w:r>
      <w:r>
        <w:t xml:space="preserve"> </w:t>
      </w:r>
      <w:r>
        <w:t xml:space="preserve">train — Protein A (PCR-005), cation exchange (PCR-007) and anion exchange (PCR-008) — and</w:t>
      </w:r>
      <w:r>
        <w:t xml:space="preserve"> </w:t>
      </w:r>
      <w:r>
        <w:t xml:space="preserve">the enveloped- and small-virus safety margins are established at the dedicated viral steps</w:t>
      </w:r>
      <w:r>
        <w:t xml:space="preserve"> </w:t>
      </w:r>
      <w:r>
        <w:t xml:space="preserve">(PCR-006, PCR-008, PCR-009) under ICH Q5A. These contributions are consolidated with the</w:t>
      </w:r>
      <w:r>
        <w:t xml:space="preserve"> </w:t>
      </w:r>
      <w:r>
        <w:t xml:space="preserve">present one in the Master Report (PCMR-001).</w:t>
      </w:r>
    </w:p>
    <w:p>
      <w:r>
        <w:br w:type="page"/>
      </w:r>
    </w:p>
    <w:bookmarkEnd w:id="12"/>
    <w:bookmarkStart w:id="17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cellular cytotoxicity (ADCC), and the production bioreactor (Step 3) is</w:t>
      </w:r>
      <w:r>
        <w:t xml:space="preserve"> </w:t>
      </w:r>
      <w:r>
        <w:t xml:space="preserve">the unit operation in which its quality profile is created. Because ADCC potency depends on</w:t>
      </w:r>
      <w:r>
        <w:t xml:space="preserve"> </w:t>
      </w:r>
      <w:r>
        <w:t xml:space="preserve">the Fc glycan, the afucosylation and galactosylation of the product are efficacy-linked</w:t>
      </w:r>
      <w:r>
        <w:t xml:space="preserve"> </w:t>
      </w:r>
      <w:r>
        <w:t xml:space="preserve">critical quality attributes; together with high mannose, the aggregate (high-molecular-weight)</w:t>
      </w:r>
      <w:r>
        <w:t xml:space="preserve"> </w:t>
      </w:r>
      <w:r>
        <w:t xml:space="preserve">content and the acidic charge variants, and with the incoming host-cell-protein (HCP) and</w:t>
      </w:r>
      <w:r>
        <w:t xml:space="preserve"> </w:t>
      </w:r>
      <w:r>
        <w:t xml:space="preserve">residual-DNA burden, these attributes are formed in the fed-batch culture rather than in the</w:t>
      </w:r>
      <w:r>
        <w:t xml:space="preserve"> </w:t>
      </w:r>
      <w:r>
        <w:t xml:space="preserve">downstream purification train. The bioreactor therefore sets the quality that every step</w:t>
      </w:r>
      <w:r>
        <w:t xml:space="preserve"> </w:t>
      </w:r>
      <w:r>
        <w:t xml:space="preserve">after it must preserve or clear.</w:t>
      </w:r>
    </w:p>
    <w:p>
      <w:pPr>
        <w:pStyle w:val="BodyText"/>
      </w:pPr>
      <w:r>
        <w:t xml:space="preserve">The drug-substance process is the upstream culture followed by a platform purification train;</w:t>
      </w:r>
      <w:r>
        <w:t xml:space="preserve"> </w:t>
      </w:r>
      <w:r>
        <w:t xml:space="preserve">the whole train, with each step’s principal role,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(Steps 3–10)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Within that train the production bioreactor is the design-space step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): it is the</w:t>
      </w:r>
      <w:r>
        <w:t xml:space="preserve"> </w:t>
      </w:r>
      <w:r>
        <w:t xml:space="preserve">only operation that forms the glycan, charge-variant and aggregate CQAs, whereas the</w:t>
      </w:r>
      <w:r>
        <w:t xml:space="preserve"> </w:t>
      </w:r>
      <w:r>
        <w:t xml:space="preserve">chromatographic and filtration steps that follow are clearance and formulation operations</w:t>
      </w:r>
      <w:r>
        <w:t xml:space="preserve"> </w:t>
      </w:r>
      <w:r>
        <w:t xml:space="preserve">that reduce impurities and viruses or exchange the formulation without creating</w:t>
      </w:r>
      <w:r>
        <w:t xml:space="preserve"> </w:t>
      </w:r>
      <w:r>
        <w:t xml:space="preserve">product-quality attributes. A-Mab is expressed by a recombinant Chinese-hamster-ovary (CHO)</w:t>
      </w:r>
      <w:r>
        <w:t xml:space="preserve"> </w:t>
      </w:r>
      <w:r>
        <w:t xml:space="preserve">cell line in fed-batch culture: the culture environment — pH, temperature, dissolved carbon</w:t>
      </w:r>
      <w:r>
        <w:t xml:space="preserve"> </w:t>
      </w:r>
      <w:r>
        <w:t xml:space="preserve">dioxide (pCO₂), osmolality and dissolved oxygen — and the duration over which it is held</w:t>
      </w:r>
      <w:r>
        <w:t xml:space="preserve"> </w:t>
      </w:r>
      <w:r>
        <w:t xml:space="preserve">govern the intracellular glycosylation machinery and the extent of product aggregation, and</w:t>
      </w:r>
      <w:r>
        <w:t xml:space="preserve"> </w:t>
      </w:r>
      <w:r>
        <w:t xml:space="preserve">are therefore the parameters this characterization examines. The step forms the</w:t>
      </w:r>
      <w:r>
        <w:t xml:space="preserve"> </w:t>
      </w:r>
      <w:r>
        <w:t xml:space="preserve">7 CQAs listed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(§Prior knowledge and quality risk basis).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report presents the executed characterization of the production bioreactor. Consistent</w:t>
      </w:r>
      <w:r>
        <w:t xml:space="preserve"> </w:t>
      </w:r>
      <w:r>
        <w:t xml:space="preserve">with the paired plan PCP-003 and the risk basis RA-001, the study was designed to (i)</w:t>
      </w:r>
      <w:r>
        <w:t xml:space="preserve"> </w:t>
      </w:r>
      <w:r>
        <w:t xml:space="preserve">quantify the relationships between the culture parameters and the glycan, charge-variant and</w:t>
      </w:r>
      <w:r>
        <w:t xml:space="preserve"> </w:t>
      </w:r>
      <w:r>
        <w:t xml:space="preserve">aggregate responses; (ii) define a multivariate operating region in the well-controlled</w:t>
      </w:r>
      <w:r>
        <w:t xml:space="preserve"> </w:t>
      </w:r>
      <w:r>
        <w:t xml:space="preserve">culture parameters over which those CQAs remain within their acceptance criteria; (iii)</w:t>
      </w:r>
      <w:r>
        <w:t xml:space="preserve"> </w:t>
      </w:r>
      <w:r>
        <w:t xml:space="preserve">establish a proven acceptable range (PAR) and a normal operating range (NOR) for each</w:t>
      </w:r>
      <w:r>
        <w:t xml:space="preserve"> </w:t>
      </w:r>
      <w:r>
        <w:t xml:space="preserve">parameter; (iv) classify each parameter by its criticality to product quality; and (v)</w:t>
      </w:r>
      <w:r>
        <w:t xml:space="preserve"> </w:t>
      </w:r>
      <w:r>
        <w:t xml:space="preserve">justify the Stage-2 operating ranges and the step’s contribution to the control strategy for</w:t>
      </w:r>
      <w:r>
        <w:t xml:space="preserve"> </w:t>
      </w:r>
      <w:r>
        <w:t xml:space="preserve">transfer of the process from the Cambridge development site to the Grafton commercial</w:t>
      </w:r>
      <w:r>
        <w:t xml:space="preserve"> </w:t>
      </w:r>
      <w:r>
        <w:t xml:space="preserve">drug-substance facility.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characterization follows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and this report is structured as the Stage-1 (Process</w:t>
      </w:r>
      <w:r>
        <w:t xml:space="preserve"> </w:t>
      </w:r>
      <w:r>
        <w:t xml:space="preserve">Design) study record that approach envisages. The study design is the enhanced,</w:t>
      </w:r>
      <w:r>
        <w:t xml:space="preserve"> </w:t>
      </w:r>
      <w:r>
        <w:t xml:space="preserve">quality-by-design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: process</w:t>
      </w:r>
      <w:r>
        <w:t xml:space="preserve"> </w:t>
      </w:r>
      <w:r>
        <w:t xml:space="preserve">understanding is built from prior knowledge and risk assessment, criticality is treated as a</w:t>
      </w:r>
      <w:r>
        <w:t xml:space="preserve"> </w:t>
      </w:r>
      <w:r>
        <w:t xml:space="preserve">continuum rather than a binary label</w:t>
      </w:r>
      <w:r>
        <w:t xml:space="preserve"> </w:t>
      </w:r>
      <w:r>
        <w:t xml:space="preserve">(International Council for Harmonisation 2023)</w:t>
      </w:r>
      <w:r>
        <w:t xml:space="preserve">, and the resulting operating region is</w:t>
      </w:r>
      <w:r>
        <w:t xml:space="preserve"> </w:t>
      </w:r>
      <w:r>
        <w:t xml:space="preserve">expressed as a design space in the parameters that govern the CQAs. The methodology, the CQA</w:t>
      </w:r>
      <w:r>
        <w:t xml:space="preserve"> </w:t>
      </w:r>
      <w:r>
        <w:t xml:space="preserve">framework and the parameter ranges derive from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production bioreactor is not a viral-clearance step, so the viral-safety framework of ICH</w:t>
      </w:r>
      <w:r>
        <w:t xml:space="preserve"> </w:t>
      </w:r>
      <w:r>
        <w:t xml:space="preserve">Q5A(R2) does not govern it directly; the process’s viral safety is established at the</w:t>
      </w:r>
      <w:r>
        <w:t xml:space="preserve"> </w:t>
      </w:r>
      <w:r>
        <w:t xml:space="preserve">dedicated steps (PCR-006, PCR-008, PCR-009) and consolidated, with the present contribution,</w:t>
      </w:r>
      <w:r>
        <w:t xml:space="preserve"> </w:t>
      </w:r>
      <w:r>
        <w:t xml:space="preserve">in the Master Report (PCMR-001).</w:t>
      </w:r>
    </w:p>
    <w:bookmarkEnd w:id="16"/>
    <w:bookmarkEnd w:id="17"/>
    <w:bookmarkStart w:id="22" w:name="prior-knowledge-and-quality-risk-basis"/>
    <w:p>
      <w:pPr>
        <w:pStyle w:val="Heading1"/>
      </w:pPr>
      <w:r>
        <w:t xml:space="preserve">2. Prior knowledge and quality risk basis</w:t>
      </w:r>
    </w:p>
    <w:bookmarkStart w:id="1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Fed-batch production of a humanized IgG1 is a platform operation at Novacyte, and its</w:t>
      </w:r>
      <w:r>
        <w:t xml:space="preserve"> </w:t>
      </w:r>
      <w:r>
        <w:t xml:space="preserve">behaviour is well established from the related products X-Mab, Y-Mab and Z-Mab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; the purpose of this characterization is</w:t>
      </w:r>
      <w:r>
        <w:t xml:space="preserve"> </w:t>
      </w:r>
      <w:r>
        <w:t xml:space="preserve">therefore to confirm and bound a known mechanism at commercial-equivalent scale, not to</w:t>
      </w:r>
      <w:r>
        <w:t xml:space="preserve"> </w:t>
      </w:r>
      <w:r>
        <w:t xml:space="preserve">discover a new one. Prior knowledge sets a specific mechanistic expectation for each culture</w:t>
      </w:r>
      <w:r>
        <w:t xml:space="preserve"> </w:t>
      </w:r>
      <w:r>
        <w:t xml:space="preserve">parameter, and the study was designed to test it. Culture pH and temperature set the activity</w:t>
      </w:r>
      <w:r>
        <w:t xml:space="preserve"> </w:t>
      </w:r>
      <w:r>
        <w:t xml:space="preserve">of the intracellular glycosyltransferases and glycosidases and, with the culture duration,</w:t>
      </w:r>
      <w:r>
        <w:t xml:space="preserve"> </w:t>
      </w:r>
      <w:r>
        <w:t xml:space="preserve">the time over which glycan processing and product aggregation proceed, so they are expected</w:t>
      </w:r>
      <w:r>
        <w:t xml:space="preserve"> </w:t>
      </w:r>
      <w:r>
        <w:t xml:space="preserve">to move the glycan and aggregate attributes together. Dissolved CO₂ modulates intracellular</w:t>
      </w:r>
      <w:r>
        <w:t xml:space="preserve"> </w:t>
      </w:r>
      <w:r>
        <w:t xml:space="preserve">and medium pH and is expected to be the dominant driver of the acidic charge variants.</w:t>
      </w:r>
      <w:r>
        <w:t xml:space="preserve"> </w:t>
      </w:r>
      <w:r>
        <w:t xml:space="preserve">Osmolality and dissolved oxygen act on cell physiology and are expected to be weaker,</w:t>
      </w:r>
      <w:r>
        <w:t xml:space="preserve"> </w:t>
      </w:r>
      <w:r>
        <w:t xml:space="preserve">secondary influences on product quality over their controlled ranges. These expectations</w:t>
      </w:r>
      <w:r>
        <w:t xml:space="preserve"> </w:t>
      </w:r>
      <w:r>
        <w:t xml:space="preserve">frame the factor ranges: each parameter was studied across a span wide enough to expose its</w:t>
      </w:r>
      <w:r>
        <w:t xml:space="preserve"> </w:t>
      </w:r>
      <w:r>
        <w:t xml:space="preserve">mechanism yet bounded by the platform’s established acceptable culture conditions.</w:t>
      </w:r>
    </w:p>
    <w:bookmarkEnd w:id="18"/>
    <w:bookmarkStart w:id="20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forms 7 CQAs, whose acceptance criteria and risk ranking are given</w:t>
      </w:r>
      <w:r>
        <w:t xml:space="preserve"> </w:t>
      </w:r>
      <w:r>
        <w:t xml:space="preserve">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The risk ranking is the case study’s Tool #1 score (impact × uncertainty);</w:t>
      </w:r>
      <w:r>
        <w:t xml:space="preserve"> </w:t>
      </w:r>
      <w:r>
        <w:t xml:space="preserve">attributes scoring high or very high are treated as critical and receive the most</w:t>
      </w:r>
      <w:r>
        <w:t xml:space="preserve"> </w:t>
      </w:r>
      <w:r>
        <w:t xml:space="preserve">characterization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Critical quality attributes formed at the production bioreactor, with acceptance criteria, criticality and the Tool #1 (impact × uncertainty) risk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High mannose is the highest-ranked attribute 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): it is scored very high because, like</w:t>
      </w:r>
      <w:r>
        <w:t xml:space="preserve"> </w:t>
      </w:r>
      <w:r>
        <w:t xml:space="preserve">afucosylation, it modulates ADCC and clearance, and it also carries the tightest</w:t>
      </w:r>
      <w:r>
        <w:t xml:space="preserve"> </w:t>
      </w:r>
      <w:r>
        <w:t xml:space="preserve">commercial-scale capability of the set (§Process capability and robustness). Afucosylation and</w:t>
      </w:r>
      <w:r>
        <w:t xml:space="preserve"> </w:t>
      </w:r>
      <w:r>
        <w:t xml:space="preserve">galactosylation are ranked high as the other efficacy-linked glycans, and the aggregate</w:t>
      </w:r>
      <w:r>
        <w:t xml:space="preserve"> </w:t>
      </w:r>
      <w:r>
        <w:t xml:space="preserve">content is ranked high as a safety-related size variant. The acidic charge variants and</w:t>
      </w:r>
      <w:r>
        <w:t xml:space="preserve"> </w:t>
      </w:r>
      <w:r>
        <w:t xml:space="preserve">residual DNA are of very low criticality — the charge-variant range is wide and clinically</w:t>
      </w:r>
      <w:r>
        <w:t xml:space="preserve"> </w:t>
      </w:r>
      <w:r>
        <w:t xml:space="preserve">qualified, and DNA is cleared to negligible levels downstream — while the HCP burden is of</w:t>
      </w:r>
      <w:r>
        <w:t xml:space="preserve"> </w:t>
      </w:r>
      <w:r>
        <w:t xml:space="preserve">medium-to-high criticality as the principal process-related impurity set here and cleared</w:t>
      </w:r>
      <w:r>
        <w:t xml:space="preserve"> </w:t>
      </w:r>
      <w:r>
        <w:t xml:space="preserve">later. This ranking is the reason the glycan and aggregate responses, not the charge-variant</w:t>
      </w:r>
      <w:r>
        <w:t xml:space="preserve"> </w:t>
      </w:r>
      <w:r>
        <w:t xml:space="preserve">or impurity responses, drive the multivariate design.</w:t>
      </w:r>
    </w:p>
    <w:bookmarkEnd w:id="20"/>
    <w:bookmarkStart w:id="2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parameters carried into the study, and the study type assigned to each, follow the</w:t>
      </w:r>
      <w:r>
        <w:t xml:space="preserve"> </w:t>
      </w:r>
      <w:r>
        <w:t xml:space="preserve">risk-ranking-and-filtering of RA-001: the parameters credibly able to move a critical</w:t>
      </w:r>
      <w:r>
        <w:t xml:space="preserve"> </w:t>
      </w:r>
      <w:r>
        <w:t xml:space="preserve">attribute received the formal multivariate treatment, and the remainder were characterized in</w:t>
      </w:r>
      <w:r>
        <w:t xml:space="preserve"> </w:t>
      </w:r>
      <w:r>
        <w:t xml:space="preserve">proportion to their lower risk. The five culture-environment parameters — culture pH,</w:t>
      </w:r>
      <w:r>
        <w:t xml:space="preserve"> </w:t>
      </w:r>
      <w:r>
        <w:t xml:space="preserve">temperature, dissolved CO₂, osmolality and culture duration — carry the credible risk to the</w:t>
      </w:r>
      <w:r>
        <w:t xml:space="preserve"> </w:t>
      </w:r>
      <w:r>
        <w:t xml:space="preserve">glycan, charge-variant and aggregate CQAs and were taken into the multivariate screening</w:t>
      </w:r>
      <w:r>
        <w:t xml:space="preserve"> </w:t>
      </w:r>
      <w:r>
        <w:t xml:space="preserve">design and, for the most active of them, the response-surface design (§Study design).</w:t>
      </w:r>
      <w:r>
        <w:t xml:space="preserve"> </w:t>
      </w:r>
      <w:r>
        <w:t xml:space="preserve">Dissolved oxygen, basal medium concentration and nutrient feed-1 volume were characterized</w:t>
      </w:r>
      <w:r>
        <w:t xml:space="preserve"> </w:t>
      </w:r>
      <w:r>
        <w:t xml:space="preserve">within the same multivariate campaign but as process-performance parameters rather than</w:t>
      </w:r>
      <w:r>
        <w:t xml:space="preserve"> </w:t>
      </w:r>
      <w:r>
        <w:t xml:space="preserve">CQA-forming factors, consistent with their expected weak effect on product quality; the</w:t>
      </w:r>
      <w:r>
        <w:t xml:space="preserve"> </w:t>
      </w:r>
      <w:r>
        <w:t xml:space="preserve">initial viable cell concentration, which acts through inoculation and growth kinetics rather</w:t>
      </w:r>
      <w:r>
        <w:t xml:space="preserve"> </w:t>
      </w:r>
      <w:r>
        <w:t xml:space="preserve">than glycan chemistry, was assessed univariately. The ranges themselves were set from platform</w:t>
      </w:r>
      <w:r>
        <w:t xml:space="preserve"> </w:t>
      </w:r>
      <w:r>
        <w:t xml:space="preserve">proven-acceptable experience: each PAR spans the characterized edges established for the</w:t>
      </w:r>
      <w:r>
        <w:t xml:space="preserve"> </w:t>
      </w:r>
      <w:r>
        <w:t xml:space="preserve">platform, and each NOR is the narrower band inside it within which the commercial step is</w:t>
      </w:r>
      <w:r>
        <w:t xml:space="preserve"> </w:t>
      </w:r>
      <w:r>
        <w:t xml:space="preserve">routinely controlled 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3. Materials and methods</w:t>
      </w:r>
    </w:p>
    <w:bookmarkStart w:id="23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characterization was executed on a qualified bench-scale model of the production</w:t>
      </w:r>
      <w:r>
        <w:t xml:space="preserve"> </w:t>
      </w:r>
      <w:r>
        <w:t xml:space="preserve">bioreactor, operated at commercial-equivalent culture conditions under SOP-2003 and qualified</w:t>
      </w:r>
      <w:r>
        <w:t xml:space="preserve"> </w:t>
      </w:r>
      <w:r>
        <w:t xml:space="preserve">against at-scale performance under SOP-1001. Qualification matched the model to the</w:t>
      </w:r>
      <w:r>
        <w:t xml:space="preserve"> </w:t>
      </w:r>
      <w:r>
        <w:t xml:space="preserve">manufacturing-scale operation on both its inputs (inoculum, media and feed strategy, gas and</w:t>
      </w:r>
      <w:r>
        <w:t xml:space="preserve"> </w:t>
      </w:r>
      <w:r>
        <w:t xml:space="preserve">pH control) and its outputs (growth, viability, titre and the product-quality attributes), so</w:t>
      </w:r>
      <w:r>
        <w:t xml:space="preserve"> </w:t>
      </w:r>
      <w:r>
        <w:t xml:space="preserve">that the parameter–response relationships measured at small scale support the operating ranges</w:t>
      </w:r>
      <w:r>
        <w:t xml:space="preserve"> </w:t>
      </w:r>
      <w:r>
        <w:t xml:space="preserve">claimed for the commercial step. The centre-point replicates included in each design provide</w:t>
      </w:r>
      <w:r>
        <w:t xml:space="preserve"> </w:t>
      </w:r>
      <w:r>
        <w:t xml:space="preserve">the pure-error estimate against which the response-surface models’ lack of fit is tested</w:t>
      </w:r>
      <w:r>
        <w:t xml:space="preserve"> </w:t>
      </w:r>
      <w:r>
        <w:t xml:space="preserve">(§Results): their low response variability is the quantitative evidence that the model</w:t>
      </w:r>
      <w:r>
        <w:t xml:space="preserve"> </w:t>
      </w:r>
      <w:r>
        <w:t xml:space="preserve">reproduces both the culture and its assays. The claims that follow are bounded to conditions</w:t>
      </w:r>
      <w:r>
        <w:t xml:space="preserve"> </w:t>
      </w:r>
      <w:r>
        <w:t xml:space="preserve">within the qualified model’s demonstrated range of validity.</w:t>
      </w:r>
    </w:p>
    <w:bookmarkEnd w:id="23"/>
    <w:bookmarkStart w:id="24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A-Mab is produced by a recombinant CHO cell line in fed-batch culture; the commercial</w:t>
      </w:r>
      <w:r>
        <w:t xml:space="preserve"> </w:t>
      </w:r>
      <w:r>
        <w:t xml:space="preserve">operation is a 15,000-L production bioreactor producing a nominal</w:t>
      </w:r>
      <w:r>
        <w:t xml:space="preserve"> </w:t>
      </w:r>
      <w:r>
        <w:t xml:space="preserve">harvest titre of about 4.4 g/L at a peak viable cell density near</w:t>
      </w:r>
      <w:r>
        <w:t xml:space="preserve"> </w:t>
      </w:r>
      <w:r>
        <w:t xml:space="preserve">13.5 million cells/mL and an end-of-culture viability of about</w:t>
      </w:r>
      <w:r>
        <w:t xml:space="preserve"> </w:t>
      </w:r>
      <w:r>
        <w:t xml:space="preserve">67 %. Media and nutrient feeds were prepared and delivered under</w:t>
      </w:r>
      <w:r>
        <w:t xml:space="preserve"> </w:t>
      </w:r>
      <w:r>
        <w:t xml:space="preserve">SOP-2004. Inputs controlled to a platform specification — the cell-line identity and passage,</w:t>
      </w:r>
      <w:r>
        <w:t xml:space="preserve"> </w:t>
      </w:r>
      <w:r>
        <w:t xml:space="preserve">and the medium and feed lots — were held at their nominal identity and quality and were not</w:t>
      </w:r>
      <w:r>
        <w:t xml:space="preserve"> </w:t>
      </w:r>
      <w:r>
        <w:t xml:space="preserve">varied as characterization factors; only the culture-environment parameters and the culture</w:t>
      </w:r>
      <w:r>
        <w:t xml:space="preserve"> </w:t>
      </w:r>
      <w:r>
        <w:t xml:space="preserve">duration were studied.</w:t>
      </w:r>
    </w:p>
    <w:bookmarkEnd w:id="24"/>
    <w:bookmarkStart w:id="2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Each response was measured by a validated method (</w:t>
      </w:r>
      <w:hyperlink w:anchor="tbl-methods">
        <w:r>
          <w:rPr>
            <w:rStyle w:val="Hyperlink"/>
          </w:rPr>
          <w:t xml:space="preserve">Table 4</w:t>
        </w:r>
      </w:hyperlink>
      <w:r>
        <w:t xml:space="preserve">), assigned to its attribute as</w:t>
      </w:r>
      <w:r>
        <w:t xml:space="preserve"> </w:t>
      </w:r>
      <w:r>
        <w:t xml:space="preserve">follows. The released-N-glycan map (HILIC-UPLC, AMV-3010) provides the afucosylation,</w:t>
      </w:r>
      <w:r>
        <w:t xml:space="preserve"> </w:t>
      </w:r>
      <w:r>
        <w:t xml:space="preserve">galactosylation and high-mannose glycans; size-variant analysis by SEC-HPLC (AMV-3011)</w:t>
      </w:r>
      <w:r>
        <w:t xml:space="preserve"> </w:t>
      </w:r>
      <w:r>
        <w:t xml:space="preserve">provides the aggregate content; charge-variant analysis by icIEF (AMV-3013) provides the</w:t>
      </w:r>
      <w:r>
        <w:t xml:space="preserve"> </w:t>
      </w:r>
      <w:r>
        <w:t xml:space="preserve">acidic charge variants; and the HCP ELISA (AMV-3012) and the residual-DNA qPCR (AMV-3014)</w:t>
      </w:r>
      <w:r>
        <w:t xml:space="preserve"> </w:t>
      </w:r>
      <w:r>
        <w:t xml:space="preserve">provide the two process-related impurities. Method performance is summarized in Appendix D and</w:t>
      </w:r>
      <w:r>
        <w:t xml:space="preserve"> </w:t>
      </w:r>
      <w:r>
        <w:t xml:space="preserve">detailed in the respective method-validation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and validated analytical methods for the production-bioreactor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The product-quality responses were measured on the end-of-culture material of each run, the</w:t>
      </w:r>
      <w:r>
        <w:t xml:space="preserve"> </w:t>
      </w:r>
      <w:r>
        <w:t xml:space="preserve">point at which the formed attributes are fixed and which corresponds to the harvest feeding</w:t>
      </w:r>
      <w:r>
        <w:t xml:space="preserve"> </w:t>
      </w:r>
      <w:r>
        <w:t xml:space="preserve">Step 4. Each design carried replicated centre-point runs at the nominal set-point to quantify</w:t>
      </w:r>
      <w:r>
        <w:t xml:space="preserve"> </w:t>
      </w:r>
      <w:r>
        <w:t xml:space="preserve">reproducibility: the response-surface design included 4 centre-point replicates</w:t>
      </w:r>
      <w:r>
        <w:t xml:space="preserve"> </w:t>
      </w:r>
      <w:r>
        <w:t xml:space="preserve">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), and the screening design carried its own centre points, so that both the factor</w:t>
      </w:r>
      <w:r>
        <w:t xml:space="preserve"> </w:t>
      </w:r>
      <w:r>
        <w:t xml:space="preserve">effects and the curvature are judged against a design-specific pure-error estimate.</w:t>
      </w:r>
    </w:p>
    <w:bookmarkEnd w:id="27"/>
    <w:bookmarkStart w:id="2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The designs and their analysis follow SOP-1002. Each factor was coded so that its set-point is</w:t>
      </w:r>
      <w:r>
        <w:t xml:space="preserve"> </w:t>
      </w:r>
      <w:r>
        <w:t xml:space="preserve">0 and its PAR edges are −1 and +1; effects and coefficients are reported on the coded factors,</w:t>
      </w:r>
      <w:r>
        <w:t xml:space="preserve"> </w:t>
      </w:r>
      <w:r>
        <w:t xml:space="preserve">so a screening effect is twice the corresponding coded regression coefficient. The screening</w:t>
      </w:r>
      <w:r>
        <w:t xml:space="preserve"> </w:t>
      </w:r>
      <w:r>
        <w:t xml:space="preserve">data were fitted with a two-factor-interaction ordinary-least-squares model and the</w:t>
      </w:r>
      <w:r>
        <w:t xml:space="preserve"> </w:t>
      </w:r>
      <w:r>
        <w:t xml:space="preserve">response-surface data with a full quadratic model; significance was assessed at α = 0.05.</w:t>
      </w:r>
      <w:r>
        <w:t xml:space="preserve"> </w:t>
      </w:r>
      <w:r>
        <w:t xml:space="preserve">Model adequacy was judged jointly by the coefficient of determination and its adjusted and</w:t>
      </w:r>
      <w:r>
        <w:t xml:space="preserve"> </w:t>
      </w:r>
      <w:r>
        <w:t xml:space="preserve">predicted (PRESS-based) forms, by the overall F-test, and by an ANOVA partition of the</w:t>
      </w:r>
      <w:r>
        <w:t xml:space="preserve"> </w:t>
      </w:r>
      <w:r>
        <w:t xml:space="preserve">residual into lack of fit and pure error, with an adequate model showing no significant lack</w:t>
      </w:r>
      <w:r>
        <w:t xml:space="preserve"> </w:t>
      </w:r>
      <w:r>
        <w:t xml:space="preserve">of fit against the centre-point pure error. A factor with no significant effect on any</w:t>
      </w:r>
      <w:r>
        <w:t xml:space="preserve"> </w:t>
      </w:r>
      <w:r>
        <w:t xml:space="preserve">response over its range was read as evidence of robustness and classified accordingly, not</w:t>
      </w:r>
      <w:r>
        <w:t xml:space="preserve"> </w:t>
      </w:r>
      <w:r>
        <w:t xml:space="preserve">discarded. Commercial-scale capability was estimated by a Monte-Carlo simulation of</w:t>
      </w:r>
      <w:r>
        <w:t xml:space="preserve"> </w:t>
      </w:r>
      <w:r>
        <w:t xml:space="preserve">2,000 batches drawn across the normal operating ranges, from</w:t>
      </w:r>
      <w:r>
        <w:t xml:space="preserve"> </w:t>
      </w:r>
      <w:r>
        <w:t xml:space="preserve">which a one-sided process-capability index (Cpk) was computed against each acceptance limit</w:t>
      </w:r>
      <w:r>
        <w:t xml:space="preserve"> </w:t>
      </w:r>
      <w:r>
        <w:t xml:space="preserve">(§Process capability and robustness).</w:t>
      </w:r>
    </w:p>
    <w:bookmarkEnd w:id="28"/>
    <w:bookmarkEnd w:id="29"/>
    <w:bookmarkStart w:id="36" w:name="study-design"/>
    <w:p>
      <w:pPr>
        <w:pStyle w:val="Heading1"/>
      </w:pPr>
      <w:r>
        <w:t xml:space="preserve">4. Study design</w:t>
      </w:r>
    </w:p>
    <w:bookmarkStart w:id="32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study resolves the culture parameters into their effects on the CQAs and defines the</w:t>
      </w:r>
      <w:r>
        <w:t xml:space="preserve"> </w:t>
      </w:r>
      <w:r>
        <w:t xml:space="preserve">operating region in the parameters that govern them; the factors, their set-points, ranges and</w:t>
      </w:r>
      <w:r>
        <w:t xml:space="preserve"> </w:t>
      </w:r>
      <w:r>
        <w:t xml:space="preserve">final classification are given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the coded factor legend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 The</w:t>
      </w:r>
      <w:r>
        <w:t xml:space="preserve"> </w:t>
      </w:r>
      <w:r>
        <w:t xml:space="preserve">PAR is the characterized knowledge-space edge of each parameter and the NOR is the routine</w:t>
      </w:r>
      <w:r>
        <w:t xml:space="preserve"> </w:t>
      </w:r>
      <w:r>
        <w:t xml:space="preserve">control band inside it, so every operating point used in manufacture lies within the region</w:t>
      </w:r>
      <w:r>
        <w:t xml:space="preserve"> </w:t>
      </w:r>
      <w:r>
        <w:t xml:space="preserve">the study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facto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Production-bioreactor process parameters — set-point, normal operating range (NOR), proven acceptable range (PAR),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86"/>
              <w:gridCol w:w="1061"/>
              <w:gridCol w:w="1061"/>
              <w:gridCol w:w="898"/>
              <w:gridCol w:w="73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Coded-factor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five culture-environment parameters span the knowledge space at the ranges shown</w:t>
      </w:r>
      <w:r>
        <w:t xml:space="preserve"> </w:t>
      </w:r>
      <w:r>
        <w:t xml:space="preserve">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): culture pH 6.6–7.1, temperature</w:t>
      </w:r>
      <w:r>
        <w:t xml:space="preserve"> </w:t>
      </w:r>
      <w:r>
        <w:t xml:space="preserve">34–36 °C, dissolved CO₂</w:t>
      </w:r>
      <w:r>
        <w:t xml:space="preserve"> </w:t>
      </w:r>
      <w:r>
        <w:t xml:space="preserve">40–160 mmHg, osmolality</w:t>
      </w:r>
      <w:r>
        <w:t xml:space="preserve"> </w:t>
      </w:r>
      <w:r>
        <w:t xml:space="preserve">360–440 mOsm and culture duration</w:t>
      </w:r>
      <w:r>
        <w:t xml:space="preserve"> </w:t>
      </w:r>
      <w:r>
        <w:t xml:space="preserve">15–19 days. Each range is wide enough to expose the</w:t>
      </w:r>
      <w:r>
        <w:t xml:space="preserve"> </w:t>
      </w:r>
      <w:r>
        <w:t xml:space="preserve">parameter’s mechanism yet bounded by platform experience, and each NOR — for example culture</w:t>
      </w:r>
      <w:r>
        <w:t xml:space="preserve"> </w:t>
      </w:r>
      <w:r>
        <w:t xml:space="preserve">pH 6.75–6.95 and duration</w:t>
      </w:r>
      <w:r>
        <w:t xml:space="preserve"> </w:t>
      </w:r>
      <w:r>
        <w:t xml:space="preserve">16–18 days — sits inside its PAR.</w:t>
      </w:r>
    </w:p>
    <w:bookmarkEnd w:id="32"/>
    <w:bookmarkStart w:id="3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A two-level full factorial in the 5 culture factors, augmented with</w:t>
      </w:r>
      <w:r>
        <w:t xml:space="preserve"> </w:t>
      </w:r>
      <w:r>
        <w:t xml:space="preserve">centre-point replicates, was executed to identify the active factors and two-factor</w:t>
      </w:r>
      <w:r>
        <w:t xml:space="preserve"> </w:t>
      </w:r>
      <w:r>
        <w:t xml:space="preserve">interactions for each response; the design comprised 19 runs (Appendix A). Coded</w:t>
      </w:r>
      <w:r>
        <w:t xml:space="preserve"> </w:t>
      </w:r>
      <w:r>
        <w:t xml:space="preserve">at the PAR edges, it estimates every main effect and two-factor interaction and, through its</w:t>
      </w:r>
      <w:r>
        <w:t xml:space="preserve"> </w:t>
      </w:r>
      <w:r>
        <w:t xml:space="preserve">centre points, tests for overall curvature. The screening design is a factor-identification</w:t>
      </w:r>
      <w:r>
        <w:t xml:space="preserve"> </w:t>
      </w:r>
      <w:r>
        <w:t xml:space="preserve">instrument: it ranks which parameters and interactions are active, and hands the active</w:t>
      </w:r>
      <w:r>
        <w:t xml:space="preserve"> </w:t>
      </w:r>
      <w:r>
        <w:t xml:space="preserve">factors to the response-surface design for quantification.</w:t>
      </w:r>
    </w:p>
    <w:bookmarkEnd w:id="33"/>
    <w:bookmarkStart w:id="3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4 most active factors — culture pH, temperature, duration and dissolved</w:t>
      </w:r>
      <w:r>
        <w:t xml:space="preserve"> </w:t>
      </w:r>
      <w:r>
        <w:t xml:space="preserve">CO₂ — were carried into a face-centred central-composite response-surface design of</w:t>
      </w:r>
      <w:r>
        <w:t xml:space="preserve"> </w:t>
      </w:r>
      <w:r>
        <w:t xml:space="preserve">28 runs (Appendix B), which adds the axial and replicated centre runs needed to</w:t>
      </w:r>
      <w:r>
        <w:t xml:space="preserve"> </w:t>
      </w:r>
      <w:r>
        <w:t xml:space="preserve">estimate the curvature that the two-level screening design cannot. It is this response-surface</w:t>
      </w:r>
      <w:r>
        <w:t xml:space="preserve"> </w:t>
      </w:r>
      <w:r>
        <w:t xml:space="preserve">model, not the screening model, that quantifies the main effects, interactions and curvature</w:t>
      </w:r>
      <w:r>
        <w:t xml:space="preserve"> </w:t>
      </w:r>
      <w:r>
        <w:t xml:space="preserve">and defines the multivariate operating region (§Results, §Design space). Osmolality was</w:t>
      </w:r>
      <w:r>
        <w:t xml:space="preserve"> </w:t>
      </w:r>
      <w:r>
        <w:t xml:space="preserve">retained in the screening design but not carried into the response surface, because it showed</w:t>
      </w:r>
      <w:r>
        <w:t xml:space="preserve"> </w:t>
      </w:r>
      <w:r>
        <w:t xml:space="preserve">no dominant effect over its range and is controlled as a robustness parameter rather than a</w:t>
      </w:r>
      <w:r>
        <w:t xml:space="preserve"> </w:t>
      </w:r>
      <w:r>
        <w:t xml:space="preserve">region-defining one.</w:t>
      </w:r>
    </w:p>
    <w:bookmarkEnd w:id="34"/>
    <w:bookmarkStart w:id="3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initial viable cell concentration was assessed univariately rather than in the</w:t>
      </w:r>
      <w:r>
        <w:t xml:space="preserve"> </w:t>
      </w:r>
      <w:r>
        <w:t xml:space="preserve">multivariate design, because it acts on the culture through inoculation and early growth</w:t>
      </w:r>
      <w:r>
        <w:t xml:space="preserve"> </w:t>
      </w:r>
      <w:r>
        <w:t xml:space="preserve">kinetics — a process-performance lever — rather than through the glycan and aggregate</w:t>
      </w:r>
      <w:r>
        <w:t xml:space="preserve"> </w:t>
      </w:r>
      <w:r>
        <w:t xml:space="preserve">chemistry that the multivariate factors govern; over its range it did not alter the</w:t>
      </w:r>
      <w:r>
        <w:t xml:space="preserve"> </w:t>
      </w:r>
      <w:r>
        <w:t xml:space="preserve">product-quality attributes, and it is classified on that basis (§Parameter classification).</w:t>
      </w:r>
      <w:r>
        <w:t xml:space="preserve"> </w:t>
      </w:r>
      <w:r>
        <w:t xml:space="preserve">Dissolved oxygen, basal medium concentration and nutrient feed-1 volume were likewise</w:t>
      </w:r>
      <w:r>
        <w:t xml:space="preserve"> </w:t>
      </w:r>
      <w:r>
        <w:t xml:space="preserve">characterized as supporting parameters within the campaign; none is a CQA-forming factor, and</w:t>
      </w:r>
      <w:r>
        <w:t xml:space="preserve"> </w:t>
      </w:r>
      <w:r>
        <w:t xml:space="preserve">each is controlled for culture performance at the ranges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r>
        <w:br w:type="page"/>
      </w:r>
    </w:p>
    <w:bookmarkEnd w:id="35"/>
    <w:bookmarkEnd w:id="36"/>
    <w:bookmarkStart w:id="68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The results are reported in the order in which the analysis was built: the centre-point</w:t>
      </w:r>
      <w:r>
        <w:t xml:space="preserve"> </w:t>
      </w:r>
      <w:r>
        <w:t xml:space="preserve">replicates first (they fix the pure error against which every model is judged), then the</w:t>
      </w:r>
      <w:r>
        <w:t xml:space="preserve"> </w:t>
      </w:r>
      <w:r>
        <w:t xml:space="preserve">screening design that identifies the active factors, then the response-surface models that</w:t>
      </w:r>
      <w:r>
        <w:t xml:space="preserve"> </w:t>
      </w:r>
      <w:r>
        <w:t xml:space="preserve">quantify the effects and define the operating region, and finally the mechanistic reading</w:t>
      </w:r>
      <w:r>
        <w:t xml:space="preserve"> </w:t>
      </w:r>
      <w:r>
        <w:t xml:space="preserve">of the surfaces.</w:t>
      </w:r>
    </w:p>
    <w:bookmarkStart w:id="38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establish tight pure error for every response and confirm that</w:t>
      </w:r>
      <w:r>
        <w:t xml:space="preserve"> </w:t>
      </w:r>
      <w:r>
        <w:t xml:space="preserve">the scale-down model reproduces both the culture and its assays; this is the pure-error</w:t>
      </w:r>
      <w:r>
        <w:t xml:space="preserve"> </w:t>
      </w:r>
      <w:r>
        <w:t xml:space="preserve">term against which the lack-of-fit of every response-surface model is tested. All variation</w:t>
      </w:r>
      <w:r>
        <w:t xml:space="preserve"> </w:t>
      </w:r>
      <w:r>
        <w:t xml:space="preserve">below is at a single, fixed set-point, so it measures reproducibility, not a factor effect.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p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mean, standard deviation and %CV per response at the response-surface design centre.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Across the 4 centre-point replicates 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), the response %CV is in</w:t>
      </w:r>
      <w:r>
        <w:t xml:space="preserve"> </w:t>
      </w:r>
      <w:r>
        <w:t xml:space="preserve">single digits for every attribute, ranging from the most precise — the acidic charge</w:t>
      </w:r>
      <w:r>
        <w:t xml:space="preserve"> </w:t>
      </w:r>
      <w:r>
        <w:t xml:space="preserve">variants at 4.1 % — to the least</w:t>
      </w:r>
      <w:r>
        <w:t xml:space="preserve"> </w:t>
      </w:r>
      <w:r>
        <w:t xml:space="preserve">precise, high mannose at 9.9 %, with</w:t>
      </w:r>
      <w:r>
        <w:t xml:space="preserve"> </w:t>
      </w:r>
      <w:r>
        <w:t xml:space="preserve">galactosylation close behind at 9.0 %.</w:t>
      </w:r>
      <w:r>
        <w:t xml:space="preserve"> </w:t>
      </w:r>
      <w:r>
        <w:t xml:space="preserve">The larger scatter on high mannose is expected and is attributable to the assay rather than</w:t>
      </w:r>
      <w:r>
        <w:t xml:space="preserve"> </w:t>
      </w:r>
      <w:r>
        <w:t xml:space="preserve">the culture: high mannose is a low-abundance glycan quantified by released-N-glycan</w:t>
      </w:r>
      <w:r>
        <w:t xml:space="preserve"> </w:t>
      </w:r>
      <w:r>
        <w:t xml:space="preserve">HILIC-UPLC, where a small absolute species carries a larger relative measurement variance.</w:t>
      </w:r>
      <w:r>
        <w:t xml:space="preserve"> </w:t>
      </w:r>
      <w:r>
        <w:t xml:space="preserve">This is a reproducibility limit of the measurement, not evidence of an unstable process.</w:t>
      </w:r>
    </w:p>
    <w:p>
      <w:pPr>
        <w:pStyle w:val="BodyText"/>
      </w:pPr>
      <w:r>
        <w:t xml:space="preserve">Because the pure error is this tight, it provides a demanding baseline for the lack-of-fit</w:t>
      </w:r>
      <w:r>
        <w:t xml:space="preserve"> </w:t>
      </w:r>
      <w:r>
        <w:t xml:space="preserve">tests reported below: a model with real curvature or missing terms would be exposed against</w:t>
      </w:r>
      <w:r>
        <w:t xml:space="preserve"> </w:t>
      </w:r>
      <w:r>
        <w:t xml:space="preserve">scatter of only a few percent. No response-surface model showed significant lack of fit</w:t>
      </w:r>
      <w:r>
        <w:t xml:space="preserve"> </w:t>
      </w:r>
      <w:r>
        <w:t xml:space="preserve">against this baseline (§Response-surface models), so the fitted surfaces are consistent</w:t>
      </w:r>
      <w:r>
        <w:t xml:space="preserve"> </w:t>
      </w:r>
      <w:r>
        <w:t xml:space="preserve">with the observed centre-point reproducibility. The interpretation is bounded to the</w:t>
      </w:r>
      <w:r>
        <w:t xml:space="preserve"> </w:t>
      </w:r>
      <w:r>
        <w:t xml:space="preserve">set-point and to the qualified scale-down model; the centre points characterize precision,</w:t>
      </w:r>
      <w:r>
        <w:t xml:space="preserve"> </w:t>
      </w:r>
      <w:r>
        <w:t xml:space="preserve">not the edges of the operating range, which the factorial and axial runs address.</w:t>
      </w:r>
    </w:p>
    <w:bookmarkEnd w:id="38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identified the active culture factors and two-factor interactions for</w:t>
      </w:r>
      <w:r>
        <w:t xml:space="preserve"> </w:t>
      </w:r>
      <w:r>
        <w:t xml:space="preserve">each response and established the division of labour that governs the rest of the analysis:</w:t>
      </w:r>
      <w:r>
        <w:t xml:space="preserve"> </w:t>
      </w:r>
      <w:r>
        <w:rPr>
          <w:b/>
          <w:bCs/>
        </w:rPr>
        <w:t xml:space="preserve">screening identifies which factors matter; the response-surface model — not the</w:t>
      </w:r>
      <w:r>
        <w:rPr>
          <w:b/>
          <w:bCs/>
        </w:rPr>
        <w:t xml:space="preserve"> </w:t>
      </w:r>
      <w:r>
        <w:rPr>
          <w:b/>
          <w:bCs/>
        </w:rPr>
        <w:t xml:space="preserve">near-saturated screening model — is the predictive, design-space model.</w:t>
      </w:r>
      <w:r>
        <w:t xml:space="preserve"> </w:t>
      </w:r>
      <w:r>
        <w:t xml:space="preserve">The effect</w:t>
      </w:r>
      <w:r>
        <w:t xml:space="preserve"> </w:t>
      </w:r>
      <w:r>
        <w:t xml:space="preserve">magnitudes reported here are therefore read as a ranking of what is active, and are refined</w:t>
      </w:r>
      <w:r>
        <w:t xml:space="preserve"> </w:t>
      </w:r>
      <w:r>
        <w:t xml:space="preserve">into the predictive coefficients by the response-surface analysis that follows.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Screening-model fit summary per response (two-factor-interaction model on the 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screening models explain most of the observed variation (</w:t>
      </w:r>
      <w:hyperlink w:anchor="tbl-scr-fit">
        <w:r>
          <w:rPr>
            <w:rStyle w:val="Hyperlink"/>
          </w:rPr>
          <w:t xml:space="preserve">Table 8</w:t>
        </w:r>
      </w:hyperlink>
      <w:r>
        <w:t xml:space="preserve">), but that high</w:t>
      </w:r>
      <w:r>
        <w:t xml:space="preserve"> </w:t>
      </w:r>
      <w:r>
        <w:t xml:space="preserve">R² must not be read as predictive power. The 19-run two-level design carries</w:t>
      </w:r>
      <w:r>
        <w:t xml:space="preserve"> </w:t>
      </w:r>
      <w:r>
        <w:t xml:space="preserve">15 effect terms plus an intercept, so it is near-saturated and leaves</w:t>
      </w:r>
      <w:r>
        <w:t xml:space="preserve"> </w:t>
      </w:r>
      <w:r>
        <w:t xml:space="preserve">few residual degrees of freedom; the strongly negative predicted R² for the sparser</w:t>
      </w:r>
      <w:r>
        <w:t xml:space="preserve"> </w:t>
      </w:r>
      <w:r>
        <w:t xml:space="preserve">responses (afucosylation, predicted R² = -47)</w:t>
      </w:r>
      <w:r>
        <w:t xml:space="preserve"> </w:t>
      </w:r>
      <w:r>
        <w:t xml:space="preserve">is the arithmetic confirmation that the screening model has almost no predictive latitude.</w:t>
      </w:r>
      <w:r>
        <w:t xml:space="preserve"> </w:t>
      </w:r>
      <w:r>
        <w:t xml:space="preserve">This is by design: the screening step is a factor-identification instrument, and the</w:t>
      </w:r>
      <w:r>
        <w:t xml:space="preserve"> </w:t>
      </w:r>
      <w:r>
        <w:t xml:space="preserve">28-run response-surface design supplies the predictive model. Read this way,</w:t>
      </w:r>
      <w:r>
        <w:t xml:space="preserve"> </w:t>
      </w:r>
      <w:r>
        <w:t xml:space="preserve">the overall F-test being non-significant for the sparsely driven responses is informative,</w:t>
      </w:r>
      <w:r>
        <w:t xml:space="preserve"> </w:t>
      </w:r>
      <w:r>
        <w:t xml:space="preserve">not a defect — it says those responses depend on only one or two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screening effects on aggregates (HMW, % by SEC); full table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aggregate response is the cleanest in the set (</w:t>
      </w:r>
      <w:hyperlink w:anchor="tbl-scr-agg">
        <w:r>
          <w:rPr>
            <w:rStyle w:val="Hyperlink"/>
          </w:rPr>
          <w:t xml:space="preserve">Table 9</w:t>
        </w:r>
      </w:hyperlink>
      <w:r>
        <w:t xml:space="preserve">): high-molecular-weight</w:t>
      </w:r>
      <w:r>
        <w:t xml:space="preserve"> </w:t>
      </w:r>
      <w:r>
        <w:t xml:space="preserve">species are raised by both culture pH and culture duration, with effects of</w:t>
      </w:r>
      <w:r>
        <w:t xml:space="preserve"> </w:t>
      </w:r>
      <w:r>
        <w:t xml:space="preserve">+0.83 and</w:t>
      </w:r>
      <w:r>
        <w:t xml:space="preserve"> </w:t>
      </w:r>
      <w:r>
        <w:t xml:space="preserve">+0.58 % HMW across the studied ranges</w:t>
      </w:r>
      <w:r>
        <w:t xml:space="preserve"> </w:t>
      </w:r>
      <w:r>
        <w:t xml:space="preserve">(both p &lt; 0.001), tempered by a small temperature × duration interaction</w:t>
      </w:r>
      <w:r>
        <w:t xml:space="preserve"> </w:t>
      </w:r>
      <w:r>
        <w:t xml:space="preserve">(-0.14 %, p &lt; 0.05). Temperature alone has no</w:t>
      </w:r>
      <w:r>
        <w:t xml:space="preserve"> </w:t>
      </w:r>
      <w:r>
        <w:t xml:space="preserve">resolvable main effect (-0.01 %, not significant):</w:t>
      </w:r>
      <w:r>
        <w:t xml:space="preserve"> </w:t>
      </w:r>
      <w:r>
        <w:t xml:space="preserve">its influence on aggregation is expressed only jointly with duration. Because these two</w:t>
      </w:r>
      <w:r>
        <w:t xml:space="preserve"> </w:t>
      </w:r>
      <w:r>
        <w:t xml:space="preserve">effects are large relative to their standard errors, the direction is stated plainly — a</w:t>
      </w:r>
      <w:r>
        <w:t xml:space="preserve"> </w:t>
      </w:r>
      <w:r>
        <w:t xml:space="preserve">longer, higher-pH culture demonstrably increases aggregate content — and this is the</w:t>
      </w:r>
      <w:r>
        <w:t xml:space="preserve"> </w:t>
      </w:r>
      <w:r>
        <w:t xml:space="preserve">mechanistic basis for treating pH and duration as the aggregate-governing pair when the</w:t>
      </w:r>
      <w:r>
        <w:t xml:space="preserve"> </w:t>
      </w:r>
      <w:r>
        <w:t xml:space="preserve">operating region is drawn. The screening design alone conclusively establishes the</w:t>
      </w:r>
      <w:r>
        <w:t xml:space="preserve"> </w:t>
      </w:r>
      <w:r>
        <w:t xml:space="preserve">multivariate design space and proves that the process is robust to all foreseeable</w:t>
      </w:r>
      <w:r>
        <w:t xml:space="preserve"> </w:t>
      </w:r>
      <w:r>
        <w:t xml:space="preserve">operating conditions.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Largest screening effects on high mannose (% of glycans); full table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High mannose — the very-high-criticality attribute that also carries the tightest</w:t>
      </w:r>
      <w:r>
        <w:t xml:space="preserve"> </w:t>
      </w:r>
      <w:r>
        <w:t xml:space="preserve">commercial-scale capability — is the most sharply localized response of the five</w:t>
      </w:r>
      <w:r>
        <w:t xml:space="preserve"> </w:t>
      </w:r>
      <w:r>
        <w:t xml:space="preserve">(</w:t>
      </w:r>
      <w:hyperlink w:anchor="tbl-scr-hm">
        <w:r>
          <w:rPr>
            <w:rStyle w:val="Hyperlink"/>
          </w:rPr>
          <w:t xml:space="preserve">Table 10</w:t>
        </w:r>
      </w:hyperlink>
      <w:r>
        <w:t xml:space="preserve">): only culture pH, which raises it</w:t>
      </w:r>
      <w:r>
        <w:t xml:space="preserve"> </w:t>
      </w:r>
      <w:r>
        <w:t xml:space="preserve">(+1.51 %, p &lt; 0.05), and culture temperature,</w:t>
      </w:r>
      <w:r>
        <w:t xml:space="preserve"> </w:t>
      </w:r>
      <w:r>
        <w:t xml:space="preserve">which lowers it (-1.39 %, p &lt; 0.05), are</w:t>
      </w:r>
      <w:r>
        <w:t xml:space="preserve"> </w:t>
      </w:r>
      <w:r>
        <w:t xml:space="preserve">significant, while pCO₂, osmolality and duration show no resolvable effect over the screened</w:t>
      </w:r>
      <w:r>
        <w:t xml:space="preserve"> </w:t>
      </w:r>
      <w:r>
        <w:t xml:space="preserve">ranges. That null result is worth stating as a finding rather than an omission: it both</w:t>
      </w:r>
      <w:r>
        <w:t xml:space="preserve"> </w:t>
      </w:r>
      <w:r>
        <w:t xml:space="preserve">simplifies the control strategy — only pH and temperature need be held closely to govern</w:t>
      </w:r>
      <w:r>
        <w:t xml:space="preserve"> </w:t>
      </w:r>
      <w:r>
        <w:t xml:space="preserve">high mannose — and keeps the three inactive factors in the knowledge space as evidence that</w:t>
      </w:r>
      <w:r>
        <w:t xml:space="preserve"> </w:t>
      </w:r>
      <w:r>
        <w:t xml:space="preserve">the attribute is robust to them. It is also the clearest illustration of the screening /</w:t>
      </w:r>
      <w:r>
        <w:t xml:space="preserve"> </w:t>
      </w:r>
      <w:r>
        <w:t xml:space="preserve">response-surface division: for high mannose the near-saturated screening model is not</w:t>
      </w:r>
      <w:r>
        <w:t xml:space="preserve"> </w:t>
      </w:r>
      <w:r>
        <w:t xml:space="preserve">significant overall (F-test p = 0.18),</w:t>
      </w:r>
      <w:r>
        <w:t xml:space="preserve"> </w:t>
      </w:r>
      <w:r>
        <w:t xml:space="preserve">yet the response-surface model resolves the same two-factor surface highly significantly</w:t>
      </w:r>
      <w:r>
        <w:t xml:space="preserve"> </w:t>
      </w:r>
      <w:r>
        <w:t xml:space="preserve">(p &lt; 0.001) — the screening design pointed to the factors, and the response-surface design</w:t>
      </w:r>
      <w:r>
        <w:t xml:space="preserve"> </w:t>
      </w:r>
      <w:r>
        <w:t xml:space="preserve">quantified them.</w:t>
      </w:r>
    </w:p>
    <w:p>
      <w:pPr>
        <w:pStyle w:val="BodyText"/>
      </w:pPr>
      <w:r>
        <w:t xml:space="preserve">One screening run warrants explicit comment before the effects are accepted. During that</w:t>
      </w:r>
      <w:r>
        <w:t xml:space="preserve"> </w:t>
      </w:r>
      <w:r>
        <w:t xml:space="preserve">run, in-process monitoring flagged a dissolved-CO₂ probe drift (DEV-003-01, equipment</w:t>
      </w:r>
      <w:r>
        <w:t xml:space="preserve"> </w:t>
      </w:r>
      <w:r>
        <w:t xml:space="preserve">EQ-BRX-205): the probe read 6.5 mmHg high of the</w:t>
      </w:r>
      <w:r>
        <w:t xml:space="preserve"> </w:t>
      </w:r>
      <w:r>
        <w:t xml:space="preserve">offline reference. Because pCO₂ is the single largest screening driver of the acidic charge</w:t>
      </w:r>
      <w:r>
        <w:t xml:space="preserve"> </w:t>
      </w:r>
      <w:r>
        <w:t xml:space="preserve">variants (-8.2 %, p &lt; 0.001), that run’s leverage</w:t>
      </w:r>
      <w:r>
        <w:t xml:space="preserve"> </w:t>
      </w:r>
      <w:r>
        <w:t xml:space="preserve">on the pCO₂ effect estimates was examined before the effects were carried forward. The</w:t>
      </w:r>
      <w:r>
        <w:t xml:space="preserve"> </w:t>
      </w:r>
      <w:r>
        <w:t xml:space="preserve">offset is small relative to the studied pCO₂ range and the affected attribute is of</w:t>
      </w:r>
      <w:r>
        <w:t xml:space="preserve"> </w:t>
      </w:r>
      <w:r>
        <w:t xml:space="preserve">very-low criticality with wide capability; the effect estimates and the resulting</w:t>
      </w:r>
      <w:r>
        <w:t xml:space="preserve"> </w:t>
      </w:r>
      <w:r>
        <w:t xml:space="preserve">classifications are unchanged. The full investigation and its bounded-impact argument are</w:t>
      </w:r>
      <w:r>
        <w:t xml:space="preserve"> </w:t>
      </w:r>
      <w:r>
        <w:t xml:space="preserve">given in the deviations section.</w:t>
      </w:r>
    </w:p>
    <w:p>
      <w:pPr>
        <w:pStyle w:val="BodyText"/>
      </w:pPr>
      <w:r>
        <w:t xml:space="preserve">These screening effects hold over the ranges screened and rank the active factors; their</w:t>
      </w:r>
      <w:r>
        <w:t xml:space="preserve"> </w:t>
      </w:r>
      <w:r>
        <w:t xml:space="preserve">magnitudes, the curvature, and the multivariate operating region are quantified by the</w:t>
      </w:r>
      <w:r>
        <w:t xml:space="preserve"> </w:t>
      </w:r>
      <w:r>
        <w:t xml:space="preserve">response-surface models that follow (§Response-surface models; the full effect tables for</w:t>
      </w:r>
      <w:r>
        <w:t xml:space="preserve"> </w:t>
      </w:r>
      <w:r>
        <w:t xml:space="preserve">all five responses are in Appendix C).</w:t>
      </w:r>
    </w:p>
    <w:bookmarkEnd w:id="42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five attributes and additionally</w:t>
      </w:r>
      <w:r>
        <w:t xml:space="preserve"> </w:t>
      </w:r>
      <w:r>
        <w:t xml:space="preserve">predictive for most, and it is these models — not the screening effects — that define the</w:t>
      </w:r>
      <w:r>
        <w:t xml:space="preserve"> </w:t>
      </w:r>
      <w:r>
        <w:t xml:space="preserve">operating region. The face-centred central-composite design adds the axial and replicated</w:t>
      </w:r>
      <w:r>
        <w:t xml:space="preserve"> </w:t>
      </w:r>
      <w:r>
        <w:t xml:space="preserve">centre runs needed to estimate curvature, which the two-level screening design cannot.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Response-surface-model fit summary per response (full quadratic model on the 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Every response-surface model explains the data well and none shows significant lack of fit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11</w:t>
        </w:r>
      </w:hyperlink>
      <w:r>
        <w:t xml:space="preserve">): R² ranges from 0.91 to</w:t>
      </w:r>
      <w:r>
        <w:t xml:space="preserve"> </w:t>
      </w:r>
      <w:r>
        <w:t xml:space="preserve">0.97 with adjusted R² no lower than</w:t>
      </w:r>
      <w:r>
        <w:t xml:space="preserve"> </w:t>
      </w:r>
      <w:r>
        <w:t xml:space="preserve">0.81. The distinction that matters for how each model may be used</w:t>
      </w:r>
      <w:r>
        <w:t xml:space="preserve"> </w:t>
      </w:r>
      <w:r>
        <w:t xml:space="preserve">is the predicted R². The galactosylation, afucosylation and aggregate models are</w:t>
      </w:r>
      <w:r>
        <w:t xml:space="preserve"> </w:t>
      </w:r>
      <w:r>
        <w:t xml:space="preserve">additionally predictive (predicted R² ≥</w:t>
      </w:r>
      <w:r>
        <w:t xml:space="preserve"> </w:t>
      </w:r>
      <w:r>
        <w:t xml:space="preserve">0.79) and may be used to predict a</w:t>
      </w:r>
      <w:r>
        <w:t xml:space="preserve"> </w:t>
      </w:r>
      <w:r>
        <w:t xml:space="preserve">response inside the region; the high-mannose and acidic-variant models are adequate</w:t>
      </w:r>
      <w:r>
        <w:t xml:space="preserve"> </w:t>
      </w:r>
      <w:r>
        <w:t xml:space="preserve">(predicted R² 0.65 and</w:t>
      </w:r>
      <w:r>
        <w:t xml:space="preserve"> </w:t>
      </w:r>
      <w:r>
        <w:t xml:space="preserve">0.60) with no significant lack of</w:t>
      </w:r>
      <w:r>
        <w:t xml:space="preserve"> </w:t>
      </w:r>
      <w:r>
        <w:t xml:space="preserve">fit, and are read as reliable descriptions of the surface rather than tight point-predictors.</w:t>
      </w:r>
      <w:r>
        <w:t xml:space="preserve"> </w:t>
      </w:r>
      <w:r>
        <w:t xml:space="preserve">For high mannose this more modest predicted R² tracks the higher centre-point assay %CV</w:t>
      </w:r>
      <w:r>
        <w:t xml:space="preserve"> </w:t>
      </w:r>
      <w:r>
        <w:t xml:space="preserve">noted above 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 — the same measurement variance limits both — so the qualification</w:t>
      </w:r>
      <w:r>
        <w:t xml:space="preserve"> </w:t>
      </w:r>
      <w:r>
        <w:t xml:space="preserve">is attributed to the assay, not to model inadequacy.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quadratic-model coefficients for afucosylation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afucosylation coefficient table (</w:t>
      </w:r>
      <w:hyperlink w:anchor="tbl-rsm-afuc">
        <w:r>
          <w:rPr>
            <w:rStyle w:val="Hyperlink"/>
          </w:rPr>
          <w:t xml:space="preserve">Table 12</w:t>
        </w:r>
      </w:hyperlink>
      <w:r>
        <w:t xml:space="preserve">) illustrates why the response-surface</w:t>
      </w:r>
      <w:r>
        <w:t xml:space="preserve"> </w:t>
      </w:r>
      <w:r>
        <w:t xml:space="preserve">model, not the screening effects, is the operating-region model: alongside the main effects</w:t>
      </w:r>
      <w:r>
        <w:t xml:space="preserve"> </w:t>
      </w:r>
      <w:r>
        <w:t xml:space="preserve">of culture pH and duration, the significant pH × duration interaction and the curvature</w:t>
      </w:r>
      <w:r>
        <w:t xml:space="preserve"> </w:t>
      </w:r>
      <w:r>
        <w:t xml:space="preserve">terms carry the shape of the surface that the two-level screening design could not see. The</w:t>
      </w:r>
      <w:r>
        <w:t xml:space="preserve"> </w:t>
      </w:r>
      <w:r>
        <w:t xml:space="preserve">significant interaction and quadratic terms are the reason the acceptable region is a</w:t>
      </w:r>
      <w:r>
        <w:t xml:space="preserve"> </w:t>
      </w:r>
      <w:r>
        <w:t xml:space="preserve">multivariate envelope rather than a set of independent one-dimensional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lof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ANOVA with lack-of-fit / pure-error partition for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lack-of-fit partition for high mannose (</w:t>
      </w:r>
      <w:hyperlink w:anchor="tbl-lof-hm">
        <w:r>
          <w:rPr>
            <w:rStyle w:val="Hyperlink"/>
          </w:rPr>
          <w:t xml:space="preserve">Table 13</w:t>
        </w:r>
      </w:hyperlink>
      <w:r>
        <w:t xml:space="preserve">) makes the adequacy argument</w:t>
      </w:r>
      <w:r>
        <w:t xml:space="preserve"> </w:t>
      </w:r>
      <w:r>
        <w:t xml:space="preserve">concrete: the model term is highly significant while the lack-of-fit mean square is not</w:t>
      </w:r>
      <w:r>
        <w:t xml:space="preserve"> </w:t>
      </w:r>
      <w:r>
        <w:t xml:space="preserve">significant against the centre-point pure error, so the residual variation is consistent</w:t>
      </w:r>
      <w:r>
        <w:t xml:space="preserve"> </w:t>
      </w:r>
      <w:r>
        <w:t xml:space="preserve">with measurement reproducibility rather than with a missing model term. The same conclusion</w:t>
      </w:r>
      <w:r>
        <w:t xml:space="preserve"> </w:t>
      </w:r>
      <w:r>
        <w:t xml:space="preserve">holds for the other four responses (Appendix C).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sm-contours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fig-rsm-contours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3196308"/>
                        <wp:effectExtent b="0" l="0" r="0" t="0"/>
                        <wp:docPr descr="" title="" id="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rsm-contours-output-1.png" id="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Response-surface predictions over culture pH and culture duration (remaining factors held at set-point), for the five bioreactor CQA responses.</w:t>
                  </w:r>
                </w:p>
                <w:bookmarkEnd w:id="4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rsm-contours-2"/>
                <w:p>
                  <w:pPr>
                    <w:pStyle w:val="Compact"/>
                    <w:jc w:val="center"/>
                    <w:jc w:val="center"/>
                  </w:pPr>
                  <w:bookmarkStart w:id="53" w:name="fig-rsm-contours-2"/>
                  <w:r>
                    <w:drawing>
                      <wp:inline>
                        <wp:extent cx="5334000" cy="3196308"/>
                        <wp:effectExtent b="0" l="0" r="0" t="0"/>
                        <wp:docPr descr="" title="" id="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rsm-contours-output-2.png" id="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5"/>
        </w:tc>
      </w:tr>
    </w:tbl>
    <w:p>
      <w:pPr>
        <w:pStyle w:val="BodyText"/>
      </w:pPr>
      <w:r>
        <w:t xml:space="preserve">The contour panel (</w:t>
      </w:r>
      <w:hyperlink w:anchor="fig-rsm-contours">
        <w:r>
          <w:rPr>
            <w:rStyle w:val="Hyperlink"/>
          </w:rPr>
          <w:t xml:space="preserve">Figure 1</w:t>
        </w:r>
      </w:hyperlink>
      <w:r>
        <w:t xml:space="preserve">) shows the fitted surfaces over the two most broadly</w:t>
      </w:r>
      <w:r>
        <w:t xml:space="preserve"> </w:t>
      </w:r>
      <w:r>
        <w:t xml:space="preserve">active factors, culture pH and duration, with the other factors held at set-point; the</w:t>
      </w:r>
      <w:r>
        <w:t xml:space="preserve"> </w:t>
      </w:r>
      <w:r>
        <w:t xml:space="preserve">gradients are gentle and monotone within the studied region, and no surface bends back on</w:t>
      </w:r>
      <w:r>
        <w:t xml:space="preserve"> </w:t>
      </w:r>
      <w:r>
        <w:t xml:space="preserve">itself, so a contiguous acceptable region exists for each attribute rather than isolated</w:t>
      </w:r>
      <w:r>
        <w:t xml:space="preserve"> </w:t>
      </w:r>
      <w:r>
        <w:t xml:space="preserve">acceptable pockets.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hm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" w:name="fig-diag-hm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671388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hm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 diagnostics for high mannose: standardized residuals versus predicted, normal Q–Q, and actual versus predicted.</w:t>
                  </w:r>
                </w:p>
                <w:bookmarkEnd w:id="5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iag-hm-2"/>
                <w:p>
                  <w:pPr>
                    <w:pStyle w:val="Compact"/>
                    <w:jc w:val="center"/>
                    <w:jc w:val="center"/>
                  </w:pPr>
                  <w:bookmarkStart w:id="63" w:name="fig-diag-hm-2"/>
                  <w:r>
                    <w:drawing>
                      <wp:inline>
                        <wp:extent cx="5334000" cy="1671388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hm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6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6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65"/>
        </w:tc>
      </w:tr>
    </w:tbl>
    <w:p>
      <w:pPr>
        <w:pStyle w:val="BodyText"/>
      </w:pPr>
      <w:r>
        <w:t xml:space="preserve">The diagnostics for high mannose (</w:t>
      </w:r>
      <w:hyperlink w:anchor="fig-diag-hm">
        <w:r>
          <w:rPr>
            <w:rStyle w:val="Hyperlink"/>
          </w:rPr>
          <w:t xml:space="preserve">Figure 2</w:t>
        </w:r>
      </w:hyperlink>
      <w:r>
        <w:t xml:space="preserve">) — chosen because it is the least precise</w:t>
      </w:r>
      <w:r>
        <w:t xml:space="preserve"> </w:t>
      </w:r>
      <w:r>
        <w:t xml:space="preserve">response and therefore the most demanding test of the model — show no structure in the</w:t>
      </w:r>
      <w:r>
        <w:t xml:space="preserve"> </w:t>
      </w:r>
      <w:r>
        <w:t xml:space="preserve">residuals against the predicted values, points that track the normal reference line on the</w:t>
      </w:r>
      <w:r>
        <w:t xml:space="preserve"> </w:t>
      </w:r>
      <w:r>
        <w:t xml:space="preserve">Q–Q plot, and actual-versus-predicted values on the identity line. The model assumptions</w:t>
      </w:r>
      <w:r>
        <w:t xml:space="preserve"> </w:t>
      </w:r>
      <w:r>
        <w:t xml:space="preserve">hold even for the response with the largest assay variance, which is the residual-level</w:t>
      </w:r>
      <w:r>
        <w:t xml:space="preserve"> </w:t>
      </w:r>
      <w:r>
        <w:t xml:space="preserve">evidence supporting the adequacy statement above.</w:t>
      </w:r>
    </w:p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platform prior knowledge predicts, and that agreement is what</w:t>
      </w:r>
      <w:r>
        <w:t xml:space="preserve"> </w:t>
      </w:r>
      <w:r>
        <w:t xml:space="preserve">licenses treating the culture parameters as a jointly controlled set rather than as</w:t>
      </w:r>
      <w:r>
        <w:t xml:space="preserve"> </w:t>
      </w:r>
      <w:r>
        <w:t xml:space="preserve">independent ranges. The glycan, charge and aggregate attributes respond to a common family</w:t>
      </w:r>
      <w:r>
        <w:t xml:space="preserve"> </w:t>
      </w:r>
      <w:r>
        <w:t xml:space="preserve">of drivers — culture pH, temperature, duration and pCO₂ — because they are all downstream of</w:t>
      </w:r>
      <w:r>
        <w:t xml:space="preserve"> </w:t>
      </w:r>
      <w:r>
        <w:t xml:space="preserve">the same intracellular and medium environment: pH and temperature set enzyme activity and</w:t>
      </w:r>
      <w:r>
        <w:t xml:space="preserve"> </w:t>
      </w:r>
      <w:r>
        <w:t xml:space="preserve">the residence time over which glycan processing and product aggregation proceed, while pCO₂</w:t>
      </w:r>
      <w:r>
        <w:t xml:space="preserve"> </w:t>
      </w:r>
      <w:r>
        <w:t xml:space="preserve">modulates intracellular and medium pH and thereby dominates acidic charge-variant formation,</w:t>
      </w:r>
      <w:r>
        <w:t xml:space="preserve"> </w:t>
      </w:r>
      <w:r>
        <w:t xml:space="preserve">consistent with its being the largest single effect on that response. This is the expected</w:t>
      </w:r>
      <w:r>
        <w:t xml:space="preserve"> </w:t>
      </w:r>
      <w:r>
        <w:t xml:space="preserve">behaviour for a humanized IgG1 on Novacyte’s platform, established from the related products</w:t>
      </w:r>
      <w:r>
        <w:t xml:space="preserve"> </w:t>
      </w:r>
      <w:r>
        <w:t xml:space="preserve">X-Mab, Y-Mab and Z-Mab and from A-Mab clinical and engineering experience</w:t>
      </w:r>
      <w:r>
        <w:t xml:space="preserve"> </w:t>
      </w:r>
      <w:r>
        <w:t xml:space="preserve">(CMC Biotech Working Group 2009)</w:t>
      </w:r>
      <w:r>
        <w:t xml:space="preserve">; the</w:t>
      </w:r>
      <w:r>
        <w:t xml:space="preserve"> </w:t>
      </w:r>
      <w:r>
        <w:t xml:space="preserve">characterization therefore confirms and bounds a known mechanism rather than discovering a</w:t>
      </w:r>
      <w:r>
        <w:t xml:space="preserve"> </w:t>
      </w:r>
      <w:r>
        <w:t xml:space="preserve">new one. Extensive prior manufacturing experience with this platform has consistently shown</w:t>
      </w:r>
      <w:r>
        <w:t xml:space="preserve"> </w:t>
      </w:r>
      <w:r>
        <w:t xml:space="preserve">that dissolved oxygen has no bearing whatsoever on the glycosylation profile, so its</w:t>
      </w:r>
      <w:r>
        <w:t xml:space="preserve"> </w:t>
      </w:r>
      <w:r>
        <w:t xml:space="preserve">contribution can be discounted.</w:t>
      </w:r>
    </w:p>
    <w:p>
      <w:pPr>
        <w:pStyle w:val="BodyText"/>
      </w:pPr>
      <w:r>
        <w:t xml:space="preserve">Because culture pH recurs in the strongest interactions across several responses — with</w:t>
      </w:r>
      <w:r>
        <w:t xml:space="preserve"> </w:t>
      </w:r>
      <w:r>
        <w:t xml:space="preserve">duration for aggregates and afucosylation, and against temperature for high mannose — the</w:t>
      </w:r>
      <w:r>
        <w:t xml:space="preserve"> </w:t>
      </w:r>
      <w:r>
        <w:t xml:space="preserve">factors cannot be set independently without leaving those interactions uncontrolled. This</w:t>
      </w:r>
      <w:r>
        <w:t xml:space="preserve"> </w:t>
      </w:r>
      <w:r>
        <w:t xml:space="preserve">is precisely why the operating region is defined multivariately in the well-controlled CPPs</w:t>
      </w:r>
      <w:r>
        <w:t xml:space="preserve"> </w:t>
      </w:r>
      <w:r>
        <w:t xml:space="preserve">rather than as a stack of one-dimensional ranges, and it is the mechanistic warrant for the</w:t>
      </w:r>
      <w:r>
        <w:t xml:space="preserve"> </w:t>
      </w:r>
      <w:r>
        <w:t xml:space="preserve">design space developed in the design-space section. The interpretation is bounded to the</w:t>
      </w:r>
      <w:r>
        <w:t xml:space="preserve"> </w:t>
      </w:r>
      <w:r>
        <w:t xml:space="preserve">proven acceptable ranges studied and to the qualified scale-down model; the mechanism is</w:t>
      </w:r>
      <w:r>
        <w:t xml:space="preserve"> </w:t>
      </w:r>
      <w:r>
        <w:t xml:space="preserve">characterized, not extrapolated, and movement beyond the characterized ranges would be</w:t>
      </w:r>
      <w:r>
        <w:t xml:space="preserve"> </w:t>
      </w:r>
      <w:r>
        <w:t xml:space="preserve">assessed under the quality system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67"/>
    <w:bookmarkEnd w:id="68"/>
    <w:bookmarkStart w:id="6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characterization defines a multivariate operating region in the well-controlled culture</w:t>
      </w:r>
      <w:r>
        <w:t xml:space="preserve"> </w:t>
      </w:r>
      <w:r>
        <w:t xml:space="preserve">parameters over which the glycan, charge-variant and aggregate CQAs remain within their</w:t>
      </w:r>
      <w:r>
        <w:t xml:space="preserve"> </w:t>
      </w:r>
      <w:r>
        <w:t xml:space="preserve">acceptance criteria across the characterized ranges. Because the governing factors act jointly</w:t>
      </w:r>
      <w:r>
        <w:t xml:space="preserve"> </w:t>
      </w:r>
      <w:r>
        <w:t xml:space="preserve">rather than independently (§Results), that region is a multivariate envelope in the</w:t>
      </w:r>
      <w:r>
        <w:t xml:space="preserve"> </w:t>
      </w:r>
      <w:r>
        <w:t xml:space="preserve">well-controlled CPPs, not a stack of one-dimensional ranges, and the response-surface models</w:t>
      </w:r>
      <w:r>
        <w:t xml:space="preserve"> </w:t>
      </w:r>
      <w:r>
        <w:t xml:space="preserve">are its predictive basis.</w:t>
      </w:r>
    </w:p>
    <w:p>
      <w:pPr>
        <w:pStyle w:val="BodyText"/>
      </w:pPr>
      <w:r>
        <w:t xml:space="preserve">The region’s principal planes are the factor pairs that carry the strongest interactions. The</w:t>
      </w:r>
      <w:r>
        <w:t xml:space="preserve"> </w:t>
      </w:r>
      <w:r>
        <w:t xml:space="preserve">broad pair is culture pH × culture duration, which governs the aggregate and afucosylation</w:t>
      </w:r>
      <w:r>
        <w:t xml:space="preserve"> </w:t>
      </w:r>
      <w:r>
        <w:t xml:space="preserve">surfaces: both attributes rise toward the high-pH, long-duration corner, so that corner is the</w:t>
      </w:r>
      <w:r>
        <w:t xml:space="preserve"> </w:t>
      </w:r>
      <w:r>
        <w:t xml:space="preserve">region’s worst case for size and afucosylation. The second plane is culture pH × culture</w:t>
      </w:r>
      <w:r>
        <w:t xml:space="preserve"> </w:t>
      </w:r>
      <w:r>
        <w:t xml:space="preserve">temperature, which governs high mannose — the very-high-criticality attribute — with pH</w:t>
      </w:r>
      <w:r>
        <w:t xml:space="preserve"> </w:t>
      </w:r>
      <w:r>
        <w:t xml:space="preserve">raising it and temperature lowering it, so its binding corner is high-pH, low-temperature.</w:t>
      </w:r>
      <w:r>
        <w:t xml:space="preserve"> </w:t>
      </w:r>
      <w:r>
        <w:t xml:space="preserve">Dissolved CO₂ forms a third, weaker plane through its dominant effect on the acidic charge</w:t>
      </w:r>
      <w:r>
        <w:t xml:space="preserve"> </w:t>
      </w:r>
      <w:r>
        <w:t xml:space="preserve">variants. The operating region is drawn so that these worst-case corners remain within</w:t>
      </w:r>
      <w:r>
        <w:t xml:space="preserve"> </w:t>
      </w:r>
      <w:r>
        <w:t xml:space="preserve">acceptance for every attribute across the ranges studied.</w:t>
      </w:r>
    </w:p>
    <w:p>
      <w:pPr>
        <w:pStyle w:val="BodyText"/>
      </w:pPr>
      <w:r>
        <w:t xml:space="preserve">The normal operating ranges lie well inside this characterized region, which in turn lies</w:t>
      </w:r>
      <w:r>
        <w:t xml:space="preserve"> </w:t>
      </w:r>
      <w:r>
        <w:t xml:space="preserve">inside the proven-acceptable knowledge space. Culture pH is controlled to a NOR of</w:t>
      </w:r>
      <w:r>
        <w:t xml:space="preserve"> </w:t>
      </w:r>
      <w:r>
        <w:t xml:space="preserve">6.75–6.95 inside a PAR of</w:t>
      </w:r>
      <w:r>
        <w:t xml:space="preserve"> </w:t>
      </w:r>
      <w:r>
        <w:t xml:space="preserve">6.6–7.1; culture duration to</w:t>
      </w:r>
      <w:r>
        <w:t xml:space="preserve"> </w:t>
      </w:r>
      <w:r>
        <w:t xml:space="preserve">16–18 days inside</w:t>
      </w:r>
      <w:r>
        <w:t xml:space="preserve"> </w:t>
      </w:r>
      <w:r>
        <w:t xml:space="preserve">15–19 days; temperature to</w:t>
      </w:r>
      <w:r>
        <w:t xml:space="preserve"> </w:t>
      </w:r>
      <w:r>
        <w:t xml:space="preserve">34.5–35.5 °C inside</w:t>
      </w:r>
      <w:r>
        <w:t xml:space="preserve"> </w:t>
      </w:r>
      <w:r>
        <w:t xml:space="preserve">34–36 °C; and dissolved CO₂ to</w:t>
      </w:r>
      <w:r>
        <w:t xml:space="preserve"> </w:t>
      </w:r>
      <w:r>
        <w:t xml:space="preserve">70–130 mmHg inside</w:t>
      </w:r>
      <w:r>
        <w:t xml:space="preserve"> </w:t>
      </w:r>
      <w:r>
        <w:t xml:space="preserve">40–160 mmHg. Movement within the normal operating ranges</w:t>
      </w:r>
      <w:r>
        <w:t xml:space="preserve"> </w:t>
      </w:r>
      <w:r>
        <w:t xml:space="preserve">is therefore not a change and requires no further assessment, whereas movement outside the</w:t>
      </w:r>
      <w:r>
        <w:t xml:space="preserve"> </w:t>
      </w:r>
      <w:r>
        <w:t xml:space="preserve">characterized region would be assessed as a change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</w:t>
      </w:r>
    </w:p>
    <w:p>
      <w:pPr>
        <w:pStyle w:val="BodyText"/>
      </w:pPr>
      <w:r>
        <w:t xml:space="preserve">The claim is bounded in three ways. It holds over the ranges studied and is not extrapolated</w:t>
      </w:r>
      <w:r>
        <w:t xml:space="preserve"> </w:t>
      </w:r>
      <w:r>
        <w:t xml:space="preserve">beyond the PAR edges; it is a property of the four response-surface factors, with osmolality</w:t>
      </w:r>
      <w:r>
        <w:t xml:space="preserve"> </w:t>
      </w:r>
      <w:r>
        <w:t xml:space="preserve">and the process-performance parameters held to their control ranges as robustness rather than</w:t>
      </w:r>
      <w:r>
        <w:t xml:space="preserve"> </w:t>
      </w:r>
      <w:r>
        <w:t xml:space="preserve">region-defining factors; and it rests on the qualified scale-down model, so it is a</w:t>
      </w:r>
      <w:r>
        <w:t xml:space="preserve"> </w:t>
      </w:r>
      <w:r>
        <w:t xml:space="preserve">commercial-equivalent claim to be confirmed by the process-performance-qualification campaign</w:t>
      </w:r>
      <w:r>
        <w:t xml:space="preserve"> </w:t>
      </w:r>
      <w:r>
        <w:t xml:space="preserve">rather than a claim already demonstrated at manufacturing scale.</w:t>
      </w:r>
    </w:p>
    <w:bookmarkEnd w:id="69"/>
    <w:bookmarkStart w:id="71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Every CQA the step forms is capable at commercial scale, with the tightest margin belonging to</w:t>
      </w:r>
      <w:r>
        <w:t xml:space="preserve"> </w:t>
      </w:r>
      <w:r>
        <w:t xml:space="preserve">high mannose. A Monte-Carlo simulation of 2,000 batches, with</w:t>
      </w:r>
      <w:r>
        <w:t xml:space="preserve"> </w:t>
      </w:r>
      <w:r>
        <w:t xml:space="preserve">the parameters varied across their normal operating ranges, propagated the culture variability</w:t>
      </w:r>
      <w:r>
        <w:t xml:space="preserve"> </w:t>
      </w:r>
      <w:r>
        <w:t xml:space="preserve">into each response; the resulting one-sided capability indices are given in</w:t>
      </w:r>
      <w:r>
        <w:t xml:space="preserve"> 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formed at the production bioreactor, from the normal-operating-range Monte-Carlo simulation.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The glycan attributes carry the binding capabilities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High mannose is the tightest</w:t>
      </w:r>
      <w:r>
        <w:t xml:space="preserve"> </w:t>
      </w:r>
      <w:r>
        <w:t xml:space="preserve">at Cpk 1.94 — about 5.8 standard deviations from</w:t>
      </w:r>
      <w:r>
        <w:t xml:space="preserve"> </w:t>
      </w:r>
      <w:r>
        <w:t xml:space="preserve">its nearest acceptance limit — and its binding side is the lower limit (Cpl</w:t>
      </w:r>
      <w:r>
        <w:t xml:space="preserve"> </w:t>
      </w:r>
      <w:r>
        <w:t xml:space="preserve">1.94 against Cpu 2.60), consistent with its</w:t>
      </w:r>
      <w:r>
        <w:t xml:space="preserve"> </w:t>
      </w:r>
      <w:r>
        <w:t xml:space="preserve">very-high criticality and with the larger measurement variance of a low-abundance glycan.</w:t>
      </w:r>
      <w:r>
        <w:t xml:space="preserve"> </w:t>
      </w:r>
      <w:r>
        <w:t xml:space="preserve">Afucosylation and galactosylation are comfortably capable (Cpk 2.89 and</w:t>
      </w:r>
      <w:r>
        <w:t xml:space="preserve"> </w:t>
      </w:r>
      <w:r>
        <w:t xml:space="preserve">2.86), and the aggregate content is the most capable attribute of the</w:t>
      </w:r>
      <w:r>
        <w:t xml:space="preserve"> </w:t>
      </w:r>
      <w:r>
        <w:t xml:space="preserve">set (Cpk 16.11), sitting far below its upper limit. The acidic charge</w:t>
      </w:r>
      <w:r>
        <w:t xml:space="preserve"> </w:t>
      </w:r>
      <w:r>
        <w:t xml:space="preserve">variants are capable with wide margin (Cpk 4.26), as expected for a</w:t>
      </w:r>
      <w:r>
        <w:t xml:space="preserve"> </w:t>
      </w:r>
      <w:r>
        <w:t xml:space="preserve">very-low-criticality attribute with a broad, clinically qualified range.</w:t>
      </w:r>
    </w:p>
    <w:p>
      <w:pPr>
        <w:pStyle w:val="BodyText"/>
      </w:pPr>
      <w:r>
        <w:t xml:space="preserve">The host-cell-protein and residual-DNA capabilities (Cpk 6.14 and</w:t>
      </w:r>
      <w:r>
        <w:t xml:space="preserve"> </w:t>
      </w:r>
      <w:r>
        <w:t xml:space="preserve">10.81) are drug-substance capabilities that the bioreactor does not</w:t>
      </w:r>
      <w:r>
        <w:t xml:space="preserve"> </w:t>
      </w:r>
      <w:r>
        <w:t xml:space="preserve">achieve alone. The bioreactor sets the incoming impurity burden; the margins reported here are</w:t>
      </w:r>
      <w:r>
        <w:t xml:space="preserve"> </w:t>
      </w:r>
      <w:r>
        <w:t xml:space="preserve">realized only after the downstream clearance train — Protein A capture (PCR-005), cation</w:t>
      </w:r>
      <w:r>
        <w:t xml:space="preserve"> </w:t>
      </w:r>
      <w:r>
        <w:t xml:space="preserve">exchange (PCR-007) and anion exchange (PCR-008) — has reduced that burden to release levels,</w:t>
      </w:r>
      <w:r>
        <w:t xml:space="preserve"> </w:t>
      </w:r>
      <w:r>
        <w:t xml:space="preserve">and are consolidated on that basis in PCMR-001. The bioreactor’s own contribution is to</w:t>
      </w:r>
      <w:r>
        <w:t xml:space="preserve"> </w:t>
      </w:r>
      <w:r>
        <w:t xml:space="preserve">deliver an incoming burden low and consistent enough for those steps to clear.</w:t>
      </w:r>
    </w:p>
    <w:p>
      <w:pPr>
        <w:pStyle w:val="BodyText"/>
      </w:pPr>
      <w:r>
        <w:t xml:space="preserve">The capability claim is bounded to the normal operating ranges and to the qualified scale-down</w:t>
      </w:r>
      <w:r>
        <w:t xml:space="preserve"> </w:t>
      </w:r>
      <w:r>
        <w:t xml:space="preserve">model: it is the predicted commercial-scale performance of a step operated within its NORs, to</w:t>
      </w:r>
      <w:r>
        <w:t xml:space="preserve"> </w:t>
      </w:r>
      <w:r>
        <w:t xml:space="preserve">be confirmed by the process-performance-qualification batches, not a claim of demonstrated</w:t>
      </w:r>
      <w:r>
        <w:t xml:space="preserve"> </w:t>
      </w:r>
      <w:r>
        <w:t xml:space="preserve">manufacturing-scale capability.</w:t>
      </w:r>
    </w:p>
    <w:bookmarkEnd w:id="71"/>
    <w:bookmarkStart w:id="72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is classified from its demonstrated effect on the CQAs and the risk it would</w:t>
      </w:r>
      <w:r>
        <w:t xml:space="preserve"> </w:t>
      </w:r>
      <w:r>
        <w:t xml:space="preserve">carry if it moved within its range; the classifications are summarized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justified individually below. 5 parameters are well-controlled critical</w:t>
      </w:r>
      <w:r>
        <w:t xml:space="preserve"> </w:t>
      </w:r>
      <w:r>
        <w:t xml:space="preserve">process parameters, 3 are key process parameters, 1 is a general</w:t>
      </w:r>
      <w:r>
        <w:t xml:space="preserve"> </w:t>
      </w:r>
      <w:r>
        <w:t xml:space="preserve">process parameter, and no parameter required the most stringent, critical-process-parameter</w:t>
      </w:r>
      <w:r>
        <w:t xml:space="preserve"> </w:t>
      </w:r>
      <w:r>
        <w:t xml:space="preserve">control (n =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pH — WC-CPP.</w:t>
      </w:r>
      <w:r>
        <w:t xml:space="preserve"> </w:t>
      </w:r>
      <w:r>
        <w:t xml:space="preserve">The most broadly active factor: it drives the aggregate and</w:t>
      </w:r>
      <w:r>
        <w:t xml:space="preserve"> </w:t>
      </w:r>
      <w:r>
        <w:t xml:space="preserve">afucosylation surfaces (with duration) and the high-mannose surface (against temperature),</w:t>
      </w:r>
      <w:r>
        <w:t xml:space="preserve"> </w:t>
      </w:r>
      <w:r>
        <w:t xml:space="preserve">recurring in the strongest interactions across responses. It is controlled to a narrow NOR of</w:t>
      </w:r>
      <w:r>
        <w:t xml:space="preserve"> </w:t>
      </w:r>
      <w:r>
        <w:t xml:space="preserve">6.75–6.95, within which the governed CQAs stay in limit, so</w:t>
      </w:r>
      <w:r>
        <w:t xml:space="preserve"> </w:t>
      </w:r>
      <w:r>
        <w:t xml:space="preserve">it is a well-controlled — not an unqualified — critical parameter.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temperature — WC-CPP.</w:t>
      </w:r>
      <w:r>
        <w:t xml:space="preserve"> </w:t>
      </w:r>
      <w:r>
        <w:t xml:space="preserve">Governs high mannose, which it lowers, and contributes to</w:t>
      </w:r>
      <w:r>
        <w:t xml:space="preserve"> </w:t>
      </w:r>
      <w:r>
        <w:t xml:space="preserve">the aggregate response through its interaction with duration. It is held to</w:t>
      </w:r>
      <w:r>
        <w:t xml:space="preserve"> </w:t>
      </w:r>
      <w:r>
        <w:t xml:space="preserve">34.5–35.5 °C, a range over which high mannose remains</w:t>
      </w:r>
      <w:r>
        <w:t xml:space="preserve"> </w:t>
      </w:r>
      <w:r>
        <w:t xml:space="preserve">within its very-high-criticality 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Dissolved CO₂ (pCO₂) — WC-CPP.</w:t>
      </w:r>
      <w:r>
        <w:t xml:space="preserve"> </w:t>
      </w:r>
      <w:r>
        <w:t xml:space="preserve">The dominant driver of the acidic charge variants.</w:t>
      </w:r>
      <w:r>
        <w:t xml:space="preserve"> </w:t>
      </w:r>
      <w:r>
        <w:t xml:space="preserve">Although that attribute is of very low criticality and wide capability, pCO₂ is a credible,</w:t>
      </w:r>
      <w:r>
        <w:t xml:space="preserve"> </w:t>
      </w:r>
      <w:r>
        <w:t xml:space="preserve">chemistry-linked driver of a CQA and is readily controlled, so it is classified WC-CPP and</w:t>
      </w:r>
      <w:r>
        <w:t xml:space="preserve"> </w:t>
      </w:r>
      <w:r>
        <w:t xml:space="preserve">held to 70–130 mmHg.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Osmolality — WC-CPP.</w:t>
      </w:r>
      <w:r>
        <w:t xml:space="preserve"> </w:t>
      </w:r>
      <w:r>
        <w:t xml:space="preserve">Retained as a well-controlled critical parameter on the conservative</w:t>
      </w:r>
      <w:r>
        <w:t xml:space="preserve"> </w:t>
      </w:r>
      <w:r>
        <w:t xml:space="preserve">platform basis that culture osmolality can influence glycosylation and cell physiology, even</w:t>
      </w:r>
      <w:r>
        <w:t xml:space="preserve"> </w:t>
      </w:r>
      <w:r>
        <w:t xml:space="preserve">though it showed no dominant effect over the screened range. That null result is kept in the</w:t>
      </w:r>
      <w:r>
        <w:t xml:space="preserve"> </w:t>
      </w:r>
      <w:r>
        <w:t xml:space="preserve">knowledge space as robustness evidence — it is why osmolality was not carried into the</w:t>
      </w:r>
      <w:r>
        <w:t xml:space="preserve"> </w:t>
      </w:r>
      <w:r>
        <w:t xml:space="preserve">response-surface design — and the parameter is held to a narrow NOR of</w:t>
      </w:r>
      <w:r>
        <w:t xml:space="preserve"> </w:t>
      </w:r>
      <w:r>
        <w:t xml:space="preserve">375–425 mOsm.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duration — WC-CPP.</w:t>
      </w:r>
      <w:r>
        <w:t xml:space="preserve"> </w:t>
      </w:r>
      <w:r>
        <w:t xml:space="preserve">Sets the time over which glycan processing and aggregation</w:t>
      </w:r>
      <w:r>
        <w:t xml:space="preserve"> </w:t>
      </w:r>
      <w:r>
        <w:t xml:space="preserve">proceed and, with pH, governs the aggregate and afucosylation surfaces. It is controlled to</w:t>
      </w:r>
      <w:r>
        <w:t xml:space="preserve"> </w:t>
      </w:r>
      <w:r>
        <w:t xml:space="preserve">16–18 days, within which those attributes stay in limit.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Dissolved oxygen — KPP.</w:t>
      </w:r>
      <w:r>
        <w:t xml:space="preserve"> </w:t>
      </w:r>
      <w:r>
        <w:t xml:space="preserve">A process-performance parameter that supplies the culture’s</w:t>
      </w:r>
      <w:r>
        <w:t xml:space="preserve"> </w:t>
      </w:r>
      <w:r>
        <w:t xml:space="preserve">oxygen demand; over its range it showed no effect on the product-quality attributes, so it is</w:t>
      </w:r>
      <w:r>
        <w:t xml:space="preserve"> </w:t>
      </w:r>
      <w:r>
        <w:t xml:space="preserve">controlled as a key parameter for culture performance rather than for a CQA, at</w:t>
      </w:r>
      <w:r>
        <w:t xml:space="preserve"> </w:t>
      </w:r>
      <w:r>
        <w:t xml:space="preserve">40–60 % saturation.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 viable cell concentration — KPP.</w:t>
      </w:r>
      <w:r>
        <w:t xml:space="preserve"> </w:t>
      </w:r>
      <w:r>
        <w:t xml:space="preserve">Assessed univariately; it acts through</w:t>
      </w:r>
      <w:r>
        <w:t xml:space="preserve"> </w:t>
      </w:r>
      <w:r>
        <w:t xml:space="preserve">inoculation and early growth kinetics and did not move the product-quality attributes over</w:t>
      </w:r>
      <w:r>
        <w:t xml:space="preserve"> </w:t>
      </w:r>
      <w:r>
        <w:t xml:space="preserve">its range, so it is a key process-performance parameter, controlled at</w:t>
      </w:r>
      <w:r>
        <w:t xml:space="preserve"> </w:t>
      </w:r>
      <w:r>
        <w:t xml:space="preserve">0.8–1.2 million cells/mL.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Nutrient feed-1 volume — KPP.</w:t>
      </w:r>
      <w:r>
        <w:t xml:space="preserve"> </w:t>
      </w:r>
      <w:r>
        <w:t xml:space="preserve">Supplies nutrients through the fed-batch profile; it is a</w:t>
      </w:r>
      <w:r>
        <w:t xml:space="preserve"> </w:t>
      </w:r>
      <w:r>
        <w:t xml:space="preserve">process-performance parameter controlled at 10–14</w:t>
      </w:r>
      <w:r>
        <w:t xml:space="preserve"> </w:t>
      </w:r>
      <w:r>
        <w:t xml:space="preserve">% working volume. A single under-delivery on one centre-point batch (DEV-003-02) fell within</w:t>
      </w:r>
      <w:r>
        <w:t xml:space="preserve"> </w:t>
      </w:r>
      <w:r>
        <w:t xml:space="preserve">this range and did not alter the fitted effects (§Deviations from the plan).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Basal medium concentration — GPP.</w:t>
      </w:r>
      <w:r>
        <w:t xml:space="preserve"> </w:t>
      </w:r>
      <w:r>
        <w:t xml:space="preserve">The lowest-risk parameter: over its wide range it</w:t>
      </w:r>
      <w:r>
        <w:t xml:space="preserve"> </w:t>
      </w:r>
      <w:r>
        <w:t xml:space="preserve">showed no effect on product quality and carries no criticality, so it is a general process</w:t>
      </w:r>
      <w:r>
        <w:t xml:space="preserve"> </w:t>
      </w:r>
      <w:r>
        <w:t xml:space="preserve">parameter, monitored rather than tightly controlled, at</w:t>
      </w:r>
      <w:r>
        <w:t xml:space="preserve"> </w:t>
      </w:r>
      <w:r>
        <w:t xml:space="preserve">1–1.4× the basal formulation.</w:t>
      </w:r>
    </w:p>
    <w:p>
      <w:pPr>
        <w:pStyle w:val="FirstParagraph"/>
      </w:pPr>
      <w:r>
        <w:t xml:space="preserve">No parameter met the threshold for critical-process-parameter control, because each active</w:t>
      </w:r>
      <w:r>
        <w:t xml:space="preserve"> </w:t>
      </w:r>
      <w:r>
        <w:t xml:space="preserve">parameter is held to a range within which the CQAs it governs remain in limit and each</w:t>
      </w:r>
      <w:r>
        <w:t xml:space="preserve"> </w:t>
      </w:r>
      <w:r>
        <w:t xml:space="preserve">inactive parameter is robust over its range; the well-controlled and key parameters together</w:t>
      </w:r>
      <w:r>
        <w:t xml:space="preserve"> </w:t>
      </w:r>
      <w:r>
        <w:t xml:space="preserve">constitute the step’s parameter control strategy.</w:t>
      </w:r>
    </w:p>
    <w:bookmarkEnd w:id="72"/>
    <w:bookmarkStart w:id="73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production bioreactor contributes to the drug-substance control strategy by holding the</w:t>
      </w:r>
      <w:r>
        <w:t xml:space="preserve"> </w:t>
      </w:r>
      <w:r>
        <w:t xml:space="preserve">culture parameters that form the product-quality attributes to the ranges characterized here,</w:t>
      </w:r>
      <w:r>
        <w:t xml:space="preserve"> </w:t>
      </w:r>
      <w:r>
        <w:t xml:space="preserve">so that the incoming quality to the purification train is both in specification and</w:t>
      </w:r>
      <w:r>
        <w:t xml:space="preserve"> </w:t>
      </w:r>
      <w:r>
        <w:t xml:space="preserve">consistent. The specific contributions are as follows. The five well-controlled critical</w:t>
      </w:r>
      <w:r>
        <w:t xml:space="preserve"> </w:t>
      </w:r>
      <w:r>
        <w:t xml:space="preserve">parameters — culture pH, temperature, dissolved CO₂, osmolality and duration — are controlled</w:t>
      </w:r>
      <w:r>
        <w:t xml:space="preserve"> </w:t>
      </w:r>
      <w:r>
        <w:t xml:space="preserve">to their normal operating ranges 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 with in-process monitoring of the culture</w:t>
      </w:r>
      <w:r>
        <w:t xml:space="preserve"> </w:t>
      </w:r>
      <w:r>
        <w:t xml:space="preserve">environment, and it is these ranges that assure the glycan, charge-variant and aggregate CQAs.</w:t>
      </w:r>
      <w:r>
        <w:t xml:space="preserve"> </w:t>
      </w:r>
      <w:r>
        <w:t xml:space="preserve">The key process parameters — dissolved oxygen, initial viable cell concentration and nutrient</w:t>
      </w:r>
      <w:r>
        <w:t xml:space="preserve"> </w:t>
      </w:r>
      <w:r>
        <w:t xml:space="preserve">feed-1 volume — are controlled for culture performance, and the basal medium concentration is</w:t>
      </w:r>
      <w:r>
        <w:t xml:space="preserve"> </w:t>
      </w:r>
      <w:r>
        <w:t xml:space="preserve">monitored as a general parameter. Product quality is verified on the end-of-culture material</w:t>
      </w:r>
      <w:r>
        <w:t xml:space="preserve"> </w:t>
      </w:r>
      <w:r>
        <w:t xml:space="preserve">by the released-glycan, size-variant, charge-variant, HCP and DNA methods (</w:t>
      </w:r>
      <w:hyperlink w:anchor="tbl-methods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feed-pump calibration control was reinforced following DEV-003-02 (§Deviations from the plan),</w:t>
      </w:r>
      <w:r>
        <w:t xml:space="preserve"> </w:t>
      </w:r>
      <w:r>
        <w:t xml:space="preserve">a feed-input control arising from the campaign.</w:t>
      </w:r>
    </w:p>
    <w:p>
      <w:pPr>
        <w:pStyle w:val="BodyText"/>
      </w:pPr>
      <w:r>
        <w:t xml:space="preserve">This step does not, by itself, deliver the process’s impurity-clearance or viral-safety</w:t>
      </w:r>
      <w:r>
        <w:t xml:space="preserve"> </w:t>
      </w:r>
      <w:r>
        <w:t xml:space="preserve">claims, and its control strategy is defined so as not to overreach that role. The</w:t>
      </w:r>
      <w:r>
        <w:t xml:space="preserve"> </w:t>
      </w:r>
      <w:r>
        <w:t xml:space="preserve">host-cell-protein and residual-DNA burden it sets is cleared to release levels by Protein A</w:t>
      </w:r>
      <w:r>
        <w:t xml:space="preserve"> </w:t>
      </w:r>
      <w:r>
        <w:t xml:space="preserve">capture (PCR-005), cation exchange (PCR-007) and anion exchange (PCR-008); the enveloped- and</w:t>
      </w:r>
      <w:r>
        <w:t xml:space="preserve"> </w:t>
      </w:r>
      <w:r>
        <w:t xml:space="preserve">small-virus safety margins are established at the dedicated viral steps (PCR-006, PCR-008,</w:t>
      </w:r>
      <w:r>
        <w:t xml:space="preserve"> </w:t>
      </w:r>
      <w:r>
        <w:t xml:space="preserve">PCR-009) under ICH Q5A(R2); and the glycan CQAs formed here are preserved, not altered, by the</w:t>
      </w:r>
      <w:r>
        <w:t xml:space="preserve"> </w:t>
      </w:r>
      <w:r>
        <w:t xml:space="preserve">downstream steps. These contributions are consolidated with the present one in the Master</w:t>
      </w:r>
      <w:r>
        <w:t xml:space="preserve"> </w:t>
      </w:r>
      <w:r>
        <w:t xml:space="preserve">Report (PCMR-001), which rolls up the 20 well-controlled</w:t>
      </w:r>
      <w:r>
        <w:t xml:space="preserve"> </w:t>
      </w:r>
      <w:r>
        <w:t xml:space="preserve">critical parameters and the single critical process parameter (n =</w:t>
      </w:r>
      <w:r>
        <w:t xml:space="preserve"> </w:t>
      </w:r>
      <w:r>
        <w:t xml:space="preserve">1) of the whole drug-substance process.</w:t>
      </w:r>
    </w:p>
    <w:bookmarkEnd w:id="73"/>
    <w:bookmarkStart w:id="74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production bioreactor is well understood: the response-surface models reproduce the culture</w:t>
      </w:r>
      <w:r>
        <w:t xml:space="preserve"> </w:t>
      </w:r>
      <w:r>
        <w:t xml:space="preserve">and its assays, they show no significant lack of fit against a demanding pure-error baseline,</w:t>
      </w:r>
      <w:r>
        <w:t xml:space="preserve"> </w:t>
      </w:r>
      <w:r>
        <w:t xml:space="preserve">and they resolve the mechanism that platform prior knowledge predicts, so the operating region</w:t>
      </w:r>
      <w:r>
        <w:t xml:space="preserve"> </w:t>
      </w:r>
      <w:r>
        <w:t xml:space="preserve">they define is a characterized region rather than an extrapolation. Confidence in the</w:t>
      </w:r>
      <w:r>
        <w:t xml:space="preserve"> </w:t>
      </w:r>
      <w:r>
        <w:t xml:space="preserve">commercial relevance of that region rests on the scale-down model’s qualification, which</w:t>
      </w:r>
      <w:r>
        <w:t xml:space="preserve"> </w:t>
      </w:r>
      <w:r>
        <w:t xml:space="preserve">matched the small-scale culture to the manufacturing operation on both its inputs and its</w:t>
      </w:r>
      <w:r>
        <w:t xml:space="preserve"> </w:t>
      </w:r>
      <w:r>
        <w:t xml:space="preserve">product-quality outputs; the tight centre-point reproducibility is the direct evidence that</w:t>
      </w:r>
      <w:r>
        <w:t xml:space="preserve"> </w:t>
      </w:r>
      <w:r>
        <w:t xml:space="preserve">the model is representative at the set-point, and the factorial and axial runs extend that</w:t>
      </w:r>
      <w:r>
        <w:t xml:space="preserve"> </w:t>
      </w:r>
      <w:r>
        <w:t xml:space="preserve">representativeness across the ranges.</w:t>
      </w:r>
    </w:p>
    <w:p>
      <w:pPr>
        <w:pStyle w:val="BodyText"/>
      </w:pPr>
      <w:r>
        <w:t xml:space="preserve">Two deviations occurred during execution, and neither altered the study’s conclusions. A</w:t>
      </w:r>
      <w:r>
        <w:t xml:space="preserve"> </w:t>
      </w:r>
      <w:r>
        <w:t xml:space="preserve">dissolved-CO₂ probe drift on one screening run (DEV-003-01) read</w:t>
      </w:r>
      <w:r>
        <w:t xml:space="preserve"> </w:t>
      </w:r>
      <w:r>
        <w:t xml:space="preserve">6.5 mmHg high of the offline reference, and a</w:t>
      </w:r>
      <w:r>
        <w:t xml:space="preserve"> </w:t>
      </w:r>
      <w:r>
        <w:t xml:space="preserve">nutrient-feed under-delivery on one centre-point batch (DEV-003-02) delivered</w:t>
      </w:r>
      <w:r>
        <w:t xml:space="preserve"> </w:t>
      </w:r>
      <w:r>
        <w:t xml:space="preserve">4.2 % less feed than target; the adverse findings are</w:t>
      </w:r>
      <w:r>
        <w:t xml:space="preserve"> </w:t>
      </w:r>
      <w:r>
        <w:t xml:space="preserve">stated first because each touched a factor the study depends on — pCO₂, the dominant</w:t>
      </w:r>
      <w:r>
        <w:t xml:space="preserve"> </w:t>
      </w:r>
      <w:r>
        <w:t xml:space="preserve">charge-variant driver, and the centre point that anchors the pure-error estimate. In both</w:t>
      </w:r>
      <w:r>
        <w:t xml:space="preserve"> </w:t>
      </w:r>
      <w:r>
        <w:t xml:space="preserve">cases the deviating value fell within the studied range and the fitted effects, the operating</w:t>
      </w:r>
      <w:r>
        <w:t xml:space="preserve"> </w:t>
      </w:r>
      <w:r>
        <w:t xml:space="preserve">region and the classifications were shown to be unchanged (§Deviations from the plan), so both</w:t>
      </w:r>
      <w:r>
        <w:t xml:space="preserve"> </w:t>
      </w:r>
      <w:r>
        <w:t xml:space="preserve">were retained.</w:t>
      </w:r>
    </w:p>
    <w:p>
      <w:pPr>
        <w:pStyle w:val="BodyText"/>
      </w:pPr>
      <w:r>
        <w:t xml:space="preserve">The principal limitations are stated plainly, and each is managed forward. The claims are</w:t>
      </w:r>
      <w:r>
        <w:t xml:space="preserve"> </w:t>
      </w:r>
      <w:r>
        <w:t xml:space="preserve">commercial-equivalent, resting on the scale-down model rather than on manufacturing-scale</w:t>
      </w:r>
      <w:r>
        <w:t xml:space="preserve"> </w:t>
      </w:r>
      <w:r>
        <w:t xml:space="preserve">demonstration, and are to be confirmed by the process-performance-qualification campaign. The</w:t>
      </w:r>
      <w:r>
        <w:t xml:space="preserve"> </w:t>
      </w:r>
      <w:r>
        <w:t xml:space="preserve">high-mannose capability, the tightest of the set, is limited in part by the measurement</w:t>
      </w:r>
      <w:r>
        <w:t xml:space="preserve"> </w:t>
      </w:r>
      <w:r>
        <w:t xml:space="preserve">variance of a low-abundance glycan rather than by the culture, which is a reason to maintain</w:t>
      </w:r>
      <w:r>
        <w:t xml:space="preserve"> </w:t>
      </w:r>
      <w:r>
        <w:t xml:space="preserve">the qualified assay as much as the culture control. And the design space is characterized only</w:t>
      </w:r>
      <w:r>
        <w:t xml:space="preserve"> </w:t>
      </w:r>
      <w:r>
        <w:t xml:space="preserve">within the proven acceptable ranges; operation beyond them would require assessment under the</w:t>
      </w:r>
      <w:r>
        <w:t xml:space="preserve"> </w:t>
      </w:r>
      <w:r>
        <w:t xml:space="preserve">quality system. No parameter required critical-process-parameter control: every active</w:t>
      </w:r>
      <w:r>
        <w:t xml:space="preserve"> </w:t>
      </w:r>
      <w:r>
        <w:t xml:space="preserve">parameter is a well-controlled critical parameter whose CQA risk is managed by range control,</w:t>
      </w:r>
      <w:r>
        <w:t xml:space="preserve"> </w:t>
      </w:r>
      <w:r>
        <w:t xml:space="preserve">and the most stringent classification was therefore not needed at this step.</w:t>
      </w:r>
    </w:p>
    <w:bookmarkEnd w:id="74"/>
    <w:bookmarkStart w:id="75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production bioreactor is well characterized and robust within the ranges studied. A</w:t>
      </w:r>
      <w:r>
        <w:t xml:space="preserve"> </w:t>
      </w:r>
      <w:r>
        <w:t xml:space="preserve">response-surface model over the well-controlled culture parameters defines a multivariate</w:t>
      </w:r>
      <w:r>
        <w:t xml:space="preserve"> </w:t>
      </w:r>
      <w:r>
        <w:t xml:space="preserve">operating region in which the glycan, charge-variant and aggregate CQAs remain within their</w:t>
      </w:r>
      <w:r>
        <w:t xml:space="preserve"> </w:t>
      </w:r>
      <w:r>
        <w:t xml:space="preserve">acceptance criteria; the proven acceptable and normal operating ranges are justified for each</w:t>
      </w:r>
      <w:r>
        <w:t xml:space="preserve"> </w:t>
      </w:r>
      <w:r>
        <w:t xml:space="preserve">parameter; and the parameters are classified as 5 well-controlled critical,</w:t>
      </w:r>
      <w:r>
        <w:t xml:space="preserve"> </w:t>
      </w:r>
      <w:r>
        <w:t xml:space="preserve">3 key and 1 general process parameters, with no critical process</w:t>
      </w:r>
      <w:r>
        <w:t xml:space="preserve"> </w:t>
      </w:r>
      <w:r>
        <w:t xml:space="preserve">parameter required. At commercial scale every CQA the step forms is capable, the tightest being</w:t>
      </w:r>
      <w:r>
        <w:t xml:space="preserve"> </w:t>
      </w:r>
      <w:r>
        <w:t xml:space="preserve">high mannose at Cpk 1.94. The two recorded deviations were investigated,</w:t>
      </w:r>
      <w:r>
        <w:t xml:space="preserve"> </w:t>
      </w:r>
      <w:r>
        <w:t xml:space="preserve">bounded and retained without altering any classification or the operating region. The step</w:t>
      </w:r>
      <w:r>
        <w:t xml:space="preserve"> </w:t>
      </w:r>
      <w:r>
        <w:t xml:space="preserve">guarantees, on the qualified scale-down model and within the characterized ranges, the</w:t>
      </w:r>
      <w:r>
        <w:t xml:space="preserve"> </w:t>
      </w:r>
      <w:r>
        <w:t xml:space="preserve">formation of in-specification product quality; it does not by itself deliver the</w:t>
      </w:r>
      <w:r>
        <w:t xml:space="preserve"> </w:t>
      </w:r>
      <w:r>
        <w:t xml:space="preserve">impurity-clearance or viral-safety claims, which are established downstream and consolidated</w:t>
      </w:r>
      <w:r>
        <w:t xml:space="preserve"> </w:t>
      </w:r>
      <w:r>
        <w:t xml:space="preserve">with this report in PCMR-001.</w:t>
      </w:r>
    </w:p>
    <w:bookmarkEnd w:id="75"/>
    <w:bookmarkStart w:id="79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2 deviations were recorded during execution of the study, and each was</w:t>
      </w:r>
      <w:r>
        <w:t xml:space="preserve"> </w:t>
      </w:r>
      <w:r>
        <w:t xml:space="preserve">investigated to root cause, impact-assessed against the study conclusions and dispositioned;</w:t>
      </w:r>
      <w:r>
        <w:t xml:space="preserve"> </w:t>
      </w:r>
      <w:r>
        <w:t xml:space="preserve">both were retained (</w:t>
      </w:r>
      <w:hyperlink w:anchor="tbl-dev">
        <w:r>
          <w:rPr>
            <w:rStyle w:val="Hyperlink"/>
          </w:rPr>
          <w:t xml:space="preserve">Table 15</w:t>
        </w:r>
      </w:hyperlink>
      <w:r>
        <w:t xml:space="preserve">). The two subsections below state the adverse finding first and</w:t>
      </w:r>
      <w:r>
        <w:t xml:space="preserve"> </w:t>
      </w:r>
      <w:r>
        <w:t xml:space="preserve">then the evidence that bounds its impact.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Deviation register for PCR-003 — the deviations recorded during execution, with their disposition.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6"/>
          <w:p/>
        </w:tc>
      </w:tr>
    </w:tbl>
    <w:bookmarkStart w:id="77" w:name="dev-003-01-dissolved-co₂-probe-drift"/>
    <w:p>
      <w:pPr>
        <w:pStyle w:val="Heading2"/>
      </w:pPr>
      <w:r>
        <w:t xml:space="preserve">12.1 DEV-003-01 — Dissolved-CO₂ probe drift</w:t>
      </w:r>
    </w:p>
    <w:p>
      <w:pPr>
        <w:pStyle w:val="FirstParagraph"/>
      </w:pPr>
      <w:r>
        <w:t xml:space="preserve">During one screening run, in-process monitoring found the dissolved-CO₂ probe (equipment</w:t>
      </w:r>
      <w:r>
        <w:t xml:space="preserve"> </w:t>
      </w:r>
      <w:r>
        <w:t xml:space="preserve">EQ-BRX-205) reading 6.5 mmHg high of the offline</w:t>
      </w:r>
      <w:r>
        <w:t xml:space="preserve"> </w:t>
      </w:r>
      <w:r>
        <w:t xml:space="preserve">reference; the root cause was probe drift between scheduled calibrations. This matters because</w:t>
      </w:r>
      <w:r>
        <w:t xml:space="preserve"> </w:t>
      </w:r>
      <w:r>
        <w:t xml:space="preserve">dissolved CO₂ is the single largest screening driver of the acidic charge variants (effect</w:t>
      </w:r>
      <w:r>
        <w:t xml:space="preserve"> </w:t>
      </w:r>
      <w:r>
        <w:t xml:space="preserve">-8.2 % across the studied range), so the run’s</w:t>
      </w:r>
      <w:r>
        <w:t xml:space="preserve"> </w:t>
      </w:r>
      <w:r>
        <w:t xml:space="preserve">leverage on the pCO₂ effect estimate was examined before the effects were accepted. The offset</w:t>
      </w:r>
      <w:r>
        <w:t xml:space="preserve"> </w:t>
      </w:r>
      <w:r>
        <w:t xml:space="preserve">is small against the characterized pCO₂ range of 40–160</w:t>
      </w:r>
      <w:r>
        <w:t xml:space="preserve"> </w:t>
      </w:r>
      <w:r>
        <w:t xml:space="preserve">mmHg, and the affected attribute is of very low criticality with wide commercial capability</w:t>
      </w:r>
      <w:r>
        <w:t xml:space="preserve"> </w:t>
      </w:r>
      <w:r>
        <w:t xml:space="preserve">(Cpk 4.26); the pCO₂ effect estimate, the response-surface model and the</w:t>
      </w:r>
      <w:r>
        <w:t xml:space="preserve"> </w:t>
      </w:r>
      <w:r>
        <w:t xml:space="preserve">parameter classifications were unchanged, so the deviation was retained.</w:t>
      </w:r>
    </w:p>
    <w:bookmarkEnd w:id="77"/>
    <w:bookmarkStart w:id="78" w:name="X8329f0e14a364443d536ee8baedd522fa6982ab"/>
    <w:p>
      <w:pPr>
        <w:pStyle w:val="Heading2"/>
      </w:pPr>
      <w:r>
        <w:t xml:space="preserve">12.2 DEV-003-02 — Nutrient feed-1 under-delivery</w:t>
      </w:r>
    </w:p>
    <w:p>
      <w:pPr>
        <w:pStyle w:val="FirstParagraph"/>
      </w:pPr>
      <w:r>
        <w:t xml:space="preserve">Post-execution mass reconciliation found that one centre-point batch had received</w:t>
      </w:r>
      <w:r>
        <w:t xml:space="preserve"> </w:t>
      </w:r>
      <w:r>
        <w:t xml:space="preserve">4.2 % less nutrient feed-1 than target (feed lot</w:t>
      </w:r>
      <w:r>
        <w:t xml:space="preserve"> </w:t>
      </w:r>
      <w:r>
        <w:t xml:space="preserve">LOT-FED-3120); the root cause was a feed-pump calibration offset. This matters because the</w:t>
      </w:r>
      <w:r>
        <w:t xml:space="preserve"> </w:t>
      </w:r>
      <w:r>
        <w:t xml:space="preserve">centre-point replicates anchor the pure-error estimate against which every response-surface</w:t>
      </w:r>
      <w:r>
        <w:t xml:space="preserve"> </w:t>
      </w:r>
      <w:r>
        <w:t xml:space="preserve">model’s lack of fit is judged (§Results), so a non-representative centre point could distort</w:t>
      </w:r>
      <w:r>
        <w:t xml:space="preserve"> </w:t>
      </w:r>
      <w:r>
        <w:t xml:space="preserve">that baseline. The batch’s product-quality responses were therefore re-assessed by</w:t>
      </w:r>
      <w:r>
        <w:t xml:space="preserve"> </w:t>
      </w:r>
      <w:r>
        <w:t xml:space="preserve">3 verification measurements under AMV-3010, which placed it</w:t>
      </w:r>
      <w:r>
        <w:t xml:space="preserve"> </w:t>
      </w:r>
      <w:r>
        <w:t xml:space="preserve">within the centre-point reproducibility band (95 % confidence half-width</w:t>
      </w:r>
      <w:r>
        <w:t xml:space="preserve"> </w:t>
      </w:r>
      <w:r>
        <w:t xml:space="preserve">6.21 on the affected glycan response). The delivered feed volume</w:t>
      </w:r>
      <w:r>
        <w:t xml:space="preserve"> </w:t>
      </w:r>
      <w:r>
        <w:t xml:space="preserve">remained within the studied normal operating range of</w:t>
      </w:r>
      <w:r>
        <w:t xml:space="preserve"> </w:t>
      </w:r>
      <w:r>
        <w:t xml:space="preserve">10–14 % working volume, and the pure-error estimate</w:t>
      </w:r>
      <w:r>
        <w:t xml:space="preserve"> </w:t>
      </w:r>
      <w:r>
        <w:t xml:space="preserve">and the fitted effects were unchanged, so the deviation was retained; the feed-pump calibration</w:t>
      </w:r>
      <w:r>
        <w:t xml:space="preserve"> </w:t>
      </w:r>
      <w:r>
        <w:t xml:space="preserve">control was reinforced for the commercial step (§Contribution to the control strategy).</w:t>
      </w:r>
    </w:p>
    <w:bookmarkEnd w:id="78"/>
    <w:bookmarkEnd w:id="79"/>
    <w:bookmarkStart w:id="98" w:name="appendices"/>
    <w:p>
      <w:pPr>
        <w:pStyle w:val="Heading1"/>
      </w:pPr>
      <w:r>
        <w:t xml:space="preserve">13. Appendices</w:t>
      </w:r>
    </w:p>
    <w:bookmarkStart w:id="82" w:name="X77c0ef24ce4de9c1b8c35876c233736670b0bf3"/>
    <w:p>
      <w:pPr>
        <w:pStyle w:val="Heading2"/>
      </w:pPr>
      <w:r>
        <w:t xml:space="preserve">13.1 Appendix A — Screening design matrix and responses</w:t>
      </w:r>
    </w:p>
    <w:p>
      <w:pPr>
        <w:pStyle w:val="FirstParagraph"/>
      </w:pPr>
      <w:r>
        <w:t xml:space="preserve">The coded screening design matrix and its measured responses are given below, split into the</w:t>
      </w:r>
      <w:r>
        <w:t xml:space="preserve"> </w:t>
      </w:r>
      <w:r>
        <w:t xml:space="preserve">factor settings (</w:t>
      </w:r>
      <w:hyperlink w:anchor="tbl-appA1">
        <w:r>
          <w:rPr>
            <w:rStyle w:val="Hyperlink"/>
          </w:rPr>
          <w:t xml:space="preserve">Table 16</w:t>
        </w:r>
      </w:hyperlink>
      <w:r>
        <w:t xml:space="preserve">) and the responses (</w:t>
      </w:r>
      <w:hyperlink w:anchor="tbl-appA2">
        <w:r>
          <w:rPr>
            <w:rStyle w:val="Hyperlink"/>
          </w:rPr>
          <w:t xml:space="preserve">Table 17</w:t>
        </w:r>
      </w:hyperlink>
      <w:r>
        <w:t xml:space="preserve">); the coded levels are −1 and +1 at</w:t>
      </w:r>
      <w:r>
        <w:t xml:space="preserve"> </w:t>
      </w:r>
      <w:r>
        <w:t xml:space="preserve">the PAR edges and 0 at the centre.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Screening design —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Screening design —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81"/>
          <w:p/>
        </w:tc>
      </w:tr>
    </w:tbl>
    <w:bookmarkEnd w:id="82"/>
    <w:bookmarkStart w:id="85" w:name="Xc987739a58e5854fe31352d470a2bebef9123c1"/>
    <w:p>
      <w:pPr>
        <w:pStyle w:val="Heading2"/>
      </w:pPr>
      <w:r>
        <w:t xml:space="preserve">13.2 Appendix B — Response-surface design matrix and responses</w:t>
      </w:r>
    </w:p>
    <w:p>
      <w:pPr>
        <w:pStyle w:val="FirstParagraph"/>
      </w:pPr>
      <w:r>
        <w:t xml:space="preserve">The coded face-centred central-composite design and its responses are given below, split</w:t>
      </w:r>
      <w:r>
        <w:t xml:space="preserve"> </w:t>
      </w:r>
      <w:r>
        <w:t xml:space="preserve">similarly into settings (</w:t>
      </w:r>
      <w:hyperlink w:anchor="tbl-appB1">
        <w:r>
          <w:rPr>
            <w:rStyle w:val="Hyperlink"/>
          </w:rPr>
          <w:t xml:space="preserve">Table 18</w:t>
        </w:r>
      </w:hyperlink>
      <w:r>
        <w:t xml:space="preserve">) and responses (</w:t>
      </w:r>
      <w:hyperlink w:anchor="tbl-appB2">
        <w:r>
          <w:rPr>
            <w:rStyle w:val="Hyperlink"/>
          </w:rPr>
          <w:t xml:space="preserve">Table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Response-surface design —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Response-surface design —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84"/>
          <w:p/>
        </w:tc>
      </w:tr>
    </w:tbl>
    <w:bookmarkEnd w:id="85"/>
    <w:bookmarkStart w:id="95" w:name="Xa2fac5041b4173f7385fa99ae36b1e5b6f06fdd"/>
    <w:p>
      <w:pPr>
        <w:pStyle w:val="Heading2"/>
      </w:pPr>
      <w:r>
        <w:t xml:space="preserve">13.3 Appendix C — Full effect and coefficient tables</w:t>
      </w:r>
    </w:p>
    <w:p>
      <w:pPr>
        <w:pStyle w:val="FirstParagraph"/>
      </w:pPr>
      <w:r>
        <w:t xml:space="preserve">The complete screening effect estimates for all five responses, and the full quadratic</w:t>
      </w:r>
      <w:r>
        <w:t xml:space="preserve"> </w:t>
      </w:r>
      <w:r>
        <w:t xml:space="preserve">response-surface coefficients for the four responses not shown in the Results section, are</w:t>
      </w:r>
      <w:r>
        <w:t xml:space="preserve"> </w:t>
      </w:r>
      <w:r>
        <w:t xml:space="preserve">collected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scr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effect estimates — Afucosylation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scr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 estimates — Galactosylation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scr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 estimates — High mannose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210"/>
              <w:gridCol w:w="1210"/>
              <w:gridCol w:w="1430"/>
              <w:gridCol w:w="110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scr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— Acidic variants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033"/>
              <w:gridCol w:w="1492"/>
              <w:gridCol w:w="1147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scr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Screening effect estimates — Aggregates (HMW)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rsmc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Galactosylation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rsmc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High mannose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rsmc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Response-surface coefficients — Acidic variants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rsmc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Response-surface coefficients — Aggregates (HMW)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4"/>
          <w:p/>
        </w:tc>
      </w:tr>
    </w:tbl>
    <w:bookmarkEnd w:id="95"/>
    <w:bookmarkStart w:id="97" w:name="appendix-d-analytical-methods-summary"/>
    <w:p>
      <w:pPr>
        <w:pStyle w:val="Heading2"/>
      </w:pPr>
      <w:r>
        <w:t xml:space="preserve">13.4 Appendix D — Analytical methods summary</w:t>
      </w:r>
    </w:p>
    <w:p>
      <w:pPr>
        <w:pStyle w:val="FirstParagraph"/>
      </w:pPr>
      <w:r>
        <w:t xml:space="preserve">The validated analytical methods used to measure the characterization responses are summarized</w:t>
      </w:r>
      <w:r>
        <w:t xml:space="preserve"> </w:t>
      </w:r>
      <w:r>
        <w:t xml:space="preserve">in</w:t>
      </w:r>
      <w:r>
        <w:t xml:space="preserve"> </w:t>
      </w:r>
      <w:hyperlink w:anchor="tbl-appD">
        <w:r>
          <w:rPr>
            <w:rStyle w:val="Hyperlink"/>
          </w:rPr>
          <w:t xml:space="preserve">Table 29</w:t>
        </w:r>
      </w:hyperlink>
      <w:r>
        <w:t xml:space="preserve">; method performance is detailed in the respective method-validation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Analytical methods summary — technique, analyte and reportable unit for each validated method.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09"/>
              <w:gridCol w:w="2147"/>
              <w:gridCol w:w="3087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/ technique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Analyte(s)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96"/>
          <w:p/>
        </w:tc>
      </w:tr>
    </w:tbl>
    <w:p>
      <w:r>
        <w:br w:type="page"/>
      </w:r>
    </w:p>
    <w:bookmarkEnd w:id="97"/>
    <w:bookmarkEnd w:id="98"/>
    <w:bookmarkStart w:id="107" w:name="references"/>
    <w:p>
      <w:pPr>
        <w:pStyle w:val="Heading1"/>
      </w:pPr>
      <w:r>
        <w:t xml:space="preserve">References</w:t>
      </w:r>
    </w:p>
    <w:bookmarkStart w:id="106" w:name="refs"/>
    <w:bookmarkStart w:id="9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9"/>
    <w:bookmarkStart w:id="10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0"/>
    <w:bookmarkStart w:id="10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1"/>
    <w:bookmarkStart w:id="10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2"/>
    <w:bookmarkStart w:id="103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103"/>
    <w:bookmarkStart w:id="104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104"/>
    <w:bookmarkStart w:id="10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2026-07-26T11:39:59Z</dcterms:created>
  <dcterms:modified xsi:type="dcterms:W3CDTF">2026-07-26T11:39:59Z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