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  <Override PartName="/word/media/rId47.png" ContentType="image/png"/>
  <Override PartName="/word/media/rId42.png" ContentType="image/png"/>
  <Override PartName="/word/media/rId38.png" ContentType="image/png"/>
  <Override PartName="/word/media/rId90.png" ContentType="image/png"/>
  <Override PartName="/word/media/rId66.png" ContentType="image/png"/>
  <Override PartName="/word/media/rId84.png" ContentType="image/png"/>
  <Override PartName="/word/media/rId24.png" ContentType="image/png"/>
  <Override PartName="/word/media/rId54.png" ContentType="image/png"/>
  <Override PartName="/word/media/rId77.png" ContentType="image/png"/>
  <Override PartName="/word/media/rId60.png" ContentType="image/png"/>
  <Override PartName="/word/media/rId96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Production Bioreactor through Ultrafiltration/Diafiltration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the process characterization (Stage 1, Process Design) of the</w:t>
      </w:r>
      <w:r>
        <w:t xml:space="preserve"> </w:t>
      </w:r>
      <w:r>
        <w:t xml:space="preserve">A-Mab drug-substance manufacturing process, a humanized IgG1 monoclonal antibody whose</w:t>
      </w:r>
      <w:r>
        <w:t xml:space="preserve"> </w:t>
      </w:r>
      <w:r>
        <w:t xml:space="preserve">principal mechanism of action is antibody-dependent cell-mediated cytotoxicity (ADCC).</w:t>
      </w:r>
      <w:r>
        <w:t xml:space="preserve"> </w:t>
      </w:r>
      <w:r>
        <w:t xml:space="preserve">The work follows the lifecycle approach to process validation of the FDA 2011 guidance,</w:t>
      </w:r>
      <w:r>
        <w:t xml:space="preserve"> </w:t>
      </w:r>
      <w:r>
        <w:t xml:space="preserve">PDA Technical Report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,</w:t>
      </w:r>
      <w:r>
        <w:t xml:space="preserve"> </w:t>
      </w:r>
      <w:r>
        <w:t xml:space="preserve">and applies the Quality-by-Design principles of ICH Q8, Q9 and Q11</w:t>
      </w:r>
      <w:r>
        <w:t xml:space="preserve"> </w:t>
      </w:r>
      <w:r>
        <w:t xml:space="preserve">(International Council for Harmonisation 2009, 2023, 2012)</w:t>
      </w:r>
      <w:r>
        <w:t xml:space="preserve">. The methodology and quality-attribute framework are those of</w:t>
      </w:r>
      <w:r>
        <w:t xml:space="preserve"> </w:t>
      </w:r>
      <w:r>
        <w:t xml:space="preserve">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Eight unit operations were modelled and characterized — production bioreactor, harvest,</w:t>
      </w:r>
      <w:r>
        <w:t xml:space="preserve"> </w:t>
      </w:r>
      <w:r>
        <w:t xml:space="preserve">Protein A capture, low-pH viral inactivation, cation-exchange (CEX) and anion-exchange</w:t>
      </w:r>
      <w:r>
        <w:t xml:space="preserve"> </w:t>
      </w:r>
      <w:r>
        <w:t xml:space="preserve">(AEX) chromatography, small-virus retentive filtration, and ultrafiltration/diafiltration</w:t>
      </w:r>
      <w:r>
        <w:t xml:space="preserve"> </w:t>
      </w:r>
      <w:r>
        <w:t xml:space="preserve">(UF/DF). Scale-down models were used to execute screening and response-surface designs</w:t>
      </w:r>
      <w:r>
        <w:t xml:space="preserve"> </w:t>
      </w:r>
      <w:r>
        <w:t xml:space="preserve">of experiments (DoE) that relate process parameters to critical quality attributes</w:t>
      </w:r>
      <w:r>
        <w:t xml:space="preserve"> </w:t>
      </w:r>
      <w:r>
        <w:t xml:space="preserve">(CQAs) and to define proven acceptable ranges (PARs), design spaces and the control</w:t>
      </w:r>
      <w:r>
        <w:t xml:space="preserve"> </w:t>
      </w:r>
      <w:r>
        <w:t xml:space="preserve">strategy.</w:t>
      </w:r>
    </w:p>
    <w:p>
      <w:pPr>
        <w:pStyle w:val="BodyText"/>
      </w:pPr>
      <w:r>
        <w:rPr>
          <w:b/>
          <w:bCs/>
        </w:rPr>
        <w:t xml:space="preserve">Key outcomes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37 process parameters</w:t>
      </w:r>
      <w:r>
        <w:t xml:space="preserve"> </w:t>
      </w:r>
      <w:r>
        <w:t xml:space="preserve">were classified.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are critical</w:t>
      </w:r>
      <w:r>
        <w:t xml:space="preserve"> </w:t>
      </w:r>
      <w:r>
        <w:t xml:space="preserve">(CPP or well-controlled CPP, WC-CPP); the remainder are key (KPP) or general (GPP)</w:t>
      </w:r>
      <w:r>
        <w:t xml:space="preserve"> </w:t>
      </w:r>
      <w:r>
        <w:t xml:space="preserve">process parameters.</w:t>
      </w:r>
    </w:p>
    <w:p>
      <w:pPr>
        <w:pStyle w:val="Compact"/>
        <w:numPr>
          <w:ilvl w:val="0"/>
          <w:numId w:val="1001"/>
        </w:numPr>
      </w:pPr>
      <w:r>
        <w:t xml:space="preserve">All drug-substance CQAs meet their acceptance criteria at set-point, and a</w:t>
      </w:r>
      <w:r>
        <w:t xml:space="preserve"> </w:t>
      </w:r>
      <w:r>
        <w:t xml:space="preserve">Monte-Carlo simulation of</w:t>
      </w:r>
      <w:r>
        <w:t xml:space="preserve"> </w:t>
      </w:r>
      <w:r>
        <w:rPr>
          <w:b/>
          <w:bCs/>
        </w:rPr>
        <w:t xml:space="preserve">2,000 commercial-scale batches</w:t>
      </w:r>
      <w:r>
        <w:t xml:space="preserve"> </w:t>
      </w:r>
      <w:r>
        <w:t xml:space="preserve">gives a minimum process-capability index of</w:t>
      </w:r>
      <w:r>
        <w:t xml:space="preserve"> </w:t>
      </w:r>
      <w:r>
        <w:rPr>
          <w:b/>
          <w:bCs/>
        </w:rPr>
        <w:t xml:space="preserve">Cpk = 1.51</w:t>
      </w:r>
      <w:r>
        <w:t xml:space="preserve"> </w:t>
      </w:r>
      <w:r>
        <w:t xml:space="preserve">across all CQAs.</w:t>
      </w:r>
    </w:p>
    <w:p>
      <w:pPr>
        <w:pStyle w:val="Compact"/>
        <w:numPr>
          <w:ilvl w:val="0"/>
          <w:numId w:val="1001"/>
        </w:numPr>
      </w:pPr>
      <w:r>
        <w:t xml:space="preserve">Cumulative viral clearance is</w:t>
      </w:r>
      <w:r>
        <w:t xml:space="preserve"> </w:t>
      </w:r>
      <w:r>
        <w:rPr>
          <w:b/>
          <w:bCs/>
        </w:rPr>
        <w:t xml:space="preserve">18.87 log₁₀ (XMuLV, requirement &gt; 16.7)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10.03 log₁₀ (MVM, requirement &gt; 8.6)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Overall product step-yield is</w:t>
      </w:r>
      <w:r>
        <w:t xml:space="preserve"> </w:t>
      </w:r>
      <w:r>
        <w:rPr>
          <w:b/>
          <w:bCs/>
        </w:rPr>
        <w:t xml:space="preserve">83.2%</w:t>
      </w:r>
      <w:r>
        <w:t xml:space="preserve">, giving</w:t>
      </w:r>
      <w:r>
        <w:t xml:space="preserve"> </w:t>
      </w:r>
      <w:r>
        <w:rPr>
          <w:b/>
          <w:bCs/>
        </w:rPr>
        <w:t xml:space="preserve">54.6 kg</w:t>
      </w:r>
      <w:r>
        <w:t xml:space="preserve"> </w:t>
      </w:r>
      <w:r>
        <w:t xml:space="preserve">of drug substance per 15,000 L batch</w:t>
      </w:r>
      <w:r>
        <w:t xml:space="preserve"> </w:t>
      </w:r>
      <w:r>
        <w:t xml:space="preserve">at 75.0 g/L.</w:t>
      </w:r>
    </w:p>
    <w:p>
      <w:pPr>
        <w:pStyle w:val="Compact"/>
        <w:numPr>
          <w:ilvl w:val="0"/>
          <w:numId w:val="1001"/>
        </w:numPr>
      </w:pPr>
      <w:r>
        <w:t xml:space="preserve">The accompanying post-characterization FMEA shows the median risk priority number</w:t>
      </w:r>
      <w:r>
        <w:t xml:space="preserve"> </w:t>
      </w:r>
      <w:r>
        <w:t xml:space="preserve">falling by ~85% once the characterized ranges and control strategy are in place —</w:t>
      </w:r>
      <w:r>
        <w:t xml:space="preserve"> </w:t>
      </w:r>
      <w:r>
        <w:t xml:space="preserve">the quantitative demonstration of enhanced process understanding.</w:t>
      </w:r>
    </w:p>
    <w:p>
      <w:pPr>
        <w:pStyle w:val="FirstParagraph"/>
      </w:pPr>
      <w:r>
        <w:t xml:space="preserve">The process is demonstrated to be well understood and robust, and is considered ready to</w:t>
      </w:r>
      <w:r>
        <w:t xml:space="preserve"> </w:t>
      </w:r>
      <w:r>
        <w:t xml:space="preserve">proceed to Stage 2 (Process Performance Qualification).</w:t>
      </w:r>
    </w:p>
    <w:p>
      <w:r>
        <w:br w:type="page"/>
      </w:r>
    </w:p>
    <w:bookmarkEnd w:id="20"/>
    <w:bookmarkStart w:id="21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report is the Process Design Report for A-Mab drug substance as</w:t>
      </w:r>
      <w:r>
        <w:t xml:space="preserve"> </w:t>
      </w:r>
      <w:r>
        <w:t xml:space="preserve">defined in PDA TR 60 §3.11</w:t>
      </w:r>
      <w:r>
        <w:t xml:space="preserve"> </w:t>
      </w:r>
      <w:r>
        <w:t xml:space="preserve">(Parenteral Drug Association 2013)</w:t>
      </w:r>
      <w:r>
        <w:t xml:space="preserve">. It consolidates the critical quality attributes</w:t>
      </w:r>
      <w:r>
        <w:t xml:space="preserve"> </w:t>
      </w:r>
      <w:r>
        <w:t xml:space="preserve">and their supporting risk assessments, the process description and parameter ranges, the</w:t>
      </w:r>
      <w:r>
        <w:t xml:space="preserve"> </w:t>
      </w:r>
      <w:r>
        <w:t xml:space="preserve">classification of each parameter for its risk of impact to CQAs and process performance,</w:t>
      </w:r>
      <w:r>
        <w:t xml:space="preserve"> </w:t>
      </w:r>
      <w:r>
        <w:t xml:space="preserve">the design spaces established by multivariate experimentation, and the justification and</w:t>
      </w:r>
      <w:r>
        <w:t xml:space="preserve"> </w:t>
      </w:r>
      <w:r>
        <w:t xml:space="preserve">data supporting every parameter range. It is the repository that links the risk</w:t>
      </w:r>
      <w:r>
        <w:t xml:space="preserve"> </w:t>
      </w:r>
      <w:r>
        <w:t xml:space="preserve">assessments, characterization studies and control strategy, and it provides the</w:t>
      </w:r>
      <w:r>
        <w:t xml:space="preserve"> </w:t>
      </w:r>
      <w:r>
        <w:t xml:space="preserve">justification for the Stage 2 (PPQ) ranges and acceptance criteria.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drug-substance process, Steps 3–10 (production bioreactor through UF/DF),</w:t>
      </w:r>
      <w:r>
        <w:t xml:space="preserve"> </w:t>
      </w:r>
      <w:r>
        <w:t xml:space="preserve">operated at the 15,000-L commercial scale. Seed-train expansion</w:t>
      </w:r>
      <w:r>
        <w:t xml:space="preserve"> </w:t>
      </w:r>
      <w:r>
        <w:t xml:space="preserve">(Steps 1–2) is addressed only where it was shown capable of affecting the production</w:t>
      </w:r>
      <w:r>
        <w:t xml:space="preserve"> </w:t>
      </w:r>
      <w:r>
        <w:t xml:space="preserve">bioreactor (Section 4). UF/DF is included for mass balance; its formulation</w:t>
      </w:r>
      <w:r>
        <w:t xml:space="preserve"> </w:t>
      </w:r>
      <w:r>
        <w:t xml:space="preserve">characterization is reported separately with the drug product. Analytical method</w:t>
      </w:r>
      <w:r>
        <w:t xml:space="preserve"> </w:t>
      </w:r>
      <w:r>
        <w:t xml:space="preserve">validation, facility/equipment qualification and drug-product processing are out of</w:t>
      </w:r>
      <w:r>
        <w:t xml:space="preserve"> </w:t>
      </w:r>
      <w:r>
        <w:t xml:space="preserve">scope.</w:t>
      </w:r>
    </w:p>
    <w:p>
      <w:pPr>
        <w:pStyle w:val="BodyText"/>
      </w:pPr>
      <w:r>
        <w:rPr>
          <w:b/>
          <w:bCs/>
        </w:rPr>
        <w:t xml:space="preserve">Raw materials and critical material attributes (CMAs).</w:t>
      </w:r>
      <w:r>
        <w:t xml:space="preserve"> </w:t>
      </w:r>
      <w:r>
        <w:t xml:space="preserve">Consistent with the A-Mab</w:t>
      </w:r>
      <w:r>
        <w:t xml:space="preserve"> </w:t>
      </w:r>
      <w:r>
        <w:t xml:space="preserve">platform approach, raw-material and cell-culture-medium attributes are controlled to</w:t>
      </w:r>
      <w:r>
        <w:t xml:space="preserve"> </w:t>
      </w:r>
      <w:r>
        <w:t xml:space="preserve">established platform specifications and are treated as identity/quality-controlled</w:t>
      </w:r>
      <w:r>
        <w:t xml:space="preserve"> </w:t>
      </w:r>
      <w:r>
        <w:t xml:space="preserve">inputs rather than characterized variables in this study; where a material attribute was</w:t>
      </w:r>
      <w:r>
        <w:t xml:space="preserve"> </w:t>
      </w:r>
      <w:r>
        <w:t xml:space="preserve">a potential CQA driver (e.g. medium concentration) it was included in the bioreactor</w:t>
      </w:r>
      <w:r>
        <w:t xml:space="preserve"> </w:t>
      </w:r>
      <w:r>
        <w:t xml:space="preserve">characterization (Section 6.1). Formal CMA characterization and supplier controls are</w:t>
      </w:r>
      <w:r>
        <w:t xml:space="preserve"> </w:t>
      </w:r>
      <w:r>
        <w:t xml:space="preserve">managed under the raw-material control programme and are out of scope of this report.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process model, quality-attribute framework and risk methodology follow</w:t>
      </w:r>
      <w:r>
        <w:t xml:space="preserve"> </w:t>
      </w:r>
      <w:r>
        <w:t xml:space="preserve">the A-Mab case study</w:t>
      </w:r>
      <w:r>
        <w:t xml:space="preserve"> </w:t>
      </w:r>
      <w:r>
        <w:t xml:space="preserve">(CMC Biotech Working Group 2009)</w:t>
      </w:r>
      <w:r>
        <w:t xml:space="preserve">; the report structure and statistical approach follow</w:t>
      </w:r>
      <w:r>
        <w:t xml:space="preserve"> </w:t>
      </w:r>
      <w:r>
        <w:t xml:space="preserve">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 framework</w:t>
      </w:r>
      <w:r>
        <w:t xml:space="preserve"> </w:t>
      </w:r>
      <w:r>
        <w:t xml:space="preserve">follows ICH Q8/Q9/Q11</w:t>
      </w:r>
      <w:r>
        <w:t xml:space="preserve"> </w:t>
      </w:r>
      <w:r>
        <w:t xml:space="preserve">(International Council for Harmonisation 2009, 2023, 2012)</w:t>
      </w:r>
      <w:r>
        <w:t xml:space="preserve">.</w:t>
      </w:r>
    </w:p>
    <w:bookmarkEnd w:id="21"/>
    <w:bookmarkStart w:id="32" w:name="product-and-process-background"/>
    <w:p>
      <w:pPr>
        <w:pStyle w:val="Heading1"/>
      </w:pPr>
      <w:r>
        <w:t xml:space="preserve">2. Product and process background</w:t>
      </w:r>
    </w:p>
    <w:bookmarkStart w:id="23" w:name="quality-target-product-profile-qtpp"/>
    <w:p>
      <w:pPr>
        <w:pStyle w:val="Heading2"/>
      </w:pPr>
      <w:r>
        <w:t xml:space="preserve">2.1 Quality target product profile (QTPP)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qtp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Quality target product profile for A-Mab.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54"/>
              <w:gridCol w:w="63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Attribute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Target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Dosage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Sterile liquid for intravenous infusion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Drug substance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Humanized IgG1 mAb, 75.0 g/L, iso-osmolar formulation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Mechanism of action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Antibody-dependent cell-mediated cytotoxicity (ADCC); CDC contributory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Manufacturing scale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15,000 L fed-batch 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Purity /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Aggregates, HCP, DNA, leached Protein A within acceptance; validated viral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ADCC 70–130% of reference; governed by Fc glycosylation</w:t>
                  </w:r>
                </w:p>
              </w:tc>
            </w:tr>
          </w:tbl>
          <w:bookmarkEnd w:id="22"/>
          <w:p/>
        </w:tc>
      </w:tr>
    </w:tbl>
    <w:bookmarkEnd w:id="23"/>
    <w:bookmarkStart w:id="28" w:name="process-description-and-flow"/>
    <w:p>
      <w:pPr>
        <w:pStyle w:val="Heading2"/>
      </w:pPr>
      <w:r>
        <w:t xml:space="preserve">2.2 Process description and flow</w:t>
      </w:r>
    </w:p>
    <w:p>
      <w:pPr>
        <w:pStyle w:val="FirstParagraph"/>
      </w:pPr>
      <w:r>
        <w:t xml:space="preserve">The A-Mab drug substance is produced by a platform monoclonal-antibody process</w:t>
      </w:r>
      <w:r>
        <w:t xml:space="preserve"> </w:t>
      </w:r>
      <w:r>
        <w:t xml:space="preserve">(</w:t>
      </w:r>
      <w:hyperlink w:anchor="fig-flow">
        <w:r>
          <w:rPr>
            <w:rStyle w:val="Hyperlink"/>
          </w:rPr>
          <w:t xml:space="preserve">Figure 1</w:t>
        </w:r>
      </w:hyperlink>
      <w:r>
        <w:t xml:space="preserve">). Product quality is established in the production bioreactor</w:t>
      </w:r>
      <w:r>
        <w:t xml:space="preserve"> </w:t>
      </w:r>
      <w:r>
        <w:t xml:space="preserve">(glycosylation, charge variants and the initial size-variant and impurity load) and is</w:t>
      </w:r>
      <w:r>
        <w:t xml:space="preserve"> </w:t>
      </w:r>
      <w:r>
        <w:t xml:space="preserve">subsequently purified: Protein A captures the antibody and clears the bulk of host-cell</w:t>
      </w:r>
      <w:r>
        <w:t xml:space="preserve"> </w:t>
      </w:r>
      <w:r>
        <w:t xml:space="preserve">protein (HCP) and DNA; low-pH viral inactivation provides enveloped-virus safety; CEX is</w:t>
      </w:r>
      <w:r>
        <w:t xml:space="preserve"> </w:t>
      </w:r>
      <w:r>
        <w:t xml:space="preserve">the principal aggregate- and HCP-polishing step; AEX in flow-through mode removes</w:t>
      </w:r>
      <w:r>
        <w:t xml:space="preserve"> </w:t>
      </w:r>
      <w:r>
        <w:t xml:space="preserve">residual HCP, DNA and leached Protein A and provides an orthogonal viral-clearance claim;</w:t>
      </w:r>
      <w:r>
        <w:t xml:space="preserve"> </w:t>
      </w:r>
      <w:r>
        <w:t xml:space="preserve">small-virus retentive filtration provides a size-based, modular viral-clearance claim;</w:t>
      </w:r>
      <w:r>
        <w:t xml:space="preserve"> </w:t>
      </w:r>
      <w:r>
        <w:t xml:space="preserve">and UF/DF concentrates and formulates the drug substance.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flow"/>
          <w:p>
            <w:pPr>
              <w:pStyle w:val="Compact"/>
              <w:jc w:val="center"/>
            </w:pPr>
            <w:r>
              <w:drawing>
                <wp:inline>
                  <wp:extent cx="5334000" cy="160581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rocess_flow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05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A-Mab drug-substance process flow (Steps 3–10) with the principal quality impact of each unit operation.</w:t>
            </w:r>
          </w:p>
          <w:bookmarkEnd w:id="27"/>
        </w:tc>
      </w:tr>
    </w:tbl>
    <w:bookmarkEnd w:id="28"/>
    <w:bookmarkStart w:id="31" w:name="X093c84861fd4234862cdfe5a1f63d543b148704"/>
    <w:p>
      <w:pPr>
        <w:pStyle w:val="Heading2"/>
      </w:pPr>
      <w:r>
        <w:t xml:space="preserve">2.3 Process description, in-process controls and outputs</w:t>
      </w:r>
    </w:p>
    <w:p>
      <w:pPr>
        <w:pStyle w:val="FirstParagraph"/>
      </w:pPr>
      <w:r>
        <w:t xml:space="preserve">Each unit operation is summarized in</w:t>
      </w:r>
      <w:r>
        <w:t xml:space="preserve"> </w:t>
      </w:r>
      <w:hyperlink w:anchor="tbl-desc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(mode/scale, estimated step yield and the</w:t>
      </w:r>
      <w:r>
        <w:t xml:space="preserve"> </w:t>
      </w:r>
      <w:r>
        <w:t xml:space="preserve">principal hold time/condition). The inputs to each step are the process parameters and</w:t>
      </w:r>
      <w:r>
        <w:t xml:space="preserve"> </w:t>
      </w:r>
      <w:r>
        <w:t xml:space="preserve">their ranges (Section 6); the step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— in-process tests, limits and in-process</w:t>
      </w:r>
      <w:r>
        <w:t xml:space="preserve"> </w:t>
      </w:r>
      <w:r>
        <w:t xml:space="preserve">specifications — are given in</w:t>
      </w:r>
      <w:r>
        <w:t xml:space="preserve"> </w:t>
      </w:r>
      <w:hyperlink w:anchor="tbl-ipc">
        <w:r>
          <w:rPr>
            <w:rStyle w:val="Hyperlink"/>
          </w:rPr>
          <w:t xml:space="preserve">Table 3</w:t>
        </w:r>
      </w:hyperlink>
      <w:r>
        <w:t xml:space="preserve">. Final drug-substance acceptance criteria and the</w:t>
      </w:r>
      <w:r>
        <w:t xml:space="preserve"> </w:t>
      </w:r>
      <w:r>
        <w:t xml:space="preserve">statistically-justified PPQ sampling plans are established in Stage 2 (Section 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es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Process description and estimated per-step performance.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3"/>
              <w:gridCol w:w="1672"/>
              <w:gridCol w:w="2213"/>
              <w:gridCol w:w="934"/>
              <w:gridCol w:w="27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 / scale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Est. step yield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Principal hold / condition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Fed-batch cell culture, 15,000 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 day culture; harvest on viability/titer/quality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/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+ depth/sterile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24 h post-harvest hold, 2–8 °C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affinity, bind–elute, multi-cycle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eluate held for viral inactivation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batch incubation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3.5, 60–120 min, 15–25 °C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exchange, bind–elute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Eluate pool hold ≤ 24 h, 2–8 °C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exchange, flow-through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Single-cycle flow-through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Volumetric load ≤ 105 L/m²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Ultrafiltration/diafiltration (TFF)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Formulate to 75 g/L; DS hold 2–8 °C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ip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In-process controls, tests and outputs by unit operation (representative alert/action limits; final specifications set in Stage 2).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0"/>
              <w:gridCol w:w="3063"/>
              <w:gridCol w:w="329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test / output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Alert / action limit or in-process 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viability &amp; titer at harvest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criteria on viability, titer and quality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turbidity; bioburden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trended; bioburden action limit per programme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 (A280); pool HCP (trend)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Yield ≥ 75%; HCP trended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pH; 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3.4–3.6; hold ≥ 60 min (action)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aggregate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3.1% (action)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yield; pool aggregate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Yield ≥ target; aggregate ≤ release-linked limit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Eluate endotoxin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Alert ≥ 5 EU/mL; action ≥ 10 EU/mL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Eluate bioburden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Alert ≥ 10 CFU/10 mL; action ≥ 50 CFU/10 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HCP; 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HCP trended to release limit; DNA &lt; LOQ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Virus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Pre/post-use filter integrity test; volumetric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Integrity test: pass; load ≤ 105 L/m²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UF/DF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Drug-substance concentration; endotoxin/bioburden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70–80 g/L; per DS specification</w:t>
                  </w:r>
                </w:p>
              </w:tc>
            </w:tr>
          </w:tbl>
          <w:bookmarkEnd w:id="30"/>
          <w:p/>
        </w:tc>
      </w:tr>
    </w:tbl>
    <w:bookmarkEnd w:id="31"/>
    <w:bookmarkEnd w:id="32"/>
    <w:bookmarkStart w:id="34" w:name="Xca2cbc8825f5df02bf5f05152f17160b3c24276"/>
    <w:p>
      <w:pPr>
        <w:pStyle w:val="Heading1"/>
      </w:pPr>
      <w:r>
        <w:t xml:space="preserve">3. Critical quality attributes and criticality</w:t>
      </w:r>
    </w:p>
    <w:p>
      <w:pPr>
        <w:pStyle w:val="FirstParagraph"/>
      </w:pPr>
      <w:r>
        <w:t xml:space="preserve">CQAs were identified and their criticality assessed on a continuum (ICH Q9) using the</w:t>
      </w:r>
      <w:r>
        <w:t xml:space="preserve"> </w:t>
      </w:r>
      <w:r>
        <w:t xml:space="preserve">A-Mab Tool #1 risk score = Impact × Uncertainty, where impact is scored on</w:t>
      </w:r>
      <w:r>
        <w:t xml:space="preserve"> </w:t>
      </w:r>
      <w:r>
        <w:t xml:space="preserve">efficacy/biological activity, PK/PD, immunogenicity and safety, and uncertainty reflects</w:t>
      </w:r>
      <w:r>
        <w:t xml:space="preserve"> </w:t>
      </w:r>
      <w:r>
        <w:t xml:space="preserve">the strength of the supporting knowledge</w:t>
      </w:r>
      <w:r>
        <w:t xml:space="preserve"> </w:t>
      </w:r>
      <w:r>
        <w:t xml:space="preserve">(CMC Biotech Working Group 2009)</w:t>
      </w:r>
      <w:r>
        <w:t xml:space="preserve">. Attributes rated High (H) or Very</w:t>
      </w:r>
      <w:r>
        <w:t xml:space="preserve"> </w:t>
      </w:r>
      <w:r>
        <w:t xml:space="preserve">High 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.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summarizes the CQAs, their acceptance</w:t>
      </w:r>
      <w:r>
        <w:t xml:space="preserve"> </w:t>
      </w:r>
      <w:r>
        <w:t xml:space="preserve">criteria and criticality;</w:t>
      </w:r>
      <w:r>
        <w:t xml:space="preserve"> </w:t>
      </w:r>
      <w:hyperlink w:anchor="fig-flow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indicates where each is set or controlled.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q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A-Mab critical quality attributes and criticality (Tool #1 = Impact × Uncertainty; H/VH = Critical).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12"/>
              <w:gridCol w:w="1048"/>
              <w:gridCol w:w="1630"/>
              <w:gridCol w:w="873"/>
              <w:gridCol w:w="931"/>
              <w:gridCol w:w="12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Tool#1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Set/controlled by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protein_a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viral_inactivation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aex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The glycosylation attributes (afucosylation, high mannose, non-glycosylated heavy chain,</w:t>
      </w:r>
      <w:r>
        <w:t xml:space="preserve"> </w:t>
      </w:r>
      <w:r>
        <w:t xml:space="preserve">galactosylation) are the most critical because they govern ADCC and CDC potency; they are</w:t>
      </w:r>
      <w:r>
        <w:t xml:space="preserve"> </w:t>
      </w:r>
      <w:r>
        <w:t xml:space="preserve">determined in cell culture and are not modified by downstream processing. Aggregates and</w:t>
      </w:r>
      <w:r>
        <w:t xml:space="preserve"> </w:t>
      </w:r>
      <w:r>
        <w:t xml:space="preserve">HCP are managed by the purification train. Viral safety is assured by process design</w:t>
      </w:r>
      <w:r>
        <w:t xml:space="preserve"> </w:t>
      </w:r>
      <w:r>
        <w:t xml:space="preserve">(three orthogonal clearance steps) because it cannot be measured in the final product.</w:t>
      </w:r>
    </w:p>
    <w:bookmarkEnd w:id="34"/>
    <w:bookmarkStart w:id="35" w:name="risk-assessment-strategy"/>
    <w:p>
      <w:pPr>
        <w:pStyle w:val="Heading1"/>
      </w:pPr>
      <w:r>
        <w:t xml:space="preserve">4. Risk-assessment strategy</w:t>
      </w:r>
    </w:p>
    <w:p>
      <w:pPr>
        <w:pStyle w:val="FirstParagraph"/>
      </w:pPr>
      <w:r>
        <w:t xml:space="preserve">Process characterization was directed by a lifecycle of iterative quality risk</w:t>
      </w:r>
      <w:r>
        <w:t xml:space="preserve"> </w:t>
      </w:r>
      <w:r>
        <w:t xml:space="preserve">assessments (ICH Q9), consistent with A-Mab Risk Assessments #1–#4</w:t>
      </w:r>
      <w:r>
        <w:t xml:space="preserve"> </w:t>
      </w:r>
      <w:r>
        <w:t xml:space="preserve">(CMC Biotech Working Group 2009)</w:t>
      </w:r>
      <w:r>
        <w:t xml:space="preserve"> </w:t>
      </w:r>
      <w:r>
        <w:t xml:space="preserve">and the</w:t>
      </w:r>
      <w:r>
        <w:t xml:space="preserve"> </w:t>
      </w:r>
      <w:r>
        <w:t xml:space="preserve">Stage-1 risk flow of PDA TR 60</w:t>
      </w:r>
      <w:r>
        <w:t xml:space="preserve"> </w:t>
      </w:r>
      <w:r>
        <w:t xml:space="preserve">(Parenteral Drug Association 2013)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risk assessment (RA#1–#2)</w:t>
      </w:r>
      <w:r>
        <w:t xml:space="preserve"> </w:t>
      </w:r>
      <w:r>
        <w:t xml:space="preserve">— prior platform knowledge and early development</w:t>
      </w:r>
      <w:r>
        <w:t xml:space="preserve"> </w:t>
      </w:r>
      <w:r>
        <w:t xml:space="preserve">experience prioritized the process steps and parameters carrying the greatest</w:t>
      </w:r>
      <w:r>
        <w:t xml:space="preserve"> </w:t>
      </w:r>
      <w:r>
        <w:t xml:space="preserve">potential impact to CQAs, and set the characterization scope (which parameters, which</w:t>
      </w:r>
      <w:r>
        <w:t xml:space="preserve"> </w:t>
      </w:r>
      <w:r>
        <w:t xml:space="preserve">ranges, which interactions).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characterization</w:t>
      </w:r>
      <w:r>
        <w:t xml:space="preserve"> </w:t>
      </w:r>
      <w:r>
        <w:t xml:space="preserve">— screening DoE (two-level factorial / resolution-V</w:t>
      </w:r>
      <w:r>
        <w:t xml:space="preserve"> </w:t>
      </w:r>
      <w:r>
        <w:t xml:space="preserve">fractional factorial) identified the significant parameters; response-surface designs</w:t>
      </w:r>
      <w:r>
        <w:t xml:space="preserve"> </w:t>
      </w:r>
      <w:r>
        <w:t xml:space="preserve">(face-centred central-composite) quantified main effects, interactions and curvature</w:t>
      </w:r>
      <w:r>
        <w:t xml:space="preserve"> </w:t>
      </w:r>
      <w:r>
        <w:t xml:space="preserve">and defined the design space.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Post-characterization risk assessment (RA#3–#4)</w:t>
      </w:r>
      <w:r>
        <w:t xml:space="preserve"> </w:t>
      </w:r>
      <w:r>
        <w:t xml:space="preserve">— the study results re-scored the</w:t>
      </w:r>
      <w:r>
        <w:t xml:space="preserve"> </w:t>
      </w:r>
      <w:r>
        <w:t xml:space="preserve">process risk and fixed the parameter classification and control strategy. This is the</w:t>
      </w:r>
      <w:r>
        <w:t xml:space="preserve"> </w:t>
      </w:r>
      <w:r>
        <w:t xml:space="preserve">subject of the accompanying post-PC FMEA (RPN = Severity × Occurrence × Detection).</w:t>
      </w:r>
      <w:r>
        <w:t xml:space="preserve"> </w:t>
      </w:r>
      <w:r>
        <w:rPr>
          <w:b/>
          <w:bCs/>
        </w:rPr>
        <w:t xml:space="preserve">CPP status is set by the pre-control risk of impacting a CQA</w:t>
      </w:r>
      <w:r>
        <w:t xml:space="preserve"> </w:t>
      </w:r>
      <w:r>
        <w:t xml:space="preserve">— a parameter that</w:t>
      </w:r>
      <w:r>
        <w:t xml:space="preserve"> </w:t>
      </w:r>
      <w:r>
        <w:t xml:space="preserve">affects a CQA with Severity ≥ 8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 initial (pre-mitigation) RPN &gt; 72 is a CPP.</w:t>
      </w:r>
      <w:r>
        <w:t xml:space="preserve"> </w:t>
      </w:r>
      <w:r>
        <w:t xml:space="preserve">The control strategy then determines whether that CPP is a</w:t>
      </w:r>
      <w:r>
        <w:t xml:space="preserve"> </w:t>
      </w:r>
      <w:r>
        <w:rPr>
          <w:i/>
          <w:iCs/>
        </w:rPr>
        <w:t xml:space="preserve">well-controlled CPP</w:t>
      </w:r>
      <w:r>
        <w:t xml:space="preserve"> </w:t>
      </w:r>
      <w:r>
        <w:t xml:space="preserve">(WC-CPP, low risk of leaving the design space) or remains a CPP requiring the most</w:t>
      </w:r>
      <w:r>
        <w:t xml:space="preserve"> </w:t>
      </w:r>
      <w:r>
        <w:t xml:space="preserve">stringent control. The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RPN reflects the post-control Occurrence and</w:t>
      </w:r>
      <w:r>
        <w:t xml:space="preserve"> </w:t>
      </w:r>
      <w:r>
        <w:t xml:space="preserve">Detection; a high-severity attribute retains an elevated residual RPN even when well</w:t>
      </w:r>
      <w:r>
        <w:t xml:space="preserve"> </w:t>
      </w:r>
      <w:r>
        <w:t xml:space="preserve">controlled — which is precisely why it is designated (WC-)CPP and enhanced-controlled.</w:t>
      </w:r>
    </w:p>
    <w:p>
      <w:pPr>
        <w:pStyle w:val="FirstParagraph"/>
      </w:pPr>
      <w:r>
        <w:t xml:space="preserve">Parameter designations follow the A-Mab continuum:</w:t>
      </w:r>
      <w:r>
        <w:t xml:space="preserve"> </w:t>
      </w:r>
      <w:r>
        <w:rPr>
          <w:b/>
          <w:bCs/>
        </w:rPr>
        <w:t xml:space="preserve">CPP</w:t>
      </w:r>
      <w:r>
        <w:t xml:space="preserve"> </w:t>
      </w:r>
      <w:r>
        <w:t xml:space="preserve">(variability impacts a CQA;</w:t>
      </w:r>
      <w:r>
        <w:t xml:space="preserve"> </w:t>
      </w:r>
      <w:r>
        <w:t xml:space="preserve">high risk of leaving the design space),</w:t>
      </w:r>
      <w:r>
        <w:t xml:space="preserve"> </w:t>
      </w:r>
      <w:r>
        <w:rPr>
          <w:b/>
          <w:bCs/>
        </w:rPr>
        <w:t xml:space="preserve">WC-CPP</w:t>
      </w:r>
      <w:r>
        <w:t xml:space="preserve"> </w:t>
      </w:r>
      <w:r>
        <w:t xml:space="preserve">(impacts a CQA but well controlled,</w:t>
      </w:r>
      <w:r>
        <w:t xml:space="preserve"> </w:t>
      </w:r>
      <w:r>
        <w:t xml:space="preserve">low risk),</w:t>
      </w:r>
      <w:r>
        <w:t xml:space="preserve"> </w:t>
      </w:r>
      <w:r>
        <w:rPr>
          <w:b/>
          <w:bCs/>
        </w:rPr>
        <w:t xml:space="preserve">KPP</w:t>
      </w:r>
      <w:r>
        <w:t xml:space="preserve"> </w:t>
      </w:r>
      <w:r>
        <w:t xml:space="preserve">(impacts process performance/consistency, not product quality), and</w:t>
      </w:r>
      <w:r>
        <w:t xml:space="preserve"> </w:t>
      </w:r>
      <w:r>
        <w:rPr>
          <w:b/>
          <w:bCs/>
        </w:rPr>
        <w:t xml:space="preserve">GPP</w:t>
      </w:r>
      <w:r>
        <w:t xml:space="preserve"> </w:t>
      </w:r>
      <w:r>
        <w:t xml:space="preserve">(general parameter, no meaningful impact over a wide range).</w:t>
      </w:r>
    </w:p>
    <w:p>
      <w:pPr>
        <w:pStyle w:val="BodyText"/>
      </w:pPr>
      <w:r>
        <w:rPr>
          <w:b/>
          <w:bCs/>
        </w:rPr>
        <w:t xml:space="preserve">Prior knowledge and manufacturing history.</w:t>
      </w:r>
      <w:r>
        <w:t xml:space="preserve"> </w:t>
      </w:r>
      <w:r>
        <w:t xml:space="preserve">The characterization ranges are supported</w:t>
      </w:r>
      <w:r>
        <w:t xml:space="preserve"> </w:t>
      </w:r>
      <w:r>
        <w:t xml:space="preserve">not only by the scale-down studies reported here but by prior platform knowledge from</w:t>
      </w:r>
      <w:r>
        <w:t xml:space="preserve"> </w:t>
      </w:r>
      <w:r>
        <w:t xml:space="preserve">related antibodies (X-Mab, Y-Mab, Z-Mab) and by A-Mab clinical and engineering</w:t>
      </w:r>
      <w:r>
        <w:t xml:space="preserve"> </w:t>
      </w:r>
      <w:r>
        <w:t xml:space="preserve">manufacturing experience — the basis for the CQA acceptance ranges (Section 3), the</w:t>
      </w:r>
      <w:r>
        <w:t xml:space="preserve"> </w:t>
      </w:r>
      <w:r>
        <w:t xml:space="preserve">modular viral-clearance claims (Sections 6.4, 6.6, 6.8) and the set-point selection. For</w:t>
      </w:r>
      <w:r>
        <w:t xml:space="preserve"> </w:t>
      </w:r>
      <w:r>
        <w:t xml:space="preserve">a regulatory filing this section would summarize the clinical, engineering and</w:t>
      </w:r>
      <w:r>
        <w:t xml:space="preserve"> </w:t>
      </w:r>
      <w:r>
        <w:t xml:space="preserve">process-evaluation batch history (batch records, campaign summaries and comparability</w:t>
      </w:r>
      <w:r>
        <w:t xml:space="preserve"> </w:t>
      </w:r>
      <w:r>
        <w:t xml:space="preserve">data) that corroborates each proven acceptable range; that history is referenced here and</w:t>
      </w:r>
      <w:r>
        <w:t xml:space="preserve"> </w:t>
      </w:r>
      <w:r>
        <w:t xml:space="preserve">maintained in the development report set.</w:t>
      </w:r>
    </w:p>
    <w:bookmarkEnd w:id="35"/>
    <w:bookmarkStart w:id="36" w:name="scale-down-model-qualification"/>
    <w:p>
      <w:pPr>
        <w:pStyle w:val="Heading1"/>
      </w:pPr>
      <w:r>
        <w:t xml:space="preserve">5. Scale-down model qualification</w:t>
      </w:r>
    </w:p>
    <w:p>
      <w:pPr>
        <w:pStyle w:val="FirstParagraph"/>
      </w:pPr>
      <w:r>
        <w:t xml:space="preserve">All characterization studies were performed on qualified scale-down models (SDMs): a 2 L</w:t>
      </w:r>
      <w:r>
        <w:t xml:space="preserve"> </w:t>
      </w:r>
      <w:r>
        <w:t xml:space="preserve">bioreactor for the production culture and bench-scale columns/devices for the downstream</w:t>
      </w:r>
      <w:r>
        <w:t xml:space="preserve"> </w:t>
      </w:r>
      <w:r>
        <w:t xml:space="preserve">steps, each operated at the commercial bed height, linear velocity and load/wash/elution</w:t>
      </w:r>
      <w:r>
        <w:t xml:space="preserve"> </w:t>
      </w:r>
      <w:r>
        <w:t xml:space="preserve">column-volumes (or membrane device equivalents). SDM qualification compared operational</w:t>
      </w:r>
      <w:r>
        <w:t xml:space="preserve"> </w:t>
      </w:r>
      <w:r>
        <w:t xml:space="preserve">parameters and, critically, the input and output quality attributes (titer, viability,</w:t>
      </w:r>
      <w:r>
        <w:t xml:space="preserve"> </w:t>
      </w:r>
      <w:r>
        <w:t xml:space="preserve">HCP, DNA, aggregate, charge and glycan profiles, and log-reduction values) against</w:t>
      </w:r>
      <w:r>
        <w:t xml:space="preserve"> </w:t>
      </w:r>
      <w:r>
        <w:t xml:space="preserve">at-scale reference data, confirming the models are representative and suitable to support</w:t>
      </w:r>
      <w:r>
        <w:t xml:space="preserve"> </w:t>
      </w:r>
      <w:r>
        <w:t xml:space="preserve">design-space and PAR claims</w:t>
      </w:r>
      <w:r>
        <w:t xml:space="preserve"> </w:t>
      </w:r>
      <w:r>
        <w:t xml:space="preserve">(Parenteral Drug Association 2013)</w:t>
      </w:r>
      <w:r>
        <w:t xml:space="preserve">. Viral-clearance claims additionally leverage the</w:t>
      </w:r>
      <w:r>
        <w:t xml:space="preserve"> </w:t>
      </w:r>
      <w:r>
        <w:t xml:space="preserve">A-Mab modular approach across related antibodies.</w:t>
      </w:r>
    </w:p>
    <w:bookmarkEnd w:id="36"/>
    <w:bookmarkStart w:id="83" w:name="process-characterization-studies"/>
    <w:p>
      <w:pPr>
        <w:pStyle w:val="Heading1"/>
      </w:pPr>
      <w:r>
        <w:t xml:space="preserve">6. Process characterization studies</w:t>
      </w:r>
    </w:p>
    <w:p>
      <w:pPr>
        <w:pStyle w:val="FirstParagraph"/>
      </w:pPr>
      <w:r>
        <w:t xml:space="preserve">Each unit operation was characterized against the CQAs and performance attributes it</w:t>
      </w:r>
      <w:r>
        <w:t xml:space="preserve"> </w:t>
      </w:r>
      <w:r>
        <w:t xml:space="preserve">affects. For each step the following subsections give the study design, the parameters</w:t>
      </w:r>
      <w:r>
        <w:t xml:space="preserve"> </w:t>
      </w:r>
      <w:r>
        <w:t xml:space="preserve">and ranges studied, the significant effects, the resulting design space, and the</w:t>
      </w:r>
      <w:r>
        <w:t xml:space="preserve"> </w:t>
      </w:r>
      <w:r>
        <w:t xml:space="preserve">parameter classification.</w:t>
      </w:r>
    </w:p>
    <w:bookmarkStart w:id="51" w:name="production-bioreactor-step-3"/>
    <w:p>
      <w:pPr>
        <w:pStyle w:val="Heading2"/>
      </w:pPr>
      <w:r>
        <w:t xml:space="preserve">6.1 Production bioreactor (Step 3)</w:t>
      </w:r>
    </w:p>
    <w:p>
      <w:pPr>
        <w:pStyle w:val="FirstParagraph"/>
      </w:pPr>
      <w:r>
        <w:t xml:space="preserve">The production bioreactor establishes the glycosylation, charge-variant and initial</w:t>
      </w:r>
      <w:r>
        <w:t xml:space="preserve"> </w:t>
      </w:r>
      <w:r>
        <w:t xml:space="preserve">size-variant/impurity profile of A-Mab and is the sole upstream step used to define the</w:t>
      </w:r>
      <w:r>
        <w:t xml:space="preserve"> </w:t>
      </w:r>
      <w:r>
        <w:t xml:space="preserve">upstream design space. A five-factor resolution-V screening design followed by a</w:t>
      </w:r>
      <w:r>
        <w:t xml:space="preserve"> </w:t>
      </w:r>
      <w:r>
        <w:t xml:space="preserve">face-centred central-composite response-surface design characterized culture pH,</w:t>
      </w:r>
      <w:r>
        <w:t xml:space="preserve"> </w:t>
      </w:r>
      <w:r>
        <w:t xml:space="preserve">temperature, dissolved CO₂, osmolality and culture duration (dissolved oxygen, inoculation</w:t>
      </w:r>
      <w:r>
        <w:t xml:space="preserve"> </w:t>
      </w:r>
      <w:r>
        <w:t xml:space="preserve">density, medium concentration and feed volume were assessed for process performance).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b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Production-bioreactor process parameters, ranges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86"/>
              <w:gridCol w:w="1061"/>
              <w:gridCol w:w="1061"/>
              <w:gridCol w:w="898"/>
              <w:gridCol w:w="734"/>
              <w:gridCol w:w="734"/>
              <w:gridCol w:w="114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360–440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sat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30–70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e6 cells/mL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WV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The nominal fed-batch profile (</w:t>
      </w:r>
      <w:hyperlink w:anchor="fig-br-tc">
        <w:r>
          <w:rPr>
            <w:rStyle w:val="Hyperlink"/>
          </w:rPr>
          <w:t xml:space="preserve">Figure 2</w:t>
        </w:r>
      </w:hyperlink>
      <w:r>
        <w:t xml:space="preserve">) reaches a peak viable cell density of</w:t>
      </w:r>
      <w:r>
        <w:t xml:space="preserve"> </w:t>
      </w:r>
      <w:r>
        <w:t xml:space="preserve">13.48 ×10⁶ cells/mL and a harvest titer of</w:t>
      </w:r>
      <w:r>
        <w:t xml:space="preserve"> </w:t>
      </w:r>
      <w:r>
        <w:t xml:space="preserve">4.37 g/L at 67.1% final</w:t>
      </w:r>
      <w:r>
        <w:t xml:space="preserve"> </w:t>
      </w:r>
      <w:r>
        <w:t xml:space="preserve">viability. Screening identified culture pH, temperature, CO₂, osmolality and duration as</w:t>
      </w:r>
      <w:r>
        <w:t xml:space="preserve"> </w:t>
      </w:r>
      <w:r>
        <w:t xml:space="preserve">significant for the glycosylation and charge-variant CQAs (</w:t>
      </w:r>
      <w:hyperlink w:anchor="fig-br-pareto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tbl-br-eff">
        <w:r>
          <w:rPr>
            <w:rStyle w:val="Hyperlink"/>
          </w:rPr>
          <w:t xml:space="preserve">Table 6</w:t>
        </w:r>
      </w:hyperlink>
      <w:r>
        <w:t xml:space="preserve">); the response-surface model reproduces the multivariate, interacting</w:t>
      </w:r>
      <w:r>
        <w:t xml:space="preserve"> </w:t>
      </w:r>
      <w:r>
        <w:t xml:space="preserve">behaviour of the A-Mab design space</w:t>
      </w:r>
      <w:r>
        <w:t xml:space="preserve"> </w:t>
      </w:r>
      <w:r>
        <w:t xml:space="preserve">(CMC Biotech Working Group 2009)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br-tc"/>
          <w:p>
            <w:pPr>
              <w:pStyle w:val="Compact"/>
              <w:jc w:val="center"/>
            </w:pPr>
            <w:r>
              <w:drawing>
                <wp:inline>
                  <wp:extent cx="5334000" cy="15319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bioreactor_timecours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31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Nominal production-bioreactor time course: viable cell density, viability and titer.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r-pareto"/>
          <w:p>
            <w:pPr>
              <w:pStyle w:val="Compact"/>
              <w:jc w:val="center"/>
            </w:pPr>
            <w:r>
              <w:drawing>
                <wp:inline>
                  <wp:extent cx="5334000" cy="174371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bioreactor_pareto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43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Standardized effects (screening DoE) for afucosylation and galactosylation; red bars are significant (p &lt; 0.05).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br-ef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Largest standardized effects on afucosylation (bioreactor screening DoE).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× duration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× co2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0.0878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Lower pH and lower temperature increase specific productivity, culture duration and</w:t>
      </w:r>
      <w:r>
        <w:t xml:space="preserve"> </w:t>
      </w:r>
      <w:r>
        <w:t xml:space="preserve">titer, with a modest increase in afucosylation and a decrease in galactosylation; extended</w:t>
      </w:r>
      <w:r>
        <w:t xml:space="preserve"> </w:t>
      </w:r>
      <w:r>
        <w:t xml:space="preserve">culture duration lowers afucosylation and galactosylation and raises the harvest HCP and</w:t>
      </w:r>
      <w:r>
        <w:t xml:space="preserve"> </w:t>
      </w:r>
      <w:r>
        <w:t xml:space="preserve">DNA load as viability declines. Within the characterized ranges all cell-culture CQAs</w:t>
      </w:r>
      <w:r>
        <w:t xml:space="preserve"> </w:t>
      </w:r>
      <w:r>
        <w:t xml:space="preserve">remain within acceptance simultaneously, defining a robust multivariate design space</w:t>
      </w:r>
      <w:r>
        <w:t xml:space="preserve"> </w:t>
      </w:r>
      <w:r>
        <w:t xml:space="preserve">(</w:t>
      </w:r>
      <w:hyperlink w:anchor="fig-br-ds">
        <w:r>
          <w:rPr>
            <w:rStyle w:val="Hyperlink"/>
          </w:rPr>
          <w:t xml:space="preserve">Figure 4</w:t>
        </w:r>
      </w:hyperlink>
      <w:r>
        <w:t xml:space="preserve">). Culture pH, temperature, CO₂, osmolality and duration are classified</w:t>
      </w:r>
      <w:r>
        <w:t xml:space="preserve"> </w:t>
      </w:r>
      <w:r>
        <w:rPr>
          <w:b/>
          <w:bCs/>
        </w:rPr>
        <w:t xml:space="preserve">WC-CPP</w:t>
      </w:r>
      <w:r>
        <w:t xml:space="preserve"> </w:t>
      </w:r>
      <w:r>
        <w:t xml:space="preserve">(significant CQA effects, but reliably controlled within the design space);</w:t>
      </w:r>
      <w:r>
        <w:t xml:space="preserve"> </w:t>
      </w:r>
      <w:r>
        <w:t xml:space="preserve">dissolved oxygen, inoculation density and feed volume are</w:t>
      </w:r>
      <w:r>
        <w:t xml:space="preserve"> </w:t>
      </w:r>
      <w:r>
        <w:rPr>
          <w:b/>
          <w:bCs/>
        </w:rPr>
        <w:t xml:space="preserve">KPP</w:t>
      </w:r>
      <w:r>
        <w:t xml:space="preserve">; medium concentration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br-ds"/>
          <w:p>
            <w:pPr>
              <w:pStyle w:val="Compact"/>
              <w:jc w:val="center"/>
            </w:pPr>
            <w:r>
              <w:drawing>
                <wp:inline>
                  <wp:extent cx="4533900" cy="36856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bioreactor_designspac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685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Production-bioreactor design space (pH × culture duration); the shaded region satisfies all cell-culture CQAs simultaneously. Blue contours are afucosylation (%).</w:t>
            </w:r>
          </w:p>
          <w:bookmarkEnd w:id="50"/>
        </w:tc>
      </w:tr>
    </w:tbl>
    <w:bookmarkEnd w:id="51"/>
    <w:bookmarkStart w:id="52" w:name="harvest-and-clarification-step-4"/>
    <w:p>
      <w:pPr>
        <w:pStyle w:val="Heading2"/>
      </w:pPr>
      <w:r>
        <w:t xml:space="preserve">6.2 Harvest and clarification (Step 4)</w:t>
      </w:r>
    </w:p>
    <w:p>
      <w:pPr>
        <w:pStyle w:val="FirstParagraph"/>
      </w:pPr>
      <w:r>
        <w:t xml:space="preserve">Harvest (centrifugation followed by depth and sterile filtration) clarifies the culture</w:t>
      </w:r>
      <w:r>
        <w:t xml:space="preserve"> </w:t>
      </w:r>
      <w:r>
        <w:t xml:space="preserve">and defines the feed to Protein A. No product-quality impact was demonstrated; the step</w:t>
      </w:r>
      <w:r>
        <w:t xml:space="preserve"> </w:t>
      </w:r>
      <w:r>
        <w:t xml:space="preserve">parameters (centrifugation g-force, depth-filter load, post-clarification turbidity) are</w:t>
      </w:r>
      <w:r>
        <w:t xml:space="preserve"> </w:t>
      </w:r>
      <w:r>
        <w:t xml:space="preserve">KPP/GPP controlled for process performance and feed consistency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52"/>
    <w:bookmarkStart w:id="58" w:name="protein-a-affinity-chromatography-step-5"/>
    <w:p>
      <w:pPr>
        <w:pStyle w:val="Heading2"/>
      </w:pPr>
      <w:r>
        <w:t xml:space="preserve">6.3 Protein A affinity chromatography (Step 5)</w:t>
      </w:r>
    </w:p>
    <w:p>
      <w:pPr>
        <w:pStyle w:val="FirstParagraph"/>
      </w:pPr>
      <w:r>
        <w:t xml:space="preserve">Protein A captures the antibody and clears the bulk of HCP and DNA. A six-factor</w:t>
      </w:r>
      <w:r>
        <w:t xml:space="preserve"> </w:t>
      </w:r>
      <w:r>
        <w:t xml:space="preserve">resolution-IV screening design and a response-surface design characterized protein load,</w:t>
      </w:r>
      <w:r>
        <w:t xml:space="preserve"> </w:t>
      </w:r>
      <w:r>
        <w:t xml:space="preserve">elution pH, load flow rate and end-of-pool collection.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p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Protein A process parameters, ranges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70"/>
              <w:gridCol w:w="990"/>
              <w:gridCol w:w="1170"/>
              <w:gridCol w:w="810"/>
              <w:gridCol w:w="810"/>
              <w:gridCol w:w="810"/>
              <w:gridCol w:w="12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2.3–2.9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Pool HCP is the quality-determining response: it increases with higher protein load and</w:t>
      </w:r>
      <w:r>
        <w:t xml:space="preserve"> </w:t>
      </w:r>
      <w:r>
        <w:t xml:space="preserve">lower elution pH (</w:t>
      </w:r>
      <w:hyperlink w:anchor="fig-pa">
        <w:r>
          <w:rPr>
            <w:rStyle w:val="Hyperlink"/>
          </w:rPr>
          <w:t xml:space="preserve">Figure 5</w:t>
        </w:r>
      </w:hyperlink>
      <w:r>
        <w:t xml:space="preserve">), reproducing A-Mab Figure 4.2, while remaining well below the</w:t>
      </w:r>
      <w:r>
        <w:t xml:space="preserve"> </w:t>
      </w:r>
      <w:r>
        <w:t xml:space="preserve">levels the CEX and AEX steps subsequently clear. Load flow rate and end-of-pool collection</w:t>
      </w:r>
      <w:r>
        <w:t xml:space="preserve"> </w:t>
      </w:r>
      <w:r>
        <w:t xml:space="preserve">affect product yield (high load × high flow reduces recovery) but not quality. Protein</w:t>
      </w:r>
      <w:r>
        <w:t xml:space="preserve"> </w:t>
      </w:r>
      <w:r>
        <w:t xml:space="preserve">load and elution pH are therefore</w:t>
      </w:r>
      <w:r>
        <w:t xml:space="preserve"> </w:t>
      </w:r>
      <w:r>
        <w:rPr>
          <w:b/>
          <w:bCs/>
        </w:rPr>
        <w:t xml:space="preserve">WC-CPP</w:t>
      </w:r>
      <w:r>
        <w:t xml:space="preserve"> </w:t>
      </w:r>
      <w:r>
        <w:t xml:space="preserve">(impact HCP, controlled within the design</w:t>
      </w:r>
      <w:r>
        <w:t xml:space="preserve"> </w:t>
      </w:r>
      <w:r>
        <w:t xml:space="preserve">space); flow rate and end-collection are</w:t>
      </w:r>
      <w:r>
        <w:t xml:space="preserve"> </w:t>
      </w:r>
      <w:r>
        <w:rPr>
          <w:b/>
          <w:bCs/>
        </w:rPr>
        <w:t xml:space="preserve">KPP</w:t>
      </w:r>
      <w:r>
        <w:t xml:space="preserve">; the remaining parameters are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pa"/>
          <w:p>
            <w:pPr>
              <w:pStyle w:val="Compact"/>
              <w:jc w:val="center"/>
            </w:pPr>
            <w:r>
              <w:drawing>
                <wp:inline>
                  <wp:extent cx="3733800" cy="30897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rotein_a_hc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9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Protein A pool-HCP response surface (load × elution pH): HCP rises at high load and low elution pH.</w:t>
            </w:r>
          </w:p>
          <w:bookmarkEnd w:id="57"/>
        </w:tc>
      </w:tr>
    </w:tbl>
    <w:bookmarkEnd w:id="58"/>
    <w:bookmarkStart w:id="64" w:name="low-ph-viral-inactivation-step-6"/>
    <w:p>
      <w:pPr>
        <w:pStyle w:val="Heading2"/>
      </w:pPr>
      <w:r>
        <w:t xml:space="preserve">6.4 Low-pH viral inactivation (Step 6)</w:t>
      </w:r>
    </w:p>
    <w:p>
      <w:pPr>
        <w:pStyle w:val="FirstParagraph"/>
      </w:pPr>
      <w:r>
        <w:t xml:space="preserve">Low-pH incubation inactivates enveloped virus (XMuLV). pH, hold time, temperature and</w:t>
      </w:r>
      <w:r>
        <w:t xml:space="preserve"> </w:t>
      </w:r>
      <w:r>
        <w:t xml:space="preserve">protein concentration were characterized against XMuLV log-reduction and product quality</w:t>
      </w:r>
      <w:r>
        <w:t xml:space="preserve"> </w:t>
      </w:r>
      <w:r>
        <w:t xml:space="preserve">(aggregation).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vi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8: Low-pH viral inactivation process parameters, ranges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28"/>
              <w:gridCol w:w="772"/>
              <w:gridCol w:w="1255"/>
              <w:gridCol w:w="869"/>
              <w:gridCol w:w="772"/>
              <w:gridCol w:w="869"/>
              <w:gridCol w:w="13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19–23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pH is the defining parameter: above pH 4.0 inactivation of XMuLV within the hold is not</w:t>
      </w:r>
      <w:r>
        <w:t xml:space="preserve"> </w:t>
      </w:r>
      <w:r>
        <w:t xml:space="preserve">assured, while below pH 3.2 the antibody may aggregate or precipitate — a narrow,</w:t>
      </w:r>
      <w:r>
        <w:t xml:space="preserve"> </w:t>
      </w:r>
      <w:r>
        <w:t xml:space="preserve">high-consequence range that makes pH a</w:t>
      </w:r>
      <w:r>
        <w:t xml:space="preserve"> </w:t>
      </w:r>
      <w:r>
        <w:rPr>
          <w:b/>
          <w:bCs/>
        </w:rPr>
        <w:t xml:space="preserve">CPP</w:t>
      </w:r>
      <w:r>
        <w:t xml:space="preserve">. Aggregate increases modestly with hold</w:t>
      </w:r>
      <w:r>
        <w:t xml:space="preserve"> </w:t>
      </w:r>
      <w:r>
        <w:t xml:space="preserve">time and temperature (</w:t>
      </w:r>
      <w:hyperlink w:anchor="fig-vi">
        <w:r>
          <w:rPr>
            <w:rStyle w:val="Hyperlink"/>
          </w:rPr>
          <w:t xml:space="preserve">Figure 6</w:t>
        </w:r>
      </w:hyperlink>
      <w:r>
        <w:t xml:space="preserve">, left) but remains below acceptance across the range, and is</w:t>
      </w:r>
      <w:r>
        <w:t xml:space="preserve"> </w:t>
      </w:r>
      <w:r>
        <w:t xml:space="preserve">further polished by CEX; the XMuLV log-reduction surface (</w:t>
      </w:r>
      <w:hyperlink w:anchor="fig-vi">
        <w:r>
          <w:rPr>
            <w:rStyle w:val="Hyperlink"/>
          </w:rPr>
          <w:t xml:space="preserve">Figure 6</w:t>
        </w:r>
      </w:hyperlink>
      <w:r>
        <w:t xml:space="preserve">, right) exceeds the</w:t>
      </w:r>
      <w:r>
        <w:t xml:space="preserve"> </w:t>
      </w:r>
      <w:r>
        <w:t xml:space="preserve">required clearance throughout the acceptable pH × time region. Hold time and temperature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WC-CPP</w:t>
      </w:r>
      <w:r>
        <w:t xml:space="preserve">; protein concentration (≤ 35 g/L) is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vi"/>
          <w:p>
            <w:pPr>
              <w:pStyle w:val="Compact"/>
              <w:jc w:val="center"/>
            </w:pPr>
            <w:r>
              <w:drawing>
                <wp:inline>
                  <wp:extent cx="5334000" cy="19601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vi_aggrega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0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Low-pH viral inactivation: aggregate vs hold time at 15/25 °C (left) and the XMuLV log-reduction surface over pH × hold time (right).</w:t>
            </w:r>
          </w:p>
          <w:bookmarkEnd w:id="63"/>
        </w:tc>
      </w:tr>
    </w:tbl>
    <w:bookmarkEnd w:id="64"/>
    <w:bookmarkStart w:id="70" w:name="X0a68af50741ede4a44ec82a32804752b07e8f59"/>
    <w:p>
      <w:pPr>
        <w:pStyle w:val="Heading2"/>
      </w:pPr>
      <w:r>
        <w:t xml:space="preserve">6.5 Cation exchange chromatography — CEX (Step 7)</w:t>
      </w:r>
    </w:p>
    <w:p>
      <w:pPr>
        <w:pStyle w:val="FirstParagraph"/>
      </w:pPr>
      <w:r>
        <w:t xml:space="preserve">CEX operates in bind-and-elute mode and is the principal aggregate-polishing step; it also</w:t>
      </w:r>
      <w:r>
        <w:t xml:space="preserve"> </w:t>
      </w:r>
      <w:r>
        <w:t xml:space="preserve">reduces HCP and clears DNA and leached Protein A. A fractional-factorial screen and a</w:t>
      </w:r>
      <w:r>
        <w:t xml:space="preserve"> </w:t>
      </w:r>
      <w:r>
        <w:t xml:space="preserve">response-surface design characterized protein load, load/wash conductivity, elution pH and</w:t>
      </w:r>
      <w:r>
        <w:t xml:space="preserve"> </w:t>
      </w:r>
      <w:r>
        <w:t xml:space="preserve">elution stop-collect.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cex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9: CEX process parameters, ranges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88"/>
              <w:gridCol w:w="957"/>
              <w:gridCol w:w="1131"/>
              <w:gridCol w:w="957"/>
              <w:gridCol w:w="783"/>
              <w:gridCol w:w="783"/>
              <w:gridCol w:w="12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</w:tbl>
          <w:bookmarkEnd w:id="65"/>
          <w:p/>
        </w:tc>
      </w:tr>
    </w:tbl>
    <w:p>
      <w:pPr>
        <w:pStyle w:val="BodyText"/>
      </w:pPr>
      <w:r>
        <w:t xml:space="preserve">Aggregate clearance (2–3×) weakens at higher protein load and wider elution stop-collect,</w:t>
      </w:r>
      <w:r>
        <w:t xml:space="preserve"> </w:t>
      </w:r>
      <w:r>
        <w:t xml:space="preserve">and HCP clearance (50–100×) weakens at higher load and lower load/wash conductivity, with</w:t>
      </w:r>
      <w:r>
        <w:t xml:space="preserve"> </w:t>
      </w:r>
      <w:r>
        <w:t xml:space="preserve">a significant load × conductivity interaction (</w:t>
      </w:r>
      <w:hyperlink w:anchor="fig-cex">
        <w:r>
          <w:rPr>
            <w:rStyle w:val="Hyperlink"/>
          </w:rPr>
          <w:t xml:space="preserve">Figure 7</w:t>
        </w:r>
      </w:hyperlink>
      <w:r>
        <w:t xml:space="preserve">). Because there is no downstream</w:t>
      </w:r>
      <w:r>
        <w:t xml:space="preserve"> </w:t>
      </w:r>
      <w:r>
        <w:t xml:space="preserve">aggregate-reduction step, a worst-case aggregate feed (linked to the low-pH hold) confirmed</w:t>
      </w:r>
      <w:r>
        <w:t xml:space="preserve"> </w:t>
      </w:r>
      <w:r>
        <w:t xml:space="preserve">that CEX reduces aggregate below acceptance across all conditions. Protein load, load/wash</w:t>
      </w:r>
      <w:r>
        <w:t xml:space="preserve"> </w:t>
      </w:r>
      <w:r>
        <w:t xml:space="preserve">conductivity, elution pH and stop-collect are</w:t>
      </w:r>
      <w:r>
        <w:t xml:space="preserve"> </w:t>
      </w:r>
      <w:r>
        <w:rPr>
          <w:b/>
          <w:bCs/>
        </w:rPr>
        <w:t xml:space="preserve">WC-CPP</w:t>
      </w:r>
      <w:r>
        <w:t xml:space="preserve">; elution flow rate is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cex"/>
          <w:p>
            <w:pPr>
              <w:pStyle w:val="Compact"/>
              <w:jc w:val="center"/>
            </w:pPr>
            <w:r>
              <w:drawing>
                <wp:inline>
                  <wp:extent cx="5334000" cy="205860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cex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58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CEX response surfaces for pool HCP and aggregate over protein load × load/wash conductivity.</w:t>
            </w:r>
          </w:p>
          <w:bookmarkEnd w:id="69"/>
        </w:tc>
      </w:tr>
    </w:tbl>
    <w:bookmarkEnd w:id="70"/>
    <w:bookmarkStart w:id="76" w:name="anion-exchange-chromatography-aex-step-8"/>
    <w:p>
      <w:pPr>
        <w:pStyle w:val="Heading2"/>
      </w:pPr>
      <w:r>
        <w:t xml:space="preserve">6.6 Anion exchange chromatography — AEX (Step 8)</w:t>
      </w:r>
    </w:p>
    <w:p>
      <w:pPr>
        <w:pStyle w:val="FirstParagraph"/>
      </w:pPr>
      <w:r>
        <w:t xml:space="preserve">AEX operates in flow-through mode: the antibody passes through while HCP, DNA, leached</w:t>
      </w:r>
      <w:r>
        <w:t xml:space="preserve"> </w:t>
      </w:r>
      <w:r>
        <w:t xml:space="preserve">Protein A and endotoxin bind. AEX also provides an orthogonal viral-clearance claim</w:t>
      </w:r>
      <w:r>
        <w:t xml:space="preserve"> </w:t>
      </w:r>
      <w:r>
        <w:t xml:space="preserve">(XMuLV and MVM). Load pH, Equilibration/Wash-1 conductivity, load conductivity and protein</w:t>
      </w:r>
      <w:r>
        <w:t xml:space="preserve"> </w:t>
      </w:r>
      <w:r>
        <w:t xml:space="preserve">load were characterized.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aex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10: AEX process parameters, ranges and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74"/>
              <w:gridCol w:w="926"/>
              <w:gridCol w:w="1095"/>
              <w:gridCol w:w="926"/>
              <w:gridCol w:w="758"/>
              <w:gridCol w:w="758"/>
              <w:gridCol w:w="11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7.35–7.65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2.1–3.1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120–280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200–400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150–450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</w:tbl>
          <w:bookmarkEnd w:id="71"/>
          <w:p/>
        </w:tc>
      </w:tr>
    </w:tbl>
    <w:p>
      <w:pPr>
        <w:pStyle w:val="BodyText"/>
      </w:pPr>
      <w:r>
        <w:t xml:space="preserve">HCP removal and viral clearance both decline as load pH decreases and conductivity</w:t>
      </w:r>
      <w:r>
        <w:t xml:space="preserve"> </w:t>
      </w:r>
      <w:r>
        <w:t xml:space="preserve">increases (</w:t>
      </w:r>
      <w:hyperlink w:anchor="fig-aex">
        <w:r>
          <w:rPr>
            <w:rStyle w:val="Hyperlink"/>
          </w:rPr>
          <w:t xml:space="preserve">Figure 8</w:t>
        </w:r>
      </w:hyperlink>
      <w:r>
        <w:t xml:space="preserve">); the quality design space (pH 7.2–7.8, Equil/Wash-1 conductivity</w:t>
      </w:r>
      <w:r>
        <w:t xml:space="preserve"> </w:t>
      </w:r>
      <w:r>
        <w:t xml:space="preserve">1.6–3.6 mS/cm) is narrower than the validated viral-clearance ranges, so operation is</w:t>
      </w:r>
      <w:r>
        <w:t xml:space="preserve"> </w:t>
      </w:r>
      <w:r>
        <w:t xml:space="preserve">constrained by the quality requirement. Load pH, both conductivities, protein load and</w:t>
      </w:r>
      <w:r>
        <w:t xml:space="preserve"> </w:t>
      </w:r>
      <w:r>
        <w:t xml:space="preserve">flow rate are</w:t>
      </w:r>
      <w:r>
        <w:t xml:space="preserve"> </w:t>
      </w:r>
      <w:r>
        <w:rPr>
          <w:b/>
          <w:bCs/>
        </w:rPr>
        <w:t xml:space="preserve">WC-CPP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aex"/>
          <w:p>
            <w:pPr>
              <w:pStyle w:val="Compact"/>
              <w:jc w:val="center"/>
            </w:pPr>
            <w:r>
              <w:drawing>
                <wp:inline>
                  <wp:extent cx="5334000" cy="206052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aex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6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AEX response surfaces: HCP clearance and XMuLV log-reduction both fall as load pH decreases and Equil/Wash-1 conductivity increases.</w:t>
            </w:r>
          </w:p>
          <w:bookmarkEnd w:id="75"/>
        </w:tc>
      </w:tr>
    </w:tbl>
    <w:bookmarkEnd w:id="76"/>
    <w:bookmarkStart w:id="81" w:name="small-virus-retentive-filtration-step-9"/>
    <w:p>
      <w:pPr>
        <w:pStyle w:val="Heading2"/>
      </w:pPr>
      <w:r>
        <w:t xml:space="preserve">6.7 Small-virus retentive filtration (Step 9)</w:t>
      </w:r>
    </w:p>
    <w:p>
      <w:pPr>
        <w:pStyle w:val="FirstParagraph"/>
      </w:pPr>
      <w:r>
        <w:t xml:space="preserve">Size-based filtration provides an orthogonal, modular clearance claim for small</w:t>
      </w:r>
      <w:r>
        <w:t xml:space="preserve"> </w:t>
      </w:r>
      <w:r>
        <w:t xml:space="preserve">non-enveloped virus (MVM) and larger enveloped virus (XMuLV). MVM log-reduction declines</w:t>
      </w:r>
      <w:r>
        <w:t xml:space="preserve"> </w:t>
      </w:r>
      <w:r>
        <w:t xml:space="preserve">with volumetric load; a load limit of 105 L/m² preserves LRV ≥ 4.62 (</w:t>
      </w:r>
      <w:hyperlink w:anchor="fig-vf">
        <w:r>
          <w:rPr>
            <w:rStyle w:val="Hyperlink"/>
          </w:rPr>
          <w:t xml:space="preserve">Figure 9</w:t>
        </w:r>
      </w:hyperlink>
      <w:r>
        <w:t xml:space="preserve">). Filtration</w:t>
      </w:r>
      <w:r>
        <w:t xml:space="preserve"> </w:t>
      </w:r>
      <w:r>
        <w:t xml:space="preserve">volume and pressure are</w:t>
      </w:r>
      <w:r>
        <w:t xml:space="preserve"> </w:t>
      </w:r>
      <w:r>
        <w:rPr>
          <w:b/>
          <w:bCs/>
        </w:rPr>
        <w:t xml:space="preserve">WC-CPP</w:t>
      </w:r>
      <w:r>
        <w:t xml:space="preserve">; the pre/post-use integrity test is a procedural</w:t>
      </w:r>
      <w:r>
        <w:t xml:space="preserve"> </w:t>
      </w:r>
      <w:r>
        <w:t xml:space="preserve">control.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vf"/>
          <w:p>
            <w:pPr>
              <w:pStyle w:val="Compact"/>
              <w:jc w:val="center"/>
            </w:pPr>
            <w:r>
              <w:drawing>
                <wp:inline>
                  <wp:extent cx="3733800" cy="260564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vf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Small-virus filtration: MVM log-reduction vs volumetric load; the 105 L/m² limit preserves LRF ≥ 4.62.</w:t>
            </w:r>
          </w:p>
          <w:bookmarkEnd w:id="80"/>
        </w:tc>
      </w:tr>
    </w:tbl>
    <w:bookmarkEnd w:id="81"/>
    <w:bookmarkStart w:id="82" w:name="ultrafiltration-diafiltration-step-10"/>
    <w:p>
      <w:pPr>
        <w:pStyle w:val="Heading2"/>
      </w:pPr>
      <w:r>
        <w:t xml:space="preserve">6.8 Ultrafiltration / diafiltration (Step 10)</w:t>
      </w:r>
    </w:p>
    <w:p>
      <w:pPr>
        <w:pStyle w:val="FirstParagraph"/>
      </w:pPr>
      <w:r>
        <w:t xml:space="preserve">UF/DF concentrates and buffer-exchanges the antibody to the drug-substance target of</w:t>
      </w:r>
      <w:r>
        <w:t xml:space="preserve"> </w:t>
      </w:r>
      <w:r>
        <w:t xml:space="preserve">75.0 g/L. Consistent with the A-Mab case study, formulation</w:t>
      </w:r>
      <w:r>
        <w:t xml:space="preserve"> </w:t>
      </w:r>
      <w:r>
        <w:t xml:space="preserve">characterization is reported with the drug product; the step is included here for mass</w:t>
      </w:r>
      <w:r>
        <w:t xml:space="preserve"> </w:t>
      </w:r>
      <w:r>
        <w:t xml:space="preserve">balance only, and its parameters (diavolumes, transmembrane pressure, final concentration)</w:t>
      </w:r>
      <w:r>
        <w:t xml:space="preserve"> </w:t>
      </w:r>
      <w:r>
        <w:t xml:space="preserve">are controlled as KPP.</w:t>
      </w:r>
    </w:p>
    <w:bookmarkEnd w:id="82"/>
    <w:bookmarkEnd w:id="83"/>
    <w:bookmarkStart w:id="89" w:name="parameter-classification-summary"/>
    <w:p>
      <w:pPr>
        <w:pStyle w:val="Heading1"/>
      </w:pPr>
      <w:r>
        <w:t xml:space="preserve">7. Parameter classification summary</w:t>
      </w:r>
    </w:p>
    <w:p>
      <w:pPr>
        <w:pStyle w:val="FirstParagraph"/>
      </w:pPr>
      <w:r>
        <w:t xml:space="preserve">Across the drug-substance train, 37 process parameters were</w:t>
      </w:r>
      <w:r>
        <w:t xml:space="preserve"> </w:t>
      </w:r>
      <w:r>
        <w:t xml:space="preserve">classified (</w:t>
      </w:r>
      <w:hyperlink w:anchor="fig-class">
        <w:r>
          <w:rPr>
            <w:rStyle w:val="Hyperlink"/>
          </w:rPr>
          <w:t xml:space="preserve">Figure 10</w:t>
        </w:r>
      </w:hyperlink>
      <w:r>
        <w:t xml:space="preserve">,</w:t>
      </w:r>
      <w:r>
        <w:t xml:space="preserve"> </w:t>
      </w:r>
      <w:hyperlink w:anchor="tbl-class">
        <w:r>
          <w:rPr>
            <w:rStyle w:val="Hyperlink"/>
          </w:rPr>
          <w:t xml:space="preserve">Table 11</w:t>
        </w:r>
      </w:hyperlink>
      <w:r>
        <w:t xml:space="preserve">). 21 are critical (CPP or WC-CPP),</w:t>
      </w:r>
      <w:r>
        <w:t xml:space="preserve"> </w:t>
      </w:r>
      <w:r>
        <w:t xml:space="preserve">concentrated in the bioreactor (glycosylation and charge control), the chromatography</w:t>
      </w:r>
      <w:r>
        <w:t xml:space="preserve"> </w:t>
      </w:r>
      <w:r>
        <w:t xml:space="preserve">steps (aggregate and HCP control) and the viral-safety steps.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class"/>
          <w:p>
            <w:pPr>
              <w:pStyle w:val="Compact"/>
              <w:jc w:val="center"/>
            </w:pPr>
            <w:r>
              <w:drawing>
                <wp:inline>
                  <wp:extent cx="4800600" cy="203157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aram_classification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3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Post-characterization classification of process parameters by unit operation.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clas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11: Process-parameter classification summary.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 of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The complete post-characterization FMEA — one row per parameter with failure mode,</w:t>
      </w:r>
      <w:r>
        <w:t xml:space="preserve"> </w:t>
      </w:r>
      <w:r>
        <w:t xml:space="preserve">severity/occurrence/detection scores, RPN before and after characterization, designation,</w:t>
      </w:r>
      <w:r>
        <w:t xml:space="preserve"> </w:t>
      </w:r>
      <w:r>
        <w:t xml:space="preserve">control strategy and residual risk — is provided as the accompanying workbook,</w:t>
      </w:r>
      <w:r>
        <w:t xml:space="preserve"> </w:t>
      </w:r>
      <w:r>
        <w:rPr>
          <w:i/>
          <w:iCs/>
        </w:rPr>
        <w:t xml:space="preserve">A-Mab_Post-PC_Process_Risk_Assessment.xlsx</w:t>
      </w:r>
      <w:r>
        <w:t xml:space="preserve">.</w:t>
      </w:r>
    </w:p>
    <w:bookmarkEnd w:id="89"/>
    <w:bookmarkStart w:id="105" w:name="process-capability-and-stage-2-readiness"/>
    <w:p>
      <w:pPr>
        <w:pStyle w:val="Heading1"/>
      </w:pPr>
      <w:r>
        <w:t xml:space="preserve">8. Process capability and Stage-2 readiness</w:t>
      </w:r>
    </w:p>
    <w:p>
      <w:pPr>
        <w:pStyle w:val="FirstParagraph"/>
      </w:pPr>
      <w:r>
        <w:t xml:space="preserve">A Monte-Carlo simulation of 2,000 commercial-scale batches,</w:t>
      </w:r>
      <w:r>
        <w:t xml:space="preserve"> </w:t>
      </w:r>
      <w:r>
        <w:t xml:space="preserve">with every parameter varied within its normal operating range, was used to estimate the</w:t>
      </w:r>
      <w:r>
        <w:t xml:space="preserve"> </w:t>
      </w:r>
      <w:r>
        <w:t xml:space="preserve">drug-substance quality distribution and process capability (</w:t>
      </w:r>
      <w:hyperlink w:anchor="fig-cap">
        <w:r>
          <w:rPr>
            <w:rStyle w:val="Hyperlink"/>
          </w:rPr>
          <w:t xml:space="preserve">Figure 11</w:t>
        </w:r>
      </w:hyperlink>
      <w:r>
        <w:t xml:space="preserve">,</w:t>
      </w:r>
      <w:r>
        <w:t xml:space="preserve"> </w:t>
      </w:r>
      <w:hyperlink w:anchor="tbl-cap">
        <w:r>
          <w:rPr>
            <w:rStyle w:val="Hyperlink"/>
          </w:rPr>
          <w:t xml:space="preserve">Table 12</w:t>
        </w:r>
      </w:hyperlink>
      <w:r>
        <w:t xml:space="preserve">). Capability</w:t>
      </w:r>
      <w:r>
        <w:t xml:space="preserve"> </w:t>
      </w:r>
      <w:r>
        <w:t xml:space="preserve">is evaluated one-sided for impurities (upper limit) and for viral clearance (lower</w:t>
      </w:r>
      <w:r>
        <w:t xml:space="preserve"> </w:t>
      </w:r>
      <w:r>
        <w:t xml:space="preserve">requirement), and two-sided for target-range attributes.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cap"/>
          <w:p>
            <w:pPr>
              <w:pStyle w:val="Compact"/>
              <w:jc w:val="center"/>
            </w:pPr>
            <w:r>
              <w:drawing>
                <wp:inline>
                  <wp:extent cx="5334000" cy="288965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capability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89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Commercial-scale drug-substance CQA distributions vs acceptance limits, annotated with process capability (Cpk).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a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12: Commercial-scale process capability by CQA (n = simulated batches).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02"/>
              <w:gridCol w:w="734"/>
              <w:gridCol w:w="898"/>
              <w:gridCol w:w="1143"/>
              <w:gridCol w:w="1306"/>
              <w:gridCol w:w="7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7.98 ± 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 ± 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5.99 ± 0.51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0.753 ± 0.088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22.3 ± 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±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 ± 0.0006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2785.30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19.5 ± 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 ± 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The minimum capability across all CQAs is</w:t>
      </w:r>
      <w:r>
        <w:t xml:space="preserve"> </w:t>
      </w:r>
      <w:r>
        <w:rPr>
          <w:b/>
          <w:bCs/>
        </w:rPr>
        <w:t xml:space="preserve">Cpk = 1.51</w:t>
      </w:r>
      <w:r>
        <w:t xml:space="preserve"> </w:t>
      </w:r>
      <w:r>
        <w:t xml:space="preserve">(all CQAs ≥ 1.33).</w:t>
      </w:r>
      <w:r>
        <w:t xml:space="preserve"> </w:t>
      </w:r>
      <w:r>
        <w:t xml:space="preserve">A representative PPQ campaign of 5 batches (</w:t>
      </w:r>
      <w:hyperlink w:anchor="tbl-ppq">
        <w:r>
          <w:rPr>
            <w:rStyle w:val="Hyperlink"/>
          </w:rPr>
          <w:t xml:space="preserve">Table 13</w:t>
        </w:r>
      </w:hyperlink>
      <w:r>
        <w:t xml:space="preserve">) meets all</w:t>
      </w:r>
      <w:r>
        <w:t xml:space="preserve"> </w:t>
      </w:r>
      <w:r>
        <w:t xml:space="preserve">acceptance criteria.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ppq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13: Representative PPQ-campaign drug-substance results.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38"/>
              <w:gridCol w:w="838"/>
              <w:gridCol w:w="931"/>
              <w:gridCol w:w="838"/>
              <w:gridCol w:w="838"/>
              <w:gridCol w:w="1397"/>
              <w:gridCol w:w="1211"/>
              <w:gridCol w:w="102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aFuc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Gal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HMW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XMuLV LRV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MVM LRV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PPQ-001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PPQ-002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PPQ-003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PPQ-004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PPQ-005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9.93</w:t>
                  </w:r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Viral clearance is delivered by three orthogonal steps (</w:t>
      </w:r>
      <w:hyperlink w:anchor="fig-vc">
        <w:r>
          <w:rPr>
            <w:rStyle w:val="Hyperlink"/>
          </w:rPr>
          <w:t xml:space="preserve">Figure 12</w:t>
        </w:r>
      </w:hyperlink>
      <w:r>
        <w:t xml:space="preserve">,</w:t>
      </w:r>
      <w:r>
        <w:t xml:space="preserve"> </w:t>
      </w:r>
      <w:hyperlink w:anchor="tbl-vc">
        <w:r>
          <w:rPr>
            <w:rStyle w:val="Hyperlink"/>
          </w:rPr>
          <w:t xml:space="preserve">Table 14</w:t>
        </w:r>
      </w:hyperlink>
      <w:r>
        <w:t xml:space="preserve">): cumulative</w:t>
      </w:r>
      <w:r>
        <w:t xml:space="preserve"> </w:t>
      </w:r>
      <w:r>
        <w:t xml:space="preserve">clearance of</w:t>
      </w:r>
      <w:r>
        <w:t xml:space="preserve"> </w:t>
      </w:r>
      <w:r>
        <w:rPr>
          <w:b/>
          <w:bCs/>
        </w:rPr>
        <w:t xml:space="preserve">18.87 log₁₀ (XMuLV)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10.03 log₁₀ (MVM)</w:t>
      </w:r>
      <w:r>
        <w:t xml:space="preserve"> </w:t>
      </w:r>
      <w:r>
        <w:t xml:space="preserve">exceeds the requirements of &gt; 16.7 and &gt; 8.6</w:t>
      </w:r>
      <w:r>
        <w:t xml:space="preserve"> </w:t>
      </w:r>
      <w:r>
        <w:t xml:space="preserve">with margin. Product step-yield across the train is</w:t>
      </w:r>
      <w:r>
        <w:t xml:space="preserve"> </w:t>
      </w:r>
      <w:r>
        <w:rPr>
          <w:b/>
          <w:bCs/>
        </w:rPr>
        <w:t xml:space="preserve">83.2%</w:t>
      </w:r>
      <w:r>
        <w:t xml:space="preserve"> </w:t>
      </w:r>
      <w:r>
        <w:t xml:space="preserve">(</w:t>
      </w:r>
      <w:hyperlink w:anchor="fig-yield">
        <w:r>
          <w:rPr>
            <w:rStyle w:val="Hyperlink"/>
          </w:rPr>
          <w:t xml:space="preserve">Figure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c"/>
          <w:p>
            <w:pPr>
              <w:pStyle w:val="Compact"/>
              <w:jc w:val="center"/>
            </w:pPr>
            <w:r>
              <w:drawing>
                <wp:inline>
                  <wp:extent cx="5334000" cy="213575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viral_clearanc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5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Modular viral clearance by step for XMuLV and MVM; cumulative clearance exceeds the total requirement.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v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14: Viral log-reduction by step and cumulative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XMuLV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MVM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(AEX)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Virus 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10.03</w:t>
                  </w:r>
                </w:p>
              </w:tc>
            </w:tr>
          </w:tbl>
          <w:bookmarkEnd w:id="10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yield"/>
          <w:p>
            <w:pPr>
              <w:pStyle w:val="Compact"/>
              <w:jc w:val="center"/>
            </w:pPr>
            <w:r>
              <w:drawing>
                <wp:inline>
                  <wp:extent cx="4533900" cy="246312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yield_waterfall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463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Cumulative product step-yield across the drug-substance train.</w:t>
            </w:r>
          </w:p>
          <w:bookmarkEnd w:id="104"/>
        </w:tc>
      </w:tr>
    </w:tbl>
    <w:bookmarkEnd w:id="105"/>
    <w:bookmarkStart w:id="107" w:name="control-strategy"/>
    <w:p>
      <w:pPr>
        <w:pStyle w:val="Heading1"/>
      </w:pPr>
      <w:r>
        <w:t xml:space="preserve">9. Control strategy</w:t>
      </w:r>
    </w:p>
    <w:p>
      <w:pPr>
        <w:pStyle w:val="FirstParagraph"/>
      </w:pPr>
      <w:r>
        <w:t xml:space="preserve">The control strategy is the sum of the individual CQA control strategies (ICH Q10),</w:t>
      </w:r>
      <w:r>
        <w:t xml:space="preserve"> </w:t>
      </w:r>
      <w:r>
        <w:t xml:space="preserve">built from the characterization understanding above. Each CQA is controlled by a defined</w:t>
      </w:r>
      <w:r>
        <w:t xml:space="preserve"> </w:t>
      </w:r>
      <w:r>
        <w:t xml:space="preserve">combination of input-material controls, procedural controls, process-parameter set-points</w:t>
      </w:r>
      <w:r>
        <w:t xml:space="preserve"> </w:t>
      </w:r>
      <w:r>
        <w:t xml:space="preserve">and proven acceptable ranges, in-process controls and release testing (</w:t>
      </w:r>
      <w:hyperlink w:anchor="tbl-cs">
        <w:r>
          <w:rPr>
            <w:rStyle w:val="Hyperlink"/>
          </w:rPr>
          <w:t xml:space="preserve">Table 15</w:t>
        </w:r>
      </w:hyperlink>
      <w:r>
        <w:t xml:space="preserve">). Glycan</w:t>
      </w:r>
      <w:r>
        <w:t xml:space="preserve"> </w:t>
      </w:r>
      <w:r>
        <w:t xml:space="preserve">CQAs are controlled predominantly at the bioreactor; aggregate at CEX (with the low-pH</w:t>
      </w:r>
      <w:r>
        <w:t xml:space="preserve"> </w:t>
      </w:r>
      <w:r>
        <w:t xml:space="preserve">hold bounded); HCP across Protein A, CEX and AEX; and viral safety by three orthogonal</w:t>
      </w:r>
      <w:r>
        <w:t xml:space="preserve"> </w:t>
      </w:r>
      <w:r>
        <w:t xml:space="preserve">clearance steps plus the low-pH inactivation.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15: Overall control strategy — principal controls per CQA.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84"/>
              <w:gridCol w:w="3322"/>
              <w:gridCol w:w="241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Principal process controls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 / high mannose / galactosylation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 pH, temperature, CO₂, osmolality, duration (design space)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Released glycan map; in-process culture control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CEX (load, conductivity, elution pH, stop-collect); low-pH hold bounded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 at CEX pool and release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Bioreactor set-points; CEX/AEX collection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Charge-variant assay at release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(load, elution pH); CEX; AEX (load pH, conductivity)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HCP ELISA at AEX pool and release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+ AEX clearance (modular)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qPCR at release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CEX + AEX clearance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assay at release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 (XMuLV / MVM)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inactivation; AEX; virus filtration (validated ranges)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Validated clearance; in-process bioburden/endotoxin</w:t>
                  </w:r>
                </w:p>
              </w:tc>
            </w:tr>
          </w:tbl>
          <w:bookmarkEnd w:id="106"/>
          <w:p/>
        </w:tc>
      </w:tr>
    </w:tbl>
    <w:bookmarkEnd w:id="107"/>
    <w:bookmarkStart w:id="108" w:name="conclusions-and-readiness-for-stage-2"/>
    <w:p>
      <w:pPr>
        <w:pStyle w:val="Heading1"/>
      </w:pPr>
      <w:r>
        <w:t xml:space="preserve">10. Conclusions and readiness for Stage 2</w:t>
      </w:r>
    </w:p>
    <w:p>
      <w:pPr>
        <w:pStyle w:val="FirstParagraph"/>
      </w:pPr>
      <w:r>
        <w:t xml:space="preserve">The A-Mab drug-substance process is well understood and robust:</w:t>
      </w:r>
    </w:p>
    <w:p>
      <w:pPr>
        <w:pStyle w:val="Compact"/>
        <w:numPr>
          <w:ilvl w:val="0"/>
          <w:numId w:val="1003"/>
        </w:numPr>
      </w:pPr>
      <w:r>
        <w:t xml:space="preserve">Every CQA meets its acceptance criterion at set-point, with a minimum capability of</w:t>
      </w:r>
      <w:r>
        <w:t xml:space="preserve"> </w:t>
      </w:r>
      <w:r>
        <w:rPr>
          <w:b/>
          <w:bCs/>
        </w:rPr>
        <w:t xml:space="preserve">Cpk = 1.51</w:t>
      </w:r>
      <w:r>
        <w:t xml:space="preserve"> </w:t>
      </w:r>
      <w:r>
        <w:t xml:space="preserve">across 2,000 simulated</w:t>
      </w:r>
      <w:r>
        <w:t xml:space="preserve"> </w:t>
      </w:r>
      <w:r>
        <w:t xml:space="preserve">commercial batches.</w:t>
      </w:r>
    </w:p>
    <w:p>
      <w:pPr>
        <w:pStyle w:val="Compact"/>
        <w:numPr>
          <w:ilvl w:val="0"/>
          <w:numId w:val="1003"/>
        </w:numPr>
      </w:pPr>
      <w:r>
        <w:t xml:space="preserve">The relationships between process parameters and CQAs are quantified by DoE, design</w:t>
      </w:r>
      <w:r>
        <w:t xml:space="preserve"> </w:t>
      </w:r>
      <w:r>
        <w:t xml:space="preserve">spaces are established for the bioreactor and the chromatography and viral-safety steps,</w:t>
      </w:r>
      <w:r>
        <w:t xml:space="preserve"> </w:t>
      </w:r>
      <w:r>
        <w:t xml:space="preserve">and every parameter range is justified by data.</w:t>
      </w:r>
    </w:p>
    <w:p>
      <w:pPr>
        <w:pStyle w:val="Compact"/>
        <w:numPr>
          <w:ilvl w:val="0"/>
          <w:numId w:val="1003"/>
        </w:numPr>
      </w:pPr>
      <w:r>
        <w:t xml:space="preserve">37 parameters are classified; 21 are</w:t>
      </w:r>
      <w:r>
        <w:t xml:space="preserve"> </w:t>
      </w:r>
      <w:r>
        <w:t xml:space="preserve">critical (CPP/WC-CPP) with a defined control strategy, and the post-characterization</w:t>
      </w:r>
      <w:r>
        <w:t xml:space="preserve"> </w:t>
      </w:r>
      <w:r>
        <w:t xml:space="preserve">FMEA shows the median risk priority number falling by ~85% relative to the initial</w:t>
      </w:r>
      <w:r>
        <w:t xml:space="preserve"> </w:t>
      </w:r>
      <w:r>
        <w:t xml:space="preserve">assessment.</w:t>
      </w:r>
    </w:p>
    <w:p>
      <w:pPr>
        <w:pStyle w:val="Compact"/>
        <w:numPr>
          <w:ilvl w:val="0"/>
          <w:numId w:val="1003"/>
        </w:numPr>
      </w:pPr>
      <w:r>
        <w:t xml:space="preserve">Viral clearance exceeds requirements with margin</w:t>
      </w:r>
      <w:r>
        <w:t xml:space="preserve"> </w:t>
      </w:r>
      <w:r>
        <w:t xml:space="preserve">(18.87 / 10.03 log₁₀ for XMuLV/MVM).</w:t>
      </w:r>
    </w:p>
    <w:p>
      <w:pPr>
        <w:pStyle w:val="FirstParagraph"/>
      </w:pPr>
      <w:r>
        <w:t xml:space="preserve">The process design (Stage 1) is complete. The characterized ranges, design spaces and</w:t>
      </w:r>
      <w:r>
        <w:t xml:space="preserve"> </w:t>
      </w:r>
      <w:r>
        <w:t xml:space="preserve">control strategy provide the basis for the Stage 2 Process Performance Qualification</w:t>
      </w:r>
      <w:r>
        <w:t xml:space="preserve"> </w:t>
      </w:r>
      <w:r>
        <w:t xml:space="preserve">protocol, acceptance criteria and sampling plans. The process is recommended for</w:t>
      </w:r>
      <w:r>
        <w:t xml:space="preserve"> </w:t>
      </w:r>
      <w:r>
        <w:t xml:space="preserve">progression to PPQ.</w:t>
      </w:r>
    </w:p>
    <w:bookmarkEnd w:id="108"/>
    <w:bookmarkStart w:id="109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Every figure, table and number in this report is generated from a seeded process model</w:t>
      </w:r>
      <w:r>
        <w:t xml:space="preserve"> </w:t>
      </w:r>
      <w:r>
        <w:t xml:space="preserve">(master seed 20240724). The report is regenerated end-to-end with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(see the repository README): the model produces the datasets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outputs/data/</w:t>
      </w:r>
      <w:r>
        <w:t xml:space="preserve">) and figures (</w:t>
      </w:r>
      <w:r>
        <w:rPr>
          <w:rStyle w:val="VerbatimChar"/>
        </w:rPr>
        <w:t xml:space="preserve">outputs/figures/</w:t>
      </w:r>
      <w:r>
        <w:t xml:space="preserve">), and Quarto renders this document to</w:t>
      </w:r>
      <w:r>
        <w:t xml:space="preserve"> </w:t>
      </w:r>
      <w:r>
        <w:t xml:space="preserve">Word and PDF from the same sources.</w:t>
      </w:r>
    </w:p>
    <w:bookmarkEnd w:id="109"/>
    <w:bookmarkStart w:id="117" w:name="references"/>
    <w:p>
      <w:pPr>
        <w:pStyle w:val="Heading1"/>
      </w:pPr>
      <w:r>
        <w:t xml:space="preserve">References</w:t>
      </w:r>
    </w:p>
    <w:bookmarkStart w:id="116" w:name="refs"/>
    <w:bookmarkStart w:id="110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t xml:space="preserve">“A-Mab: A Case Study in Bioprocess Development.”</w:t>
      </w:r>
      <w:r>
        <w:t xml:space="preserve"> </w:t>
      </w:r>
      <w:r>
        <w:t xml:space="preserve">CASSS.</w:t>
      </w:r>
    </w:p>
    <w:bookmarkEnd w:id="110"/>
    <w:bookmarkStart w:id="111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t xml:space="preserve">“ICH Q8(R2): Pharmaceutical Development.”</w:t>
      </w:r>
      <w:r>
        <w:t xml:space="preserve"> </w:t>
      </w:r>
      <w:r>
        <w:t xml:space="preserve">ICH.</w:t>
      </w:r>
    </w:p>
    <w:bookmarkEnd w:id="111"/>
    <w:bookmarkStart w:id="112" w:name="ref-ichq11"/>
    <w:p>
      <w:pPr>
        <w:pStyle w:val="Bibliography"/>
      </w:pPr>
      <w:r>
        <w:t xml:space="preserve">———. 2012.</w:t>
      </w:r>
      <w:r>
        <w:t xml:space="preserve"> </w:t>
      </w:r>
      <w:r>
        <w:t xml:space="preserve">“ICH Q11: Development and Manufacture of Drug Substances.”</w:t>
      </w:r>
      <w:r>
        <w:t xml:space="preserve"> </w:t>
      </w:r>
      <w:r>
        <w:t xml:space="preserve">ICH.</w:t>
      </w:r>
    </w:p>
    <w:bookmarkEnd w:id="112"/>
    <w:bookmarkStart w:id="113" w:name="ref-ichq9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“ICH Q9(R1): Quality Risk Management.”</w:t>
      </w:r>
      <w:r>
        <w:t xml:space="preserve"> </w:t>
      </w:r>
      <w:r>
        <w:t xml:space="preserve">ICH.</w:t>
      </w:r>
    </w:p>
    <w:bookmarkEnd w:id="113"/>
    <w:bookmarkStart w:id="114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t xml:space="preserve">“Good Practice Guide: Practical Implementation of the Lifecycle Approach to Process Validation.”</w:t>
      </w:r>
      <w:r>
        <w:t xml:space="preserve"> </w:t>
      </w:r>
      <w:r>
        <w:t xml:space="preserve">ISPE.</w:t>
      </w:r>
    </w:p>
    <w:bookmarkEnd w:id="114"/>
    <w:bookmarkStart w:id="115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t xml:space="preserve">“Technical Report No. 60: Process Validation — a Lifecycle Approach.”</w:t>
      </w:r>
      <w:r>
        <w:t xml:space="preserve"> </w:t>
      </w:r>
      <w:r>
        <w:t xml:space="preserve">PDA.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2" Target="media/rId72.png" /><Relationship Type="http://schemas.openxmlformats.org/officeDocument/2006/relationships/image" Id="rId47" Target="media/rId47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90" Target="media/rId90.png" /><Relationship Type="http://schemas.openxmlformats.org/officeDocument/2006/relationships/image" Id="rId66" Target="media/rId66.png" /><Relationship Type="http://schemas.openxmlformats.org/officeDocument/2006/relationships/image" Id="rId84" Target="media/rId84.png" /><Relationship Type="http://schemas.openxmlformats.org/officeDocument/2006/relationships/image" Id="rId24" Target="media/rId24.png" /><Relationship Type="http://schemas.openxmlformats.org/officeDocument/2006/relationships/image" Id="rId54" Target="media/rId54.png" /><Relationship Type="http://schemas.openxmlformats.org/officeDocument/2006/relationships/image" Id="rId77" Target="media/rId77.png" /><Relationship Type="http://schemas.openxmlformats.org/officeDocument/2006/relationships/image" Id="rId60" Target="media/rId60.png" /><Relationship Type="http://schemas.openxmlformats.org/officeDocument/2006/relationships/image" Id="rId96" Target="media/rId96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2026-07-24T14:12:11Z</dcterms:created>
  <dcterms:modified xsi:type="dcterms:W3CDTF">2026-07-24T14:12:11Z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Production Bioreactor through Ultrafiltration/Diafiltration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