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73.png" ContentType="image/png"/>
  <Override PartName="/word/media/rId79.png" ContentType="image/png"/>
  <Override PartName="/word/media/rId109.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Report</w:t>
      </w:r>
    </w:p>
    <w:p>
      <w:pPr>
        <w:pStyle w:val="Subtitle"/>
      </w:pPr>
      <w:r>
        <w:t xml:space="preserve">A-Mab Drug Substance — Protein A Chromatography (Step 5) — PCR-005</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PCR-005</w:t>
            </w:r>
          </w:p>
        </w:tc>
      </w:tr>
      <w:tr>
        <w:tc>
          <w:tcPr/>
          <w:p>
            <w:pPr>
              <w:pStyle w:val="Compact"/>
              <w:jc w:val="left"/>
            </w:pPr>
            <w:r>
              <w:t xml:space="preserve">Document class</w:t>
            </w:r>
          </w:p>
        </w:tc>
        <w:tc>
          <w:tcPr/>
          <w:p>
            <w:pPr>
              <w:pStyle w:val="Compact"/>
              <w:jc w:val="left"/>
            </w:pPr>
            <w:r>
              <w:t xml:space="preserve">Process Characterization Report</w:t>
            </w:r>
          </w:p>
        </w:tc>
      </w:tr>
      <w:tr>
        <w:tc>
          <w:tcPr/>
          <w:p>
            <w:pPr>
              <w:pStyle w:val="Compact"/>
              <w:jc w:val="left"/>
            </w:pPr>
            <w:r>
              <w:t xml:space="preserve">Title</w:t>
            </w:r>
          </w:p>
        </w:tc>
        <w:tc>
          <w:tcPr/>
          <w:p>
            <w:pPr>
              <w:pStyle w:val="Compact"/>
              <w:jc w:val="left"/>
            </w:pPr>
            <w:r>
              <w:t xml:space="preserve">Process Characterization Report: Protein A Chromatography (Step 5)</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PCR-005 Version 1.0 (2026-07-24)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Function</w:t>
            </w:r>
          </w:p>
        </w:tc>
        <w:tc>
          <w:tcPr/>
          <w:p>
            <w:pPr>
              <w:pStyle w:val="Compact"/>
            </w:pPr>
            <w:r>
              <w:t xml:space="preserve">Name (synthetic)</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Process Development / MSAT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Analytical Development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Manufacturing Science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Statistics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Approver</w:t>
            </w:r>
          </w:p>
        </w:tc>
        <w:tc>
          <w:tcPr/>
          <w:p>
            <w:pPr>
              <w:pStyle w:val="Compact"/>
            </w:pPr>
            <w:r>
              <w:t xml:space="preserve">Quality Assurance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2026-07-24</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re-analysis of the studies,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2D</w:t>
            </w:r>
          </w:p>
        </w:tc>
        <w:tc>
          <w:tcPr/>
          <w:p>
            <w:pPr>
              <w:pStyle w:val="Compact"/>
              <w:jc w:val="left"/>
            </w:pPr>
            <w:r>
              <w:t xml:space="preserve">two-dimensional</w:t>
            </w:r>
          </w:p>
        </w:tc>
      </w:tr>
      <w:tr>
        <w:tc>
          <w:tcPr/>
          <w:p>
            <w:pPr>
              <w:pStyle w:val="Compact"/>
              <w:jc w:val="left"/>
            </w:pPr>
            <w:r>
              <w:t xml:space="preserve">AICc</w:t>
            </w:r>
          </w:p>
        </w:tc>
        <w:tc>
          <w:tcPr/>
          <w:p>
            <w:pPr>
              <w:pStyle w:val="Compact"/>
              <w:jc w:val="left"/>
            </w:pPr>
            <w:r>
              <w:t xml:space="preserve">Akaike information criterion with the correction for small samples</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CHO</w:t>
            </w:r>
          </w:p>
        </w:tc>
        <w:tc>
          <w:tcPr/>
          <w:p>
            <w:pPr>
              <w:pStyle w:val="Compact"/>
              <w:jc w:val="left"/>
            </w:pPr>
            <w:r>
              <w:t xml:space="preserve">Chinese hamster ovary</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CV</w:t>
            </w:r>
          </w:p>
        </w:tc>
        <w:tc>
          <w:tcPr/>
          <w:p>
            <w:pPr>
              <w:pStyle w:val="Compact"/>
              <w:jc w:val="left"/>
            </w:pPr>
            <w:r>
              <w:t xml:space="preserve">column volume (as a unit) or coefficient of variation (as %CV)</w:t>
            </w:r>
          </w:p>
        </w:tc>
      </w:tr>
      <w:tr>
        <w:tc>
          <w:tcPr/>
          <w:p>
            <w:pPr>
              <w:pStyle w:val="Compact"/>
              <w:jc w:val="left"/>
            </w:pPr>
            <w:r>
              <w:t xml:space="preserve">DNA</w:t>
            </w:r>
          </w:p>
        </w:tc>
        <w:tc>
          <w:tcPr/>
          <w:p>
            <w:pPr>
              <w:pStyle w:val="Compact"/>
              <w:jc w:val="left"/>
            </w:pPr>
            <w:r>
              <w:t xml:space="preserve">deoxyribonucleic acid</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Fab</w:t>
            </w:r>
          </w:p>
        </w:tc>
        <w:tc>
          <w:tcPr/>
          <w:p>
            <w:pPr>
              <w:pStyle w:val="Compact"/>
              <w:jc w:val="left"/>
            </w:pPr>
            <w:r>
              <w:t xml:space="preserve">antigen-binding fragment</w:t>
            </w:r>
          </w:p>
        </w:tc>
      </w:tr>
      <w:tr>
        <w:tc>
          <w:tcPr/>
          <w:p>
            <w:pPr>
              <w:pStyle w:val="Compact"/>
              <w:jc w:val="left"/>
            </w:pPr>
            <w:r>
              <w:t xml:space="preserve">Fc</w:t>
            </w:r>
          </w:p>
        </w:tc>
        <w:tc>
          <w:tcPr/>
          <w:p>
            <w:pPr>
              <w:pStyle w:val="Compact"/>
              <w:jc w:val="left"/>
            </w:pPr>
            <w:r>
              <w:t xml:space="preserve">crystallizable fragment</w:t>
            </w:r>
          </w:p>
        </w:tc>
      </w:tr>
      <w:tr>
        <w:tc>
          <w:tcPr/>
          <w:p>
            <w:pPr>
              <w:pStyle w:val="Compact"/>
              <w:jc w:val="left"/>
            </w:pPr>
            <w:r>
              <w:t xml:space="preserve">GMP</w:t>
            </w:r>
          </w:p>
        </w:tc>
        <w:tc>
          <w:tcPr/>
          <w:p>
            <w:pPr>
              <w:pStyle w:val="Compact"/>
              <w:jc w:val="left"/>
            </w:pPr>
            <w:r>
              <w:t xml:space="preserve">good manufacturing practice</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HPLC</w:t>
            </w:r>
          </w:p>
        </w:tc>
        <w:tc>
          <w:tcPr/>
          <w:p>
            <w:pPr>
              <w:pStyle w:val="Compact"/>
              <w:jc w:val="left"/>
            </w:pPr>
            <w:r>
              <w:t xml:space="preserve">high performance liquid chromatography</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ln</w:t>
            </w:r>
          </w:p>
        </w:tc>
        <w:tc>
          <w:tcPr/>
          <w:p>
            <w:pPr>
              <w:pStyle w:val="Compact"/>
              <w:jc w:val="left"/>
            </w:pPr>
            <w:r>
              <w:t xml:space="preserve">natural logarithm</w:t>
            </w:r>
          </w:p>
        </w:tc>
      </w:tr>
      <w:tr>
        <w:tc>
          <w:tcPr/>
          <w:p>
            <w:pPr>
              <w:pStyle w:val="Compact"/>
              <w:jc w:val="left"/>
            </w:pPr>
            <w:r>
              <w:t xml:space="preserve">LoF</w:t>
            </w:r>
          </w:p>
        </w:tc>
        <w:tc>
          <w:tcPr/>
          <w:p>
            <w:pPr>
              <w:pStyle w:val="Compact"/>
              <w:jc w:val="left"/>
            </w:pPr>
            <w:r>
              <w:t xml:space="preserve">lack of fit (in table headers)</w:t>
            </w:r>
          </w:p>
        </w:tc>
      </w:tr>
      <w:tr>
        <w:tc>
          <w:tcPr/>
          <w:p>
            <w:pPr>
              <w:pStyle w:val="Compact"/>
              <w:jc w:val="left"/>
            </w:pPr>
            <w:r>
              <w:t xml:space="preserve">LOQ</w:t>
            </w:r>
          </w:p>
        </w:tc>
        <w:tc>
          <w:tcPr/>
          <w:p>
            <w:pPr>
              <w:pStyle w:val="Compact"/>
              <w:jc w:val="left"/>
            </w:pPr>
            <w:r>
              <w:t xml:space="preserve">limit of quantitation</w:t>
            </w:r>
          </w:p>
        </w:tc>
      </w:tr>
      <w:tr>
        <w:tc>
          <w:tcPr/>
          <w:p>
            <w:pPr>
              <w:pStyle w:val="Compact"/>
              <w:jc w:val="left"/>
            </w:pPr>
            <w:r>
              <w:t xml:space="preserve">LPA</w:t>
            </w:r>
          </w:p>
        </w:tc>
        <w:tc>
          <w:tcPr/>
          <w:p>
            <w:pPr>
              <w:pStyle w:val="Compact"/>
              <w:jc w:val="left"/>
            </w:pPr>
            <w:r>
              <w:t xml:space="preserve">leached Protein A (in table headers)</w:t>
            </w:r>
          </w:p>
        </w:tc>
      </w:tr>
      <w:tr>
        <w:tc>
          <w:tcPr/>
          <w:p>
            <w:pPr>
              <w:pStyle w:val="Compact"/>
              <w:jc w:val="left"/>
            </w:pPr>
            <w:r>
              <w:t xml:space="preserve">Mfg</w:t>
            </w:r>
          </w:p>
        </w:tc>
        <w:tc>
          <w:tcPr/>
          <w:p>
            <w:pPr>
              <w:pStyle w:val="Compact"/>
              <w:jc w:val="left"/>
            </w:pPr>
            <w:r>
              <w:t xml:space="preserve">manufacturing scale (in table headers)</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n.a.</w:t>
            </w:r>
          </w:p>
        </w:tc>
        <w:tc>
          <w:tcPr/>
          <w:p>
            <w:pPr>
              <w:pStyle w:val="Compact"/>
              <w:jc w:val="left"/>
            </w:pPr>
            <w:r>
              <w:t xml:space="preserve">not applicable</w:t>
            </w:r>
          </w:p>
        </w:tc>
      </w:tr>
      <w:tr>
        <w:tc>
          <w:tcPr/>
          <w:p>
            <w:pPr>
              <w:pStyle w:val="Compact"/>
              <w:jc w:val="left"/>
            </w:pPr>
            <w:r>
              <w:t xml:space="preserve">n.m.</w:t>
            </w:r>
          </w:p>
        </w:tc>
        <w:tc>
          <w:tcPr/>
          <w:p>
            <w:pPr>
              <w:pStyle w:val="Compact"/>
              <w:jc w:val="left"/>
            </w:pPr>
            <w:r>
              <w:t xml:space="preserve">not meaningful</w:t>
            </w:r>
          </w:p>
        </w:tc>
      </w:tr>
      <w:tr>
        <w:tc>
          <w:tcPr/>
          <w:p>
            <w:pPr>
              <w:pStyle w:val="Compact"/>
              <w:jc w:val="left"/>
            </w:pPr>
            <w:r>
              <w:t xml:space="preserve">n.t.</w:t>
            </w:r>
          </w:p>
        </w:tc>
        <w:tc>
          <w:tcPr/>
          <w:p>
            <w:pPr>
              <w:pStyle w:val="Compact"/>
              <w:jc w:val="left"/>
            </w:pPr>
            <w:r>
              <w:t xml:space="preserve">not tested</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PRESS</w:t>
            </w:r>
          </w:p>
        </w:tc>
        <w:tc>
          <w:tcPr/>
          <w:p>
            <w:pPr>
              <w:pStyle w:val="Compact"/>
              <w:jc w:val="left"/>
            </w:pPr>
            <w:r>
              <w:t xml:space="preserve">prediction error sum of squares</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RMSE</w:t>
            </w:r>
          </w:p>
        </w:tc>
        <w:tc>
          <w:tcPr/>
          <w:p>
            <w:pPr>
              <w:pStyle w:val="Compact"/>
              <w:jc w:val="left"/>
            </w:pPr>
            <w:r>
              <w:t xml:space="preserve">root mean square error</w:t>
            </w:r>
          </w:p>
        </w:tc>
      </w:tr>
      <w:tr>
        <w:tc>
          <w:tcPr/>
          <w:p>
            <w:pPr>
              <w:pStyle w:val="Compact"/>
              <w:jc w:val="left"/>
            </w:pPr>
            <w:r>
              <w:t xml:space="preserve">RSM</w:t>
            </w:r>
          </w:p>
        </w:tc>
        <w:tc>
          <w:tcPr/>
          <w:p>
            <w:pPr>
              <w:pStyle w:val="Compact"/>
              <w:jc w:val="left"/>
            </w:pPr>
            <w:r>
              <w:t xml:space="preserve">response surface methodology</w:t>
            </w:r>
          </w:p>
        </w:tc>
      </w:tr>
      <w:tr>
        <w:tc>
          <w:tcPr/>
          <w:p>
            <w:pPr>
              <w:pStyle w:val="Compact"/>
              <w:jc w:val="left"/>
            </w:pPr>
            <w:r>
              <w:t xml:space="preserve">SDM</w:t>
            </w:r>
          </w:p>
        </w:tc>
        <w:tc>
          <w:tcPr/>
          <w:p>
            <w:pPr>
              <w:pStyle w:val="Compact"/>
              <w:jc w:val="left"/>
            </w:pPr>
            <w:r>
              <w:t xml:space="preserve">scale-down model (in table headers)</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VH3</w:t>
            </w:r>
          </w:p>
        </w:tc>
        <w:tc>
          <w:tcPr/>
          <w:p>
            <w:pPr>
              <w:pStyle w:val="Compact"/>
              <w:jc w:val="left"/>
            </w:pPr>
            <w:r>
              <w:t xml:space="preserve">family 3 of the human heavy chain variable domains</w:t>
            </w:r>
          </w:p>
        </w:tc>
      </w:tr>
      <w:tr>
        <w:tc>
          <w:tcPr/>
          <w:p>
            <w:pPr>
              <w:pStyle w:val="Compact"/>
              <w:jc w:val="left"/>
            </w:pPr>
            <w:r>
              <w:t xml:space="preserve">WC-CPP</w:t>
            </w:r>
          </w:p>
        </w:tc>
        <w:tc>
          <w:tcPr/>
          <w:p>
            <w:pPr>
              <w:pStyle w:val="Compact"/>
              <w:jc w:val="left"/>
            </w:pPr>
            <w:r>
              <w:t xml:space="preserve">well-controlled critical process parameter</w:t>
            </w:r>
          </w:p>
        </w:tc>
      </w:tr>
    </w:tbl>
    <w:p>
      <w:r>
        <w:br w:type="page"/>
      </w:r>
    </w:p>
    <w:bookmarkEnd w:id="22"/>
    <w:bookmarkStart w:id="23" w:name="executive-summary"/>
    <w:p>
      <w:pPr>
        <w:pStyle w:val="Heading1"/>
      </w:pPr>
      <w:r>
        <w:t xml:space="preserve">Executive summary</w:t>
      </w:r>
    </w:p>
    <w:p>
      <w:pPr>
        <w:pStyle w:val="FirstParagraph"/>
      </w:pPr>
      <w:r>
        <w:t xml:space="preserve">This report presents the process characterization of the Protein A chromatography step (Step 5), the capture step of the A-Mab drug substance purification train. It removes most of the host cell protein and DNA of the clarified harvest, and it adds one impurity of its own, Protein A ligand that leaches from the resin. The characterization studies were run under the approved plan PCP-005 in a scale-down model of the commercial column, between 2025-11-05 and 2026-04-17.</w:t>
      </w:r>
    </w:p>
    <w:p>
      <w:pPr>
        <w:pStyle w:val="BodyText"/>
      </w:pPr>
      <w:r>
        <w:t xml:space="preserve">This Version 2.0 re-analyses the experiments of Version 1.0 against the criteria of the master plan PCMP-001 Version 2.0, issued under the investigation INV-001. It adds the fragment results by nrCE-SDS and analyses each response-surface output by model selection, as the investigation INV-002 requires. The normal operating range (NOR) of protein load in force is narrowed from 20–40 to 20–39 g/L resin.</w:t>
      </w:r>
    </w:p>
    <w:p>
      <w:pPr>
        <w:pStyle w:val="BodyText"/>
      </w:pPr>
      <w:r>
        <w:t xml:space="preserve">The step has 6 process parameters. Of these, 4 were studied in a 19-run screening design followed by a 28-run response-surface design, and 2 were studied one factor at a time. Protein load and elution buffer pH were classified as well-controlled critical process parameters (WC-CPPs). Load flow rate and end of pool collect were classified as KPPs, and operating temperature and bed height as GPPs. No parameter of the step is in the class CPP.</w:t>
      </w:r>
    </w:p>
    <w:p>
      <w:pPr>
        <w:pStyle w:val="Compact"/>
        <w:numPr>
          <w:ilvl w:val="0"/>
          <w:numId w:val="1001"/>
        </w:numPr>
      </w:pPr>
      <w:r>
        <w:t xml:space="preserve">F1. The scale-down model is qualified for leached Protein A and, over the NOR in force, for pool host cell protein, which in the scale-down model is 0.973 times its value at manufacturing scale (90 % confidence interval 0.891 to 1.063). Over the protein load NOR as characterized, 20–40 g/L resin, the model is not qualified for pool host cell protein, because with the ratio at the low end of its interval the upper prediction limit of a single run, 17,143 ng/mg, exceeds the criterion. The NOR of protein load in force was therefore narrowed to 20–39 g/L resin. The qualification also rests on the widened criterion and on the 6 set-point runs added during the re-analysis (PD-005-01), and the selected model decides it (</w:t>
      </w:r>
      <w:hyperlink w:anchor="sec-rsm-hcp">
        <w:r>
          <w:rPr>
            <w:rStyle w:val="Hyperlink"/>
          </w:rPr>
          <w:t xml:space="preserve">Section 5.3.1</w:t>
        </w:r>
      </w:hyperlink>
      <w:r>
        <w:t xml:space="preserve">). Leached Protein A is 1.18 ppm lower in the scale-down model, as expected from the longer hold of the load at manufacturing scale. Fragments were not compared at the two scales (</w:t>
      </w:r>
      <w:hyperlink w:anchor="sec-sdm">
        <w:r>
          <w:rPr>
            <w:rStyle w:val="Hyperlink"/>
          </w:rPr>
          <w:t xml:space="preserve">Section 3.1</w:t>
        </w:r>
      </w:hyperlink>
      <w:r>
        <w:t xml:space="preserve">).</w:t>
      </w:r>
    </w:p>
    <w:p>
      <w:pPr>
        <w:pStyle w:val="Compact"/>
        <w:numPr>
          <w:ilvl w:val="0"/>
          <w:numId w:val="1001"/>
        </w:numPr>
      </w:pPr>
      <w:r>
        <w:t xml:space="preserve">F2. Each output of the response-surface design was analysed by model selection (PD-005-04), and each selected model meets the adequacy criteria of PCP-005 §7 on lack of fit and predictive power. Pool host cell protein is modelled on the log scale (</w:t>
      </w:r>
      <w:hyperlink w:anchor="sec-stats">
        <w:r>
          <w:rPr>
            <w:rStyle w:val="Hyperlink"/>
          </w:rPr>
          <w:t xml:space="preserve">Section 3.5</w:t>
        </w:r>
      </w:hyperlink>
      <w:r>
        <w:t xml:space="preserve">,</w:t>
      </w:r>
      <w:r>
        <w:t xml:space="preserve"> </w:t>
      </w:r>
      <w:hyperlink w:anchor="sec-rsm">
        <w:r>
          <w:rPr>
            <w:rStyle w:val="Hyperlink"/>
          </w:rPr>
          <w:t xml:space="preserve">Section 5.3</w:t>
        </w:r>
      </w:hyperlink>
      <w:r>
        <w:t xml:space="preserve">).</w:t>
      </w:r>
    </w:p>
    <w:p>
      <w:pPr>
        <w:pStyle w:val="Compact"/>
        <w:numPr>
          <w:ilvl w:val="0"/>
          <w:numId w:val="1001"/>
        </w:numPr>
      </w:pPr>
      <w:r>
        <w:t xml:space="preserve">F3. Pool host cell protein rises with protein load and as elution buffer pH falls, by factors of 2.43 and 3.30 across the ranges studied. The two effects multiply. Whether a further interaction of the two exists on the log scale the data do not decide. Pool host cell protein falls by 15 % as the end of pool collect is extended across its range (</w:t>
      </w:r>
      <w:hyperlink w:anchor="sec-rsm-hcp">
        <w:r>
          <w:rPr>
            <w:rStyle w:val="Hyperlink"/>
          </w:rPr>
          <w:t xml:space="preserve">Section 5.3.1</w:t>
        </w:r>
      </w:hyperlink>
      <w:r>
        <w:t xml:space="preserve">).</w:t>
      </w:r>
    </w:p>
    <w:p>
      <w:pPr>
        <w:pStyle w:val="Compact"/>
        <w:numPr>
          <w:ilvl w:val="0"/>
          <w:numId w:val="1001"/>
        </w:numPr>
      </w:pPr>
      <w:r>
        <w:t xml:space="preserve">F4. Step yield rises with end of pool collect and levels off towards the upper end of its range. It falls with protein load, and load flow rate lowers it only at high load (</w:t>
      </w:r>
      <w:hyperlink w:anchor="sec-rsm-yield">
        <w:r>
          <w:rPr>
            <w:rStyle w:val="Hyperlink"/>
          </w:rPr>
          <w:t xml:space="preserve">Section 5.3.2</w:t>
        </w:r>
      </w:hyperlink>
      <w:r>
        <w:t xml:space="preserve">).</w:t>
      </w:r>
    </w:p>
    <w:p>
      <w:pPr>
        <w:pStyle w:val="Compact"/>
        <w:numPr>
          <w:ilvl w:val="0"/>
          <w:numId w:val="1001"/>
        </w:numPr>
      </w:pPr>
      <w:r>
        <w:t xml:space="preserve">F5. Leached Protein A does not depend on the 4 parameters of the multivariate design by more than the design resolves. This rests on the re-assay of run 11 (DEV-005-02). Every run met the criterion of ≤ 158 ppm at manufacturing scale, the highest at 5.79 ppm (</w:t>
      </w:r>
      <w:hyperlink w:anchor="sec-rsm-lpa">
        <w:r>
          <w:rPr>
            <w:rStyle w:val="Hyperlink"/>
          </w:rPr>
          <w:t xml:space="preserve">Section 5.3.3</w:t>
        </w:r>
      </w:hyperlink>
      <w:r>
        <w:t xml:space="preserve">).</w:t>
      </w:r>
    </w:p>
    <w:p>
      <w:pPr>
        <w:pStyle w:val="Compact"/>
        <w:numPr>
          <w:ilvl w:val="0"/>
          <w:numId w:val="1001"/>
        </w:numPr>
      </w:pPr>
      <w:r>
        <w:t xml:space="preserve">F6. Fragments by nrCE-SDS fall slightly as elution buffer pH rises, by 0.11 percentage points across its range studied. All 28 pools of the response-surface design met the criterion of ≤ 2.45 %, the highest at 1.09 % (</w:t>
      </w:r>
      <w:hyperlink w:anchor="sec-rsm-frag">
        <w:r>
          <w:rPr>
            <w:rStyle w:val="Hyperlink"/>
          </w:rPr>
          <w:t xml:space="preserve">Section 5.3.4</w:t>
        </w:r>
      </w:hyperlink>
      <w:r>
        <w:t xml:space="preserve">).</w:t>
      </w:r>
    </w:p>
    <w:p>
      <w:pPr>
        <w:pStyle w:val="Compact"/>
        <w:numPr>
          <w:ilvl w:val="0"/>
          <w:numId w:val="1001"/>
        </w:numPr>
      </w:pPr>
      <w:r>
        <w:t xml:space="preserve">F7. Each of the 3 outputs with a criterion met it across the NOR in force. The criterion for pool host cell protein, ≤ 17,069 ng/mg, is 7 % wider than its a priori value, because the one-sided 95 % prediction bound of a single batch for the host cell protein clearance of anion exchange is better than its platform worst case. The change is the producer’s risk, and an excursion would be detected at release of the drug substance (</w:t>
      </w:r>
      <w:hyperlink w:anchor="sec-par">
        <w:r>
          <w:rPr>
            <w:rStyle w:val="Hyperlink"/>
          </w:rPr>
          <w:t xml:space="preserve">Section 7</w:t>
        </w:r>
      </w:hyperlink>
      <w:r>
        <w:t xml:space="preserve">). Every NOR-propagated PAR spans the range studied of its parameter, except that of elution buffer pH for pool host cell protein, 3.21–3.9. On the upper prediction limit of a single run, pool host cell protein exceeds its criterion only at high load combined with low pH, never with every parameter inside its NOR (</w:t>
      </w:r>
      <w:hyperlink w:anchor="sec-ds">
        <w:r>
          <w:rPr>
            <w:rStyle w:val="Hyperlink"/>
          </w:rPr>
          <w:t xml:space="preserve">Section 6</w:t>
        </w:r>
      </w:hyperlink>
      <w:r>
        <w:t xml:space="preserve">).</w:t>
      </w:r>
    </w:p>
    <w:p>
      <w:pPr>
        <w:pStyle w:val="Compact"/>
        <w:numPr>
          <w:ilvl w:val="0"/>
          <w:numId w:val="1001"/>
        </w:numPr>
      </w:pPr>
      <w:r>
        <w:t xml:space="preserve">F8. Criterion 5 of PCP-005 §7, on residual trends and influential runs, is met except for leached Protein A and fragments, whose residual trends are small against their criteria (PD-005-02). With each run above 4/n deleted in turn the conclusion over the NOR is the same for every output with a criterion (</w:t>
      </w:r>
      <w:hyperlink w:anchor="sec-resid">
        <w:r>
          <w:rPr>
            <w:rStyle w:val="Hyperlink"/>
          </w:rPr>
          <w:t xml:space="preserve">Section 5.5</w:t>
        </w:r>
      </w:hyperlink>
      <w:r>
        <w:t xml:space="preserve">).</w:t>
      </w:r>
    </w:p>
    <w:p>
      <w:pPr>
        <w:pStyle w:val="Compact"/>
        <w:numPr>
          <w:ilvl w:val="0"/>
          <w:numId w:val="1001"/>
        </w:numPr>
      </w:pPr>
      <w:r>
        <w:t xml:space="preserve">F9. In a hold study made during the Version 2.0 re-analysis (PD-005-05), one eluate made at set-point was held at elution pH for 7 days at 2-8 °C or 21 °C. What the hold added kept aggregate, acidic variants and fragments within the upper limits of the low-pH inactivation load. Acidic variants can enter the hold below their lower limit of 18 % at the least favourable corner of the production bioreactor NOR, a result of PCR-003, and the hold does not lower them (</w:t>
      </w:r>
      <w:hyperlink w:anchor="sec-hold">
        <w:r>
          <w:rPr>
            <w:rStyle w:val="Hyperlink"/>
          </w:rPr>
          <w:t xml:space="preserve">Section 5.7</w:t>
        </w:r>
      </w:hyperlink>
      <w:r>
        <w:t xml:space="preserve">).</w:t>
      </w:r>
    </w:p>
    <w:p>
      <w:pPr>
        <w:pStyle w:val="Compact"/>
        <w:numPr>
          <w:ilvl w:val="0"/>
          <w:numId w:val="1001"/>
        </w:numPr>
      </w:pPr>
      <w:r>
        <w:t xml:space="preserve">F10. No difference from the set-point runs was detected in pool host cell protein, step yield or leached Protein A at either end of the ranges of operating temperature and bed height, and each of these results met its criterion. Fragments were not measured by nrCE-SDS in this study (</w:t>
      </w:r>
      <w:hyperlink w:anchor="sec-uni">
        <w:r>
          <w:rPr>
            <w:rStyle w:val="Hyperlink"/>
          </w:rPr>
          <w:t xml:space="preserve">Section 5.6</w:t>
        </w:r>
      </w:hyperlink>
      <w:r>
        <w:t xml:space="preserve">).</w:t>
      </w:r>
    </w:p>
    <w:p>
      <w:pPr>
        <w:pStyle w:val="Compact"/>
        <w:numPr>
          <w:ilvl w:val="0"/>
          <w:numId w:val="1001"/>
        </w:numPr>
      </w:pPr>
      <w:r>
        <w:t xml:space="preserve">F11. The effect of end of pool collect on pool host cell protein has opposite signs in the screening and the response-surface designs. The difference is larger than the noise of the screening design, and its cause was not identified (</w:t>
      </w:r>
      <w:hyperlink w:anchor="sec-rsm-hcp">
        <w:r>
          <w:rPr>
            <w:rStyle w:val="Hyperlink"/>
          </w:rPr>
          <w:t xml:space="preserve">Section 5.3.1</w:t>
        </w:r>
      </w:hyperlink>
      <w:r>
        <w:t xml:space="preserve">).</w:t>
      </w:r>
    </w:p>
    <w:p>
      <w:pPr>
        <w:pStyle w:val="FirstParagraph"/>
      </w:pPr>
      <w:r>
        <w:t xml:space="preserve">At commercial scale the integrated process model gives a Cpk of 6.17 for host cell protein and 10.62 for fragments in the drug substance, above the target of 1.33 of PCMP-001 §7.9. No simulated batch of 2,000 fell outside the drug substance criterion for host cell protein, leached Protein A, fragments or residual DNA (</w:t>
      </w:r>
      <w:hyperlink w:anchor="sec-cap">
        <w:r>
          <w:rPr>
            <w:rStyle w:val="Hyperlink"/>
          </w:rPr>
          <w:t xml:space="preserve">Section 8</w:t>
        </w:r>
      </w:hyperlink>
      <w:r>
        <w:t xml:space="preserve">).</w:t>
      </w:r>
    </w:p>
    <w:p>
      <w:pPr>
        <w:pStyle w:val="BodyText"/>
      </w:pPr>
      <w:r>
        <w:t xml:space="preserve">The 5 deviations of the step (DEV-005-01 to DEV-005-05) were assessed, and none changes the judgement of an output against its criterion. The report also records 6 discrepancies from the plan (</w:t>
      </w:r>
      <w:hyperlink w:anchor="sec-dev">
        <w:r>
          <w:rPr>
            <w:rStyle w:val="Hyperlink"/>
          </w:rPr>
          <w:t xml:space="preserve">Section 13</w:t>
        </w:r>
      </w:hyperlink>
      <w:r>
        <w:t xml:space="preserve">), and its results roll up into PCMR-001.</w:t>
      </w:r>
    </w:p>
    <w:bookmarkEnd w:id="23"/>
    <w:bookmarkStart w:id="30" w:name="introduction"/>
    <w:p>
      <w:pPr>
        <w:pStyle w:val="Heading1"/>
      </w:pPr>
      <w:r>
        <w:t xml:space="preserve">1. Introduction</w:t>
      </w:r>
    </w:p>
    <w:bookmarkStart w:id="24" w:name="product-and-unit-operation"/>
    <w:p>
      <w:pPr>
        <w:pStyle w:val="Heading2"/>
      </w:pPr>
      <w:r>
        <w:t xml:space="preserve">1.1 Product and unit operation</w:t>
      </w:r>
    </w:p>
    <w:p>
      <w:pPr>
        <w:pStyle w:val="FirstParagraph"/>
      </w:pPr>
      <w:r>
        <w:t xml:space="preserve">A-Mab is a humanized IgG1 monoclonal antibody whose primary mechanism of action is antibody-dependent cell-mediated cytotoxicity. It is developed by Novacyte Biologics and is being transferred from development at the sending site to commercial drug substance manufacture at 15,000 L scale at the receiving site, under the Process Transfer Plan PTP-001. The drug substance is purified by the platform train of Protein A capture, low-pH viral inactivation, cation exchange, anion exchange, small virus retentive filtration and UF/DF.</w:t>
      </w:r>
    </w:p>
    <w:p>
      <w:pPr>
        <w:pStyle w:val="BodyText"/>
      </w:pPr>
      <w:r>
        <w:t xml:space="preserve">Protein A chromatography is the first chromatographic step of the purification train. It is operated in bind and elute mode. The resin binds the antibody from the clarified harvest at neutral pH, while host cell protein, DNA and most other components of the feed are removed in the load flow-through and the wash. A low-pH buffer elutes the antibody into a small volume, and the eluate passes to low-pH viral inactivation (Step 6) without neutralization. The step is the principal point of clearance for host cell protein and DNA, and it partly clears fragments. It introduces one attribute of the CQA register, leached Protein A. Although Protein A chromatography removes some virus, no viral clearance claim is made for this step</w:t>
      </w:r>
      <w:r>
        <w:t xml:space="preserve"> </w:t>
      </w:r>
      <w:r>
        <w:t xml:space="preserve">(CMC Biotech Working Group 2009)</w:t>
      </w:r>
      <w:r>
        <w:t xml:space="preserve">. The viral clearance claim of the process rests on low-pH inactivation, anion exchange and virus filtration, and it is consolidated in PCMR-001.</w:t>
      </w:r>
    </w:p>
    <w:bookmarkEnd w:id="24"/>
    <w:bookmarkStart w:id="25" w:name="objectives"/>
    <w:p>
      <w:pPr>
        <w:pStyle w:val="Heading2"/>
      </w:pPr>
      <w:r>
        <w:t xml:space="preserve">1.2 Objectives</w:t>
      </w:r>
    </w:p>
    <w:p>
      <w:pPr>
        <w:pStyle w:val="FirstParagraph"/>
      </w:pPr>
      <w:r>
        <w:t xml:space="preserve">The objectives of the characterization were the following, as PCP-005 §2 states them.</w:t>
      </w:r>
    </w:p>
    <w:p>
      <w:pPr>
        <w:pStyle w:val="Compact"/>
        <w:numPr>
          <w:ilvl w:val="0"/>
          <w:numId w:val="1002"/>
        </w:numPr>
      </w:pPr>
      <w:r>
        <w:t xml:space="preserve">Quantify the effect of each characterized parameter on pool host cell protein, on step yield and on leached Protein A, over the ranges given in PCP-005 §6.1.</w:t>
      </w:r>
    </w:p>
    <w:p>
      <w:pPr>
        <w:pStyle w:val="Compact"/>
        <w:numPr>
          <w:ilvl w:val="0"/>
          <w:numId w:val="1002"/>
        </w:numPr>
      </w:pPr>
      <w:r>
        <w:t xml:space="preserve">Define the region of the characterized space within which the quality attributes this step controls are predicted to remain within their acceptance criteria.</w:t>
      </w:r>
    </w:p>
    <w:p>
      <w:pPr>
        <w:pStyle w:val="Compact"/>
        <w:numPr>
          <w:ilvl w:val="0"/>
          <w:numId w:val="1002"/>
        </w:numPr>
      </w:pPr>
      <w:r>
        <w:t xml:space="preserve">Establish a proven acceptable range for each parameter and each quality attribute the step controls, both with the other parameters at their set-points and with the other parameters varying within their normal operating ranges.</w:t>
      </w:r>
    </w:p>
    <w:p>
      <w:pPr>
        <w:pStyle w:val="Compact"/>
        <w:numPr>
          <w:ilvl w:val="0"/>
          <w:numId w:val="1002"/>
        </w:numPr>
      </w:pPr>
      <w:r>
        <w:t xml:space="preserve">Provide the demonstrated effects and the operating region from which each parameter will be classified under SOP-4001.</w:t>
      </w:r>
    </w:p>
    <w:p>
      <w:pPr>
        <w:pStyle w:val="Compact"/>
        <w:numPr>
          <w:ilvl w:val="0"/>
          <w:numId w:val="1002"/>
        </w:numPr>
      </w:pPr>
      <w:r>
        <w:t xml:space="preserve">Justify the parameter ranges carried into Stage 2 and the contribution this step makes to the control strategy of the drug substance process.</w:t>
      </w:r>
    </w:p>
    <w:p>
      <w:pPr>
        <w:pStyle w:val="Compact"/>
        <w:numPr>
          <w:ilvl w:val="0"/>
          <w:numId w:val="1002"/>
        </w:numPr>
      </w:pPr>
      <w:r>
        <w:t xml:space="preserve">Estimate, before the first characterization run, the offset between the scale-down model and manufacturing scale for each quantity that the qualification compares, and qualify the model by that offset for pool host cell protein and leached Protein A (PCP-005 §5.1).</w:t>
      </w:r>
    </w:p>
    <w:p>
      <w:pPr>
        <w:pStyle w:val="Compact"/>
        <w:numPr>
          <w:ilvl w:val="0"/>
          <w:numId w:val="1002"/>
        </w:numPr>
      </w:pPr>
      <w:r>
        <w:t xml:space="preserve">Fit response-surface models for pool host cell protein, step yield, leached Protein A and fragments by nrCE-SDS over the ranges studied, and judge their adequacy for prediction.</w:t>
      </w:r>
    </w:p>
    <w:p>
      <w:pPr>
        <w:pStyle w:val="FirstParagraph"/>
      </w:pPr>
      <w:r>
        <w:t xml:space="preserve">Objectives 1 to 5 are those of Version 1.0. Objectives 6 and 7 were added at Version 2.0, which also adds fragments to objectives 1 and 3 and states the ranges of objective 3 at manufacturing scale for pool host cell protein and leached Protein A. Objective 1 is answered in</w:t>
      </w:r>
      <w:r>
        <w:t xml:space="preserve"> </w:t>
      </w:r>
      <w:hyperlink w:anchor="sec-rsm">
        <w:r>
          <w:rPr>
            <w:rStyle w:val="Hyperlink"/>
          </w:rPr>
          <w:t xml:space="preserve">Section 5.3</w:t>
        </w:r>
      </w:hyperlink>
      <w:r>
        <w:t xml:space="preserve"> </w:t>
      </w:r>
      <w:r>
        <w:t xml:space="preserve">and</w:t>
      </w:r>
      <w:r>
        <w:t xml:space="preserve"> </w:t>
      </w:r>
      <w:hyperlink w:anchor="sec-uni">
        <w:r>
          <w:rPr>
            <w:rStyle w:val="Hyperlink"/>
          </w:rPr>
          <w:t xml:space="preserve">Section 5.6</w:t>
        </w:r>
      </w:hyperlink>
      <w:r>
        <w:t xml:space="preserve">, objective 2 in</w:t>
      </w:r>
      <w:r>
        <w:t xml:space="preserve"> </w:t>
      </w:r>
      <w:hyperlink w:anchor="sec-ds">
        <w:r>
          <w:rPr>
            <w:rStyle w:val="Hyperlink"/>
          </w:rPr>
          <w:t xml:space="preserve">Section 6</w:t>
        </w:r>
      </w:hyperlink>
      <w:r>
        <w:t xml:space="preserve">, objective 3 in</w:t>
      </w:r>
      <w:r>
        <w:t xml:space="preserve"> </w:t>
      </w:r>
      <w:hyperlink w:anchor="sec-par">
        <w:r>
          <w:rPr>
            <w:rStyle w:val="Hyperlink"/>
          </w:rPr>
          <w:t xml:space="preserve">Section 7</w:t>
        </w:r>
      </w:hyperlink>
      <w:r>
        <w:t xml:space="preserve">, objective 4 in</w:t>
      </w:r>
      <w:r>
        <w:t xml:space="preserve"> </w:t>
      </w:r>
      <w:hyperlink w:anchor="sec-class">
        <w:r>
          <w:rPr>
            <w:rStyle w:val="Hyperlink"/>
          </w:rPr>
          <w:t xml:space="preserve">Section 9</w:t>
        </w:r>
      </w:hyperlink>
      <w:r>
        <w:t xml:space="preserve">, objective 5 in</w:t>
      </w:r>
      <w:r>
        <w:t xml:space="preserve"> </w:t>
      </w:r>
      <w:hyperlink w:anchor="sec-par">
        <w:r>
          <w:rPr>
            <w:rStyle w:val="Hyperlink"/>
          </w:rPr>
          <w:t xml:space="preserve">Section 7</w:t>
        </w:r>
      </w:hyperlink>
      <w:r>
        <w:t xml:space="preserve"> </w:t>
      </w:r>
      <w:r>
        <w:t xml:space="preserve">and</w:t>
      </w:r>
      <w:r>
        <w:t xml:space="preserve"> </w:t>
      </w:r>
      <w:hyperlink w:anchor="sec-cs">
        <w:r>
          <w:rPr>
            <w:rStyle w:val="Hyperlink"/>
          </w:rPr>
          <w:t xml:space="preserve">Section 10</w:t>
        </w:r>
      </w:hyperlink>
      <w:r>
        <w:t xml:space="preserve">, objective 6 in</w:t>
      </w:r>
      <w:r>
        <w:t xml:space="preserve"> </w:t>
      </w:r>
      <w:hyperlink w:anchor="sec-sdm">
        <w:r>
          <w:rPr>
            <w:rStyle w:val="Hyperlink"/>
          </w:rPr>
          <w:t xml:space="preserve">Section 3.1</w:t>
        </w:r>
      </w:hyperlink>
      <w:r>
        <w:t xml:space="preserve"> </w:t>
      </w:r>
      <w:r>
        <w:t xml:space="preserve">and objective 7 in</w:t>
      </w:r>
      <w:r>
        <w:t xml:space="preserve"> </w:t>
      </w:r>
      <w:hyperlink w:anchor="sec-rsm">
        <w:r>
          <w:rPr>
            <w:rStyle w:val="Hyperlink"/>
          </w:rPr>
          <w:t xml:space="preserve">Section 5.3</w:t>
        </w:r>
      </w:hyperlink>
      <w:r>
        <w:t xml:space="preserve">.</w:t>
      </w:r>
    </w:p>
    <w:p>
      <w:pPr>
        <w:pStyle w:val="BodyText"/>
      </w:pPr>
      <w:r>
        <w:t xml:space="preserve">The hold study of the eluate was not an objective of PCP-005. It was made during the Version 2.0 re-analysis and is recorded as the discrepancy PD-005-05 (</w:t>
      </w:r>
      <w:hyperlink w:anchor="sec-pd05">
        <w:r>
          <w:rPr>
            <w:rStyle w:val="Hyperlink"/>
          </w:rPr>
          <w:t xml:space="preserve">Section 13.6.2</w:t>
        </w:r>
      </w:hyperlink>
      <w:r>
        <w:t xml:space="preserve">).</w:t>
      </w:r>
    </w:p>
    <w:bookmarkEnd w:id="25"/>
    <w:bookmarkStart w:id="27" w:name="regulatory-and-scientific-basis"/>
    <w:p>
      <w:pPr>
        <w:pStyle w:val="Heading2"/>
      </w:pPr>
      <w:r>
        <w:t xml:space="preserve">1.3 Regulatory and scientific basis</w:t>
      </w:r>
    </w:p>
    <w:p>
      <w:pPr>
        <w:pStyle w:val="FirstParagraph"/>
      </w:pPr>
      <w:r>
        <w:t xml:space="preserve">The study is part of Stage 1 (process design) of the lifecycle approach to process validation</w:t>
      </w:r>
      <w:r>
        <w:t xml:space="preserve"> </w:t>
      </w:r>
      <w:r>
        <w:t xml:space="preserve">(U.S. Food and Drug Administration 2011)</w:t>
      </w:r>
      <w:r>
        <w:t xml:space="preserve">. It follows the enhanced approach of ICH Q8(R2) and ICH Q11</w:t>
      </w:r>
      <w:r>
        <w:t xml:space="preserve"> </w:t>
      </w:r>
      <w:r>
        <w:t xml:space="preserve">(International Council for Harmonisation 2009, 2012)</w:t>
      </w:r>
      <w:r>
        <w:t xml:space="preserve">, in which prior knowledge and risk assessment identify the parameters that may affect quality, and designed experiments then measure and bound those effects. Criticality is treated as a continuum, as ICH Q8(R2) describes it, and risk is managed under ICH Q9</w:t>
      </w:r>
      <w:r>
        <w:t xml:space="preserve"> </w:t>
      </w:r>
      <w:r>
        <w:t xml:space="preserve">(International Council for Harmonisation 2023)</w:t>
      </w:r>
      <w:r>
        <w:t xml:space="preserve">. The classification of parameters follows the decision logic of the A-Mab case study</w:t>
      </w:r>
      <w:r>
        <w:t xml:space="preserve"> </w:t>
      </w:r>
      <w:r>
        <w:t xml:space="preserve">(CMC Biotech Working Group 2009)</w:t>
      </w:r>
      <w:r>
        <w:t xml:space="preserve">, as PCMP-001 §7.7 applies it.</w:t>
      </w:r>
      <w:r>
        <w:t xml:space="preserve"> </w:t>
      </w:r>
      <w:hyperlink w:anchor="tbl-related">
        <w:r>
          <w:rPr>
            <w:rStyle w:val="Hyperlink"/>
          </w:rPr>
          <w:t xml:space="preserve">Table 1</w:t>
        </w:r>
      </w:hyperlink>
      <w:r>
        <w:t xml:space="preserve"> </w:t>
      </w:r>
      <w:r>
        <w:t xml:space="preserve">lists the documents this report depends on and feeds.</w:t>
      </w:r>
    </w:p>
    <w:tbl>
      <w:tblPr>
        <w:tblStyle w:val="Table"/>
        <w:tblW w:type="pct" w:w="5000"/>
        <w:tblLayout w:type="fixed"/>
        <w:tblLook w:firstRow="0" w:lastRow="0" w:firstColumn="0" w:lastColumn="0" w:noHBand="0" w:noVBand="0" w:val="0000"/>
      </w:tblPr>
      <w:tblGrid>
        <w:gridCol w:w="7920"/>
      </w:tblGrid>
      <w:tr>
        <w:tc>
          <w:tcPr/>
          <w:bookmarkStart w:id="26" w:name="tbl-related"/>
          <w:p>
            <w:pPr>
              <w:jc w:val="center"/>
            </w:pPr>
            <w:pPr>
              <w:jc w:val="start"/>
              <w:spacing w:before="200"/>
              <w:pStyle w:val="ImageCaption"/>
            </w:pPr>
            <w:r>
              <w:t xml:space="preserve">Table 1: Documents related to this report.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Document ID</w:t>
                  </w:r>
                </w:p>
              </w:tc>
              <w:tc>
                <w:tcPr/>
                <w:p>
                  <w:pPr>
                    <w:pStyle w:val="Compact"/>
                    <w:jc w:val="center"/>
                  </w:pPr>
                  <w:r>
                    <w:t xml:space="preserve">Title</w:t>
                  </w:r>
                </w:p>
              </w:tc>
              <w:tc>
                <w:tcPr/>
                <w:p>
                  <w:pPr>
                    <w:pStyle w:val="Compact"/>
                    <w:jc w:val="center"/>
                  </w:pPr>
                  <w:r>
                    <w:t xml:space="preserve">Relationship</w:t>
                  </w:r>
                </w:p>
              </w:tc>
            </w:tr>
            <w:tr>
              <w:tc>
                <w:tcPr/>
                <w:p>
                  <w:pPr>
                    <w:pStyle w:val="Compact"/>
                    <w:jc w:val="center"/>
                  </w:pPr>
                  <w:r>
                    <w:t xml:space="preserve">PTP-001</w:t>
                  </w:r>
                </w:p>
              </w:tc>
              <w:tc>
                <w:tcPr/>
                <w:p>
                  <w:pPr>
                    <w:pStyle w:val="Compact"/>
                    <w:jc w:val="center"/>
                  </w:pPr>
                  <w:r>
                    <w:t xml:space="preserve">Process Transfer Plan (A-Mab Drug Substance)</w:t>
                  </w:r>
                </w:p>
              </w:tc>
              <w:tc>
                <w:tcPr/>
                <w:p>
                  <w:pPr>
                    <w:pStyle w:val="Compact"/>
                    <w:jc w:val="center"/>
                  </w:pPr>
                  <w:r>
                    <w:t xml:space="preserve">Parent — transfer scope</w:t>
                  </w:r>
                </w:p>
              </w:tc>
            </w:tr>
            <w:tr>
              <w:tc>
                <w:tcPr/>
                <w:p>
                  <w:pPr>
                    <w:pStyle w:val="Compact"/>
                    <w:jc w:val="center"/>
                  </w:pPr>
                  <w:r>
                    <w:t xml:space="preserve">RA-001</w:t>
                  </w:r>
                </w:p>
              </w:tc>
              <w:tc>
                <w:tcPr/>
                <w:p>
                  <w:pPr>
                    <w:pStyle w:val="Compact"/>
                    <w:jc w:val="center"/>
                  </w:pPr>
                  <w:r>
                    <w:t xml:space="preserve">Pre-Characterization Process Risk Assessment (A-Mab Drug Substance)</w:t>
                  </w:r>
                </w:p>
              </w:tc>
              <w:tc>
                <w:tcPr/>
                <w:p>
                  <w:pPr>
                    <w:pStyle w:val="Compact"/>
                    <w:jc w:val="center"/>
                  </w:pPr>
                  <w:r>
                    <w:t xml:space="preserve">Parent — risk basis for study scope</w:t>
                  </w:r>
                </w:p>
              </w:tc>
            </w:tr>
            <w:tr>
              <w:tc>
                <w:tcPr/>
                <w:p>
                  <w:pPr>
                    <w:pStyle w:val="Compact"/>
                    <w:jc w:val="center"/>
                  </w:pPr>
                  <w:r>
                    <w:t xml:space="preserve">PCMP-001</w:t>
                  </w:r>
                </w:p>
              </w:tc>
              <w:tc>
                <w:tcPr/>
                <w:p>
                  <w:pPr>
                    <w:pStyle w:val="Compact"/>
                    <w:jc w:val="center"/>
                  </w:pPr>
                  <w:r>
                    <w:t xml:space="preserve">Process Characterization Master Plan (A-Mab Drug Substance)</w:t>
                  </w:r>
                </w:p>
              </w:tc>
              <w:tc>
                <w:tcPr/>
                <w:p>
                  <w:pPr>
                    <w:pStyle w:val="Compact"/>
                    <w:jc w:val="center"/>
                  </w:pPr>
                  <w:r>
                    <w:t xml:space="preserve">Parent — master plan</w:t>
                  </w:r>
                </w:p>
              </w:tc>
            </w:tr>
            <w:tr>
              <w:tc>
                <w:tcPr/>
                <w:p>
                  <w:pPr>
                    <w:pStyle w:val="Compact"/>
                    <w:jc w:val="center"/>
                  </w:pPr>
                  <w:r>
                    <w:t xml:space="preserve">PCP-005</w:t>
                  </w:r>
                </w:p>
              </w:tc>
              <w:tc>
                <w:tcPr/>
                <w:p>
                  <w:pPr>
                    <w:pStyle w:val="Compact"/>
                    <w:jc w:val="center"/>
                  </w:pPr>
                  <w:r>
                    <w:t xml:space="preserve">Process Characterization Plan (Protein A Chromatography (Step 5))</w:t>
                  </w:r>
                </w:p>
              </w:tc>
              <w:tc>
                <w:tcPr/>
                <w:p>
                  <w:pPr>
                    <w:pStyle w:val="Compact"/>
                    <w:jc w:val="center"/>
                  </w:pPr>
                  <w:r>
                    <w:t xml:space="preserve">Sibling — paired document</w:t>
                  </w:r>
                </w:p>
              </w:tc>
            </w:tr>
            <w:tr>
              <w:tc>
                <w:tcPr/>
                <w:p>
                  <w:pPr>
                    <w:pStyle w:val="Compact"/>
                    <w:jc w:val="center"/>
                  </w:pPr>
                  <w:r>
                    <w:t xml:space="preserve">PCMR-001</w:t>
                  </w:r>
                </w:p>
              </w:tc>
              <w:tc>
                <w:tcPr/>
                <w:p>
                  <w:pPr>
                    <w:pStyle w:val="Compact"/>
                    <w:jc w:val="center"/>
                  </w:pPr>
                  <w:r>
                    <w:t xml:space="preserve">Process Characterization Master Report (A-Mab Drug Substance)</w:t>
                  </w:r>
                </w:p>
              </w:tc>
              <w:tc>
                <w:tcPr/>
                <w:p>
                  <w:pPr>
                    <w:pStyle w:val="Compact"/>
                    <w:jc w:val="center"/>
                  </w:pPr>
                  <w:r>
                    <w:t xml:space="preserve">Rolls up into</w:t>
                  </w:r>
                </w:p>
              </w:tc>
            </w:tr>
            <w:tr>
              <w:tc>
                <w:tcPr/>
                <w:p>
                  <w:pPr>
                    <w:pStyle w:val="Compact"/>
                    <w:jc w:val="center"/>
                  </w:pPr>
                  <w:r>
                    <w:t xml:space="preserve">INV-001</w:t>
                  </w:r>
                </w:p>
              </w:tc>
              <w:tc>
                <w:tcPr/>
                <w:p>
                  <w:pPr>
                    <w:pStyle w:val="Compact"/>
                    <w:jc w:val="center"/>
                  </w:pPr>
                  <w:r>
                    <w:t xml:space="preserve">Investigation Report (Acceptance criteria for proven-acceptable-range analysis set after data review)</w:t>
                  </w:r>
                </w:p>
              </w:tc>
              <w:tc>
                <w:tcPr/>
                <w:p>
                  <w:pPr>
                    <w:pStyle w:val="Compact"/>
                    <w:jc w:val="center"/>
                  </w:pPr>
                  <w:r>
                    <w:t xml:space="preserve">Reason for this revision</w:t>
                  </w:r>
                </w:p>
              </w:tc>
            </w:tr>
            <w:tr>
              <w:tc>
                <w:tcPr/>
                <w:p>
                  <w:pPr>
                    <w:pStyle w:val="Compact"/>
                    <w:jc w:val="center"/>
                  </w:pPr>
                  <w:r>
                    <w:t xml:space="preserve">INV-002</w:t>
                  </w:r>
                </w:p>
              </w:tc>
              <w:tc>
                <w:tcPr/>
                <w:p>
                  <w:pPr>
                    <w:pStyle w:val="Compact"/>
                    <w:jc w:val="center"/>
                  </w:pPr>
                  <w:r>
                    <w:t xml:space="preserve">Investigation Report (Response-surface models below the model-adequacy criteria of PCMP-001 Version 2.0)</w:t>
                  </w:r>
                </w:p>
              </w:tc>
              <w:tc>
                <w:tcPr/>
                <w:p>
                  <w:pPr>
                    <w:pStyle w:val="Compact"/>
                    <w:jc w:val="center"/>
                  </w:pPr>
                  <w:r>
                    <w:t xml:space="preserve">Model adequacy of the response-surface designs</w:t>
                  </w:r>
                </w:p>
              </w:tc>
            </w:tr>
          </w:tbl>
          <w:bookmarkEnd w:id="26"/>
          <w:p/>
        </w:tc>
      </w:tr>
    </w:tbl>
    <w:bookmarkEnd w:id="27"/>
    <w:bookmarkStart w:id="29" w:name="sec-changes"/>
    <w:p>
      <w:pPr>
        <w:pStyle w:val="Heading2"/>
      </w:pPr>
      <w:r>
        <w:t xml:space="preserve">1.4 Changes in this revision</w:t>
      </w:r>
    </w:p>
    <w:p>
      <w:pPr>
        <w:pStyle w:val="FirstParagraph"/>
      </w:pPr>
      <w:r>
        <w:t xml:space="preserve">Version 1.0 of this report was approved on 2026-07-24. Version 2.0 takes effect on 2026-09-30 and is issued under the investigation INV-001. QA opened the investigation on 2026-08-03 after its review of PCMR-001 Version 1.0 for BLA readiness, and closed it on 2026-09-18 with the classification major. The investigation found that the criteria used to judge each step in the PAR analysis were not in any approved protocol and had been set after the data were seen (INV-001 finding 1). For this step, Version 1.0 judged pool host cell protein against ≤ 10,724 ng/mg. That limit was the drug substance criterion carried back through the nominal downstream clearance of this campaign, then divided by a safety factor of 4.5. The factor was chosen. It was not calculated from how the downstream steps perform (INV-001 finding 2). Leached Protein A was judged against the drug substance criterion, and fragments were not reported.</w:t>
      </w:r>
      <w:r>
        <w:t xml:space="preserve"> </w:t>
      </w:r>
      <w:hyperlink w:anchor="tbl-criteria-change">
        <w:r>
          <w:rPr>
            <w:rStyle w:val="Hyperlink"/>
          </w:rPr>
          <w:t xml:space="preserve">Table 2</w:t>
        </w:r>
      </w:hyperlink>
      <w:r>
        <w:t xml:space="preserve"> </w:t>
      </w:r>
      <w:r>
        <w:t xml:space="preserve">sets the Version 1.0 limits beside the Version 2.0 criteria.</w:t>
      </w:r>
    </w:p>
    <w:tbl>
      <w:tblPr>
        <w:tblStyle w:val="Table"/>
        <w:tblW w:type="pct" w:w="5000"/>
        <w:tblLayout w:type="fixed"/>
        <w:tblLook w:firstRow="0" w:lastRow="0" w:firstColumn="0" w:lastColumn="0" w:noHBand="0" w:noVBand="0" w:val="0000"/>
      </w:tblPr>
      <w:tblGrid>
        <w:gridCol w:w="7920"/>
      </w:tblGrid>
      <w:tr>
        <w:tc>
          <w:tcPr/>
          <w:bookmarkStart w:id="28" w:name="tbl-criteria-change"/>
          <w:p>
            <w:pPr>
              <w:jc w:val="center"/>
            </w:pPr>
            <w:pPr>
              <w:jc w:val="start"/>
              <w:spacing w:before="200"/>
              <w:pStyle w:val="ImageCaption"/>
            </w:pPr>
            <w:r>
              <w:t xml:space="preserve">Table 2: Acceptance criteria for the step outputs in Version 1.0 and Version 2.0, Protein A.</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Leached Protein A (ppm)</w:t>
                  </w:r>
                </w:p>
              </w:tc>
              <w:tc>
                <w:tcPr/>
                <w:p>
                  <w:pPr>
                    <w:pStyle w:val="Compact"/>
                    <w:jc w:val="center"/>
                  </w:pPr>
                  <w:r>
                    <w:t xml:space="preserve">none</w:t>
                  </w:r>
                  <w:r>
                    <w:rPr>
                      <w:vertAlign w:val="superscript"/>
                    </w:rPr>
                    <w:t xml:space="preserve">b)</w:t>
                  </w:r>
                </w:p>
              </w:tc>
              <w:tc>
                <w:tcPr/>
                <w:p>
                  <w:pPr>
                    <w:pStyle w:val="Compact"/>
                    <w:jc w:val="center"/>
                  </w:pPr>
                  <w:r>
                    <w:t xml:space="preserve">–</w:t>
                  </w:r>
                </w:p>
              </w:tc>
              <w:tc>
                <w:tcPr/>
                <w:p>
                  <w:pPr>
                    <w:pStyle w:val="Compact"/>
                    <w:jc w:val="center"/>
                  </w:pPr>
                  <w:r>
                    <w:t xml:space="preserve">≤ 158</w:t>
                  </w:r>
                </w:p>
              </w:tc>
              <w:tc>
                <w:tcPr/>
                <w:p>
                  <w:pPr>
                    <w:pStyle w:val="Compact"/>
                    <w:jc w:val="center"/>
                  </w:pPr>
                  <w:r>
                    <w:t xml:space="preserve">Carried back</w:t>
                  </w:r>
                </w:p>
              </w:tc>
            </w:tr>
            <w:tr>
              <w:tc>
                <w:tcPr/>
                <w:p>
                  <w:pPr>
                    <w:pStyle w:val="Compact"/>
                    <w:jc w:val="center"/>
                  </w:pPr>
                  <w:r>
                    <w:t xml:space="preserve">Fragments, LMW (%)</w:t>
                  </w:r>
                </w:p>
              </w:tc>
              <w:tc>
                <w:tcPr/>
                <w:p>
                  <w:pPr>
                    <w:pStyle w:val="Compact"/>
                    <w:jc w:val="center"/>
                  </w:pPr>
                  <w:r>
                    <w:t xml:space="preserve">not assessed</w:t>
                  </w:r>
                  <w:r>
                    <w:rPr>
                      <w:vertAlign w:val="superscript"/>
                    </w:rPr>
                    <w:t xml:space="preserve">c)</w:t>
                  </w:r>
                </w:p>
              </w:tc>
              <w:tc>
                <w:tcPr/>
                <w:p>
                  <w:pPr>
                    <w:pStyle w:val="Compact"/>
                    <w:jc w:val="center"/>
                  </w:pPr>
                  <w:r>
                    <w:t xml:space="preserve">–</w:t>
                  </w:r>
                </w:p>
              </w:tc>
              <w:tc>
                <w:tcPr/>
                <w:p>
                  <w:pPr>
                    <w:pStyle w:val="Compact"/>
                    <w:jc w:val="center"/>
                  </w:pPr>
                  <w:r>
                    <w:t xml:space="preserve">≤ 2.45</w:t>
                  </w:r>
                </w:p>
              </w:tc>
              <w:tc>
                <w:tcPr/>
                <w:p>
                  <w:pPr>
                    <w:pStyle w:val="Compact"/>
                    <w:jc w:val="center"/>
                  </w:pPr>
                  <w:r>
                    <w:t xml:space="preserve">Carried back</w:t>
                  </w:r>
                </w:p>
              </w:tc>
            </w:tr>
            <w:tr>
              <w:tc>
                <w:tcPr/>
                <w:p>
                  <w:pPr>
                    <w:pStyle w:val="Compact"/>
                    <w:jc w:val="center"/>
                  </w:pPr>
                  <w:r>
                    <w:t xml:space="preserve">Host cell protein (ng/mg)</w:t>
                  </w:r>
                </w:p>
              </w:tc>
              <w:tc>
                <w:tcPr/>
                <w:p>
                  <w:pPr>
                    <w:pStyle w:val="Compact"/>
                    <w:jc w:val="center"/>
                  </w:pPr>
                  <w:r>
                    <w:t xml:space="preserve">≤ 10,724</w:t>
                  </w:r>
                </w:p>
              </w:tc>
              <w:tc>
                <w:tcPr/>
                <w:p>
                  <w:pPr>
                    <w:pStyle w:val="Compact"/>
                    <w:jc w:val="center"/>
                  </w:pPr>
                  <w:r>
                    <w:t xml:space="preserve">R1, margin 4.5</w:t>
                  </w:r>
                </w:p>
              </w:tc>
              <w:tc>
                <w:tcPr/>
                <w:p>
                  <w:pPr>
                    <w:pStyle w:val="Compact"/>
                    <w:jc w:val="center"/>
                  </w:pPr>
                  <w:r>
                    <w:t xml:space="preserve">≤ 17,069</w:t>
                  </w:r>
                </w:p>
              </w:tc>
              <w:tc>
                <w:tcPr/>
                <w:p>
                  <w:pPr>
                    <w:pStyle w:val="Compact"/>
                    <w:jc w:val="center"/>
                  </w:pPr>
                  <w:r>
                    <w:t xml:space="preserve">Carried back, widened</w:t>
                  </w:r>
                  <w:r>
                    <w:rPr>
                      <w:vertAlign w:val="superscript"/>
                    </w:rPr>
                    <w:t xml:space="preserve">d)</w:t>
                  </w:r>
                  <w:r>
                    <w:t xml:space="preserve"> </w:t>
                  </w:r>
                  <w:r>
                    <w:t xml:space="preserve">from ≤ 16,000</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Version 1.0 set no step criterion and judged the step against the drug-substance criterion.</w:t>
                  </w:r>
                </w:p>
              </w:tc>
            </w:tr>
            <w:tr>
              <w:tc>
                <w:tcPr>
                  <w:gridSpan w:val="5"/>
                </w:tcPr>
                <w:p>
                  <w:pPr>
                    <w:pStyle w:val="Compact"/>
                    <w:jc w:val="center"/>
                  </w:pPr>
                  <w:r>
                    <w:rPr>
                      <w:vertAlign w:val="superscript"/>
                    </w:rPr>
                    <w:t xml:space="preserve">c)</w:t>
                  </w:r>
                  <w:r>
                    <w:t xml:space="preserve"> </w:t>
                  </w:r>
                  <w:r>
                    <w:t xml:space="preserve">Version 1.0 did not report fragments. The attribute was added at Version 2.0.</w:t>
                  </w:r>
                </w:p>
              </w:tc>
            </w:tr>
            <w:tr>
              <w:tc>
                <w:tcPr>
                  <w:gridSpan w:val="5"/>
                </w:tcPr>
                <w:p>
                  <w:pPr>
                    <w:pStyle w:val="Compact"/>
                    <w:jc w:val="center"/>
                  </w:pPr>
                  <w:r>
                    <w:rPr>
                      <w:vertAlign w:val="superscript"/>
                    </w:rPr>
                    <w:t xml:space="preserve">d)</w:t>
                  </w:r>
                  <w:r>
                    <w:t xml:space="preserve"> </w:t>
                  </w:r>
                  <w:r>
                    <w:t xml:space="preserve">Widened on verification: a downstream step did better than the platform worst case at the one-sided 95 % prediction bound of a single batch, on a model that meets the first three adequacy criteria of PCMP-001 §7.2.</w:t>
                  </w:r>
                </w:p>
              </w:tc>
            </w:tr>
            <w:tr>
              <w:tc>
                <w:tcPr>
                  <w:gridSpan w:val="5"/>
                </w:tcPr>
                <w:p>
                  <w:pPr>
                    <w:pStyle w:val="Compact"/>
                    <w:jc w:val="center"/>
                  </w:pPr>
                  <w:r>
                    <w:rPr>
                      <w:vertAlign w:val="superscript"/>
                    </w:rPr>
                    <w:t xml:space="preserve">R1</w:t>
                  </w:r>
                  <w:r>
                    <w:t xml:space="preserve"> </w:t>
                  </w:r>
                  <w:r>
                    <w:t xml:space="preserve">Version 1.0 rule: nominal back-calculation / margin.</w:t>
                  </w:r>
                </w:p>
              </w:tc>
            </w:tr>
          </w:tbl>
          <w:bookmarkEnd w:id="28"/>
          <w:p/>
        </w:tc>
      </w:tr>
    </w:tbl>
    <w:p>
      <w:pPr>
        <w:pStyle w:val="BodyText"/>
      </w:pPr>
      <w:r>
        <w:t xml:space="preserve">The Version 2.0 criteria are intermediate acceptance criteria. PCMP-001 §7.3 derives them a priori, which here means from the drug substance criteria and the platform worst case of each downstream step, without data from this campaign. PCMP-001 §7.5 then lets the one-sided 95 % prediction bound of a single batch of a downstream step tighten or widen them (</w:t>
      </w:r>
      <w:hyperlink w:anchor="sec-par">
        <w:r>
          <w:rPr>
            <w:rStyle w:val="Hyperlink"/>
          </w:rPr>
          <w:t xml:space="preserve">Section 7</w:t>
        </w:r>
      </w:hyperlink>
      <w:r>
        <w:t xml:space="preserve">). PCMP-001 Version 2.0, which states both rules, took effect on 2026-09-30, after every study of this report had ended. The criterion in force for pool host cell protein, ≤ 17,069 ng/mg, is wider than its a priori value of ≤ 16,000 ng/mg, because the A-Mab results of anion exchange widened it. It is also wider than the Version 1.0 limit of ≤ 10,724 ng/mg, which was set at analysis and was never an approved criterion (INV-001 finding 1).</w:t>
      </w:r>
    </w:p>
    <w:p>
      <w:pPr>
        <w:pStyle w:val="BodyText"/>
      </w:pPr>
      <w:r>
        <w:t xml:space="preserve">The designs, their runs and their results are those of Version 1.0. The changes to this report are listed below.</w:t>
      </w:r>
    </w:p>
    <w:p>
      <w:pPr>
        <w:pStyle w:val="Compact"/>
        <w:numPr>
          <w:ilvl w:val="0"/>
          <w:numId w:val="1003"/>
        </w:numPr>
      </w:pPr>
      <w:r>
        <w:t xml:space="preserve">Model selection. Each output of the response-surface design is analysed by model selection, the corrective action CA3 that INV-002 adopted on 2026-09-15 (discrepancy PD-005-04,</w:t>
      </w:r>
      <w:r>
        <w:t xml:space="preserve"> </w:t>
      </w:r>
      <w:hyperlink w:anchor="sec-stats">
        <w:r>
          <w:rPr>
            <w:rStyle w:val="Hyperlink"/>
          </w:rPr>
          <w:t xml:space="preserve">Section 3.5</w:t>
        </w:r>
      </w:hyperlink>
      <w:r>
        <w:t xml:space="preserve">). Version 1.0 fitted the full quadratic model on the raw scale to every output. Pool host cell protein is now modelled on the log scale.</w:t>
      </w:r>
    </w:p>
    <w:p>
      <w:pPr>
        <w:pStyle w:val="Compact"/>
        <w:numPr>
          <w:ilvl w:val="0"/>
          <w:numId w:val="1003"/>
        </w:numPr>
      </w:pPr>
      <w:r>
        <w:t xml:space="preserve">Response-surface run 23. The run is analysed at the elution buffer pH recorded under DEV-005-01, 3.38, and not at its design setting of 3.55 (discrepancy PD-005-03,</w:t>
      </w:r>
      <w:r>
        <w:t xml:space="preserve"> </w:t>
      </w:r>
      <w:hyperlink w:anchor="sec-dev01">
        <w:r>
          <w:rPr>
            <w:rStyle w:val="Hyperlink"/>
          </w:rPr>
          <w:t xml:space="preserve">Section 13.1</w:t>
        </w:r>
      </w:hyperlink>
      <w:r>
        <w:t xml:space="preserve">).</w:t>
      </w:r>
    </w:p>
    <w:p>
      <w:pPr>
        <w:pStyle w:val="Compact"/>
        <w:numPr>
          <w:ilvl w:val="0"/>
          <w:numId w:val="1003"/>
        </w:numPr>
      </w:pPr>
      <w:r>
        <w:t xml:space="preserve">The NOR-propagated PAR for pool host cell protein. Under the Version 1.0 limit it was narrower than the range studied for every parameter of the multivariate design. For protein load it was 10–34.5 g/L resin, which ended inside the NOR of 20–40 g/L resin then in force and made the upper end of that NOR appear unsupported. For elution buffer pH it was 3.48–3.9, for load flow rate 138–300 cm/hr and for end of pool collect 2.29–3.2 CV. Under Version 2.0 every NOR-propagated PAR spans its range studied, except that of elution buffer pH for pool host cell protein, 3.21–3.9 (</w:t>
      </w:r>
      <w:hyperlink w:anchor="sec-par">
        <w:r>
          <w:rPr>
            <w:rStyle w:val="Hyperlink"/>
          </w:rPr>
          <w:t xml:space="preserve">Section 7</w:t>
        </w:r>
      </w:hyperlink>
      <w:r>
        <w:t xml:space="preserve">).</w:t>
      </w:r>
    </w:p>
    <w:p>
      <w:pPr>
        <w:pStyle w:val="Compact"/>
        <w:numPr>
          <w:ilvl w:val="0"/>
          <w:numId w:val="1003"/>
        </w:numPr>
      </w:pPr>
      <w:r>
        <w:t xml:space="preserve">Leached Protein A. Judged against the drug substance criterion of ≤ 5 ppm, its NOR-propagated PAR of elution buffer pH was 3.2–3.86. Leached Protein A is now judged against its intermediate acceptance criterion, and its PAR spans the range studied of every parameter.</w:t>
      </w:r>
    </w:p>
    <w:p>
      <w:pPr>
        <w:pStyle w:val="Compact"/>
        <w:numPr>
          <w:ilvl w:val="0"/>
          <w:numId w:val="1003"/>
        </w:numPr>
      </w:pPr>
      <w:r>
        <w:t xml:space="preserve">Fragments by nrCE-SDS are reported for the first time, from the retained response-surface pools, tested in study S-PA-RET under the method decision AMD-001 (</w:t>
      </w:r>
      <w:hyperlink w:anchor="tbl-methods-by-study">
        <w:r>
          <w:rPr>
            <w:rStyle w:val="Hyperlink"/>
          </w:rPr>
          <w:t xml:space="preserve">Table 6</w:t>
        </w:r>
      </w:hyperlink>
      <w:r>
        <w:t xml:space="preserve">). The SEC fragment results are kept in the record and are not used for any decision, because SEC reads part of the host cell protein in the pool as fragment (INV-001 finding 6).</w:t>
      </w:r>
    </w:p>
    <w:p>
      <w:pPr>
        <w:pStyle w:val="Compact"/>
        <w:numPr>
          <w:ilvl w:val="0"/>
          <w:numId w:val="1003"/>
        </w:numPr>
      </w:pPr>
      <w:r>
        <w:t xml:space="preserve">The scale-down model is qualified by the offset of each output from manufacturing scale (PCMP-001 §7.1), and every result of pool host cell protein and leached Protein A judged against a criterion is stated at manufacturing scale. A further 6 set-point runs of the scale-down model (study S-PA-SDM2) are recorded as the discrepancy PD-005-01 (</w:t>
      </w:r>
      <w:hyperlink w:anchor="sec-sdm">
        <w:r>
          <w:rPr>
            <w:rStyle w:val="Hyperlink"/>
          </w:rPr>
          <w:t xml:space="preserve">Section 3.1</w:t>
        </w:r>
      </w:hyperlink>
      <w:r>
        <w:t xml:space="preserve">).</w:t>
      </w:r>
    </w:p>
    <w:p>
      <w:pPr>
        <w:pStyle w:val="Compact"/>
        <w:numPr>
          <w:ilvl w:val="0"/>
          <w:numId w:val="1003"/>
        </w:numPr>
      </w:pPr>
      <w:r>
        <w:t xml:space="preserve">The NOR of protein load in force is narrowed from 20–40 to 20–39 g/L resin. Over the NOR as characterized the scale-down model is not qualified for pool host cell protein at the criterion in force, and over the narrowed NOR it is (</w:t>
      </w:r>
      <w:hyperlink w:anchor="sec-sdm">
        <w:r>
          <w:rPr>
            <w:rStyle w:val="Hyperlink"/>
          </w:rPr>
          <w:t xml:space="preserve">Section 3.1</w:t>
        </w:r>
      </w:hyperlink>
      <w:r>
        <w:t xml:space="preserve">). No other NOR and no set-point of the step is changed.</w:t>
      </w:r>
    </w:p>
    <w:p>
      <w:pPr>
        <w:pStyle w:val="Compact"/>
        <w:numPr>
          <w:ilvl w:val="0"/>
          <w:numId w:val="1003"/>
        </w:numPr>
      </w:pPr>
      <w:r>
        <w:t xml:space="preserve">A hold study of the Protein A eluate (S-PA-HLD) was made during the Version 2.0 re-analysis and is recorded as the discrepancy PD-005-05 (</w:t>
      </w:r>
      <w:hyperlink w:anchor="sec-pd05">
        <w:r>
          <w:rPr>
            <w:rStyle w:val="Hyperlink"/>
          </w:rPr>
          <w:t xml:space="preserve">Section 13.6.2</w:t>
        </w:r>
      </w:hyperlink>
      <w:r>
        <w:t xml:space="preserve">). Version 1.0 had no hold result. Acidic variants in the held eluate are judged against both limits of their two-sided criterion (INV-001 finding 4).</w:t>
      </w:r>
    </w:p>
    <w:p>
      <w:pPr>
        <w:pStyle w:val="Compact"/>
        <w:numPr>
          <w:ilvl w:val="0"/>
          <w:numId w:val="1003"/>
        </w:numPr>
      </w:pPr>
      <w:r>
        <w:t xml:space="preserve">The execution window of every study is recorded (</w:t>
      </w:r>
      <w:hyperlink w:anchor="tbl-chronology">
        <w:r>
          <w:rPr>
            <w:rStyle w:val="Hyperlink"/>
          </w:rPr>
          <w:t xml:space="preserve">Table 8</w:t>
        </w:r>
      </w:hyperlink>
      <w:r>
        <w:t xml:space="preserve">), because the Version 1.0 records gave no execution dates (INV-001 finding 5).</w:t>
      </w:r>
    </w:p>
    <w:p>
      <w:pPr>
        <w:pStyle w:val="Compact"/>
        <w:numPr>
          <w:ilvl w:val="0"/>
          <w:numId w:val="1003"/>
        </w:numPr>
      </w:pPr>
      <w:r>
        <w:t xml:space="preserve">The deviations DEV-005-03 to DEV-005-05, on the univariate study and on the qualification of the scale-down model, are recorded (</w:t>
      </w:r>
      <w:hyperlink w:anchor="sec-dev">
        <w:r>
          <w:rPr>
            <w:rStyle w:val="Hyperlink"/>
          </w:rPr>
          <w:t xml:space="preserve">Section 13</w:t>
        </w:r>
      </w:hyperlink>
      <w:r>
        <w:t xml:space="preserve">).</w:t>
      </w:r>
    </w:p>
    <w:p>
      <w:pPr>
        <w:pStyle w:val="FirstParagraph"/>
      </w:pPr>
      <w:r>
        <w:t xml:space="preserve">The directions of the main effects are those of Version 1.0. The interaction of protein load with elution buffer pH that the Version 1.0 model carried for pool host cell protein (p &lt; 0.001) is largely the multiplicative structure of the two main effects on the log scale (</w:t>
      </w:r>
      <w:hyperlink w:anchor="sec-rsm-hcp">
        <w:r>
          <w:rPr>
            <w:rStyle w:val="Hyperlink"/>
          </w:rPr>
          <w:t xml:space="preserve">Section 5.3.1</w:t>
        </w:r>
      </w:hyperlink>
      <w:r>
        <w:t xml:space="preserve">).</w:t>
      </w:r>
    </w:p>
    <w:bookmarkEnd w:id="29"/>
    <w:bookmarkEnd w:id="30"/>
    <w:bookmarkStart w:id="35" w:name="sec-prior"/>
    <w:p>
      <w:pPr>
        <w:pStyle w:val="Heading1"/>
      </w:pPr>
      <w:r>
        <w:t xml:space="preserve">2. Prior knowledge and quality risk basis</w:t>
      </w:r>
    </w:p>
    <w:bookmarkStart w:id="31" w:name="platform-and-prior-product-knowledge"/>
    <w:p>
      <w:pPr>
        <w:pStyle w:val="Heading2"/>
      </w:pPr>
      <w:r>
        <w:t xml:space="preserve">2.1 Platform and prior-product knowledge</w:t>
      </w:r>
    </w:p>
    <w:p>
      <w:pPr>
        <w:pStyle w:val="FirstParagraph"/>
      </w:pPr>
      <w:r>
        <w:t xml:space="preserve">The same capture step has been used to purify the platform antibodies X-Mab, Y-Mab and Z-Mab, and A-Mab through clinical manufacture</w:t>
      </w:r>
      <w:r>
        <w:t xml:space="preserve"> </w:t>
      </w:r>
      <w:r>
        <w:t xml:space="preserve">(CMC Biotech Working Group 2009)</w:t>
      </w:r>
      <w:r>
        <w:t xml:space="preserve">. Staphylococcal Protein A, immobilized on the resin, binds the Fc region of the antibody at the interface between the second and third constant domains of the heavy chain. When the pH is lowered, histidine residues at this interface become protonated, the interaction weakens, and the antibody is released.</w:t>
      </w:r>
    </w:p>
    <w:p>
      <w:pPr>
        <w:pStyle w:val="BodyText"/>
      </w:pPr>
      <w:r>
        <w:t xml:space="preserve">Host cell protein reaches the eluate by two routes. Some binds weakly to the resin backbone or to the ligand. Some associates with the antibody through electrostatic and hydrophobic interactions, which the wash does not disrupt while the antibody stays bound to the ligand. This product-associated host cell protein leaves the column with the antibody at any elution pH. A lower elution pH desorbs more of the host cell protein held on the resin, and that protein leaves the column with the product. Pool host cell protein was therefore expected to rise as elution buffer pH falls. In the A-Mab case study pool host cell protein also rose with protein load</w:t>
      </w:r>
      <w:r>
        <w:t xml:space="preserve"> </w:t>
      </w:r>
      <w:r>
        <w:t xml:space="preserve">(CMC Biotech Working Group 2009)</w:t>
      </w:r>
      <w:r>
        <w:t xml:space="preserve">, and the same direction was expected here. Product-associated host cell protein rises in proportion to the antibody, which leaves the value per mg unchanged. PCP-005 therefore assumed no mechanism for the rise with load (PCP-005 §4.1). The plan expected that the two effects could interact, and both designs can estimate an interaction.</w:t>
      </w:r>
    </w:p>
    <w:p>
      <w:pPr>
        <w:pStyle w:val="BodyText"/>
      </w:pPr>
      <w:r>
        <w:t xml:space="preserve">Step yield is lost when antibody breaks through during the load or remains on the column at the end of collection. Breakthrough begins earlier as the load approaches the dynamic binding capacity of the bed. The dynamic binding capacity itself falls as the residence time shortens, because binding is limited by the diffusion of the antibody into the pores of the bead. A higher load flow rate shortens the residence time, which costs yield only when the load is close to the capacity. Yield was therefore expected to fall with flow rate mainly at high load, and to rise as the end of pool collect is extended into the tail of the elution peak.</w:t>
      </w:r>
    </w:p>
    <w:p>
      <w:pPr>
        <w:pStyle w:val="BodyText"/>
      </w:pPr>
      <w:r>
        <w:t xml:space="preserve">Leached Protein A comes from hydrolysis of the coupling chemistry and from cleavage of exposed ligand by proteases that the clarified harvest carries into the column. The leached fragments elute with the antibody because they still bind Fc. Leaching is highest on new resin, in its first cycles. A higher protein load or a lower load flow rate lengthens the loading time, and with it the contact of the ligand with the harvest proteases. Leached Protein A is reported per mass of antibody, and if a similar amount of ligand leaches in each cycle the value in ppm falls as protein load rises. PCP-005 expected leached Protein A to depend little on the parameters within their ranges (PCP-005 §4.1).</w:t>
      </w:r>
    </w:p>
    <w:p>
      <w:pPr>
        <w:pStyle w:val="BodyText"/>
      </w:pPr>
      <w:r>
        <w:t xml:space="preserve">An antibody fragment that still carries Fc is captured and elutes with the intact antibody. A Fab fragment lacks Fc and is expected to flow through with the load, so the pool is expected to carry less fragment than the feed. Native Protein A also binds the variable domain of heavy chains of the VH3 family, and a Fab fragment of such an antibody can be captured as well. Whether the Fab of A-Mab binds the ligand of this resin was not tested here. A lower elution pH may add a little acid-catalysed hinge hydrolysis during elution. SEC overstates fragments in this matrix, because it reads part of the host cell protein as fragment (INV-001 finding 6). DNA is polyanionic and does not bind Protein A. Its clearance is large and was not expected to depend on the operating parameters within their ranges.</w:t>
      </w:r>
    </w:p>
    <w:p>
      <w:pPr>
        <w:pStyle w:val="BodyText"/>
      </w:pPr>
      <w:r>
        <w:t xml:space="preserve">Protein A, when operated under platform conditions, does not separate glycan variants or charge variants, because it binds the Fc region independently of both</w:t>
      </w:r>
      <w:r>
        <w:t xml:space="preserve"> </w:t>
      </w:r>
      <w:r>
        <w:t xml:space="preserve">(CMC Biotech Working Group 2009)</w:t>
      </w:r>
      <w:r>
        <w:t xml:space="preserve">. Nor does it separate aggregate from monomer, since both carry Fc. In the Protein A characterization of the case study no process parameter had a significant effect on aggregate</w:t>
      </w:r>
      <w:r>
        <w:t xml:space="preserve"> </w:t>
      </w:r>
      <w:r>
        <w:t xml:space="preserve">(CMC Biotech Working Group 2009)</w:t>
      </w:r>
      <w:r>
        <w:t xml:space="preserve">. For these reasons glycan variants, charge variants and aggregate were not responses of the designs.</w:t>
      </w:r>
    </w:p>
    <w:bookmarkEnd w:id="31"/>
    <w:bookmarkStart w:id="33" w:name="quality-attributes-in-scope"/>
    <w:p>
      <w:pPr>
        <w:pStyle w:val="Heading2"/>
      </w:pPr>
      <w:r>
        <w:t xml:space="preserve">2.2 Quality attributes in scope</w:t>
      </w:r>
    </w:p>
    <w:p>
      <w:pPr>
        <w:pStyle w:val="FirstParagraph"/>
      </w:pPr>
      <w:hyperlink w:anchor="tbl-cqa">
        <w:r>
          <w:rPr>
            <w:rStyle w:val="Hyperlink"/>
          </w:rPr>
          <w:t xml:space="preserve">Table 3</w:t>
        </w:r>
      </w:hyperlink>
      <w:r>
        <w:t xml:space="preserve"> </w:t>
      </w:r>
      <w:r>
        <w:t xml:space="preserve">lists the attributes in scope of this report with their drug substance criteria and the criticality level the register assigns. Each attribute is a CQA with a level from very low (VL) to very high (VH), assigned with Tool #1, whose score is the product of impact and uncertainty. Acidic variants are in scope because the eluate is held before viral inactivation (</w:t>
      </w:r>
      <w:hyperlink w:anchor="sec-hold">
        <w:r>
          <w:rPr>
            <w:rStyle w:val="Hyperlink"/>
          </w:rPr>
          <w:t xml:space="preserve">Section 5.7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tbl-cqa"/>
          <w:p>
            <w:pPr>
              <w:jc w:val="center"/>
            </w:pPr>
            <w:pPr>
              <w:jc w:val="start"/>
              <w:spacing w:before="200"/>
              <w:pStyle w:val="ImageCaption"/>
            </w:pPr>
            <w:r>
              <w:t xml:space="preserve">Table 3: Quality attributes in scope of this report, with the drug substance criterion and criticality.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CQA</w:t>
                  </w:r>
                </w:p>
              </w:tc>
              <w:tc>
                <w:tcPr/>
                <w:p>
                  <w:pPr>
                    <w:pStyle w:val="Compact"/>
                    <w:jc w:val="center"/>
                  </w:pPr>
                  <w:r>
                    <w:t xml:space="preserve">Category</w:t>
                  </w:r>
                </w:p>
              </w:tc>
              <w:tc>
                <w:tcPr/>
                <w:p>
                  <w:pPr>
                    <w:pStyle w:val="Compact"/>
                    <w:jc w:val="center"/>
                  </w:pPr>
                  <w:r>
                    <w:t xml:space="preserve">Drug substance</w:t>
                  </w:r>
                  <w:r>
                    <w:br/>
                  </w:r>
                  <w:r>
                    <w:t xml:space="preserve">criterion</w:t>
                  </w:r>
                </w:p>
              </w:tc>
              <w:tc>
                <w:tcPr/>
                <w:p>
                  <w:pPr>
                    <w:pStyle w:val="Compact"/>
                    <w:jc w:val="center"/>
                  </w:pPr>
                  <w:r>
                    <w:t xml:space="preserve">Criticality</w:t>
                  </w:r>
                </w:p>
              </w:tc>
              <w:tc>
                <w:tcPr/>
                <w:p>
                  <w:pPr>
                    <w:pStyle w:val="Compact"/>
                    <w:jc w:val="center"/>
                  </w:pPr>
                  <w:r>
                    <w:t xml:space="preserve">Tool #1</w:t>
                  </w:r>
                  <w:r>
                    <w:br/>
                  </w:r>
                  <w:r>
                    <w:t xml:space="preserve">score</w:t>
                  </w:r>
                </w:p>
              </w:tc>
            </w:tr>
            <w:tr>
              <w:tc>
                <w:tcPr/>
                <w:p>
                  <w:pPr>
                    <w:pStyle w:val="Compact"/>
                    <w:jc w:val="center"/>
                  </w:pPr>
                  <w:r>
                    <w:t xml:space="preserve">Leached Protein A</w:t>
                  </w:r>
                </w:p>
              </w:tc>
              <w:tc>
                <w:tcPr/>
                <w:p>
                  <w:pPr>
                    <w:pStyle w:val="Compact"/>
                    <w:jc w:val="center"/>
                  </w:pPr>
                  <w:r>
                    <w:t xml:space="preserve">process impurity</w:t>
                  </w:r>
                </w:p>
              </w:tc>
              <w:tc>
                <w:tcPr/>
                <w:p>
                  <w:pPr>
                    <w:pStyle w:val="Compact"/>
                    <w:jc w:val="center"/>
                  </w:pPr>
                  <w:r>
                    <w:t xml:space="preserve">≤ 5 ppm</w:t>
                  </w:r>
                </w:p>
              </w:tc>
              <w:tc>
                <w:tcPr/>
                <w:p>
                  <w:pPr>
                    <w:pStyle w:val="Compact"/>
                    <w:jc w:val="center"/>
                  </w:pPr>
                  <w:r>
                    <w:t xml:space="preserve">L-M</w:t>
                  </w:r>
                </w:p>
              </w:tc>
              <w:tc>
                <w:tcPr/>
                <w:p>
                  <w:pPr>
                    <w:pStyle w:val="Compact"/>
                    <w:jc w:val="center"/>
                  </w:pPr>
                  <w:r>
                    <w:t xml:space="preserve">16</w:t>
                  </w:r>
                </w:p>
              </w:tc>
            </w:tr>
            <w:tr>
              <w:tc>
                <w:tcPr/>
                <w:p>
                  <w:pPr>
                    <w:pStyle w:val="Compact"/>
                    <w:jc w:val="center"/>
                  </w:pPr>
                  <w:r>
                    <w:t xml:space="preserve">Host Cell Protein (HCP)</w:t>
                  </w:r>
                </w:p>
              </w:tc>
              <w:tc>
                <w:tcPr/>
                <w:p>
                  <w:pPr>
                    <w:pStyle w:val="Compact"/>
                    <w:jc w:val="center"/>
                  </w:pPr>
                  <w:r>
                    <w:t xml:space="preserve">process impurity</w:t>
                  </w:r>
                </w:p>
              </w:tc>
              <w:tc>
                <w:tcPr/>
                <w:p>
                  <w:pPr>
                    <w:pStyle w:val="Compact"/>
                    <w:jc w:val="center"/>
                  </w:pPr>
                  <w:r>
                    <w:t xml:space="preserve">≤ 100 ng/mg</w:t>
                  </w:r>
                </w:p>
              </w:tc>
              <w:tc>
                <w:tcPr/>
                <w:p>
                  <w:pPr>
                    <w:pStyle w:val="Compact"/>
                    <w:jc w:val="center"/>
                  </w:pPr>
                  <w:r>
                    <w:t xml:space="preserve">M-H</w:t>
                  </w:r>
                </w:p>
              </w:tc>
              <w:tc>
                <w:tcPr/>
                <w:p>
                  <w:pPr>
                    <w:pStyle w:val="Compact"/>
                    <w:jc w:val="center"/>
                  </w:pPr>
                  <w:r>
                    <w:t xml:space="preserve">36</w:t>
                  </w:r>
                </w:p>
              </w:tc>
            </w:tr>
            <w:tr>
              <w:tc>
                <w:tcPr/>
                <w:p>
                  <w:pPr>
                    <w:pStyle w:val="Compact"/>
                    <w:jc w:val="center"/>
                  </w:pPr>
                  <w:r>
                    <w:t xml:space="preserve">Fragments (LMW, clipped species)</w:t>
                  </w:r>
                </w:p>
              </w:tc>
              <w:tc>
                <w:tcPr/>
                <w:p>
                  <w:pPr>
                    <w:pStyle w:val="Compact"/>
                    <w:jc w:val="center"/>
                  </w:pPr>
                  <w:r>
                    <w:t xml:space="preserve">size variant</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r>
            <w:tr>
              <w:tc>
                <w:tcPr/>
                <w:p>
                  <w:pPr>
                    <w:pStyle w:val="Compact"/>
                    <w:jc w:val="center"/>
                  </w:pPr>
                  <w:r>
                    <w:t xml:space="preserve">Residual DNA</w:t>
                  </w:r>
                </w:p>
              </w:tc>
              <w:tc>
                <w:tcPr/>
                <w:p>
                  <w:pPr>
                    <w:pStyle w:val="Compact"/>
                    <w:jc w:val="center"/>
                  </w:pPr>
                  <w:r>
                    <w:t xml:space="preserve">process impurity</w:t>
                  </w:r>
                </w:p>
              </w:tc>
              <w:tc>
                <w:tcPr/>
                <w:p>
                  <w:pPr>
                    <w:pStyle w:val="Compact"/>
                    <w:jc w:val="center"/>
                  </w:pPr>
                  <w:r>
                    <w:t xml:space="preserve">≤ 0.001 ng/dose</w:t>
                  </w:r>
                </w:p>
              </w:tc>
              <w:tc>
                <w:tcPr/>
                <w:p>
                  <w:pPr>
                    <w:pStyle w:val="Compact"/>
                    <w:jc w:val="center"/>
                  </w:pPr>
                  <w:r>
                    <w:t xml:space="preserve">VL</w:t>
                  </w:r>
                </w:p>
              </w:tc>
              <w:tc>
                <w:tcPr/>
                <w:p>
                  <w:pPr>
                    <w:pStyle w:val="Compact"/>
                    <w:jc w:val="center"/>
                  </w:pPr>
                  <w:r>
                    <w:t xml:space="preserve">6</w:t>
                  </w:r>
                </w:p>
              </w:tc>
            </w:tr>
            <w:tr>
              <w:tc>
                <w:tcPr/>
                <w:p>
                  <w:pPr>
                    <w:pStyle w:val="Compact"/>
                    <w:jc w:val="center"/>
                  </w:pPr>
                  <w:r>
                    <w:t xml:space="preserve">Aggregates (HMW)</w:t>
                  </w:r>
                </w:p>
              </w:tc>
              <w:tc>
                <w:tcPr/>
                <w:p>
                  <w:pPr>
                    <w:pStyle w:val="Compact"/>
                    <w:jc w:val="center"/>
                  </w:pPr>
                  <w:r>
                    <w:t xml:space="preserve">size variant</w:t>
                  </w:r>
                </w:p>
              </w:tc>
              <w:tc>
                <w:tcPr/>
                <w:p>
                  <w:pPr>
                    <w:pStyle w:val="Compact"/>
                    <w:jc w:val="center"/>
                  </w:pPr>
                  <w:r>
                    <w:t xml:space="preserve">≤ 5 % HMW (SEC)</w:t>
                  </w:r>
                </w:p>
              </w:tc>
              <w:tc>
                <w:tcPr/>
                <w:p>
                  <w:pPr>
                    <w:pStyle w:val="Compact"/>
                    <w:jc w:val="center"/>
                  </w:pPr>
                  <w:r>
                    <w:t xml:space="preserve">H</w:t>
                  </w:r>
                </w:p>
              </w:tc>
              <w:tc>
                <w:tcPr/>
                <w:p>
                  <w:pPr>
                    <w:pStyle w:val="Compact"/>
                    <w:jc w:val="center"/>
                  </w:pPr>
                  <w:r>
                    <w:t xml:space="preserve">60</w:t>
                  </w:r>
                </w:p>
              </w:tc>
            </w:tr>
            <w:tr>
              <w:tc>
                <w:tcPr/>
                <w:p>
                  <w:pPr>
                    <w:pStyle w:val="Compact"/>
                    <w:jc w:val="center"/>
                  </w:pPr>
                  <w:r>
                    <w:t xml:space="preserve">Acidic charge variants (deamidation)</w:t>
                  </w:r>
                </w:p>
              </w:tc>
              <w:tc>
                <w:tcPr/>
                <w:p>
                  <w:pPr>
                    <w:pStyle w:val="Compact"/>
                    <w:jc w:val="center"/>
                  </w:pPr>
                  <w:r>
                    <w:t xml:space="preserve">charge variant</w:t>
                  </w:r>
                </w:p>
              </w:tc>
              <w:tc>
                <w:tcPr/>
                <w:p>
                  <w:pPr>
                    <w:pStyle w:val="Compact"/>
                    <w:jc w:val="center"/>
                  </w:pPr>
                  <w:r>
                    <w:t xml:space="preserve">18–40 % (CEX/icIEF)</w:t>
                  </w:r>
                </w:p>
              </w:tc>
              <w:tc>
                <w:tcPr/>
                <w:p>
                  <w:pPr>
                    <w:pStyle w:val="Compact"/>
                    <w:jc w:val="center"/>
                  </w:pPr>
                  <w:r>
                    <w:t xml:space="preserve">VL</w:t>
                  </w:r>
                </w:p>
              </w:tc>
              <w:tc>
                <w:tcPr/>
                <w:p>
                  <w:pPr>
                    <w:pStyle w:val="Compact"/>
                    <w:jc w:val="center"/>
                  </w:pPr>
                  <w:r>
                    <w:t xml:space="preserve">4</w:t>
                  </w:r>
                </w:p>
              </w:tc>
            </w:tr>
          </w:tbl>
          <w:bookmarkEnd w:id="32"/>
          <w:p/>
        </w:tc>
      </w:tr>
    </w:tbl>
    <w:p>
      <w:pPr>
        <w:pStyle w:val="BodyText"/>
      </w:pPr>
      <w:r>
        <w:t xml:space="preserve">The drug substance criteria do not apply to the Protein A pool directly, because cation exchange and anion exchange remove host cell protein, leached Protein A and fragments after this step. Against the drug substance criteria at manufacturing scale, pool host cell protein would fail in all 47 results of the designs, leached Protein A in 4 of 47, the lowest of them at 5.002 ppm, and fragments in none of 28. Each of these outputs is therefore judged against an intermediate acceptance criterion (</w:t>
      </w:r>
      <w:hyperlink w:anchor="sec-par">
        <w:r>
          <w:rPr>
            <w:rStyle w:val="Hyperlink"/>
          </w:rPr>
          <w:t xml:space="preserve">Section 7</w:t>
        </w:r>
      </w:hyperlink>
      <w:r>
        <w:t xml:space="preserve">). Residual DNA has a drug substance criterion but no intermediate acceptance criterion, because the platform history gives no worst-case DNA clearance for the steps after Protein A (PCMP-001 §7.3). It was measured in pg per mg of antibody on the centre points, for information, and it is judged in ng per dose in the drug substance (</w:t>
      </w:r>
      <w:hyperlink w:anchor="sec-cap">
        <w:r>
          <w:rPr>
            <w:rStyle w:val="Hyperlink"/>
          </w:rPr>
          <w:t xml:space="preserve">Section 8</w:t>
        </w:r>
      </w:hyperlink>
      <w:r>
        <w:t xml:space="preserve">). The held eluate is judged against the criteria of the low-pH inactivation load (</w:t>
      </w:r>
      <w:hyperlink w:anchor="sec-holddesign">
        <w:r>
          <w:rPr>
            <w:rStyle w:val="Hyperlink"/>
          </w:rPr>
          <w:t xml:space="preserve">Section 4.5</w:t>
        </w:r>
      </w:hyperlink>
      <w:r>
        <w:t xml:space="preserve">). Step yield is a performance attribute without an acceptance criterion, and it is used for the classification of parameters that act on process performance.</w:t>
      </w:r>
    </w:p>
    <w:bookmarkEnd w:id="33"/>
    <w:bookmarkStart w:id="34" w:name="X8e350aaf11e00001962f0e94cfe08bc5c1a6d7b"/>
    <w:p>
      <w:pPr>
        <w:pStyle w:val="Heading2"/>
      </w:pPr>
      <w:r>
        <w:t xml:space="preserve">2.3 Risk-based prioritization and parameter selection</w:t>
      </w:r>
    </w:p>
    <w:p>
      <w:pPr>
        <w:pStyle w:val="FirstParagraph"/>
      </w:pPr>
      <w:r>
        <w:t xml:space="preserve">The pre-characterization risk assessment RA-001 assessed every parameter of the step before characterization began. Each parameter was ranked on its potential impact on the CQAs and on process performance, and on its potential to interact with other parameters.</w:t>
      </w:r>
    </w:p>
    <w:p>
      <w:pPr>
        <w:pStyle w:val="BodyText"/>
      </w:pPr>
      <w:r>
        <w:t xml:space="preserve">Protein load, elution buffer pH, load flow rate and end of pool collect were assigned to multivariate study. Each carries an effect expected from the mechanism, and the interactions of protein load with elution buffer pH and with load flow rate can only be estimated in a design that varies the parameters together. Operating temperature and bed height were assigned to univariate study. A higher temperature speeds the diffusion of the antibody into the pores, which raises the dynamic binding capacity, and it strengthens the hydrophobic contacts at the Fc–ligand interface, which makes elution slightly less complete. Over the range studied both effects were expected to be small against those of load and pH, and the resin manufacturer specifies binding capacity across that range. Bed height is held by the packing specification in manufacture, and at constant linear velocity it sets the residence time.</w:t>
      </w:r>
    </w:p>
    <w:p>
      <w:pPr>
        <w:pStyle w:val="BodyText"/>
      </w:pPr>
      <w:r>
        <w:t xml:space="preserve">The ranges studied are between 1.9 and 2.3 times the width of the NOR. They bound the knowledge space within which a PAR can be claimed. Load flow rate is set as a linear velocity, so at the set-point bed height it fixes the residence time. The residence time is 6 min at the set-point flow rate, and over the range studied it runs from 4 min at the highest flow to 12 min at the lowest. The upper end of the flow range therefore tests the shortest residence time, the condition most likely to cause breakthrough at high load, and the two ends of the elution pH range test the strongest and the weakest elution.</w:t>
      </w:r>
    </w:p>
    <w:bookmarkEnd w:id="34"/>
    <w:bookmarkEnd w:id="35"/>
    <w:bookmarkStart w:id="47" w:name="materials-and-methods"/>
    <w:p>
      <w:pPr>
        <w:pStyle w:val="Heading1"/>
      </w:pPr>
      <w:r>
        <w:t xml:space="preserve">3. Materials and methods</w:t>
      </w:r>
    </w:p>
    <w:bookmarkStart w:id="37" w:name="sec-sdm"/>
    <w:p>
      <w:pPr>
        <w:pStyle w:val="Heading2"/>
      </w:pPr>
      <w:r>
        <w:t xml:space="preserve">3.1 Scale-down model and its qualification</w:t>
      </w:r>
    </w:p>
    <w:p>
      <w:pPr>
        <w:pStyle w:val="FirstParagraph"/>
      </w:pPr>
      <w:r>
        <w:t xml:space="preserve">The scale-down model is a laboratory column packed with the commercial Protein A resin and operated under SOP-2007 on the scaling principles of PCMP-001 §5. The bed height and the residence time of the commercial column were kept. Load, wash and elution volumes were normalized to column volumes, and buffers were made to the commercial recipes. Column efficiency was checked by plate count and peak asymmetry after packing. PCP-005 sets no criterion for either, and both are reported for information.</w:t>
      </w:r>
    </w:p>
    <w:p>
      <w:pPr>
        <w:pStyle w:val="BodyText"/>
      </w:pPr>
      <w:r>
        <w:t xml:space="preserve">The model was qualified under SOP-1001 by its offset from manufacturing scale, the rule of PCMP-001 §7.1 that PCP-005 §5.1 applies to this step. Set-point runs of the scale-down model were compared with 5 manufacturing-scale batches of A-Mab run at set-point. The outputs compared were pool host cell protein, leached Protein A, step yield, and column efficiency as plates per metre and peak asymmetry. The offset of an output is the mean of the scale-down runs minus the mean of the manufacturing-scale batches, with its two-sided 90 % confidence interval from a Student t interval with pooled variance. It is taken on the scale on which the output is modelled (</w:t>
      </w:r>
      <w:hyperlink w:anchor="sec-stats">
        <w:r>
          <w:rPr>
            <w:rStyle w:val="Hyperlink"/>
          </w:rPr>
          <w:t xml:space="preserve">Section 3.5</w:t>
        </w:r>
      </w:hyperlink>
      <w:r>
        <w:t xml:space="preserve">). Pool host cell protein is modelled on the log scale. Its offset is therefore the difference of the mean logarithms, reported as the ratio of the geometric means of the two scales, a multiplicative offset. A scale-down result of pool host cell protein is divided by this ratio before it is judged against a criterion, and a result of leached Protein A has its offset subtracted. Every range and every conclusion for these two outputs is therefore at manufacturing scale.</w:t>
      </w:r>
    </w:p>
    <w:p>
      <w:pPr>
        <w:pStyle w:val="BodyText"/>
      </w:pPr>
      <w:r>
        <w:t xml:space="preserve">The model is qualified for an output when the conclusion against its criterion over the NOR is the same with the offset at either end of its confidence interval. That conclusion is whether the output meets its criterion at every combination of NOR low, set-point and NOR high of the 4 response-surface factors, judged on the upper prediction limit of a single run (</w:t>
      </w:r>
      <w:hyperlink w:anchor="sec-stats">
        <w:r>
          <w:rPr>
            <w:rStyle w:val="Hyperlink"/>
          </w:rPr>
          <w:t xml:space="preserve">Section 3.5</w:t>
        </w:r>
      </w:hyperlink>
      <w:r>
        <w:t xml:space="preserve">). Step yield and column efficiency have no criterion at the step. Their offsets are recorded, and no conclusion depends on them.</w:t>
      </w:r>
    </w:p>
    <w:p>
      <w:pPr>
        <w:pStyle w:val="BodyText"/>
      </w:pPr>
      <w:hyperlink w:anchor="tbl-sdm-offsets">
        <w:r>
          <w:rPr>
            <w:rStyle w:val="Hyperlink"/>
          </w:rPr>
          <w:t xml:space="preserve">Table 4</w:t>
        </w:r>
      </w:hyperlink>
      <w:r>
        <w:t xml:space="preserve"> </w:t>
      </w:r>
      <w:r>
        <w:t xml:space="preserve">gives the offsets over all 9 scale-down runs, with 12 degrees of freedom. Of these, 3 were planned in study S-PA-SDM (2025-11-05 to 2025-11-14), before the first run of the screening design, and 6 were made in study S-PA-SDM2 (2026-09-07 to 2026-09-11) during the Version 2.0 re-analysis (discrepancy PD-005-01,</w:t>
      </w:r>
      <w:r>
        <w:t xml:space="preserve"> </w:t>
      </w:r>
      <w:hyperlink w:anchor="sec-pd01">
        <w:r>
          <w:rPr>
            <w:rStyle w:val="Hyperlink"/>
          </w:rPr>
          <w:t xml:space="preserve">Section 13.6.1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6" w:name="tbl-sdm-offsets"/>
          <w:p>
            <w:pPr>
              <w:jc w:val="center"/>
            </w:pPr>
            <w:pPr>
              <w:jc w:val="start"/>
              <w:spacing w:before="200"/>
              <w:pStyle w:val="ImageCaption"/>
            </w:pPr>
            <w:r>
              <w:t xml:space="preserve">Table 4: Offsets of the scale-down models (scale-down minus manufacturing scale) and the qualification of each model for each output, Protein A.</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Output</w:t>
                  </w:r>
                </w:p>
              </w:tc>
              <w:tc>
                <w:tcPr>
                  <w:gridSpan w:val="2"/>
                </w:tcPr>
                <w:p>
                  <w:pPr>
                    <w:pStyle w:val="Compact"/>
                    <w:jc w:val="center"/>
                  </w:pPr>
                  <w:r>
                    <w:t xml:space="preserve">Runs</w:t>
                  </w:r>
                </w:p>
              </w:tc>
              <w:tc>
                <w:tcPr>
                  <w:gridSpan w:val="2"/>
                </w:tcPr>
                <w:p>
                  <w:pPr>
                    <w:pStyle w:val="Compact"/>
                    <w:jc w:val="center"/>
                  </w:pPr>
                  <w:r>
                    <w:t xml:space="preserve">Mean</w:t>
                  </w:r>
                </w:p>
              </w:tc>
              <w:tc>
                <w:tcPr>
                  <w:gridSpan w:val="2"/>
                </w:tcPr>
                <w:p>
                  <w:pPr>
                    <w:pStyle w:val="Compact"/>
                    <w:jc w:val="center"/>
                  </w:pPr>
                  <w:r>
                    <w:t xml:space="preserve">Offset</w:t>
                  </w:r>
                </w:p>
              </w:tc>
              <w:tc>
                <w:tcPr>
                  <w:vMerge w:val="restart"/>
                </w:tcPr>
                <w:p>
                  <w:pPr>
                    <w:pStyle w:val="Compact"/>
                    <w:jc w:val="center"/>
                  </w:pPr>
                  <w:r>
                    <w:t xml:space="preserve">Met over NOR</w:t>
                  </w:r>
                  <w:r>
                    <w:br/>
                  </w:r>
                  <w:r>
                    <w:t xml:space="preserve">(low/est./high)</w:t>
                  </w:r>
                </w:p>
              </w:tc>
              <w:tc>
                <w:tcPr>
                  <w:vMerge w:val="restart"/>
                </w:tcPr>
                <w:p>
                  <w:pPr>
                    <w:pStyle w:val="Compact"/>
                    <w:jc w:val="center"/>
                  </w:pPr>
                  <w:r>
                    <w:t xml:space="preserve">Qualified</w:t>
                  </w:r>
                </w:p>
              </w:tc>
            </w:tr>
            <w:tr>
              <w:trPr>
                <w:tblHeader w:val="on"/>
              </w:trPr>
              <w:tc>
                <w:tcPr>
                  <w:gridSpan w:val="1"/>
                  <w:vMerge w:val="continue"/>
                </w:tcPr>
                <w:p>
                  <w:pP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Estimate</w:t>
                  </w:r>
                </w:p>
              </w:tc>
              <w:tc>
                <w:tcPr/>
                <w:p>
                  <w:pPr>
                    <w:pStyle w:val="Compact"/>
                    <w:jc w:val="center"/>
                  </w:pPr>
                  <w:r>
                    <w:t xml:space="preserve">90 % CI</w:t>
                  </w:r>
                </w:p>
              </w:tc>
              <w:tc>
                <w:tcPr>
                  <w:gridSpan w:val="1"/>
                  <w:vMerge w:val="continue"/>
                </w:tcPr>
                <w:p>
                  <w:pPr/>
                </w:p>
              </w:tc>
              <w:tc>
                <w:tcPr>
                  <w:gridSpan w:val="1"/>
                  <w:vMerge w:val="continue"/>
                </w:tcPr>
                <w:p>
                  <w:pPr/>
                </w:p>
              </w:tc>
            </w:tr>
            <w:tr>
              <w:tc>
                <w:tcPr/>
                <w:p>
                  <w:pPr>
                    <w:pStyle w:val="Compact"/>
                    <w:jc w:val="center"/>
                  </w:pPr>
                  <w:r>
                    <w:t xml:space="preserve">Host cell protein (ng/mg)</w:t>
                  </w:r>
                </w:p>
              </w:tc>
              <w:tc>
                <w:tcPr>
                  <w:vMerge w:val="restart"/>
                </w:tcPr>
                <w:p>
                  <w:pPr>
                    <w:pStyle w:val="Compact"/>
                    <w:jc w:val="center"/>
                  </w:pPr>
                  <w:r>
                    <w:t xml:space="preserve">9</w:t>
                  </w:r>
                </w:p>
              </w:tc>
              <w:tc>
                <w:tcPr>
                  <w:vMerge w:val="restart"/>
                </w:tcPr>
                <w:p>
                  <w:pPr>
                    <w:pStyle w:val="Compact"/>
                    <w:jc w:val="center"/>
                  </w:pPr>
                  <w:r>
                    <w:t xml:space="preserve">5</w:t>
                  </w:r>
                </w:p>
              </w:tc>
              <w:tc>
                <w:tcPr/>
                <w:p>
                  <w:pPr>
                    <w:pStyle w:val="Compact"/>
                    <w:jc w:val="center"/>
                  </w:pPr>
                  <w:r>
                    <w:t xml:space="preserve">7,701</w:t>
                  </w:r>
                  <w:r>
                    <w:rPr>
                      <w:vertAlign w:val="superscript"/>
                    </w:rPr>
                    <w:t xml:space="preserve">a)</w:t>
                  </w:r>
                </w:p>
              </w:tc>
              <w:tc>
                <w:tcPr/>
                <w:p>
                  <w:pPr>
                    <w:pStyle w:val="Compact"/>
                    <w:jc w:val="center"/>
                  </w:pPr>
                  <w:r>
                    <w:t xml:space="preserve">7,911</w:t>
                  </w:r>
                  <w:r>
                    <w:rPr>
                      <w:vertAlign w:val="superscript"/>
                    </w:rPr>
                    <w:t xml:space="preserve">a)</w:t>
                  </w:r>
                </w:p>
              </w:tc>
              <w:tc>
                <w:tcPr/>
                <w:p>
                  <w:pPr>
                    <w:pStyle w:val="Compact"/>
                    <w:jc w:val="center"/>
                  </w:pPr>
                  <w:r>
                    <w:t xml:space="preserve">×0.973</w:t>
                  </w:r>
                  <w:r>
                    <w:rPr>
                      <w:vertAlign w:val="superscript"/>
                    </w:rPr>
                    <w:t xml:space="preserve">a)</w:t>
                  </w:r>
                </w:p>
              </w:tc>
              <w:tc>
                <w:tcPr/>
                <w:p>
                  <w:pPr>
                    <w:pStyle w:val="Compact"/>
                    <w:jc w:val="center"/>
                  </w:pPr>
                  <w:r>
                    <w:t xml:space="preserve">×0.891 to ×1.063</w:t>
                  </w:r>
                </w:p>
              </w:tc>
              <w:tc>
                <w:tcPr/>
                <w:p>
                  <w:pPr>
                    <w:pStyle w:val="Compact"/>
                    <w:jc w:val="center"/>
                  </w:pPr>
                  <w:r>
                    <w:t xml:space="preserve">Yes / Yes / Yes</w:t>
                  </w:r>
                </w:p>
              </w:tc>
              <w:tc>
                <w:tcPr/>
                <w:p>
                  <w:pPr>
                    <w:pStyle w:val="Compact"/>
                    <w:jc w:val="center"/>
                  </w:pPr>
                  <w:r>
                    <w:t xml:space="preserve">Yes</w:t>
                  </w:r>
                </w:p>
              </w:tc>
            </w:tr>
            <w:tr>
              <w:tc>
                <w:tcPr/>
                <w:p>
                  <w:pPr>
                    <w:pStyle w:val="Compact"/>
                    <w:jc w:val="center"/>
                  </w:pPr>
                  <w:r>
                    <w:t xml:space="preserve">Leached Protein A (ppm)</w:t>
                  </w:r>
                </w:p>
              </w:tc>
              <w:tc>
                <w:tcPr>
                  <w:gridSpan w:val="1"/>
                  <w:vMerge w:val="continue"/>
                </w:tcPr>
                <w:p>
                  <w:pPr/>
                </w:p>
              </w:tc>
              <w:tc>
                <w:tcPr>
                  <w:gridSpan w:val="1"/>
                  <w:vMerge w:val="continue"/>
                </w:tcPr>
                <w:p>
                  <w:pPr/>
                </w:p>
              </w:tc>
              <w:tc>
                <w:tcPr/>
                <w:p>
                  <w:pPr>
                    <w:pStyle w:val="Compact"/>
                    <w:jc w:val="center"/>
                  </w:pPr>
                  <w:r>
                    <w:t xml:space="preserve">2.52</w:t>
                  </w:r>
                </w:p>
              </w:tc>
              <w:tc>
                <w:tcPr/>
                <w:p>
                  <w:pPr>
                    <w:pStyle w:val="Compact"/>
                    <w:jc w:val="center"/>
                  </w:pPr>
                  <w:r>
                    <w:t xml:space="preserve">3.70</w:t>
                  </w:r>
                </w:p>
              </w:tc>
              <w:tc>
                <w:tcPr/>
                <w:p>
                  <w:pPr>
                    <w:pStyle w:val="Compact"/>
                    <w:jc w:val="center"/>
                  </w:pPr>
                  <w:r>
                    <w:t xml:space="preserve">−1.18</w:t>
                  </w:r>
                </w:p>
              </w:tc>
              <w:tc>
                <w:tcPr/>
                <w:p>
                  <w:pPr>
                    <w:pStyle w:val="Compact"/>
                    <w:jc w:val="center"/>
                  </w:pPr>
                  <w:r>
                    <w:t xml:space="preserve">−1.97 to −0.39</w:t>
                  </w:r>
                </w:p>
              </w:tc>
              <w:tc>
                <w:tcPr/>
                <w:p>
                  <w:pPr>
                    <w:pStyle w:val="Compact"/>
                    <w:jc w:val="center"/>
                  </w:pPr>
                  <w:r>
                    <w:t xml:space="preserve">Yes / Yes / Yes</w:t>
                  </w:r>
                </w:p>
              </w:tc>
              <w:tc>
                <w:tcPr/>
                <w:p>
                  <w:pPr>
                    <w:pStyle w:val="Compact"/>
                    <w:jc w:val="center"/>
                  </w:pPr>
                  <w:r>
                    <w:t xml:space="preserve">Yes</w:t>
                  </w:r>
                </w:p>
              </w:tc>
            </w:tr>
            <w:tr>
              <w:tc>
                <w:tcPr/>
                <w:p>
                  <w:pPr>
                    <w:pStyle w:val="Compact"/>
                    <w:jc w:val="center"/>
                  </w:pPr>
                  <w:r>
                    <w:t xml:space="preserve">Step yield (%)</w:t>
                  </w:r>
                </w:p>
              </w:tc>
              <w:tc>
                <w:tcPr>
                  <w:gridSpan w:val="1"/>
                  <w:vMerge w:val="continue"/>
                </w:tcPr>
                <w:p>
                  <w:pPr/>
                </w:p>
              </w:tc>
              <w:tc>
                <w:tcPr>
                  <w:gridSpan w:val="1"/>
                  <w:vMerge w:val="continue"/>
                </w:tcPr>
                <w:p>
                  <w:pPr/>
                </w:p>
              </w:tc>
              <w:tc>
                <w:tcPr/>
                <w:p>
                  <w:pPr>
                    <w:pStyle w:val="Compact"/>
                    <w:jc w:val="center"/>
                  </w:pPr>
                  <w:r>
                    <w:t xml:space="preserve">94.2</w:t>
                  </w:r>
                </w:p>
              </w:tc>
              <w:tc>
                <w:tcPr/>
                <w:p>
                  <w:pPr>
                    <w:pStyle w:val="Compact"/>
                    <w:jc w:val="center"/>
                  </w:pPr>
                  <w:r>
                    <w:t xml:space="preserve">94.4</w:t>
                  </w:r>
                </w:p>
              </w:tc>
              <w:tc>
                <w:tcPr/>
                <w:p>
                  <w:pPr>
                    <w:pStyle w:val="Compact"/>
                    <w:jc w:val="center"/>
                  </w:pPr>
                  <w:r>
                    <w:t xml:space="preserve">−0.2</w:t>
                  </w:r>
                </w:p>
              </w:tc>
              <w:tc>
                <w:tcPr/>
                <w:p>
                  <w:pPr>
                    <w:pStyle w:val="Compact"/>
                    <w:jc w:val="center"/>
                  </w:pPr>
                  <w:r>
                    <w:t xml:space="preserve">−2.1 to 1.7</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p>
                  <w:pPr>
                    <w:pStyle w:val="Compact"/>
                    <w:jc w:val="center"/>
                  </w:pPr>
                  <w:r>
                    <w:t xml:space="preserve">Column efficiency (plates/m)</w:t>
                  </w:r>
                </w:p>
              </w:tc>
              <w:tc>
                <w:tcPr>
                  <w:gridSpan w:val="1"/>
                  <w:vMerge w:val="continue"/>
                </w:tcPr>
                <w:p>
                  <w:pPr/>
                </w:p>
              </w:tc>
              <w:tc>
                <w:tcPr>
                  <w:gridSpan w:val="1"/>
                  <w:vMerge w:val="continue"/>
                </w:tcPr>
                <w:p>
                  <w:pPr/>
                </w:p>
              </w:tc>
              <w:tc>
                <w:tcPr/>
                <w:p>
                  <w:pPr>
                    <w:pStyle w:val="Compact"/>
                    <w:jc w:val="center"/>
                  </w:pPr>
                  <w:r>
                    <w:t xml:space="preserve">2,533</w:t>
                  </w:r>
                </w:p>
              </w:tc>
              <w:tc>
                <w:tcPr/>
                <w:p>
                  <w:pPr>
                    <w:pStyle w:val="Compact"/>
                    <w:jc w:val="center"/>
                  </w:pPr>
                  <w:r>
                    <w:t xml:space="preserve">2,649</w:t>
                  </w:r>
                </w:p>
              </w:tc>
              <w:tc>
                <w:tcPr/>
                <w:p>
                  <w:pPr>
                    <w:pStyle w:val="Compact"/>
                    <w:jc w:val="center"/>
                  </w:pPr>
                  <w:r>
                    <w:t xml:space="preserve">−116</w:t>
                  </w:r>
                </w:p>
              </w:tc>
              <w:tc>
                <w:tcPr/>
                <w:p>
                  <w:pPr>
                    <w:pStyle w:val="Compact"/>
                    <w:jc w:val="center"/>
                  </w:pPr>
                  <w:r>
                    <w:t xml:space="preserve">−320 to 89</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p>
                  <w:pPr>
                    <w:pStyle w:val="Compact"/>
                    <w:jc w:val="center"/>
                  </w:pPr>
                  <w:r>
                    <w:t xml:space="preserve">Peak asymmetry</w:t>
                  </w:r>
                </w:p>
              </w:tc>
              <w:tc>
                <w:tcPr>
                  <w:gridSpan w:val="1"/>
                  <w:vMerge w:val="continue"/>
                </w:tcPr>
                <w:p>
                  <w:pPr/>
                </w:p>
              </w:tc>
              <w:tc>
                <w:tcPr>
                  <w:gridSpan w:val="1"/>
                  <w:vMerge w:val="continue"/>
                </w:tcPr>
                <w:p>
                  <w:pPr/>
                </w:p>
              </w:tc>
              <w:tc>
                <w:tcPr/>
                <w:p>
                  <w:pPr>
                    <w:pStyle w:val="Compact"/>
                    <w:jc w:val="center"/>
                  </w:pPr>
                  <w:r>
                    <w:t xml:space="preserve">1.20</w:t>
                  </w:r>
                </w:p>
              </w:tc>
              <w:tc>
                <w:tcPr/>
                <w:p>
                  <w:pPr>
                    <w:pStyle w:val="Compact"/>
                    <w:jc w:val="center"/>
                  </w:pPr>
                  <w:r>
                    <w:t xml:space="preserve">1.22</w:t>
                  </w:r>
                </w:p>
              </w:tc>
              <w:tc>
                <w:tcPr/>
                <w:p>
                  <w:pPr>
                    <w:pStyle w:val="Compact"/>
                    <w:jc w:val="center"/>
                  </w:pPr>
                  <w:r>
                    <w:t xml:space="preserve">−0.02</w:t>
                  </w:r>
                </w:p>
              </w:tc>
              <w:tc>
                <w:tcPr/>
                <w:p>
                  <w:pPr>
                    <w:pStyle w:val="Compact"/>
                    <w:jc w:val="center"/>
                  </w:pPr>
                  <w:r>
                    <w:t xml:space="preserve">−0.09 to 0.05</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gridSpan w:val="9"/>
                </w:tcPr>
                <w:p>
                  <w:pPr>
                    <w:pStyle w:val="Compact"/>
                    <w:jc w:val="center"/>
                  </w:pPr>
                  <w:r>
                    <w:rPr>
                      <w:vertAlign w:val="superscript"/>
                    </w:rPr>
                    <w:t xml:space="preserve">a)</w:t>
                  </w:r>
                  <w:r>
                    <w:t xml:space="preserve"> </w:t>
                  </w:r>
                  <w:r>
                    <w:t xml:space="preserve">Modelled on the log scale: geometric means, and the offset as the ratio of the scale-down to the manufacturing geometric mean. The manufacturing-scale value is the scale-down value divided by the ratio.</w:t>
                  </w:r>
                </w:p>
              </w:tc>
            </w:tr>
            <w:tr>
              <w:tc>
                <w:tcPr>
                  <w:gridSpan w:val="9"/>
                </w:tcPr>
                <w:p>
                  <w:pPr>
                    <w:pStyle w:val="Compact"/>
                    <w:jc w:val="center"/>
                  </w:pPr>
                  <w:r>
                    <w:rPr>
                      <w:vertAlign w:val="superscript"/>
                    </w:rPr>
                    <w:t xml:space="preserve">b)</w:t>
                  </w:r>
                  <w:r>
                    <w:t xml:space="preserve"> </w:t>
                  </w:r>
                  <w:r>
                    <w:t xml:space="preserve">The output has no acceptance criterion at this step, so no conclusion depends on its offset and qualification does not apply. The offset is recorded.</w:t>
                  </w:r>
                </w:p>
              </w:tc>
            </w:tr>
            <w:tr>
              <w:tc>
                <w:tcPr>
                  <w:gridSpan w:val="9"/>
                </w:tcPr>
                <w:p>
                  <w:pPr>
                    <w:pStyle w:val="Compact"/>
                    <w:jc w:val="center"/>
                  </w:pPr>
                  <w:r>
                    <w:t xml:space="preserve">SDM, scale-down model. Mfg, manufacturing scale. Offset, scale-down mean minus manufacturing mean. Met over NOR: the criterion is met at every combination of NOR low, set-point and NOR high (the NOR in force), with the offset at the low end of its interval, at its estimate (est.) and at the high end.</w:t>
                  </w:r>
                </w:p>
              </w:tc>
            </w:tr>
          </w:tbl>
          <w:bookmarkEnd w:id="36"/>
          <w:p/>
        </w:tc>
      </w:tr>
    </w:tbl>
    <w:p>
      <w:pPr>
        <w:pStyle w:val="BodyText"/>
      </w:pPr>
      <w:r>
        <w:t xml:space="preserve">Pool host cell protein in the scale-down model is 0.973 times its value at manufacturing scale. The 90 % confidence interval of this ratio, 0.891 to 1.063, includes 1. Dividing by the low end of the interval raises each prediction most, so the low end is the unfavourable end for an upper criterion.</w:t>
      </w:r>
    </w:p>
    <w:p>
      <w:pPr>
        <w:pStyle w:val="BodyText"/>
      </w:pPr>
      <w:r>
        <w:t xml:space="preserve">Over the NOR as characterized, with protein load at 20–40 g/L resin, the scale-down model is not qualified for pool host cell protein. The upper prediction limit of a single run over that NOR is 15,697 ng/mg at manufacturing scale with the ratio at its estimate and 17,143 ng/mg with the ratio at its low end, against the criterion of ≤ 17,069 ng/mg. The conclusion therefore changes across the interval of the ratio. With the other factors over their NORs, the limit at the low end of the ratio reaches the criterion when the upper edge of the protein load NOR is 39.8 g/L resin. For this reason the NOR of protein load in force was narrowed in this revision to 20–39 g/L resin. Over that NOR the upper prediction limit is 16,763 ng/mg with the ratio at its low end and 14,055 ng/mg at its high end, both below the criterion, and the model is qualified for pool host cell protein. The studies were planned and run against the NOR as characterized. Every judgement of a Protein A output over the NOR in this report, the PARs and the capability estimate use the NOR in force.</w:t>
      </w:r>
    </w:p>
    <w:p>
      <w:pPr>
        <w:pStyle w:val="BodyText"/>
      </w:pPr>
      <w:r>
        <w:t xml:space="preserve">The qualification for pool host cell protein rests on four things.</w:t>
      </w:r>
    </w:p>
    <w:p>
      <w:pPr>
        <w:pStyle w:val="Compact"/>
        <w:numPr>
          <w:ilvl w:val="0"/>
          <w:numId w:val="1004"/>
        </w:numPr>
      </w:pPr>
      <w:r>
        <w:t xml:space="preserve">The criterion. It is widened by the one-sided 95 % prediction bound of a single batch for the host cell protein clearance of anion exchange (</w:t>
      </w:r>
      <w:hyperlink w:anchor="sec-par">
        <w:r>
          <w:rPr>
            <w:rStyle w:val="Hyperlink"/>
          </w:rPr>
          <w:t xml:space="preserve">Section 7</w:t>
        </w:r>
      </w:hyperlink>
      <w:r>
        <w:t xml:space="preserve">), which rests on the model selection of INV-002 corrective action CA3. Against the a priori criterion of ≤ 16,000 ng/mg, the limit with the ratio at its low end, 16,763 ng/mg, would exceed it.</w:t>
      </w:r>
    </w:p>
    <w:p>
      <w:pPr>
        <w:pStyle w:val="Compact"/>
        <w:numPr>
          <w:ilvl w:val="0"/>
          <w:numId w:val="1004"/>
        </w:numPr>
      </w:pPr>
      <w:r>
        <w:t xml:space="preserve">The narrowed NOR of protein load, as above.</w:t>
      </w:r>
    </w:p>
    <w:p>
      <w:pPr>
        <w:pStyle w:val="Compact"/>
        <w:numPr>
          <w:ilvl w:val="0"/>
          <w:numId w:val="1004"/>
        </w:numPr>
      </w:pPr>
      <w:r>
        <w:t xml:space="preserve">The 6 set-point runs added during the re-analysis. On the 3 planned runs alone the model is not qualified, even over the NOR in force (</w:t>
      </w:r>
      <w:hyperlink w:anchor="sec-pd01">
        <w:r>
          <w:rPr>
            <w:rStyle w:val="Hyperlink"/>
          </w:rPr>
          <w:t xml:space="preserve">Section 13.6.1</w:t>
        </w:r>
      </w:hyperlink>
      <w:r>
        <w:t xml:space="preserve">).</w:t>
      </w:r>
    </w:p>
    <w:p>
      <w:pPr>
        <w:pStyle w:val="Compact"/>
        <w:numPr>
          <w:ilvl w:val="0"/>
          <w:numId w:val="1004"/>
        </w:numPr>
      </w:pPr>
      <w:r>
        <w:t xml:space="preserve">The selected model of pool host cell protein. The rule of the model selection takes the model with the lowest AICc, so the selected model decides the qualification. The other models whose AICc lies within 2 units of it are a sensitivity analysis, and 2 of them would not qualify the scale-down model (</w:t>
      </w:r>
      <w:hyperlink w:anchor="sec-rsm-hcp">
        <w:r>
          <w:rPr>
            <w:rStyle w:val="Hyperlink"/>
          </w:rPr>
          <w:t xml:space="preserve">Section 5.3.1</w:t>
        </w:r>
      </w:hyperlink>
      <w:r>
        <w:t xml:space="preserve">).</w:t>
      </w:r>
    </w:p>
    <w:p>
      <w:pPr>
        <w:pStyle w:val="FirstParagraph"/>
      </w:pPr>
      <w:r>
        <w:t xml:space="preserve">Leached Protein A is 1.18 ppm lower in the scale-down model. The 90 % confidence interval of the difference, 0.39 to 1.97 ppm lower, excludes zero, and each scale-down run was below the manufacturing mean. The expected cause is cleavage of the ligand by harvest proteases. At manufacturing scale the clarified harvest is held longer before capture. Proteolytic activity in the harvest is expected to rise while it is held, and the load then cleaves more ligand from the resin during loading. This study does not test that cause. With the offset at either end of its interval the conclusion for leached Protein A is the same, and the model is qualified for it. On the 3 runs of the planned study S-PA-SDM alone, the two scales differ in leached Protein A (p = 0.037). PCP-005 Version 1.0 required such a difference to be investigated, and no investigation is recorded (deviation DEV-005-04,</w:t>
      </w:r>
      <w:r>
        <w:t xml:space="preserve"> </w:t>
      </w:r>
      <w:hyperlink w:anchor="sec-dev04">
        <w:r>
          <w:rPr>
            <w:rStyle w:val="Hyperlink"/>
          </w:rPr>
          <w:t xml:space="preserve">Section 13.4</w:t>
        </w:r>
      </w:hyperlink>
      <w:r>
        <w:t xml:space="preserve">).</w:t>
      </w:r>
    </w:p>
    <w:p>
      <w:pPr>
        <w:pStyle w:val="BodyText"/>
      </w:pPr>
      <w:r>
        <w:t xml:space="preserve">Fragments by nrCE-SDS were not compared at the two scales. The method decision AMD-001 of 2026-03-20, which set nrCE-SDS as the method for fragments at every step, was taken after study S-PA-SDM had closed. The 6 runs of study S-PA-SDM2 were made after AMD-001 and were not tested by nrCE-SDS either. Fragments therefore have no measured offset (PCMP-001 §7.1), and their conclusions assume no difference between the scales. The scale-down model is accepted for fragments on mechanism, as PCP-005 §5.1 states. The capture of Fc-bearing species depends on bed height and residence time, and low-pH hinge hydrolysis on pH, time and temperature, all of which the model keeps at commercial values.</w:t>
      </w:r>
    </w:p>
    <w:p>
      <w:pPr>
        <w:pStyle w:val="BodyText"/>
      </w:pPr>
      <w:r>
        <w:t xml:space="preserve">The longer hold of the load at manufacturing scale could also raise fragments, because the harvest proteases that cleave the ligand can also clip the antibody. The hold study of the clarified harvest (PCR-004) bounds this effect. Over 7 days fragments by nrCE-SDS in the clarified harvest rose by at most 0.55 percentage points, at 21 °C. Suppose the longer hold added that much fragment to the pool, every fragment it formed being captured. The upper prediction limit of fragments over the NOR, 1.09 %, would then become 1.65 %, still below the criterion of ≤ 2.45 %. This bound holds for a hold of the clarified harvest within the 7 days of that study. The hold study of the eluate measured attributes that the qualification did not compare, so its results also carry no offset.</w:t>
      </w:r>
    </w:p>
    <w:bookmarkEnd w:id="37"/>
    <w:bookmarkStart w:id="38" w:name="sec-operation"/>
    <w:p>
      <w:pPr>
        <w:pStyle w:val="Heading2"/>
      </w:pPr>
      <w:r>
        <w:t xml:space="preserve">3.2 Operation</w:t>
      </w:r>
    </w:p>
    <w:p>
      <w:pPr>
        <w:pStyle w:val="FirstParagraph"/>
      </w:pPr>
      <w:r>
        <w:t xml:space="preserve">Each run followed SOP-2007 at laboratory scale. The column was equilibrated, loaded with clarified harvest to the target protein load, washed, and eluted with the elution buffer at the pH set by the design. The protein load of each run was set from the load volume and the titre of the clarified harvest by Protein A affinity HPLC (AMV-3021, under SOP-3016). The eluate was collected from the rise of the absorbance at 280 nm until the end of pool collect set by the design, in column volumes. The column was then stripped, cleaned and stored under SOP-2008. The pool was not neutralized, because the commercial eluate passes to low-pH viral inactivation at elution pH.</w:t>
      </w:r>
    </w:p>
    <w:p>
      <w:pPr>
        <w:pStyle w:val="BodyText"/>
      </w:pPr>
      <w:r>
        <w:t xml:space="preserve">Each design was loaded from one pool of clarified harvest produced at set-point and held frozen in aliquots. A single feed keeps feed variation out of the estimated effects. The effect of feed quality on the step was therefore not estimated in these studies. The case study reports that Protein A capture is robust over a wide range of feed inputs</w:t>
      </w:r>
      <w:r>
        <w:t xml:space="preserve"> </w:t>
      </w:r>
      <w:r>
        <w:t xml:space="preserve">(CMC Biotech Working Group 2009)</w:t>
      </w:r>
      <w:r>
        <w:t xml:space="preserve">, and the feed is characterized in PCR-003 and PCR-004. Runs were executed in random order within each design. The resin was used within the life-cycle limits of SOP-2008, and the life cycle of the resin is outside the scope of this report.</w:t>
      </w:r>
    </w:p>
    <w:bookmarkEnd w:id="38"/>
    <w:bookmarkStart w:id="41" w:name="sec-methods"/>
    <w:p>
      <w:pPr>
        <w:pStyle w:val="Heading2"/>
      </w:pPr>
      <w:r>
        <w:t xml:space="preserve">3.3 Analytical methods</w:t>
      </w:r>
    </w:p>
    <w:p>
      <w:pPr>
        <w:pStyle w:val="FirstParagraph"/>
      </w:pPr>
      <w:r>
        <w:t xml:space="preserve">Each response was measured by a validated method under its own AMV.</w:t>
      </w:r>
      <w:r>
        <w:t xml:space="preserve"> </w:t>
      </w:r>
      <w:hyperlink w:anchor="tbl-sops">
        <w:r>
          <w:rPr>
            <w:rStyle w:val="Hyperlink"/>
          </w:rPr>
          <w:t xml:space="preserve">Table 5</w:t>
        </w:r>
      </w:hyperlink>
      <w:r>
        <w:t xml:space="preserve"> </w:t>
      </w:r>
      <w:r>
        <w:t xml:space="preserve">lists the controlled procedures and method validations used. The SOP and AMV numbers are placeholders.</w:t>
      </w:r>
    </w:p>
    <w:tbl>
      <w:tblPr>
        <w:tblStyle w:val="Table"/>
        <w:tblW w:type="pct" w:w="5000"/>
        <w:tblLayout w:type="fixed"/>
        <w:tblLook w:firstRow="0" w:lastRow="0" w:firstColumn="0" w:lastColumn="0" w:noHBand="0" w:noVBand="0" w:val="0000"/>
      </w:tblPr>
      <w:tblGrid>
        <w:gridCol w:w="7920"/>
      </w:tblGrid>
      <w:tr>
        <w:tc>
          <w:tcPr/>
          <w:bookmarkStart w:id="39" w:name="tbl-sops"/>
          <w:p>
            <w:pPr>
              <w:jc w:val="center"/>
            </w:pPr>
            <w:pPr>
              <w:jc w:val="start"/>
              <w:spacing w:before="200"/>
              <w:pStyle w:val="ImageCaption"/>
            </w:pPr>
            <w:r>
              <w:t xml:space="preserve">Table 5: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SOP-2007</w:t>
                  </w:r>
                </w:p>
              </w:tc>
              <w:tc>
                <w:tcPr/>
                <w:p>
                  <w:pPr>
                    <w:pStyle w:val="Compact"/>
                    <w:jc w:val="center"/>
                  </w:pPr>
                  <w:r>
                    <w:t xml:space="preserve">Operation of the Protein A Capture Chromatography Step</w:t>
                  </w:r>
                </w:p>
              </w:tc>
            </w:tr>
            <w:tr>
              <w:tc>
                <w:tcPr>
                  <w:gridSpan w:val="1"/>
                  <w:vMerge w:val="continue"/>
                </w:tcPr>
                <w:p>
                  <w:pPr/>
                </w:p>
              </w:tc>
              <w:tc>
                <w:tcPr/>
                <w:p>
                  <w:pPr>
                    <w:pStyle w:val="Compact"/>
                    <w:jc w:val="center"/>
                  </w:pPr>
                  <w:r>
                    <w:t xml:space="preserve">SOP-2008</w:t>
                  </w:r>
                </w:p>
              </w:tc>
              <w:tc>
                <w:tcPr/>
                <w:p>
                  <w:pPr>
                    <w:pStyle w:val="Compact"/>
                    <w:jc w:val="center"/>
                  </w:pPr>
                  <w:r>
                    <w:t xml:space="preserve">Chromatography Resin Life-Cycle, Packing and Sanitization</w:t>
                  </w:r>
                </w:p>
              </w:tc>
            </w:tr>
            <w:tr>
              <w:tc>
                <w:tcPr>
                  <w:gridSpan w:val="1"/>
                  <w:vMerge w:val="continue"/>
                </w:tcPr>
                <w:p>
                  <w:pPr/>
                </w:p>
              </w:tc>
              <w:tc>
                <w:tcPr/>
                <w:p>
                  <w:pPr>
                    <w:pStyle w:val="Compact"/>
                    <w:jc w:val="center"/>
                  </w:pPr>
                  <w:r>
                    <w:t xml:space="preserve">SOP-3015</w:t>
                  </w:r>
                </w:p>
              </w:tc>
              <w:tc>
                <w:tcPr/>
                <w:p>
                  <w:pPr>
                    <w:pStyle w:val="Compact"/>
                    <w:jc w:val="center"/>
                  </w:pPr>
                  <w:r>
                    <w:t xml:space="preserve">Purity by Non-Reduced CE-SDS</w:t>
                  </w:r>
                </w:p>
              </w:tc>
            </w:tr>
            <w:tr>
              <w:tc>
                <w:tcPr>
                  <w:gridSpan w:val="1"/>
                  <w:vMerge w:val="continue"/>
                </w:tcPr>
                <w:p>
                  <w:pPr/>
                </w:p>
              </w:tc>
              <w:tc>
                <w:tcPr/>
                <w:p>
                  <w:pPr>
                    <w:pStyle w:val="Compact"/>
                    <w:jc w:val="center"/>
                  </w:pPr>
                  <w:r>
                    <w:t xml:space="preserve">SOP-3016</w:t>
                  </w:r>
                </w:p>
              </w:tc>
              <w:tc>
                <w:tcPr/>
                <w:p>
                  <w:pPr>
                    <w:pStyle w:val="Compact"/>
                    <w:jc w:val="center"/>
                  </w:pPr>
                  <w:r>
                    <w:t xml:space="preserve">Product Titre by Protein A Affinity HPLC</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r>
              <w:tc>
                <w:tcPr>
                  <w:gridSpan w:val="1"/>
                  <w:vMerge w:val="continue"/>
                </w:tcPr>
                <w:p>
                  <w:pPr/>
                </w:p>
              </w:tc>
              <w:tc>
                <w:tcPr/>
                <w:p>
                  <w:pPr>
                    <w:pStyle w:val="Compact"/>
                    <w:jc w:val="center"/>
                  </w:pPr>
                  <w:r>
                    <w:t xml:space="preserve">AMV-3016</w:t>
                  </w:r>
                </w:p>
              </w:tc>
              <w:tc>
                <w:tcPr/>
                <w:p>
                  <w:pPr>
                    <w:pStyle w:val="Compact"/>
                    <w:jc w:val="center"/>
                  </w:pPr>
                  <w:r>
                    <w:t xml:space="preserve">Leached Protein A by ELISA (ppm)</w:t>
                  </w:r>
                </w:p>
              </w:tc>
            </w:tr>
            <w:tr>
              <w:tc>
                <w:tcPr>
                  <w:gridSpan w:val="1"/>
                  <w:vMerge w:val="continue"/>
                </w:tcPr>
                <w:p>
                  <w:pPr/>
                </w:p>
              </w:tc>
              <w:tc>
                <w:tcPr/>
                <w:p>
                  <w:pPr>
                    <w:pStyle w:val="Compact"/>
                    <w:jc w:val="center"/>
                  </w:pPr>
                  <w:r>
                    <w:t xml:space="preserve">AMV-3019</w:t>
                  </w:r>
                </w:p>
              </w:tc>
              <w:tc>
                <w:tcPr/>
                <w:p>
                  <w:pPr>
                    <w:pStyle w:val="Compact"/>
                    <w:jc w:val="center"/>
                  </w:pPr>
                  <w:r>
                    <w:t xml:space="preserve">Protein Concentration by A280 (UV)</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r>
              <w:tc>
                <w:tcPr>
                  <w:gridSpan w:val="1"/>
                  <w:vMerge w:val="continue"/>
                </w:tcPr>
                <w:p>
                  <w:pPr/>
                </w:p>
              </w:tc>
              <w:tc>
                <w:tcPr/>
                <w:p>
                  <w:pPr>
                    <w:pStyle w:val="Compact"/>
                    <w:jc w:val="center"/>
                  </w:pPr>
                  <w:r>
                    <w:t xml:space="preserve">AMV-3021</w:t>
                  </w:r>
                </w:p>
              </w:tc>
              <w:tc>
                <w:tcPr/>
                <w:p>
                  <w:pPr>
                    <w:pStyle w:val="Compact"/>
                    <w:jc w:val="center"/>
                  </w:pPr>
                  <w:r>
                    <w:t xml:space="preserve">Product Titre (Protein A Affinity HPLC)</w:t>
                  </w:r>
                </w:p>
              </w:tc>
            </w:tr>
          </w:tbl>
          <w:bookmarkEnd w:id="39"/>
          <w:p/>
        </w:tc>
      </w:tr>
    </w:tbl>
    <w:p>
      <w:pPr>
        <w:pStyle w:val="BodyText"/>
      </w:pPr>
      <w:r>
        <w:t xml:space="preserve">Pool host cell protein was measured by ELISA (AMV-3012) and is reported per mass of antibody in the pool, so that it does not depend on how far the pool is diluted by the end of pool collect. The precision of the ELISA is 9.5 % of the level. The titre of the clarified harvest was measured by Protein A affinity HPLC (AMV-3021, under SOP-3016), which measures the antibody alone, with a precision of 2 %. Step yield is the mass of antibody in the pool, from the protein concentration by absorbance at 280 nm (AMV-3019) and the pool volume, divided by the mass loaded, from the titre and the load volume. PCP-005 §5.3 planned both masses by absorbance at 280 nm, so the titre basis of the loaded mass is the discrepancy PD-005-06. In the pool, host cell protein is at most 2.5 % of the mass of antibody, so the absorbance at 280 nm there is mainly that of the antibody. Leached Protein A was measured by ELISA (AMV-3016). Fragments were measured by nrCE-SDS (AMV-3020, under SOP-3015), as PCMP-001 §7.8 sets for every step. SEC (AMV-3011) remains the method for aggregate (PCMP-001 §7.8). Acidic variants in the hold study were measured by icIEF (AMV-3013), and residual DNA by qPCR (AMV-3014).</w:t>
      </w:r>
      <w:r>
        <w:t xml:space="preserve"> </w:t>
      </w:r>
      <w:hyperlink w:anchor="tbl-methods-by-study">
        <w:r>
          <w:rPr>
            <w:rStyle w:val="Hyperlink"/>
          </w:rPr>
          <w:t xml:space="preserve">Table 6</w:t>
        </w:r>
      </w:hyperlink>
      <w:r>
        <w:t xml:space="preserve"> </w:t>
      </w:r>
      <w:r>
        <w:t xml:space="preserve">shows which method measured fragments in each study of the step, and Appendix D summarizes the methods.</w:t>
      </w:r>
    </w:p>
    <w:tbl>
      <w:tblPr>
        <w:tblStyle w:val="Table"/>
        <w:tblW w:type="pct" w:w="5000"/>
        <w:tblLayout w:type="fixed"/>
        <w:tblLook w:firstRow="0" w:lastRow="0" w:firstColumn="0" w:lastColumn="0" w:noHBand="0" w:noVBand="0" w:val="0000"/>
      </w:tblPr>
      <w:tblGrid>
        <w:gridCol w:w="7920"/>
      </w:tblGrid>
      <w:tr>
        <w:tc>
          <w:tcPr/>
          <w:bookmarkStart w:id="40" w:name="tbl-methods-by-study"/>
          <w:p>
            <w:pPr>
              <w:jc w:val="center"/>
            </w:pPr>
            <w:pPr>
              <w:jc w:val="start"/>
              <w:spacing w:before="200"/>
              <w:pStyle w:val="ImageCaption"/>
            </w:pPr>
            <w:r>
              <w:t xml:space="preserve">Table 6: Methods used for size variants in the designed studies, Protein A.</w:t>
            </w:r>
          </w:p>
          <w:tbl>
            <w:tblPr>
              <w:tblStyle w:val="Table"/>
              <w:tblW w:type="auto" w:w="0"/>
              <w:tblLook w:firstRow="1" w:lastRow="1" w:firstColumn="0" w:lastColumn="0" w:noHBand="0" w:noVBand="0" w:val="0020"/>
            </w:tblPr>
            <w:tblGrid>
              <w:gridCol w:w="2640"/>
              <w:gridCol w:w="2640"/>
              <w:gridCol w:w="2640"/>
            </w:tblGrid>
            <w:tr>
              <w:trPr>
                <w:tblHeader w:val="on"/>
              </w:trPr>
              <w:tc>
                <w:tcPr>
                  <w:vMerge w:val="restart"/>
                </w:tcPr>
                <w:p>
                  <w:pPr>
                    <w:pStyle w:val="Compact"/>
                    <w:jc w:val="center"/>
                  </w:pPr>
                  <w:r>
                    <w:t xml:space="preserve">Attribute</w:t>
                  </w:r>
                </w:p>
              </w:tc>
              <w:tc>
                <w:tcPr>
                  <w:gridSpan w:val="2"/>
                </w:tcPr>
                <w:p>
                  <w:pPr>
                    <w:pStyle w:val="Compact"/>
                    <w:jc w:val="center"/>
                  </w:pPr>
                  <w:r>
                    <w:t xml:space="preserve">Method used in study</w:t>
                  </w:r>
                </w:p>
              </w:tc>
            </w:tr>
            <w:tr>
              <w:trPr>
                <w:tblHeader w:val="on"/>
              </w:trPr>
              <w:tc>
                <w:tcPr>
                  <w:gridSpan w:val="1"/>
                  <w:vMerge w:val="continue"/>
                </w:tcPr>
                <w:p>
                  <w:pPr/>
                </w:p>
              </w:tc>
              <w:tc>
                <w:tcPr/>
                <w:p>
                  <w:pPr>
                    <w:pStyle w:val="Compact"/>
                    <w:jc w:val="center"/>
                  </w:pPr>
                  <w:r>
                    <w:t xml:space="preserve">Screening</w:t>
                  </w:r>
                </w:p>
              </w:tc>
              <w:tc>
                <w:tcPr/>
                <w:p>
                  <w:pPr>
                    <w:pStyle w:val="Compact"/>
                    <w:jc w:val="center"/>
                  </w:pPr>
                  <w:r>
                    <w:t xml:space="preserve">Response surface</w:t>
                  </w:r>
                </w:p>
              </w:tc>
            </w:tr>
            <w:tr>
              <w:tc>
                <w:tcPr/>
                <w:p>
                  <w:pPr>
                    <w:pStyle w:val="Compact"/>
                    <w:jc w:val="center"/>
                  </w:pPr>
                  <w:r>
                    <w:t xml:space="preserve">Aggregates, HMW</w:t>
                  </w:r>
                </w:p>
              </w:tc>
              <w:tc>
                <w:tcPr>
                  <w:gridSpan w:val="2"/>
                </w:tcPr>
                <w:p>
                  <w:pPr>
                    <w:pStyle w:val="Compact"/>
                    <w:jc w:val="center"/>
                  </w:pPr>
                  <w:r>
                    <w:t xml:space="preserve">SEC</w:t>
                  </w:r>
                </w:p>
              </w:tc>
            </w:tr>
            <w:tr>
              <w:tc>
                <w:tcPr/>
                <w:p>
                  <w:pPr>
                    <w:pStyle w:val="Compact"/>
                    <w:jc w:val="center"/>
                  </w:pPr>
                  <w:r>
                    <w:t xml:space="preserve">Fragments, LMW</w:t>
                  </w:r>
                </w:p>
              </w:tc>
              <w:tc>
                <w:tcPr/>
                <w:p>
                  <w:pPr>
                    <w:pStyle w:val="Compact"/>
                    <w:jc w:val="center"/>
                  </w:pPr>
                  <w:r>
                    <w:t xml:space="preserve">SEC</w:t>
                  </w:r>
                  <w:r>
                    <w:rPr>
                      <w:vertAlign w:val="superscript"/>
                    </w:rPr>
                    <w:t xml:space="preserve">a)</w:t>
                  </w:r>
                </w:p>
              </w:tc>
              <w:tc>
                <w:tcPr/>
                <w:p>
                  <w:pPr>
                    <w:pStyle w:val="Compact"/>
                    <w:jc w:val="center"/>
                  </w:pPr>
                  <w:r>
                    <w:t xml:space="preserve">SEC</w:t>
                  </w:r>
                  <w:r>
                    <w:rPr>
                      <w:vertAlign w:val="superscript"/>
                    </w:rPr>
                    <w:t xml:space="preserve">a)</w:t>
                  </w:r>
                  <w:r>
                    <w:t xml:space="preserve">, nrCE-SDS</w:t>
                  </w:r>
                  <w:r>
                    <w:rPr>
                      <w:vertAlign w:val="superscript"/>
                    </w:rPr>
                    <w:t xml:space="preserve">b)</w:t>
                  </w:r>
                </w:p>
              </w:tc>
            </w:tr>
            <w:tr>
              <w:tc>
                <w:tcPr>
                  <w:gridSpan w:val="3"/>
                </w:tcPr>
                <w:p>
                  <w:pPr>
                    <w:pStyle w:val="Compact"/>
                    <w:jc w:val="center"/>
                  </w:pPr>
                  <w:r>
                    <w:rPr>
                      <w:vertAlign w:val="superscript"/>
                    </w:rPr>
                    <w:t xml:space="preserve">a)</w:t>
                  </w:r>
                  <w:r>
                    <w:t xml:space="preserve"> </w:t>
                  </w:r>
                  <w:r>
                    <w:t xml:space="preserve">In the Protein A and low-pH viral inactivation pools part of the host cell protein elutes in the SEC low molecular weight window. Reported for information only (AMD-001).</w:t>
                  </w:r>
                </w:p>
              </w:tc>
            </w:tr>
            <w:tr>
              <w:tc>
                <w:tcPr>
                  <w:gridSpan w:val="3"/>
                </w:tcPr>
                <w:p>
                  <w:pPr>
                    <w:pStyle w:val="Compact"/>
                    <w:jc w:val="center"/>
                  </w:pPr>
                  <w:r>
                    <w:rPr>
                      <w:vertAlign w:val="superscript"/>
                    </w:rPr>
                    <w:t xml:space="preserve">b)</w:t>
                  </w:r>
                  <w:r>
                    <w:t xml:space="preserve"> </w:t>
                  </w:r>
                  <w:r>
                    <w:t xml:space="preserve">Retained samples of the response-surface design, tested 2026-04-06 to 2026-04-17.</w:t>
                  </w:r>
                </w:p>
              </w:tc>
            </w:tr>
          </w:tbl>
          <w:bookmarkEnd w:id="40"/>
          <w:p/>
        </w:tc>
      </w:tr>
    </w:tbl>
    <w:p>
      <w:pPr>
        <w:pStyle w:val="BodyText"/>
      </w:pPr>
      <w:r>
        <w:t xml:space="preserve">The screening design ran before the method decision AMD-001 set nrCE-SDS as the method for fragments, and its pools were not retained. Its fragment results are by SEC only and are not used for any decision. The univariate study S-PA-UNI ran before AMD-001, and its samples were not retained, so its fragment results are by SEC only and are not used for any decision. The response-surface pools were retained frozen and were tested by nrCE-SDS in study S-PA-RET (2026-04-06 to 2026-04-17). On those pools SEC read fragments higher than nrCE-SDS by 0.12 to 1.37 percentage points (median 0.36). The hold study ran after AMD-001 and measured fragments by nrCE-SDS alone.</w:t>
      </w:r>
    </w:p>
    <w:bookmarkEnd w:id="41"/>
    <w:bookmarkStart w:id="42" w:name="sampling-plan"/>
    <w:p>
      <w:pPr>
        <w:pStyle w:val="Heading2"/>
      </w:pPr>
      <w:r>
        <w:t xml:space="preserve">3.4 Sampling plan</w:t>
      </w:r>
    </w:p>
    <w:p>
      <w:pPr>
        <w:pStyle w:val="FirstParagraph"/>
      </w:pPr>
      <w:r>
        <w:t xml:space="preserve">The load of each design was sampled once per feed aliquot thawed. The pool of every run was sampled once at the end of collection, after mixing, and its volume was recorded. Each pool sample was divided into aliquots for each method. One further aliquot of every response-surface pool was retained frozen under the sample management procedure of Analytical Development, and these are the samples tested by nrCE-SDS in study S-PA-RET. The screening design had 3 centre points and the response-surface design 4. Residual DNA was measured on the load and pool of the centre-point runs. The hold study was sampled as described in</w:t>
      </w:r>
      <w:r>
        <w:t xml:space="preserve"> </w:t>
      </w:r>
      <w:hyperlink w:anchor="sec-holddesign">
        <w:r>
          <w:rPr>
            <w:rStyle w:val="Hyperlink"/>
          </w:rPr>
          <w:t xml:space="preserve">Section 4.5</w:t>
        </w:r>
      </w:hyperlink>
      <w:r>
        <w:t xml:space="preserve">.</w:t>
      </w:r>
    </w:p>
    <w:bookmarkEnd w:id="42"/>
    <w:bookmarkStart w:id="46" w:name="sec-stats"/>
    <w:p>
      <w:pPr>
        <w:pStyle w:val="Heading2"/>
      </w:pPr>
      <w:r>
        <w:t xml:space="preserve">3.5 Statistical methods</w:t>
      </w:r>
    </w:p>
    <w:p>
      <w:pPr>
        <w:pStyle w:val="FirstParagraph"/>
      </w:pPr>
      <w:r>
        <w:t xml:space="preserve">The designs were built and analysed under SOP-1002 with the common approach of PCMP-001 §6. Factors were coded from −1 to +1 over their range studied, with 0 at the centre. For each of the 4 design factors the centre of the range studied is the set-point, so the centre-point runs of both designs are set-point runs. In this report a term of a model is a main effect, an interaction or a square, and the intercept is counted apart.</w:t>
      </w:r>
    </w:p>
    <w:p>
      <w:pPr>
        <w:pStyle w:val="BodyText"/>
      </w:pPr>
      <w:r>
        <w:t xml:space="preserve">The screening data were fitted with a model of main effects and two-factor interactions. Effects are reported as the change in the response over the coded range of the factor, which is twice the coefficient. Significance was judged at α = 0.05. The screening model identifies effects. A two-level design cannot resolve curvature, so the screening model was not used to predict between its corners.</w:t>
      </w:r>
    </w:p>
    <w:p>
      <w:pPr>
        <w:pStyle w:val="BodyText"/>
      </w:pPr>
      <w:r>
        <w:t xml:space="preserve">PCP-005 §5.5 planned to fit the full quadratic model, an intercept and 14 terms, to each output of the response-surface design. Each output was analysed instead by model selection, which INV-002 introduced as its corrective action CA3 on 2026-09-15 for every report with a response-surface design. PCMP-001 Version 2.0 still names the full quadratic model, so the selection is a discrepancy from the plan, recorded as PD-005-04 (</w:t>
      </w:r>
      <w:hyperlink w:anchor="sec-dev">
        <w:r>
          <w:rPr>
            <w:rStyle w:val="Hyperlink"/>
          </w:rPr>
          <w:t xml:space="preserve">Section 13</w:t>
        </w:r>
      </w:hyperlink>
      <w:r>
        <w:t xml:space="preserve">). The selection first chooses the scale of each output and then the terms of its model. Pool host cell protein is the one output put on the log scale, and both choices are explained below with its data.</w:t>
      </w:r>
    </w:p>
    <w:bookmarkStart w:id="43" w:name="the-scale-of-the-model"/>
    <w:p>
      <w:pPr>
        <w:pStyle w:val="Heading3"/>
      </w:pPr>
      <w:r>
        <w:t xml:space="preserve">3.5.1 The scale of the model</w:t>
      </w:r>
    </w:p>
    <w:p>
      <w:pPr>
        <w:pStyle w:val="FirstParagraph"/>
      </w:pPr>
      <w:r>
        <w:t xml:space="preserve">On the raw scale a model describes pool host cell protein in ng/mg as a sum,</w:t>
      </w:r>
      <w:r>
        <w:t xml:space="preserve"> </w:t>
      </w:r>
      <m:oMath>
        <m:r>
          <m:t>y</m:t>
        </m:r>
        <m:r>
          <m:rPr>
            <m:sty m:val="p"/>
          </m:rPr>
          <m:t>=</m:t>
        </m:r>
        <m:sSub>
          <m:e>
            <m:r>
              <m:t>b</m:t>
            </m:r>
          </m:e>
          <m:sub>
            <m:r>
              <m:t>0</m:t>
            </m:r>
          </m:sub>
        </m:sSub>
        <m:r>
          <m:rPr>
            <m:sty m:val="p"/>
          </m:rPr>
          <m:t>+</m:t>
        </m:r>
        <m:sSub>
          <m:e>
            <m:r>
              <m:t>b</m:t>
            </m:r>
          </m:e>
          <m:sub>
            <m:r>
              <m:t>1</m:t>
            </m:r>
          </m:sub>
        </m:sSub>
        <m:sSub>
          <m:e>
            <m:r>
              <m:t>x</m:t>
            </m:r>
          </m:e>
          <m:sub>
            <m:r>
              <m:t>1</m:t>
            </m:r>
          </m:sub>
        </m:sSub>
        <m:r>
          <m:rPr>
            <m:sty m:val="p"/>
          </m:rPr>
          <m:t>+</m:t>
        </m:r>
        <m:r>
          <m:rPr>
            <m:sty m:val="p"/>
          </m:rPr>
          <m:t>…</m:t>
        </m:r>
        <m:r>
          <m:rPr>
            <m:sty m:val="p"/>
          </m:rPr>
          <m:t>+</m:t>
        </m:r>
        <m:r>
          <m:t>ε</m:t>
        </m:r>
      </m:oMath>
      <w:r>
        <w:t xml:space="preserve">, where</w:t>
      </w:r>
      <w:r>
        <w:t xml:space="preserve"> </w:t>
      </w:r>
      <m:oMath>
        <m:sSub>
          <m:e>
            <m:r>
              <m:t>x</m:t>
            </m:r>
          </m:e>
          <m:sub>
            <m:r>
              <m:t>1</m:t>
            </m:r>
          </m:sub>
        </m:sSub>
      </m:oMath>
      <w:r>
        <w:t xml:space="preserve"> </w:t>
      </w:r>
      <w:r>
        <w:t xml:space="preserve">is a coded parameter,</w:t>
      </w:r>
      <w:r>
        <w:t xml:space="preserve"> </w:t>
      </w:r>
      <m:oMath>
        <m:sSub>
          <m:e>
            <m:r>
              <m:t>b</m:t>
            </m:r>
          </m:e>
          <m:sub>
            <m:r>
              <m:t>1</m:t>
            </m:r>
          </m:sub>
        </m:sSub>
      </m:oMath>
      <w:r>
        <w:t xml:space="preserve"> </w:t>
      </w:r>
      <w:r>
        <w:t xml:space="preserve">its coefficient and</w:t>
      </w:r>
      <w:r>
        <w:t xml:space="preserve"> </w:t>
      </w:r>
      <m:oMath>
        <m:r>
          <m:t>ε</m:t>
        </m:r>
      </m:oMath>
      <w:r>
        <w:t xml:space="preserve"> </w:t>
      </w:r>
      <w:r>
        <w:t xml:space="preserve">the run-to-run error. Each parameter then adds or removes a fixed amount, and the error is a fixed amount too. On the log scale the model is</w:t>
      </w:r>
      <w:r>
        <w:t xml:space="preserve"> </w:t>
      </w:r>
      <m:oMath>
        <m:r>
          <m:rPr>
            <m:sty m:val="p"/>
          </m:rPr>
          <m:t>ln</m:t>
        </m:r>
        <m:r>
          <m:t>y</m:t>
        </m:r>
        <m:r>
          <m:rPr>
            <m:sty m:val="p"/>
          </m:rPr>
          <m:t>=</m:t>
        </m:r>
        <m:sSub>
          <m:e>
            <m:r>
              <m:t>b</m:t>
            </m:r>
          </m:e>
          <m:sub>
            <m:r>
              <m:t>0</m:t>
            </m:r>
          </m:sub>
        </m:sSub>
        <m:r>
          <m:rPr>
            <m:sty m:val="p"/>
          </m:rPr>
          <m:t>+</m:t>
        </m:r>
        <m:sSub>
          <m:e>
            <m:r>
              <m:t>b</m:t>
            </m:r>
          </m:e>
          <m:sub>
            <m:r>
              <m:t>1</m:t>
            </m:r>
          </m:sub>
        </m:sSub>
        <m:sSub>
          <m:e>
            <m:r>
              <m:t>x</m:t>
            </m:r>
          </m:e>
          <m:sub>
            <m:r>
              <m:t>1</m:t>
            </m:r>
          </m:sub>
        </m:sSub>
        <m:r>
          <m:rPr>
            <m:sty m:val="p"/>
          </m:rPr>
          <m:t>+</m:t>
        </m:r>
        <m:r>
          <m:rPr>
            <m:sty m:val="p"/>
          </m:rPr>
          <m:t>…</m:t>
        </m:r>
        <m:r>
          <m:rPr>
            <m:sty m:val="p"/>
          </m:rPr>
          <m:t>+</m:t>
        </m:r>
        <m:r>
          <m:t>ε</m:t>
        </m:r>
      </m:oMath>
      <w:r>
        <w:t xml:space="preserve">. Transformed back,</w:t>
      </w:r>
      <w:r>
        <w:t xml:space="preserve"> </w:t>
      </w:r>
      <m:oMath>
        <m:r>
          <m:t>y</m:t>
        </m:r>
        <m:r>
          <m:rPr>
            <m:sty m:val="p"/>
          </m:rPr>
          <m:t>=</m:t>
        </m:r>
        <m:sSup>
          <m:e>
            <m:r>
              <m:t>e</m:t>
            </m:r>
          </m:e>
          <m:sup>
            <m:sSub>
              <m:e>
                <m:r>
                  <m:t>b</m:t>
                </m:r>
              </m:e>
              <m:sub>
                <m:r>
                  <m:t>0</m:t>
                </m:r>
              </m:sub>
            </m:sSub>
          </m:sup>
        </m:sSup>
        <m:r>
          <m:rPr>
            <m:sty m:val="p"/>
          </m:rPr>
          <m:t>⋅</m:t>
        </m:r>
        <m:sSup>
          <m:e>
            <m:r>
              <m:t>e</m:t>
            </m:r>
          </m:e>
          <m:sup>
            <m:sSub>
              <m:e>
                <m:r>
                  <m:t>b</m:t>
                </m:r>
              </m:e>
              <m:sub>
                <m:r>
                  <m:t>1</m:t>
                </m:r>
              </m:sub>
            </m:sSub>
            <m:sSub>
              <m:e>
                <m:r>
                  <m:t>x</m:t>
                </m:r>
              </m:e>
              <m:sub>
                <m:r>
                  <m:t>1</m:t>
                </m:r>
              </m:sub>
            </m:sSub>
          </m:sup>
        </m:sSup>
        <m:r>
          <m:rPr>
            <m:sty m:val="p"/>
          </m:rPr>
          <m:t>⋯</m:t>
        </m:r>
        <m:sSup>
          <m:e>
            <m:r>
              <m:t>e</m:t>
            </m:r>
          </m:e>
          <m:sup>
            <m:r>
              <m:t>ε</m:t>
            </m:r>
          </m:sup>
        </m:sSup>
      </m:oMath>
      <w:r>
        <w:t xml:space="preserve">, so each parameter multiplies pool host cell protein by a fixed factor. The factor is</w:t>
      </w:r>
      <w:r>
        <w:t xml:space="preserve"> </w:t>
      </w:r>
      <m:oMath>
        <m:sSup>
          <m:e>
            <m:r>
              <m:t>e</m:t>
            </m:r>
          </m:e>
          <m:sup>
            <m:r>
              <m:t>b</m:t>
            </m:r>
          </m:sup>
        </m:sSup>
      </m:oMath>
      <w:r>
        <w:t xml:space="preserve"> </w:t>
      </w:r>
      <w:r>
        <w:t xml:space="preserve">per coded unit and</w:t>
      </w:r>
      <w:r>
        <w:t xml:space="preserve"> </w:t>
      </w:r>
      <m:oMath>
        <m:sSup>
          <m:e>
            <m:r>
              <m:t>e</m:t>
            </m:r>
          </m:e>
          <m:sup>
            <m:r>
              <m:t>2</m:t>
            </m:r>
            <m:r>
              <m:t>b</m:t>
            </m:r>
          </m:sup>
        </m:sSup>
      </m:oMath>
      <w:r>
        <w:t xml:space="preserve"> </w:t>
      </w:r>
      <w:r>
        <w:t xml:space="preserve">from the low to the high end of the range studied. The run-to-run error multiplies the output as well, so its size in ng/mg grows with the level. In the selected model pool host cell protein rises by a factor of 2.43 from the low to the high end of protein load, falls by a factor of 3.30 from the low to the high end of elution buffer pH, and falls to 0.85 times its value over the range of end of pool collect.</w:t>
      </w:r>
    </w:p>
    <w:p>
      <w:pPr>
        <w:pStyle w:val="BodyText"/>
      </w:pPr>
      <w:r>
        <w:t xml:space="preserve">Two properties of this output make a factor the natural description. A purification step removes a share of what is present, so a parameter that changes the performance of the step changes the share of host cell protein that reaches the pool, not a fixed amount. The precision of the host cell protein ELISA is a percentage of the level, 9.5 % (AMV-3012), so the scatter of the results grows with their level.</w:t>
      </w:r>
    </w:p>
    <w:p>
      <w:pPr>
        <w:pStyle w:val="BodyText"/>
      </w:pPr>
      <w:r>
        <w:t xml:space="preserve">Least squares, and the t-tests, F-tests and prediction intervals built on it, assume that the residuals are independent and normally distributed, with mean zero and the same variance over the whole range studied. On the raw scale the residuals of pool host cell protein do not have the same variance. In the full quadratic model on the raw scale, their root mean square is 679 ng/mg in the lower half of the predicted values and 957 ng/mg in the upper half, 41 % larger. In the full quadratic model on the log scale the two halves give 0.067 and 0.074 in natural-log units, 10 % apart, so the variance is about constant. The Box-Cox profile of the full quadratic model</w:t>
      </w:r>
      <w:r>
        <w:t xml:space="preserve"> </w:t>
      </w:r>
      <w:r>
        <w:t xml:space="preserve">(Box and Cox 1964)</w:t>
      </w:r>
      <w:r>
        <w:t xml:space="preserve"> </w:t>
      </w:r>
      <w:r>
        <w:t xml:space="preserve">points the same way. Its estimate of the exponent λ is 0.06, and its 95 % interval, −0.32 to 0.42, contains 0, the log scale, and excludes 1, the raw scale. The rule of the selection puts an output on the log scale exactly when this interval contains 0 and excludes 1. For step yield, leached Protein A and fragments the interval contains 1, and these outputs stay on the raw scale. The residual plot of the selected model shows no funnel (</w:t>
      </w:r>
      <w:hyperlink w:anchor="fig-diag-hcp">
        <w:r>
          <w:rPr>
            <w:rStyle w:val="Hyperlink"/>
          </w:rPr>
          <w:t xml:space="preserve">Figure 2</w:t>
        </w:r>
      </w:hyperlink>
      <w:r>
        <w:t xml:space="preserve">).</w:t>
      </w:r>
    </w:p>
    <w:p>
      <w:pPr>
        <w:pStyle w:val="BodyText"/>
      </w:pPr>
      <w:r>
        <w:t xml:space="preserve">The log scale changes how results are read, not what is judged. The criterion stays in ng/mg. Effects are fold changes. The scale-down offset of pool host cell protein is a ratio of geometric means, and a scale-down prediction is divided by it (</w:t>
      </w:r>
      <w:hyperlink w:anchor="sec-sdm">
        <w:r>
          <w:rPr>
            <w:rStyle w:val="Hyperlink"/>
          </w:rPr>
          <w:t xml:space="preserve">Section 3.1</w:t>
        </w:r>
      </w:hyperlink>
      <w:r>
        <w:t xml:space="preserve">). A prediction interval is calculated on the log scale and transformed back. It keeps its 95 % coverage, because the probability that</w:t>
      </w:r>
      <w:r>
        <w:t xml:space="preserve"> </w:t>
      </w:r>
      <m:oMath>
        <m:r>
          <m:rPr>
            <m:sty m:val="p"/>
          </m:rPr>
          <m:t>ln</m:t>
        </m:r>
        <m:r>
          <m:t>y</m:t>
        </m:r>
      </m:oMath>
      <w:r>
        <w:t xml:space="preserve"> </w:t>
      </w:r>
      <w:r>
        <w:t xml:space="preserve">lies between two values is the probability that</w:t>
      </w:r>
      <w:r>
        <w:t xml:space="preserve"> </w:t>
      </w:r>
      <m:oMath>
        <m:r>
          <m:t>y</m:t>
        </m:r>
      </m:oMath>
      <w:r>
        <w:t xml:space="preserve"> </w:t>
      </w:r>
      <w:r>
        <w:t xml:space="preserve">lies between their antilogarithms. It is therefore suitable, and on the log scale the assumption of least squares holds, which on the raw scale it does not. The interval is asymmetric, further above the predicted value than below it. At the set-point the predicted value is 7,150 ng/mg at manufacturing scale, and the 95 % prediction interval of a single run runs from 5,687 to 8,989 ng/mg, 1,463 below and 1,839 above. The predicted value is the median of pool host cell protein, its geometric mean, not its arithmetic mean. The upper prediction limit, which decides against an upper criterion, does not depend on that distinction. Near an upper criterion, where the level is high, a model on the raw scale understates the scatter, because its residual standard deviation is pooled over all levels. The interval from the log scale is wider there, as the data require.</w:t>
      </w:r>
    </w:p>
    <w:bookmarkEnd w:id="43"/>
    <w:bookmarkStart w:id="44" w:name="the-terms-of-the-model"/>
    <w:p>
      <w:pPr>
        <w:pStyle w:val="Heading3"/>
      </w:pPr>
      <w:r>
        <w:t xml:space="preserve">3.5.2 The terms of the model</w:t>
      </w:r>
    </w:p>
    <w:p>
      <w:pPr>
        <w:pStyle w:val="FirstParagraph"/>
      </w:pPr>
      <w:r>
        <w:t xml:space="preserve">The terms were then chosen by a search with one goal, the model with the lowest AICc among all hierarchical submodels of the full quadratic model. A hierarchical model contains an interaction only with both of its main effects, and a square only with its main effect. AICc, Akaike’s information criterion with the correction for small samples</w:t>
      </w:r>
      <w:r>
        <w:t xml:space="preserve"> </w:t>
      </w:r>
      <w:r>
        <w:t xml:space="preserve">(Hurvich and Tsai 1989; Burnham and Anderson 2002)</w:t>
      </w:r>
      <w:r>
        <w:t xml:space="preserve">, estimates how well a model would predict new runs. It rewards the fit and penalises every estimated parameter, and it counts the residual variance as one of them. Its correction raises the penalty when the runs are few for the number of parameters, as in a design of 28 runs, so that the criterion does not favour too many terms. Every candidate was fitted, 1,337 hierarchical models for 4 factors, and the one with the lowest AICc was taken.</w:t>
      </w:r>
    </w:p>
    <w:p>
      <w:pPr>
        <w:pStyle w:val="BodyText"/>
      </w:pPr>
      <w:r>
        <w:t xml:space="preserve">A stepwise search, which adds or removes one term at a time, stops when no single change lowers AICc. It can therefore stop at a model that only a combination of changes would improve. On the data of this campaign a stepwise search by AICc would have stopped at a model with a higher AICc for 12 of the 21 outputs that have a criterion and an AICc. At this step a search forward from the mean would have stopped at 4 terms for pool host cell protein. A search backward from the full quadratic model would have stopped at 4 terms for leached Protein A and 5 for fragments, each with a higher AICc than the selected model. The backward elimination of INV-002 corrective action CA2 differed in three ways. It was stepwise, it removed terms by p-value, a test of each term against zero and not a comparison of models, and it used the raw scale only. For fragments it kept elution buffer pH alone, where the search keeps protein load and elution buffer pH.</w:t>
      </w:r>
    </w:p>
    <w:p>
      <w:pPr>
        <w:pStyle w:val="BodyText"/>
      </w:pPr>
      <w:r>
        <w:t xml:space="preserve">The selected model was then judged against the model adequacy criteria of PCP-005 §7 listed below. A model with no term has no F-test, and criterion 2 does not apply to it. Such a model shows that, within the range studied, the output does not depend on the parameters by more than the variation of the runs can resolve. Finally, the scale-down offset of each output was taken on the scale of its model.</w:t>
      </w:r>
    </w:p>
    <w:bookmarkEnd w:id="44"/>
    <w:bookmarkStart w:id="45" w:name="adequacy-prediction-and-ranges"/>
    <w:p>
      <w:pPr>
        <w:pStyle w:val="Heading3"/>
      </w:pPr>
      <w:r>
        <w:t xml:space="preserve">3.5.3 Adequacy, prediction and ranges</w:t>
      </w:r>
    </w:p>
    <w:p>
      <w:pPr>
        <w:pStyle w:val="FirstParagraph"/>
      </w:pPr>
      <w:r>
        <w:t xml:space="preserve">Each model is reported with R², adjusted R², predicted R² (from PRESS)</w:t>
      </w:r>
      <w:r>
        <w:t xml:space="preserve"> </w:t>
      </w:r>
      <w:r>
        <w:t xml:space="preserve">(Montgomery 2017)</w:t>
      </w:r>
      <w:r>
        <w:t xml:space="preserve">, the model F-test, and the test of lack of fit against pure error from the centre points. Coefficients are reported in coded units, so that each measures the change in the response over half the range studied, in natural-log units for a log-scale model. The adequacy criteria of PCP-005 §7 were applied as follows. The numbers are those of PCP-005 §7, where criterion 1 is the qualification of the scale-down model (</w:t>
      </w:r>
      <w:hyperlink w:anchor="sec-sdm">
        <w:r>
          <w:rPr>
            <w:rStyle w:val="Hyperlink"/>
          </w:rPr>
          <w:t xml:space="preserve">Section 3.1</w:t>
        </w:r>
      </w:hyperlink>
      <w:r>
        <w:t xml:space="preserve">).</w:t>
      </w:r>
    </w:p>
    <w:p>
      <w:pPr>
        <w:pStyle w:val="Compact"/>
        <w:numPr>
          <w:ilvl w:val="0"/>
          <w:numId w:val="1005"/>
        </w:numPr>
      </w:pPr>
      <w:r>
        <w:t xml:space="preserve">Model significance. The model F-test is significant at α = 0.05.</w:t>
      </w:r>
    </w:p>
    <w:p>
      <w:pPr>
        <w:pStyle w:val="Compact"/>
        <w:numPr>
          <w:ilvl w:val="0"/>
          <w:numId w:val="1005"/>
        </w:numPr>
      </w:pPr>
      <w:r>
        <w:t xml:space="preserve">Lack of fit. The lack of fit test is not significant at α = 0.05.</w:t>
      </w:r>
    </w:p>
    <w:p>
      <w:pPr>
        <w:pStyle w:val="Compact"/>
        <w:numPr>
          <w:ilvl w:val="0"/>
          <w:numId w:val="1005"/>
        </w:numPr>
      </w:pPr>
      <w:r>
        <w:t xml:space="preserve">Predictive power. Predicted R² falls short of R² by no more than 0.20. PCMP-001 §7.2 compares predicted R² with R², not with adjusted R².</w:t>
      </w:r>
    </w:p>
    <w:p>
      <w:pPr>
        <w:pStyle w:val="Compact"/>
        <w:numPr>
          <w:ilvl w:val="0"/>
          <w:numId w:val="1005"/>
        </w:numPr>
      </w:pPr>
      <w:r>
        <w:t xml:space="preserve">Residuals. Regressions of the absolute residuals on the predicted values, and of the residuals on run order, show no slope significant at α = 0.05. A run with a Cook’s distance above 4/n (0.14 for 28 runs) is examined by deleting it and repeating the judgement. The model fails the criterion only where a run’s Cook’s distance exceeds the median of the F distribution with p and n − p degrees of freedom, p being the number of coefficients of the model.</w:t>
      </w:r>
    </w:p>
    <w:p>
      <w:pPr>
        <w:pStyle w:val="FirstParagraph"/>
      </w:pPr>
      <w:r>
        <w:t xml:space="preserve">PCMP-001 §7.2 provides that a model that fails the lack of fit test, or whose predicted R² falls short of R² by more than 0.20, is refitted with a justified change of terms or transformation, or is not used to set a range.</w:t>
      </w:r>
    </w:p>
    <w:p>
      <w:pPr>
        <w:pStyle w:val="BodyText"/>
      </w:pPr>
      <w:r>
        <w:t xml:space="preserve">Each output with a criterion is judged over the NOR at every combination of NOR low, set-point and NOR high of the 4 response-surface factors. The value compared with the criterion is the upper end of the 95 % prediction interval of a single run, which includes the uncertainty of the fitted coefficients and the residual. The criteria of this step are upper limits, so only that end is compared, which makes it a one-sided 97.5 % prediction limit (PCP-005 §7). This report calls it the upper prediction limit.</w:t>
      </w:r>
    </w:p>
    <w:p>
      <w:pPr>
        <w:pStyle w:val="BodyText"/>
      </w:pPr>
      <w:r>
        <w:t xml:space="preserve">The PAR analysis follows PCMP-001 §6.4. The univariate PAR, which PCP-005 §8.2 calls the set-point analysis, holds the other parameters at their set-points. It is judged on the prediction of the model, the median for pool host cell protein and the mean for the other outputs. The NOR-propagated PAR is a multivariate PAR. It is the range of a parameter over which a single batch meets the criterion while the other parameters vary within their NORs. It is computed by Monte Carlo at 81 grid points across the range studied, with 2,000 operating points at each. Each other parameter is drawn from a normal distribution centred on its set-point, with a standard deviation of one sixth of its NOR, clipped to its range studied, and the coefficients of the model are drawn from their estimated covariance together with the residual. At each grid point the 97.5th percentile of the simulated batches must meet an upper criterion, so that at least 97.5 % of them meet it. The NOR-propagated PAR is the one that supports a PAR carried into the control strategy. The design space is drawn on the 95 % prediction interval of a single run, on a grid of 41 points per factor over the range studied (</w:t>
      </w:r>
      <w:hyperlink w:anchor="sec-ds">
        <w:r>
          <w:rPr>
            <w:rStyle w:val="Hyperlink"/>
          </w:rPr>
          <w:t xml:space="preserve">Section 6</w:t>
        </w:r>
      </w:hyperlink>
      <w:r>
        <w:t xml:space="preserve">).</w:t>
      </w:r>
    </w:p>
    <w:p>
      <w:pPr>
        <w:pStyle w:val="BodyText"/>
      </w:pPr>
      <w:r>
        <w:t xml:space="preserve">For each output with a criterion, each run with a Cook’s distance above 4/n was deleted in turn, the model selection repeated and the output judged over the NOR again, as criterion 5 requires. Where a selected model does not meet criterion 5, the size of each residual trend is stated against the criterion of its output, and the use of that model for the ranges and the design space is the discrepancy PD-005-02 (</w:t>
      </w:r>
      <w:hyperlink w:anchor="sec-resid">
        <w:r>
          <w:rPr>
            <w:rStyle w:val="Hyperlink"/>
          </w:rPr>
          <w:t xml:space="preserve">Section 5.5</w:t>
        </w:r>
      </w:hyperlink>
      <w:r>
        <w:t xml:space="preserve">).</w:t>
      </w:r>
    </w:p>
    <w:p>
      <w:pPr>
        <w:pStyle w:val="BodyText"/>
      </w:pPr>
      <w:r>
        <w:t xml:space="preserve">Capability at commercial scale was estimated from the integrated process model of the train, which runs 2,000 simulated batches with each parameter drawn within its NOR. Capability is reported as Cpk against the drug substance criterion, one-sided for a criterion with one limit and the lower of the two one-sided indices for a two-sided criterion. It is judged against the target of 1.33 and the minimum of 1.00 of PCMP-001 §7.9. The same simulation counts the batches outside each drug substance criterion. Where none falls outside, the probability of an out-of-specification batch in the simulation is bounded by the one-sided 95 % upper confidence limit of a proportion with no event in 2,000 trials.</w:t>
      </w:r>
    </w:p>
    <w:bookmarkEnd w:id="45"/>
    <w:bookmarkEnd w:id="46"/>
    <w:bookmarkEnd w:id="47"/>
    <w:bookmarkStart w:id="56" w:name="study-design"/>
    <w:p>
      <w:pPr>
        <w:pStyle w:val="Heading1"/>
      </w:pPr>
      <w:r>
        <w:t xml:space="preserve">4. Study design</w:t>
      </w:r>
    </w:p>
    <w:bookmarkStart w:id="50" w:name="factors-ranges-and-the-knowledge-space"/>
    <w:p>
      <w:pPr>
        <w:pStyle w:val="Heading2"/>
      </w:pPr>
      <w:r>
        <w:t xml:space="preserve">4.1 Factors, ranges and the knowledge space</w:t>
      </w:r>
    </w:p>
    <w:p>
      <w:pPr>
        <w:pStyle w:val="FirstParagraph"/>
      </w:pPr>
      <w:hyperlink w:anchor="tbl-params">
        <w:r>
          <w:rPr>
            <w:rStyle w:val="Hyperlink"/>
          </w:rPr>
          <w:t xml:space="preserve">Table 7</w:t>
        </w:r>
      </w:hyperlink>
      <w:r>
        <w:t xml:space="preserve"> </w:t>
      </w:r>
      <w:r>
        <w:t xml:space="preserve">lists the parameters of the step with their set-point, NOR, range studied, classification and study type.</w:t>
      </w:r>
    </w:p>
    <w:tbl>
      <w:tblPr>
        <w:tblStyle w:val="Table"/>
        <w:tblW w:type="pct" w:w="5000"/>
        <w:tblLayout w:type="fixed"/>
        <w:tblLook w:firstRow="0" w:lastRow="0" w:firstColumn="0" w:lastColumn="0" w:noHBand="0" w:noVBand="0" w:val="0000"/>
      </w:tblPr>
      <w:tblGrid>
        <w:gridCol w:w="7920"/>
      </w:tblGrid>
      <w:tr>
        <w:tc>
          <w:tcPr/>
          <w:bookmarkStart w:id="48" w:name="tbl-params"/>
          <w:p>
            <w:pPr>
              <w:jc w:val="center"/>
            </w:pPr>
            <w:pPr>
              <w:jc w:val="start"/>
              <w:spacing w:before="200"/>
              <w:pStyle w:val="ImageCaption"/>
            </w:pPr>
            <w:r>
              <w:t xml:space="preserve">Table 7: Parameters of the Protein A step with set-point, NOR, range studied, classification and study type.</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w:t>
                  </w:r>
                  <w:r>
                    <w:br/>
                  </w:r>
                  <w:r>
                    <w:t xml:space="preserve">point</w:t>
                  </w:r>
                </w:p>
              </w:tc>
              <w:tc>
                <w:tcPr/>
                <w:p>
                  <w:pPr>
                    <w:pStyle w:val="Compact"/>
                    <w:jc w:val="center"/>
                  </w:pPr>
                  <w:r>
                    <w:t xml:space="preserve">NOR</w:t>
                  </w:r>
                </w:p>
              </w:tc>
              <w:tc>
                <w:tcPr/>
                <w:p>
                  <w:pPr>
                    <w:pStyle w:val="Compact"/>
                    <w:jc w:val="center"/>
                  </w:pPr>
                  <w:r>
                    <w:t xml:space="preserve">Range</w:t>
                  </w:r>
                  <w:r>
                    <w:br/>
                  </w:r>
                  <w:r>
                    <w:t xml:space="preserve">studied</w:t>
                  </w:r>
                </w:p>
              </w:tc>
              <w:tc>
                <w:tcPr/>
                <w:p>
                  <w:pPr>
                    <w:pStyle w:val="Compact"/>
                    <w:jc w:val="center"/>
                  </w:pPr>
                  <w:r>
                    <w:t xml:space="preserve">Class</w:t>
                  </w:r>
                </w:p>
              </w:tc>
              <w:tc>
                <w:tcPr/>
                <w:p>
                  <w:pPr>
                    <w:pStyle w:val="Compact"/>
                    <w:jc w:val="center"/>
                  </w:pPr>
                  <w:r>
                    <w:t xml:space="preserve">Study</w:t>
                  </w:r>
                </w:p>
              </w:tc>
            </w:tr>
            <w:tr>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30</w:t>
                  </w:r>
                </w:p>
              </w:tc>
              <w:tc>
                <w:tcPr/>
                <w:p>
                  <w:pPr>
                    <w:pStyle w:val="Compact"/>
                    <w:jc w:val="center"/>
                  </w:pPr>
                  <w:r>
                    <w:t xml:space="preserve">20–39</w:t>
                  </w:r>
                  <w:r>
                    <w:rPr>
                      <w:vertAlign w:val="superscript"/>
                    </w:rPr>
                    <w:t xml:space="preserve">a)</w:t>
                  </w:r>
                </w:p>
              </w:tc>
              <w:tc>
                <w:tcPr/>
                <w:p>
                  <w:pPr>
                    <w:pStyle w:val="Compact"/>
                    <w:jc w:val="center"/>
                  </w:pPr>
                  <w:r>
                    <w:t xml:space="preserve">10–50</w:t>
                  </w:r>
                </w:p>
              </w:tc>
              <w:tc>
                <w:tcPr/>
                <w:p>
                  <w:pPr>
                    <w:pStyle w:val="Compact"/>
                    <w:jc w:val="center"/>
                  </w:pPr>
                  <w:r>
                    <w:t xml:space="preserve">WC-CPP</w:t>
                  </w:r>
                </w:p>
              </w:tc>
              <w:tc>
                <w:tcPr/>
                <w:p>
                  <w:pPr>
                    <w:pStyle w:val="Compact"/>
                    <w:jc w:val="center"/>
                  </w:pPr>
                  <w:r>
                    <w:t xml:space="preserve">multivariate</w:t>
                  </w:r>
                </w:p>
              </w:tc>
            </w:tr>
            <w:tr>
              <w:tc>
                <w:tcPr/>
                <w:p>
                  <w:pPr>
                    <w:pStyle w:val="Compact"/>
                    <w:jc w:val="center"/>
                  </w:pPr>
                  <w:r>
                    <w:t xml:space="preserve">Elution buffer pH</w:t>
                  </w:r>
                </w:p>
              </w:tc>
              <w:tc>
                <w:tcPr/>
                <w:p>
                  <w:pPr>
                    <w:pStyle w:val="Compact"/>
                    <w:jc w:val="center"/>
                  </w:pPr>
                  <w:r>
                    <w:t xml:space="preserve">pH</w:t>
                  </w:r>
                </w:p>
              </w:tc>
              <w:tc>
                <w:tcPr/>
                <w:p>
                  <w:pPr>
                    <w:pStyle w:val="Compact"/>
                    <w:jc w:val="center"/>
                  </w:pPr>
                  <w:r>
                    <w:t xml:space="preserve">3.55</w:t>
                  </w:r>
                </w:p>
              </w:tc>
              <w:tc>
                <w:tcPr/>
                <w:p>
                  <w:pPr>
                    <w:pStyle w:val="Compact"/>
                    <w:jc w:val="center"/>
                  </w:pPr>
                  <w:r>
                    <w:t xml:space="preserve">3.4–3.7</w:t>
                  </w:r>
                </w:p>
              </w:tc>
              <w:tc>
                <w:tcPr/>
                <w:p>
                  <w:pPr>
                    <w:pStyle w:val="Compact"/>
                    <w:jc w:val="center"/>
                  </w:pPr>
                  <w:r>
                    <w:t xml:space="preserve">3.2–3.9</w:t>
                  </w:r>
                </w:p>
              </w:tc>
              <w:tc>
                <w:tcPr/>
                <w:p>
                  <w:pPr>
                    <w:pStyle w:val="Compact"/>
                    <w:jc w:val="center"/>
                  </w:pPr>
                  <w:r>
                    <w:t xml:space="preserve">WC-CPP</w:t>
                  </w:r>
                </w:p>
              </w:tc>
              <w:tc>
                <w:tcPr/>
                <w:p>
                  <w:pPr>
                    <w:pStyle w:val="Compact"/>
                    <w:jc w:val="center"/>
                  </w:pPr>
                  <w:r>
                    <w:t xml:space="preserve">multivariate</w:t>
                  </w:r>
                </w:p>
              </w:tc>
            </w:tr>
            <w:tr>
              <w:tc>
                <w:tcPr/>
                <w:p>
                  <w:pPr>
                    <w:pStyle w:val="Compact"/>
                    <w:jc w:val="center"/>
                  </w:pPr>
                  <w:r>
                    <w:t xml:space="preserve">Load flow rate</w:t>
                  </w:r>
                </w:p>
              </w:tc>
              <w:tc>
                <w:tcPr/>
                <w:p>
                  <w:pPr>
                    <w:pStyle w:val="Compact"/>
                    <w:jc w:val="center"/>
                  </w:pPr>
                  <w:r>
                    <w:t xml:space="preserve">cm/hr</w:t>
                  </w:r>
                </w:p>
              </w:tc>
              <w:tc>
                <w:tcPr/>
                <w:p>
                  <w:pPr>
                    <w:pStyle w:val="Compact"/>
                    <w:jc w:val="center"/>
                  </w:pPr>
                  <w:r>
                    <w:t xml:space="preserve">200</w:t>
                  </w:r>
                </w:p>
              </w:tc>
              <w:tc>
                <w:tcPr/>
                <w:p>
                  <w:pPr>
                    <w:pStyle w:val="Compact"/>
                    <w:jc w:val="center"/>
                  </w:pPr>
                  <w:r>
                    <w:t xml:space="preserve">150–250</w:t>
                  </w:r>
                </w:p>
              </w:tc>
              <w:tc>
                <w:tcPr/>
                <w:p>
                  <w:pPr>
                    <w:pStyle w:val="Compact"/>
                    <w:jc w:val="center"/>
                  </w:pPr>
                  <w:r>
                    <w:t xml:space="preserve">100–300</w:t>
                  </w:r>
                </w:p>
              </w:tc>
              <w:tc>
                <w:tcPr/>
                <w:p>
                  <w:pPr>
                    <w:pStyle w:val="Compact"/>
                    <w:jc w:val="center"/>
                  </w:pPr>
                  <w:r>
                    <w:t xml:space="preserve">KPP</w:t>
                  </w:r>
                </w:p>
              </w:tc>
              <w:tc>
                <w:tcPr/>
                <w:p>
                  <w:pPr>
                    <w:pStyle w:val="Compact"/>
                    <w:jc w:val="center"/>
                  </w:pPr>
                  <w:r>
                    <w:t xml:space="preserve">multivariate</w:t>
                  </w:r>
                </w:p>
              </w:tc>
            </w:tr>
            <w:tr>
              <w:tc>
                <w:tcPr/>
                <w:p>
                  <w:pPr>
                    <w:pStyle w:val="Compact"/>
                    <w:jc w:val="center"/>
                  </w:pPr>
                  <w:r>
                    <w:t xml:space="preserve">End of pool collect</w:t>
                  </w:r>
                </w:p>
              </w:tc>
              <w:tc>
                <w:tcPr/>
                <w:p>
                  <w:pPr>
                    <w:pStyle w:val="Compact"/>
                    <w:jc w:val="center"/>
                  </w:pPr>
                  <w:r>
                    <w:t xml:space="preserve">CV</w:t>
                  </w:r>
                </w:p>
              </w:tc>
              <w:tc>
                <w:tcPr/>
                <w:p>
                  <w:pPr>
                    <w:pStyle w:val="Compact"/>
                    <w:jc w:val="center"/>
                  </w:pPr>
                  <w:r>
                    <w:t xml:space="preserve">2.6</w:t>
                  </w:r>
                </w:p>
              </w:tc>
              <w:tc>
                <w:tcPr/>
                <w:p>
                  <w:pPr>
                    <w:pStyle w:val="Compact"/>
                    <w:jc w:val="center"/>
                  </w:pPr>
                  <w:r>
                    <w:t xml:space="preserve">2.3–2.9</w:t>
                  </w:r>
                </w:p>
              </w:tc>
              <w:tc>
                <w:tcPr/>
                <w:p>
                  <w:pPr>
                    <w:pStyle w:val="Compact"/>
                    <w:jc w:val="center"/>
                  </w:pPr>
                  <w:r>
                    <w:t xml:space="preserve">2–3.2</w:t>
                  </w:r>
                </w:p>
              </w:tc>
              <w:tc>
                <w:tcPr/>
                <w:p>
                  <w:pPr>
                    <w:pStyle w:val="Compact"/>
                    <w:jc w:val="center"/>
                  </w:pPr>
                  <w:r>
                    <w:t xml:space="preserve">KPP</w:t>
                  </w:r>
                </w:p>
              </w:tc>
              <w:tc>
                <w:tcPr/>
                <w:p>
                  <w:pPr>
                    <w:pStyle w:val="Compact"/>
                    <w:jc w:val="center"/>
                  </w:pPr>
                  <w:r>
                    <w:t xml:space="preserve">multivariate</w:t>
                  </w:r>
                </w:p>
              </w:tc>
            </w:tr>
            <w:tr>
              <w:tc>
                <w:tcPr/>
                <w:p>
                  <w:pPr>
                    <w:pStyle w:val="Compact"/>
                    <w:jc w:val="center"/>
                  </w:pPr>
                  <w:r>
                    <w:t xml:space="preserve">Operating temperature</w:t>
                  </w:r>
                </w:p>
              </w:tc>
              <w:tc>
                <w:tcPr/>
                <w:p>
                  <w:pPr>
                    <w:pStyle w:val="Compact"/>
                    <w:jc w:val="center"/>
                  </w:pPr>
                  <w:r>
                    <w:t xml:space="preserve">°C</w:t>
                  </w:r>
                </w:p>
              </w:tc>
              <w:tc>
                <w:tcPr/>
                <w:p>
                  <w:pPr>
                    <w:pStyle w:val="Compact"/>
                    <w:jc w:val="center"/>
                  </w:pPr>
                  <w:r>
                    <w:t xml:space="preserve">22</w:t>
                  </w:r>
                </w:p>
              </w:tc>
              <w:tc>
                <w:tcPr/>
                <w:p>
                  <w:pPr>
                    <w:pStyle w:val="Compact"/>
                    <w:jc w:val="center"/>
                  </w:pPr>
                  <w:r>
                    <w:t xml:space="preserve">18–26</w:t>
                  </w:r>
                </w:p>
              </w:tc>
              <w:tc>
                <w:tcPr/>
                <w:p>
                  <w:pPr>
                    <w:pStyle w:val="Compact"/>
                    <w:jc w:val="center"/>
                  </w:pPr>
                  <w:r>
                    <w:t xml:space="preserve">15–30</w:t>
                  </w:r>
                </w:p>
              </w:tc>
              <w:tc>
                <w:tcPr/>
                <w:p>
                  <w:pPr>
                    <w:pStyle w:val="Compact"/>
                    <w:jc w:val="center"/>
                  </w:pPr>
                  <w:r>
                    <w:t xml:space="preserve">GPP</w:t>
                  </w:r>
                </w:p>
              </w:tc>
              <w:tc>
                <w:tcPr/>
                <w:p>
                  <w:pPr>
                    <w:pStyle w:val="Compact"/>
                    <w:jc w:val="center"/>
                  </w:pPr>
                  <w:r>
                    <w:t xml:space="preserve">univariate</w:t>
                  </w:r>
                </w:p>
              </w:tc>
            </w:tr>
            <w:tr>
              <w:tc>
                <w:tcPr/>
                <w:p>
                  <w:pPr>
                    <w:pStyle w:val="Compact"/>
                    <w:jc w:val="center"/>
                  </w:pPr>
                  <w:r>
                    <w:t xml:space="preserve">Bed height</w:t>
                  </w:r>
                </w:p>
              </w:tc>
              <w:tc>
                <w:tcPr/>
                <w:p>
                  <w:pPr>
                    <w:pStyle w:val="Compact"/>
                    <w:jc w:val="center"/>
                  </w:pPr>
                  <w:r>
                    <w:t xml:space="preserve">cm</w:t>
                  </w:r>
                </w:p>
              </w:tc>
              <w:tc>
                <w:tcPr/>
                <w:p>
                  <w:pPr>
                    <w:pStyle w:val="Compact"/>
                    <w:jc w:val="center"/>
                  </w:pPr>
                  <w:r>
                    <w:t xml:space="preserve">20</w:t>
                  </w:r>
                </w:p>
              </w:tc>
              <w:tc>
                <w:tcPr/>
                <w:p>
                  <w:pPr>
                    <w:pStyle w:val="Compact"/>
                    <w:jc w:val="center"/>
                  </w:pPr>
                  <w:r>
                    <w:t xml:space="preserve">15–25</w:t>
                  </w:r>
                </w:p>
              </w:tc>
              <w:tc>
                <w:tcPr/>
                <w:p>
                  <w:pPr>
                    <w:pStyle w:val="Compact"/>
                    <w:jc w:val="center"/>
                  </w:pPr>
                  <w:r>
                    <w:t xml:space="preserve">10–30</w:t>
                  </w:r>
                </w:p>
              </w:tc>
              <w:tc>
                <w:tcPr/>
                <w:p>
                  <w:pPr>
                    <w:pStyle w:val="Compact"/>
                    <w:jc w:val="center"/>
                  </w:pPr>
                  <w:r>
                    <w:t xml:space="preserve">GPP</w:t>
                  </w:r>
                </w:p>
              </w:tc>
              <w:tc>
                <w:tcPr/>
                <w:p>
                  <w:pPr>
                    <w:pStyle w:val="Compact"/>
                    <w:jc w:val="center"/>
                  </w:pPr>
                  <w:r>
                    <w:t xml:space="preserve">univariate</w:t>
                  </w:r>
                </w:p>
              </w:tc>
            </w:tr>
            <w:tr>
              <w:tc>
                <w:tcPr>
                  <w:gridSpan w:val="7"/>
                </w:tcPr>
                <w:p>
                  <w:pPr>
                    <w:pStyle w:val="Compact"/>
                    <w:jc w:val="center"/>
                  </w:pPr>
                  <w:r>
                    <w:rPr>
                      <w:vertAlign w:val="superscript"/>
                    </w:rPr>
                    <w:t xml:space="preserve">a)</w:t>
                  </w:r>
                  <w:r>
                    <w:t xml:space="preserve"> </w:t>
                  </w:r>
                  <w:r>
                    <w:t xml:space="preserve">The NOR in force, narrowed in this revision from 20–40 g/L resin, the NOR as characterized, against which the studies were planned and run.</w:t>
                  </w:r>
                </w:p>
              </w:tc>
            </w:tr>
          </w:tbl>
          <w:bookmarkEnd w:id="48"/>
          <w:p/>
        </w:tc>
      </w:tr>
    </w:tbl>
    <w:p>
      <w:pPr>
        <w:pStyle w:val="BodyText"/>
      </w:pPr>
      <w:r>
        <w:t xml:space="preserve">The execution window of every study of the step is recorded in</w:t>
      </w:r>
      <w:r>
        <w:t xml:space="preserve"> </w:t>
      </w:r>
      <w:hyperlink w:anchor="tbl-chronology">
        <w:r>
          <w:rPr>
            <w:rStyle w:val="Hyperlink"/>
          </w:rPr>
          <w:t xml:space="preserve">Table 8</w:t>
        </w:r>
      </w:hyperlink>
      <w:r>
        <w:t xml:space="preserve">. Each study began after PCP-005 Version 1.0 was approved on 2025-11-03. Study S-PA-UNI ran before the response-surface design began, against the order of PCP-005 §11, in which the univariate assessments come fourth (deviation DEV-005-05,</w:t>
      </w:r>
      <w:r>
        <w:t xml:space="preserve"> </w:t>
      </w:r>
      <w:hyperlink w:anchor="sec-dev05">
        <w:r>
          <w:rPr>
            <w:rStyle w:val="Hyperlink"/>
          </w:rPr>
          <w:t xml:space="preserve">Section 13.5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tbl-chronology"/>
          <w:p>
            <w:pPr>
              <w:jc w:val="center"/>
            </w:pPr>
            <w:pPr>
              <w:jc w:val="start"/>
              <w:spacing w:before="200"/>
              <w:pStyle w:val="ImageCaption"/>
            </w:pPr>
            <w:r>
              <w:t xml:space="preserve">Table 8: Execution window of each study of the Protein A step.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Study</w:t>
                  </w:r>
                </w:p>
              </w:tc>
              <w:tc>
                <w:tcPr/>
                <w:p>
                  <w:pPr>
                    <w:pStyle w:val="Compact"/>
                    <w:jc w:val="center"/>
                  </w:pPr>
                  <w:r>
                    <w:t xml:space="preserve">Study type</w:t>
                  </w:r>
                </w:p>
              </w:tc>
              <w:tc>
                <w:tcPr/>
                <w:p>
                  <w:pPr>
                    <w:pStyle w:val="Compact"/>
                    <w:jc w:val="center"/>
                  </w:pPr>
                  <w:r>
                    <w:t xml:space="preserve">Start</w:t>
                  </w:r>
                </w:p>
              </w:tc>
              <w:tc>
                <w:tcPr/>
                <w:p>
                  <w:pPr>
                    <w:pStyle w:val="Compact"/>
                    <w:jc w:val="center"/>
                  </w:pPr>
                  <w:r>
                    <w:t xml:space="preserve">End</w:t>
                  </w:r>
                </w:p>
              </w:tc>
            </w:tr>
            <w:tr>
              <w:tc>
                <w:tcPr/>
                <w:p>
                  <w:pPr>
                    <w:pStyle w:val="Compact"/>
                    <w:jc w:val="center"/>
                  </w:pPr>
                  <w:r>
                    <w:t xml:space="preserve">S-PA-SDM</w:t>
                  </w:r>
                </w:p>
              </w:tc>
              <w:tc>
                <w:tcPr/>
                <w:p>
                  <w:pPr>
                    <w:pStyle w:val="Compact"/>
                    <w:jc w:val="center"/>
                  </w:pPr>
                  <w:r>
                    <w:t xml:space="preserve">scale-down model qualification</w:t>
                  </w:r>
                </w:p>
              </w:tc>
              <w:tc>
                <w:tcPr/>
                <w:p>
                  <w:pPr>
                    <w:pStyle w:val="Compact"/>
                    <w:jc w:val="center"/>
                  </w:pPr>
                  <w:r>
                    <w:t xml:space="preserve">2025-11-05</w:t>
                  </w:r>
                </w:p>
              </w:tc>
              <w:tc>
                <w:tcPr/>
                <w:p>
                  <w:pPr>
                    <w:pStyle w:val="Compact"/>
                    <w:jc w:val="center"/>
                  </w:pPr>
                  <w:r>
                    <w:t xml:space="preserve">2025-11-14</w:t>
                  </w:r>
                </w:p>
              </w:tc>
            </w:tr>
            <w:tr>
              <w:tc>
                <w:tcPr/>
                <w:p>
                  <w:pPr>
                    <w:pStyle w:val="Compact"/>
                    <w:jc w:val="center"/>
                  </w:pPr>
                  <w:r>
                    <w:t xml:space="preserve">S-PA-SCR</w:t>
                  </w:r>
                </w:p>
              </w:tc>
              <w:tc>
                <w:tcPr/>
                <w:p>
                  <w:pPr>
                    <w:pStyle w:val="Compact"/>
                    <w:jc w:val="center"/>
                  </w:pPr>
                  <w:r>
                    <w:t xml:space="preserve">screening design</w:t>
                  </w:r>
                </w:p>
              </w:tc>
              <w:tc>
                <w:tcPr/>
                <w:p>
                  <w:pPr>
                    <w:pStyle w:val="Compact"/>
                    <w:jc w:val="center"/>
                  </w:pPr>
                  <w:r>
                    <w:t xml:space="preserve">2025-11-17</w:t>
                  </w:r>
                </w:p>
              </w:tc>
              <w:tc>
                <w:tcPr/>
                <w:p>
                  <w:pPr>
                    <w:pStyle w:val="Compact"/>
                    <w:jc w:val="center"/>
                  </w:pPr>
                  <w:r>
                    <w:t xml:space="preserve">2025-12-05</w:t>
                  </w:r>
                </w:p>
              </w:tc>
            </w:tr>
            <w:tr>
              <w:tc>
                <w:tcPr/>
                <w:p>
                  <w:pPr>
                    <w:pStyle w:val="Compact"/>
                    <w:jc w:val="center"/>
                  </w:pPr>
                  <w:r>
                    <w:t xml:space="preserve">S-PA-UNI</w:t>
                  </w:r>
                </w:p>
              </w:tc>
              <w:tc>
                <w:tcPr/>
                <w:p>
                  <w:pPr>
                    <w:pStyle w:val="Compact"/>
                    <w:jc w:val="center"/>
                  </w:pPr>
                  <w:r>
                    <w:t xml:space="preserve">univariate study</w:t>
                  </w:r>
                </w:p>
              </w:tc>
              <w:tc>
                <w:tcPr/>
                <w:p>
                  <w:pPr>
                    <w:pStyle w:val="Compact"/>
                    <w:jc w:val="center"/>
                  </w:pPr>
                  <w:r>
                    <w:t xml:space="preserve">2025-12-08</w:t>
                  </w:r>
                </w:p>
              </w:tc>
              <w:tc>
                <w:tcPr/>
                <w:p>
                  <w:pPr>
                    <w:pStyle w:val="Compact"/>
                    <w:jc w:val="center"/>
                  </w:pPr>
                  <w:r>
                    <w:t xml:space="preserve">2025-12-12</w:t>
                  </w:r>
                </w:p>
              </w:tc>
            </w:tr>
            <w:tr>
              <w:tc>
                <w:tcPr/>
                <w:p>
                  <w:pPr>
                    <w:pStyle w:val="Compact"/>
                    <w:jc w:val="center"/>
                  </w:pPr>
                  <w:r>
                    <w:t xml:space="preserve">S-PA-RSM</w:t>
                  </w:r>
                </w:p>
              </w:tc>
              <w:tc>
                <w:tcPr/>
                <w:p>
                  <w:pPr>
                    <w:pStyle w:val="Compact"/>
                    <w:jc w:val="center"/>
                  </w:pPr>
                  <w:r>
                    <w:t xml:space="preserve">response-surface design</w:t>
                  </w:r>
                </w:p>
              </w:tc>
              <w:tc>
                <w:tcPr/>
                <w:p>
                  <w:pPr>
                    <w:pStyle w:val="Compact"/>
                    <w:jc w:val="center"/>
                  </w:pPr>
                  <w:r>
                    <w:t xml:space="preserve">2026-01-12</w:t>
                  </w:r>
                </w:p>
              </w:tc>
              <w:tc>
                <w:tcPr/>
                <w:p>
                  <w:pPr>
                    <w:pStyle w:val="Compact"/>
                    <w:jc w:val="center"/>
                  </w:pPr>
                  <w:r>
                    <w:t xml:space="preserve">2026-02-06</w:t>
                  </w:r>
                </w:p>
              </w:tc>
            </w:tr>
            <w:tr>
              <w:tc>
                <w:tcPr/>
                <w:p>
                  <w:pPr>
                    <w:pStyle w:val="Compact"/>
                    <w:jc w:val="center"/>
                  </w:pPr>
                  <w:r>
                    <w:t xml:space="preserve">S-PA-RET</w:t>
                  </w:r>
                </w:p>
              </w:tc>
              <w:tc>
                <w:tcPr/>
                <w:p>
                  <w:pPr>
                    <w:pStyle w:val="Compact"/>
                    <w:jc w:val="center"/>
                  </w:pPr>
                  <w:r>
                    <w:t xml:space="preserve">retest of retained samples</w:t>
                  </w:r>
                </w:p>
              </w:tc>
              <w:tc>
                <w:tcPr/>
                <w:p>
                  <w:pPr>
                    <w:pStyle w:val="Compact"/>
                    <w:jc w:val="center"/>
                  </w:pPr>
                  <w:r>
                    <w:t xml:space="preserve">2026-04-06</w:t>
                  </w:r>
                </w:p>
              </w:tc>
              <w:tc>
                <w:tcPr/>
                <w:p>
                  <w:pPr>
                    <w:pStyle w:val="Compact"/>
                    <w:jc w:val="center"/>
                  </w:pPr>
                  <w:r>
                    <w:t xml:space="preserve">2026-04-17</w:t>
                  </w:r>
                </w:p>
              </w:tc>
            </w:tr>
            <w:tr>
              <w:tc>
                <w:tcPr/>
                <w:p>
                  <w:pPr>
                    <w:pStyle w:val="Compact"/>
                    <w:jc w:val="center"/>
                  </w:pPr>
                  <w:r>
                    <w:t xml:space="preserve">S-PA-SDM2</w:t>
                  </w:r>
                </w:p>
              </w:tc>
              <w:tc>
                <w:tcPr/>
                <w:p>
                  <w:pPr>
                    <w:pStyle w:val="Compact"/>
                    <w:jc w:val="center"/>
                  </w:pPr>
                  <w:r>
                    <w:t xml:space="preserve">scale-down model qualification</w:t>
                  </w:r>
                </w:p>
              </w:tc>
              <w:tc>
                <w:tcPr/>
                <w:p>
                  <w:pPr>
                    <w:pStyle w:val="Compact"/>
                    <w:jc w:val="center"/>
                  </w:pPr>
                  <w:r>
                    <w:t xml:space="preserve">2026-09-07</w:t>
                  </w:r>
                </w:p>
              </w:tc>
              <w:tc>
                <w:tcPr/>
                <w:p>
                  <w:pPr>
                    <w:pStyle w:val="Compact"/>
                    <w:jc w:val="center"/>
                  </w:pPr>
                  <w:r>
                    <w:t xml:space="preserve">2026-09-11</w:t>
                  </w:r>
                </w:p>
              </w:tc>
            </w:tr>
            <w:tr>
              <w:tc>
                <w:tcPr/>
                <w:p>
                  <w:pPr>
                    <w:pStyle w:val="Compact"/>
                    <w:jc w:val="center"/>
                  </w:pPr>
                  <w:r>
                    <w:t xml:space="preserve">S-PA-HLD</w:t>
                  </w:r>
                </w:p>
              </w:tc>
              <w:tc>
                <w:tcPr/>
                <w:p>
                  <w:pPr>
                    <w:pStyle w:val="Compact"/>
                    <w:jc w:val="center"/>
                  </w:pPr>
                  <w:r>
                    <w:t xml:space="preserve">hold study</w:t>
                  </w:r>
                </w:p>
              </w:tc>
              <w:tc>
                <w:tcPr/>
                <w:p>
                  <w:pPr>
                    <w:pStyle w:val="Compact"/>
                    <w:jc w:val="center"/>
                  </w:pPr>
                  <w:r>
                    <w:t xml:space="preserve">2026-09-19</w:t>
                  </w:r>
                </w:p>
              </w:tc>
              <w:tc>
                <w:tcPr/>
                <w:p>
                  <w:pPr>
                    <w:pStyle w:val="Compact"/>
                    <w:jc w:val="center"/>
                  </w:pPr>
                  <w:r>
                    <w:t xml:space="preserve">2026-09-28</w:t>
                  </w:r>
                </w:p>
              </w:tc>
            </w:tr>
          </w:tbl>
          <w:bookmarkEnd w:id="49"/>
          <w:p/>
        </w:tc>
      </w:tr>
    </w:tbl>
    <w:bookmarkEnd w:id="50"/>
    <w:bookmarkStart w:id="52" w:name="screening-design"/>
    <w:p>
      <w:pPr>
        <w:pStyle w:val="Heading2"/>
      </w:pPr>
      <w:r>
        <w:t xml:space="preserve">4.2 Screening design</w:t>
      </w:r>
    </w:p>
    <w:p>
      <w:pPr>
        <w:pStyle w:val="FirstParagraph"/>
      </w:pPr>
      <w:r>
        <w:t xml:space="preserve">The screening design (study S-PA-SCR, 2025-11-17 to 2025-12-05) was a full two-level factorial design in the 4 factors, with 16 factorial runs and 3 centre points, 19 runs in all. In a full factorial no effect is aliased with another, and every main effect and every two-factor interaction can be estimated. The responses were pool host cell protein, step yield and leached Protein A, with fragments by SEC recorded for information. All 4 factors were carried into the response-surface design whatever the screening result, as PCP-005 §6.2 planned. Appendix A gives the matrix and the results.</w:t>
      </w:r>
    </w:p>
    <w:p>
      <w:pPr>
        <w:pStyle w:val="BodyText"/>
      </w:pPr>
      <w:hyperlink w:anchor="tbl-legend">
        <w:r>
          <w:rPr>
            <w:rStyle w:val="Hyperlink"/>
          </w:rPr>
          <w:t xml:space="preserve">Table 9</w:t>
        </w:r>
      </w:hyperlink>
      <w:r>
        <w:t xml:space="preserve"> </w:t>
      </w:r>
      <w:r>
        <w:t xml:space="preserve">gives the letter code of each design factor, which the coefficient tables and the appendices use.</w:t>
      </w:r>
    </w:p>
    <w:tbl>
      <w:tblPr>
        <w:tblStyle w:val="Table"/>
        <w:tblW w:type="pct" w:w="5000"/>
        <w:tblLayout w:type="fixed"/>
        <w:tblLook w:firstRow="0" w:lastRow="0" w:firstColumn="0" w:lastColumn="0" w:noHBand="0" w:noVBand="0" w:val="0000"/>
      </w:tblPr>
      <w:tblGrid>
        <w:gridCol w:w="7920"/>
      </w:tblGrid>
      <w:tr>
        <w:tc>
          <w:tcPr/>
          <w:bookmarkStart w:id="51" w:name="tbl-legend"/>
          <w:p>
            <w:pPr>
              <w:jc w:val="center"/>
            </w:pPr>
            <w:pPr>
              <w:jc w:val="start"/>
              <w:spacing w:before="200"/>
              <w:pStyle w:val="ImageCaption"/>
            </w:pPr>
            <w:r>
              <w:t xml:space="preserve">Table 9: Letter codes of the design factors.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Factor</w:t>
                  </w:r>
                </w:p>
              </w:tc>
              <w:tc>
                <w:tcPr/>
                <w:p>
                  <w:pPr>
                    <w:pStyle w:val="Compact"/>
                    <w:jc w:val="center"/>
                  </w:pPr>
                  <w:r>
                    <w:t xml:space="preserve">Unit</w:t>
                  </w:r>
                </w:p>
              </w:tc>
            </w:tr>
            <w:tr>
              <w:tc>
                <w:tcPr/>
                <w:p>
                  <w:pPr>
                    <w:pStyle w:val="Compact"/>
                    <w:jc w:val="center"/>
                  </w:pPr>
                  <w:r>
                    <w:t xml:space="preserve">A</w:t>
                  </w:r>
                </w:p>
              </w:tc>
              <w:tc>
                <w:tcPr/>
                <w:p>
                  <w:pPr>
                    <w:pStyle w:val="Compact"/>
                    <w:jc w:val="center"/>
                  </w:pPr>
                  <w:r>
                    <w:t xml:space="preserve">Protein load</w:t>
                  </w:r>
                </w:p>
              </w:tc>
              <w:tc>
                <w:tcPr/>
                <w:p>
                  <w:pPr>
                    <w:pStyle w:val="Compact"/>
                    <w:jc w:val="center"/>
                  </w:pPr>
                  <w:r>
                    <w:t xml:space="preserve">g/L resin</w:t>
                  </w:r>
                </w:p>
              </w:tc>
            </w:tr>
            <w:tr>
              <w:tc>
                <w:tcPr/>
                <w:p>
                  <w:pPr>
                    <w:pStyle w:val="Compact"/>
                    <w:jc w:val="center"/>
                  </w:pPr>
                  <w:r>
                    <w:t xml:space="preserve">B</w:t>
                  </w:r>
                </w:p>
              </w:tc>
              <w:tc>
                <w:tcPr/>
                <w:p>
                  <w:pPr>
                    <w:pStyle w:val="Compact"/>
                    <w:jc w:val="center"/>
                  </w:pPr>
                  <w:r>
                    <w:t xml:space="preserve">Elution buffer pH</w:t>
                  </w:r>
                </w:p>
              </w:tc>
              <w:tc>
                <w:tcPr/>
                <w:p>
                  <w:pPr>
                    <w:pStyle w:val="Compact"/>
                    <w:jc w:val="center"/>
                  </w:pPr>
                  <w:r>
                    <w:t xml:space="preserve">pH</w:t>
                  </w:r>
                </w:p>
              </w:tc>
            </w:tr>
            <w:tr>
              <w:tc>
                <w:tcPr/>
                <w:p>
                  <w:pPr>
                    <w:pStyle w:val="Compact"/>
                    <w:jc w:val="center"/>
                  </w:pPr>
                  <w:r>
                    <w:t xml:space="preserve">C</w:t>
                  </w:r>
                </w:p>
              </w:tc>
              <w:tc>
                <w:tcPr/>
                <w:p>
                  <w:pPr>
                    <w:pStyle w:val="Compact"/>
                    <w:jc w:val="center"/>
                  </w:pPr>
                  <w:r>
                    <w:t xml:space="preserve">Load flow rate</w:t>
                  </w:r>
                </w:p>
              </w:tc>
              <w:tc>
                <w:tcPr/>
                <w:p>
                  <w:pPr>
                    <w:pStyle w:val="Compact"/>
                    <w:jc w:val="center"/>
                  </w:pPr>
                  <w:r>
                    <w:t xml:space="preserve">cm/hr</w:t>
                  </w:r>
                </w:p>
              </w:tc>
            </w:tr>
            <w:tr>
              <w:tc>
                <w:tcPr/>
                <w:p>
                  <w:pPr>
                    <w:pStyle w:val="Compact"/>
                    <w:jc w:val="center"/>
                  </w:pPr>
                  <w:r>
                    <w:t xml:space="preserve">D</w:t>
                  </w:r>
                </w:p>
              </w:tc>
              <w:tc>
                <w:tcPr/>
                <w:p>
                  <w:pPr>
                    <w:pStyle w:val="Compact"/>
                    <w:jc w:val="center"/>
                  </w:pPr>
                  <w:r>
                    <w:t xml:space="preserve">End of pool collect</w:t>
                  </w:r>
                </w:p>
              </w:tc>
              <w:tc>
                <w:tcPr/>
                <w:p>
                  <w:pPr>
                    <w:pStyle w:val="Compact"/>
                    <w:jc w:val="center"/>
                  </w:pPr>
                  <w:r>
                    <w:t xml:space="preserve">CV</w:t>
                  </w:r>
                </w:p>
              </w:tc>
            </w:tr>
          </w:tbl>
          <w:bookmarkEnd w:id="51"/>
          <w:p/>
        </w:tc>
      </w:tr>
    </w:tbl>
    <w:bookmarkEnd w:id="52"/>
    <w:bookmarkStart w:id="53" w:name="response-surface-design"/>
    <w:p>
      <w:pPr>
        <w:pStyle w:val="Heading2"/>
      </w:pPr>
      <w:r>
        <w:t xml:space="preserve">4.3 Response-surface design</w:t>
      </w:r>
    </w:p>
    <w:p>
      <w:pPr>
        <w:pStyle w:val="FirstParagraph"/>
      </w:pPr>
      <w:r>
        <w:t xml:space="preserve">The response-surface design (study S-PA-RSM, 2026-01-12 to 2026-02-06) was a face-centred central composite design in the same 4 factors. It has 16 factorial runs, 8 axial runs at the faces of the cube and 4 centre points, 28 runs in all. The full quadratic model, an intercept and 14 terms, would leave 13 residual degrees of freedom, with 3 for pure error and 10 for lack of fit. The responses were pool host cell protein, step yield, leached Protein A and fragments by nrCE-SDS on the retained pools. Appendix B gives the matrix and the results.</w:t>
      </w:r>
    </w:p>
    <w:bookmarkEnd w:id="53"/>
    <w:bookmarkStart w:id="54" w:name="sec-uni-design"/>
    <w:p>
      <w:pPr>
        <w:pStyle w:val="Heading2"/>
      </w:pPr>
      <w:r>
        <w:t xml:space="preserve">4.4 Univariate assessment</w:t>
      </w:r>
    </w:p>
    <w:p>
      <w:pPr>
        <w:pStyle w:val="FirstParagraph"/>
      </w:pPr>
      <w:r>
        <w:t xml:space="preserve">Operating temperature and bed height were studied one factor at a time in the univariate study S-PA-UNI (2025-12-08 to 2025-12-12), with the other parameters at their set-points. Each was run 2 times at the low and the high end of its range studied. The 3 set-point runs of the planned qualification study S-PA-SDM served as the reference, in place of the runs at the centre of each range that PCP-005 §6.4 requires (deviation DEV-005-03,</w:t>
      </w:r>
      <w:r>
        <w:t xml:space="preserve"> </w:t>
      </w:r>
      <w:hyperlink w:anchor="sec-dev03">
        <w:r>
          <w:rPr>
            <w:rStyle w:val="Hyperlink"/>
          </w:rPr>
          <w:t xml:space="preserve">Section 13.3</w:t>
        </w:r>
      </w:hyperlink>
      <w:r>
        <w:t xml:space="preserve">). Bed height was varied at the set-point linear velocity, so that the residence time changed with it. The shortest bed gives a residence time of 3 min, shorter than any run of the designs. As PCP-005 §6.4 requires, the responses were those of the multivariate designs, pool host cell protein, step yield and leached Protein A, with aggregate and fragments by SEC. Fragments were not measured by nrCE-SDS (</w:t>
      </w:r>
      <w:hyperlink w:anchor="sec-methods">
        <w:r>
          <w:rPr>
            <w:rStyle w:val="Hyperlink"/>
          </w:rPr>
          <w:t xml:space="preserve">Section 3.3</w:t>
        </w:r>
      </w:hyperlink>
      <w:r>
        <w:t xml:space="preserve">). For pool host cell protein and leached Protein A, the range of operating temperature or of bed height is supported when every individual result at both ends meets its criterion at manufacturing scale (PCP-005 §6.4). A univariate study cannot detect an interaction. The ranges of these two parameters are therefore supported only with the other parameters at their set-points.</w:t>
      </w:r>
    </w:p>
    <w:bookmarkEnd w:id="54"/>
    <w:bookmarkStart w:id="55" w:name="sec-holddesign"/>
    <w:p>
      <w:pPr>
        <w:pStyle w:val="Heading2"/>
      </w:pPr>
      <w:r>
        <w:t xml:space="preserve">4.5 Hold study of the Protein A eluate</w:t>
      </w:r>
    </w:p>
    <w:p>
      <w:pPr>
        <w:pStyle w:val="FirstParagraph"/>
      </w:pPr>
      <w:r>
        <w:t xml:space="preserve">The Protein A eluate is held at elution pH before viral inactivation. The hold study S-PA-HLD (2026-09-19 to 2026-09-28) was made during the Version 2.0 re-analysis, after INV-001 closed, and is recorded as the discrepancy PD-005-05 (</w:t>
      </w:r>
      <w:hyperlink w:anchor="sec-pd05">
        <w:r>
          <w:rPr>
            <w:rStyle w:val="Hyperlink"/>
          </w:rPr>
          <w:t xml:space="preserve">Section 13.6.2</w:t>
        </w:r>
      </w:hyperlink>
      <w:r>
        <w:t xml:space="preserve">). One eluate was produced at set-point, with elution buffer pH 3.55, divided and held at 2-8 °C and 21 °C for up to 7 days. Samples were taken on days 0, 1, 3, 5 and 7 at each temperature, and aggregate by SEC, acidic variants by icIEF and fragments by nrCE-SDS were measured at every sample point.</w:t>
      </w:r>
    </w:p>
    <w:p>
      <w:pPr>
        <w:pStyle w:val="BodyText"/>
      </w:pPr>
      <w:r>
        <w:t xml:space="preserve">The plan set no hold criterion, because it foresaw no hold study. The held eluate is the load of low-pH viral inactivation, so it is judged against the intermediate acceptance criteria in force for that load, as the verification of PCMP-001 §7.5 left them, and not against their a priori values. For aggregate and acidic variants they equal the criteria of the production bioreactor output, because capture is expected to leave both unchanged (</w:t>
      </w:r>
      <w:hyperlink w:anchor="sec-prior">
        <w:r>
          <w:rPr>
            <w:rStyle w:val="Hyperlink"/>
          </w:rPr>
          <w:t xml:space="preserve">Section 2</w:t>
        </w:r>
      </w:hyperlink>
      <w:r>
        <w:t xml:space="preserve">), and for fragments that of the Protein A pool. This report does not test the expectation for aggregate and acidic variants, because neither was measured in the load of this step. For aggregate the criterion is ≤ 6.46 % HMW. It is the drug substance limit of 5 % multiplied by the aggregate clearance of cation exchange, 1.404-fold, less the aggregate increase of low-pH viral inactivation, 0.559 percentage points. Each value is the one-sided 95 % prediction bound of a single batch of its step, which replaced a platform worst case (PCMP-001 §7.5). Cation exchange cleared less aggregate within its NOR than its platform worst case of 2.00-fold, which made the criterion stricter. Low-pH viral inactivation added less aggregate than its platform worst case of 0.70 points, which made it wider. The net change, from ≤ 9.30 % a priori to ≤ 6.46 %, makes the criterion stricter. The platform aggregate increase was measured over a hold of 180 min, the longest hold studied at low pH, and the A-Mab bound within the hold-time NOR as characterized, which ends at 120 min. The bound is smaller because the A-Mab hold is shorter, not because the product is more stable. At the edges of the range studied A-Mab added up to 0.84 points of aggregate, more than the platform value of 0.70, and within the NOR at most 0.53 points. The aggregate criterion is still right, because routine manufacture does not hold longer than the NOR.</w:t>
      </w:r>
    </w:p>
    <w:p>
      <w:pPr>
        <w:pStyle w:val="BodyText"/>
      </w:pPr>
      <w:r>
        <w:t xml:space="preserve">For acidic variants the criterion is 18–39 %, its a priori value. Its upper limit is the drug substance limit of 40 % less the platform worst case of the increase in low-pH viral inactivation, 1.00 percentage points (</w:t>
      </w:r>
      <w:hyperlink w:anchor="sec-par">
        <w:r>
          <w:rPr>
            <w:rStyle w:val="Hyperlink"/>
          </w:rPr>
          <w:t xml:space="preserve">Section 7</w:t>
        </w:r>
      </w:hyperlink>
      <w:r>
        <w:t xml:space="preserve">), and its lower limit is that of the drug substance. Fragments are judged against the intermediate acceptance criterion of the pool, ≤ 2.45 % by nrCE-SDS.</w:t>
      </w:r>
    </w:p>
    <w:p>
      <w:pPr>
        <w:pStyle w:val="BodyText"/>
      </w:pPr>
      <w:r>
        <w:t xml:space="preserve">Against these criteria the report judges what the hold adds to the eluate, by a hold rule of its own that is part of the discrepancy PD-005-05. A hold time is supported at a temperature when the largest increase from day 0 up to that time, added to the highest level expected in the Protein A pool in manufacture, stays within its criterion. For aggregate and acidic variants the highest level expected is the upper prediction limit of the production bioreactor model over its NOR (PCR-003), and for fragments that of the fragment model of this step, 1.09 % (</w:t>
      </w:r>
      <w:hyperlink w:anchor="sec-rsm-frag">
        <w:r>
          <w:rPr>
            <w:rStyle w:val="Hyperlink"/>
          </w:rPr>
          <w:t xml:space="preserve">Section 5.3.4</w:t>
        </w:r>
      </w:hyperlink>
      <w:r>
        <w:t xml:space="preserve">). Acidic variants are also judged against their lower limit (INV-001 finding 4).</w:t>
      </w:r>
    </w:p>
    <w:bookmarkEnd w:id="55"/>
    <w:bookmarkEnd w:id="56"/>
    <w:bookmarkStart w:id="98" w:name="results"/>
    <w:p>
      <w:pPr>
        <w:pStyle w:val="Heading1"/>
      </w:pPr>
      <w:r>
        <w:t xml:space="preserve">5. Results</w:t>
      </w:r>
    </w:p>
    <w:bookmarkStart w:id="59" w:name="Xa1d357a057988a4668963a3d4bd6b4df2b4673e"/>
    <w:p>
      <w:pPr>
        <w:pStyle w:val="Heading2"/>
      </w:pPr>
      <w:r>
        <w:t xml:space="preserve">5.1 Centre-point performance and reproducibility</w:t>
      </w:r>
    </w:p>
    <w:p>
      <w:pPr>
        <w:pStyle w:val="FirstParagraph"/>
      </w:pPr>
      <w:r>
        <w:t xml:space="preserve">The centre points of each design were run at set-point and estimate the pure error against which lack of fit is tested.</w:t>
      </w:r>
      <w:r>
        <w:t xml:space="preserve"> </w:t>
      </w:r>
      <w:hyperlink w:anchor="tbl-cp-rsm">
        <w:r>
          <w:rPr>
            <w:rStyle w:val="Hyperlink"/>
          </w:rPr>
          <w:t xml:space="preserve">Table 10</w:t>
        </w:r>
      </w:hyperlink>
      <w:r>
        <w:t xml:space="preserve"> </w:t>
      </w:r>
      <w:r>
        <w:t xml:space="preserve">gives their mean, standard deviation and coefficient of variation in the response-surface design, and</w:t>
      </w:r>
      <w:r>
        <w:t xml:space="preserve"> </w:t>
      </w:r>
      <w:hyperlink w:anchor="tbl-cp-scr">
        <w:r>
          <w:rPr>
            <w:rStyle w:val="Hyperlink"/>
          </w:rPr>
          <w:t xml:space="preserve">Table 11</w:t>
        </w:r>
      </w:hyperlink>
      <w:r>
        <w:t xml:space="preserve"> </w:t>
      </w:r>
      <w:r>
        <w:t xml:space="preserve">in the screening design. Fragments by nrCE-SDS were measured in the response-surface design only.</w:t>
      </w:r>
    </w:p>
    <w:tbl>
      <w:tblPr>
        <w:tblStyle w:val="Table"/>
        <w:tblW w:type="pct" w:w="5000"/>
        <w:tblLayout w:type="fixed"/>
        <w:tblLook w:firstRow="0" w:lastRow="0" w:firstColumn="0" w:lastColumn="0" w:noHBand="0" w:noVBand="0" w:val="0000"/>
      </w:tblPr>
      <w:tblGrid>
        <w:gridCol w:w="7920"/>
      </w:tblGrid>
      <w:tr>
        <w:tc>
          <w:tcPr/>
          <w:bookmarkStart w:id="57" w:name="tbl-cp-rsm"/>
          <w:p>
            <w:pPr>
              <w:jc w:val="center"/>
            </w:pPr>
            <w:pPr>
              <w:jc w:val="start"/>
              <w:spacing w:before="200"/>
              <w:pStyle w:val="ImageCaption"/>
            </w:pPr>
            <w:r>
              <w:t xml:space="preserve">Table 10: Centre-point reproducibility in the response-surface design.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Response</w:t>
                  </w: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%CV</w:t>
                  </w:r>
                </w:p>
              </w:tc>
            </w:tr>
            <w:tr>
              <w:tc>
                <w:tcPr/>
                <w:p>
                  <w:pPr>
                    <w:pStyle w:val="Compact"/>
                    <w:jc w:val="center"/>
                  </w:pPr>
                  <w:r>
                    <w:t xml:space="preserve">Pool HCP (ng/mg)</w:t>
                  </w:r>
                </w:p>
              </w:tc>
              <w:tc>
                <w:tcPr/>
                <w:p>
                  <w:pPr>
                    <w:pStyle w:val="Compact"/>
                    <w:jc w:val="center"/>
                  </w:pPr>
                  <w:r>
                    <w:t xml:space="preserve">4</w:t>
                  </w:r>
                </w:p>
              </w:tc>
              <w:tc>
                <w:tcPr/>
                <w:p>
                  <w:pPr>
                    <w:pStyle w:val="Compact"/>
                    <w:jc w:val="center"/>
                  </w:pPr>
                  <w:r>
                    <w:t xml:space="preserve">7,564</w:t>
                  </w:r>
                </w:p>
              </w:tc>
              <w:tc>
                <w:tcPr/>
                <w:p>
                  <w:pPr>
                    <w:pStyle w:val="Compact"/>
                    <w:jc w:val="center"/>
                  </w:pPr>
                  <w:r>
                    <w:t xml:space="preserve">357</w:t>
                  </w:r>
                </w:p>
              </w:tc>
              <w:tc>
                <w:tcPr/>
                <w:p>
                  <w:pPr>
                    <w:pStyle w:val="Compact"/>
                    <w:jc w:val="center"/>
                  </w:pPr>
                  <w:r>
                    <w:t xml:space="preserve">4.7</w:t>
                  </w:r>
                </w:p>
              </w:tc>
            </w:tr>
            <w:tr>
              <w:tc>
                <w:tcPr/>
                <w:p>
                  <w:pPr>
                    <w:pStyle w:val="Compact"/>
                    <w:jc w:val="center"/>
                  </w:pPr>
                  <w:r>
                    <w:t xml:space="preserve">Step yield (%)</w:t>
                  </w:r>
                </w:p>
              </w:tc>
              <w:tc>
                <w:tcPr/>
                <w:p>
                  <w:pPr>
                    <w:pStyle w:val="Compact"/>
                    <w:jc w:val="center"/>
                  </w:pPr>
                  <w:r>
                    <w:t xml:space="preserve">4</w:t>
                  </w:r>
                </w:p>
              </w:tc>
              <w:tc>
                <w:tcPr/>
                <w:p>
                  <w:pPr>
                    <w:pStyle w:val="Compact"/>
                    <w:jc w:val="center"/>
                  </w:pPr>
                  <w:r>
                    <w:t xml:space="preserve">94.6</w:t>
                  </w:r>
                </w:p>
              </w:tc>
              <w:tc>
                <w:tcPr/>
                <w:p>
                  <w:pPr>
                    <w:pStyle w:val="Compact"/>
                    <w:jc w:val="center"/>
                  </w:pPr>
                  <w:r>
                    <w:t xml:space="preserve">1.87</w:t>
                  </w:r>
                </w:p>
              </w:tc>
              <w:tc>
                <w:tcPr/>
                <w:p>
                  <w:pPr>
                    <w:pStyle w:val="Compact"/>
                    <w:jc w:val="center"/>
                  </w:pPr>
                  <w:r>
                    <w:t xml:space="preserve">2.0</w:t>
                  </w:r>
                </w:p>
              </w:tc>
            </w:tr>
            <w:tr>
              <w:tc>
                <w:tcPr/>
                <w:p>
                  <w:pPr>
                    <w:pStyle w:val="Compact"/>
                    <w:jc w:val="center"/>
                  </w:pPr>
                  <w:r>
                    <w:t xml:space="preserve">Leached Protein A (ppm)</w:t>
                  </w:r>
                </w:p>
              </w:tc>
              <w:tc>
                <w:tcPr/>
                <w:p>
                  <w:pPr>
                    <w:pStyle w:val="Compact"/>
                    <w:jc w:val="center"/>
                  </w:pPr>
                  <w:r>
                    <w:t xml:space="preserve">4</w:t>
                  </w:r>
                </w:p>
              </w:tc>
              <w:tc>
                <w:tcPr/>
                <w:p>
                  <w:pPr>
                    <w:pStyle w:val="Compact"/>
                    <w:jc w:val="center"/>
                  </w:pPr>
                  <w:r>
                    <w:t xml:space="preserve">2.86</w:t>
                  </w:r>
                </w:p>
              </w:tc>
              <w:tc>
                <w:tcPr/>
                <w:p>
                  <w:pPr>
                    <w:pStyle w:val="Compact"/>
                    <w:jc w:val="center"/>
                  </w:pPr>
                  <w:r>
                    <w:t xml:space="preserve">0.97</w:t>
                  </w:r>
                </w:p>
              </w:tc>
              <w:tc>
                <w:tcPr/>
                <w:p>
                  <w:pPr>
                    <w:pStyle w:val="Compact"/>
                    <w:jc w:val="center"/>
                  </w:pPr>
                  <w:r>
                    <w:t xml:space="preserve">33.8</w:t>
                  </w:r>
                </w:p>
              </w:tc>
            </w:tr>
            <w:tr>
              <w:tc>
                <w:tcPr/>
                <w:p>
                  <w:pPr>
                    <w:pStyle w:val="Compact"/>
                    <w:jc w:val="center"/>
                  </w:pPr>
                  <w:r>
                    <w:t xml:space="preserve">Fragments, nrCE-SDS (%)</w:t>
                  </w:r>
                </w:p>
              </w:tc>
              <w:tc>
                <w:tcPr/>
                <w:p>
                  <w:pPr>
                    <w:pStyle w:val="Compact"/>
                    <w:jc w:val="center"/>
                  </w:pPr>
                  <w:r>
                    <w:t xml:space="preserve">4</w:t>
                  </w:r>
                </w:p>
              </w:tc>
              <w:tc>
                <w:tcPr/>
                <w:p>
                  <w:pPr>
                    <w:pStyle w:val="Compact"/>
                    <w:jc w:val="center"/>
                  </w:pPr>
                  <w:r>
                    <w:t xml:space="preserve">0.89</w:t>
                  </w:r>
                </w:p>
              </w:tc>
              <w:tc>
                <w:tcPr/>
                <w:p>
                  <w:pPr>
                    <w:pStyle w:val="Compact"/>
                    <w:jc w:val="center"/>
                  </w:pPr>
                  <w:r>
                    <w:t xml:space="preserve">0.08</w:t>
                  </w:r>
                </w:p>
              </w:tc>
              <w:tc>
                <w:tcPr/>
                <w:p>
                  <w:pPr>
                    <w:pStyle w:val="Compact"/>
                    <w:jc w:val="center"/>
                  </w:pPr>
                  <w:r>
                    <w:t xml:space="preserve">8.7</w:t>
                  </w:r>
                </w:p>
              </w:tc>
            </w:tr>
          </w:tbl>
          <w:bookmarkEnd w:id="5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8" w:name="tbl-cp-scr"/>
          <w:p>
            <w:pPr>
              <w:jc w:val="center"/>
            </w:pPr>
            <w:pPr>
              <w:jc w:val="start"/>
              <w:spacing w:before="200"/>
              <w:pStyle w:val="ImageCaption"/>
            </w:pPr>
            <w:r>
              <w:t xml:space="preserve">Table 11: Centre-point reproducibility in the screening design.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Response</w:t>
                  </w: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%CV</w:t>
                  </w:r>
                </w:p>
              </w:tc>
            </w:tr>
            <w:tr>
              <w:tc>
                <w:tcPr/>
                <w:p>
                  <w:pPr>
                    <w:pStyle w:val="Compact"/>
                    <w:jc w:val="center"/>
                  </w:pPr>
                  <w:r>
                    <w:t xml:space="preserve">Pool HCP (ng/mg)</w:t>
                  </w:r>
                </w:p>
              </w:tc>
              <w:tc>
                <w:tcPr/>
                <w:p>
                  <w:pPr>
                    <w:pStyle w:val="Compact"/>
                    <w:jc w:val="center"/>
                  </w:pPr>
                  <w:r>
                    <w:t xml:space="preserve">3</w:t>
                  </w:r>
                </w:p>
              </w:tc>
              <w:tc>
                <w:tcPr/>
                <w:p>
                  <w:pPr>
                    <w:pStyle w:val="Compact"/>
                    <w:jc w:val="center"/>
                  </w:pPr>
                  <w:r>
                    <w:t xml:space="preserve">8,103</w:t>
                  </w:r>
                </w:p>
              </w:tc>
              <w:tc>
                <w:tcPr/>
                <w:p>
                  <w:pPr>
                    <w:pStyle w:val="Compact"/>
                    <w:jc w:val="center"/>
                  </w:pPr>
                  <w:r>
                    <w:t xml:space="preserve">1,611</w:t>
                  </w:r>
                </w:p>
              </w:tc>
              <w:tc>
                <w:tcPr/>
                <w:p>
                  <w:pPr>
                    <w:pStyle w:val="Compact"/>
                    <w:jc w:val="center"/>
                  </w:pPr>
                  <w:r>
                    <w:t xml:space="preserve">19.9</w:t>
                  </w:r>
                </w:p>
              </w:tc>
            </w:tr>
            <w:tr>
              <w:tc>
                <w:tcPr/>
                <w:p>
                  <w:pPr>
                    <w:pStyle w:val="Compact"/>
                    <w:jc w:val="center"/>
                  </w:pPr>
                  <w:r>
                    <w:t xml:space="preserve">Step yield (%)</w:t>
                  </w:r>
                </w:p>
              </w:tc>
              <w:tc>
                <w:tcPr/>
                <w:p>
                  <w:pPr>
                    <w:pStyle w:val="Compact"/>
                    <w:jc w:val="center"/>
                  </w:pPr>
                  <w:r>
                    <w:t xml:space="preserve">3</w:t>
                  </w:r>
                </w:p>
              </w:tc>
              <w:tc>
                <w:tcPr/>
                <w:p>
                  <w:pPr>
                    <w:pStyle w:val="Compact"/>
                    <w:jc w:val="center"/>
                  </w:pPr>
                  <w:r>
                    <w:t xml:space="preserve">93.5</w:t>
                  </w:r>
                </w:p>
              </w:tc>
              <w:tc>
                <w:tcPr/>
                <w:p>
                  <w:pPr>
                    <w:pStyle w:val="Compact"/>
                    <w:jc w:val="center"/>
                  </w:pPr>
                  <w:r>
                    <w:t xml:space="preserve">0.60</w:t>
                  </w:r>
                </w:p>
              </w:tc>
              <w:tc>
                <w:tcPr/>
                <w:p>
                  <w:pPr>
                    <w:pStyle w:val="Compact"/>
                    <w:jc w:val="center"/>
                  </w:pPr>
                  <w:r>
                    <w:t xml:space="preserve">0.6</w:t>
                  </w:r>
                </w:p>
              </w:tc>
            </w:tr>
            <w:tr>
              <w:tc>
                <w:tcPr/>
                <w:p>
                  <w:pPr>
                    <w:pStyle w:val="Compact"/>
                    <w:jc w:val="center"/>
                  </w:pPr>
                  <w:r>
                    <w:t xml:space="preserve">Leached Protein A (ppm)</w:t>
                  </w:r>
                </w:p>
              </w:tc>
              <w:tc>
                <w:tcPr/>
                <w:p>
                  <w:pPr>
                    <w:pStyle w:val="Compact"/>
                    <w:jc w:val="center"/>
                  </w:pPr>
                  <w:r>
                    <w:t xml:space="preserve">3</w:t>
                  </w:r>
                </w:p>
              </w:tc>
              <w:tc>
                <w:tcPr/>
                <w:p>
                  <w:pPr>
                    <w:pStyle w:val="Compact"/>
                    <w:jc w:val="center"/>
                  </w:pPr>
                  <w:r>
                    <w:t xml:space="preserve">3.28</w:t>
                  </w:r>
                </w:p>
              </w:tc>
              <w:tc>
                <w:tcPr/>
                <w:p>
                  <w:pPr>
                    <w:pStyle w:val="Compact"/>
                    <w:jc w:val="center"/>
                  </w:pPr>
                  <w:r>
                    <w:t xml:space="preserve">0.51</w:t>
                  </w:r>
                </w:p>
              </w:tc>
              <w:tc>
                <w:tcPr/>
                <w:p>
                  <w:pPr>
                    <w:pStyle w:val="Compact"/>
                    <w:jc w:val="center"/>
                  </w:pPr>
                  <w:r>
                    <w:t xml:space="preserve">15.5</w:t>
                  </w:r>
                </w:p>
              </w:tc>
            </w:tr>
          </w:tbl>
          <w:bookmarkEnd w:id="58"/>
          <w:p/>
        </w:tc>
      </w:tr>
    </w:tbl>
    <w:p>
      <w:pPr>
        <w:pStyle w:val="BodyText"/>
      </w:pPr>
      <w:r>
        <w:t xml:space="preserve">Step yield was the most reproducible response, with a coefficient of variation of 2.0 % in the response-surface design. Pool host cell protein reproduced to 4.7 % in the response-surface design and to 19.9 % in the screening design. The larger screening value makes the screening tests for pool host cell protein less sensitive than those of the response-surface design. Fragments by nrCE-SDS reproduced to 8.7 %. Leached Protein A was the least precise response, at 33.8 % in the response-surface design. Its standard deviation at the centre points, 0.97 ppm, is 44 % larger than its standard deviation across all 28 runs of the design, 0.67 ppm. With pure error this large against the variation between runs, the lack of fit test of leached Protein A has little power.</w:t>
      </w:r>
    </w:p>
    <w:bookmarkEnd w:id="59"/>
    <w:bookmarkStart w:id="63" w:name="screening-factor-effects"/>
    <w:p>
      <w:pPr>
        <w:pStyle w:val="Heading2"/>
      </w:pPr>
      <w:r>
        <w:t xml:space="preserve">5.2 Screening: factor effects</w:t>
      </w:r>
    </w:p>
    <w:p>
      <w:pPr>
        <w:pStyle w:val="FirstParagraph"/>
      </w:pPr>
      <w:hyperlink w:anchor="tbl-scr-fit">
        <w:r>
          <w:rPr>
            <w:rStyle w:val="Hyperlink"/>
          </w:rPr>
          <w:t xml:space="preserve">Table 12</w:t>
        </w:r>
      </w:hyperlink>
      <w:r>
        <w:t xml:space="preserve"> </w:t>
      </w:r>
      <w:r>
        <w:t xml:space="preserve">summarizes the screening models. The models for pool host cell protein and step yield are significant. The model for leached Protein A is not (p = 0.867), and none of its terms is significant.</w:t>
      </w:r>
    </w:p>
    <w:tbl>
      <w:tblPr>
        <w:tblStyle w:val="Table"/>
        <w:tblW w:type="pct" w:w="5000"/>
        <w:tblLayout w:type="fixed"/>
        <w:tblLook w:firstRow="0" w:lastRow="0" w:firstColumn="0" w:lastColumn="0" w:noHBand="0" w:noVBand="0" w:val="0000"/>
      </w:tblPr>
      <w:tblGrid>
        <w:gridCol w:w="7920"/>
      </w:tblGrid>
      <w:tr>
        <w:tc>
          <w:tcPr/>
          <w:bookmarkStart w:id="60" w:name="tbl-scr-fit"/>
          <w:p>
            <w:pPr>
              <w:jc w:val="center"/>
            </w:pPr>
            <w:pPr>
              <w:jc w:val="start"/>
              <w:spacing w:before="200"/>
              <w:pStyle w:val="ImageCaption"/>
            </w:pPr>
            <w:r>
              <w:t xml:space="preserve">Table 12: Screening model summary (main effects and two-factor interactions).</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Response</w:t>
                  </w:r>
                </w:p>
              </w:tc>
              <w:tc>
                <w:tcPr/>
                <w:p>
                  <w:pPr>
                    <w:pStyle w:val="Compact"/>
                    <w:jc w:val="center"/>
                  </w:pPr>
                  <w:r>
                    <w:t xml:space="preserve">N</w:t>
                  </w:r>
                </w:p>
              </w:tc>
              <w:tc>
                <w:tcPr/>
                <w:p>
                  <w:pPr>
                    <w:pStyle w:val="Compact"/>
                    <w:jc w:val="center"/>
                  </w:pPr>
                  <w:r>
                    <w:t xml:space="preserve">R²</w:t>
                  </w:r>
                </w:p>
              </w:tc>
              <w:tc>
                <w:tcPr/>
                <w:p>
                  <w:pPr>
                    <w:pStyle w:val="Compact"/>
                    <w:jc w:val="center"/>
                  </w:pPr>
                  <w:r>
                    <w:t xml:space="preserve">Adj. R²</w:t>
                  </w:r>
                </w:p>
              </w:tc>
              <w:tc>
                <w:tcPr/>
                <w:p>
                  <w:pPr>
                    <w:pStyle w:val="Compact"/>
                    <w:jc w:val="center"/>
                  </w:pPr>
                  <w:r>
                    <w:t xml:space="preserve">Pred. R²</w:t>
                  </w:r>
                </w:p>
              </w:tc>
              <w:tc>
                <w:tcPr/>
                <w:p>
                  <w:pPr>
                    <w:pStyle w:val="Compact"/>
                    <w:jc w:val="center"/>
                  </w:pPr>
                  <w:r>
                    <w:t xml:space="preserve">F</w:t>
                  </w:r>
                </w:p>
              </w:tc>
              <w:tc>
                <w:tcPr/>
                <w:p>
                  <w:pPr>
                    <w:pStyle w:val="Compact"/>
                    <w:jc w:val="center"/>
                  </w:pPr>
                  <w:r>
                    <w:t xml:space="preserve">p-value</w:t>
                  </w:r>
                </w:p>
              </w:tc>
              <w:tc>
                <w:tcPr/>
                <w:p>
                  <w:pPr>
                    <w:pStyle w:val="Compact"/>
                    <w:jc w:val="center"/>
                  </w:pPr>
                  <w:r>
                    <w:t xml:space="preserve">RMSE</w:t>
                  </w:r>
                </w:p>
              </w:tc>
            </w:tr>
            <w:tr>
              <w:tc>
                <w:tcPr/>
                <w:p>
                  <w:pPr>
                    <w:pStyle w:val="Compact"/>
                    <w:jc w:val="center"/>
                  </w:pPr>
                  <w:r>
                    <w:t xml:space="preserve">Pool HCP (ng/mg)</w:t>
                  </w:r>
                </w:p>
              </w:tc>
              <w:tc>
                <w:tcPr/>
                <w:p>
                  <w:pPr>
                    <w:pStyle w:val="Compact"/>
                    <w:jc w:val="center"/>
                  </w:pPr>
                  <w:r>
                    <w:t xml:space="preserve">19</w:t>
                  </w:r>
                </w:p>
              </w:tc>
              <w:tc>
                <w:tcPr/>
                <w:p>
                  <w:pPr>
                    <w:pStyle w:val="Compact"/>
                    <w:jc w:val="center"/>
                  </w:pPr>
                  <w:r>
                    <w:t xml:space="preserve">0.973</w:t>
                  </w:r>
                </w:p>
              </w:tc>
              <w:tc>
                <w:tcPr/>
                <w:p>
                  <w:pPr>
                    <w:pStyle w:val="Compact"/>
                    <w:jc w:val="center"/>
                  </w:pPr>
                  <w:r>
                    <w:t xml:space="preserve">0.939</w:t>
                  </w:r>
                </w:p>
              </w:tc>
              <w:tc>
                <w:tcPr/>
                <w:p>
                  <w:pPr>
                    <w:pStyle w:val="Compact"/>
                    <w:jc w:val="center"/>
                  </w:pPr>
                  <w:r>
                    <w:t xml:space="preserve">0.886</w:t>
                  </w:r>
                </w:p>
              </w:tc>
              <w:tc>
                <w:tcPr/>
                <w:p>
                  <w:pPr>
                    <w:pStyle w:val="Compact"/>
                    <w:jc w:val="center"/>
                  </w:pPr>
                  <w:r>
                    <w:t xml:space="preserve">28.65</w:t>
                  </w:r>
                </w:p>
              </w:tc>
              <w:tc>
                <w:tcPr/>
                <w:p>
                  <w:pPr>
                    <w:pStyle w:val="Compact"/>
                    <w:jc w:val="center"/>
                  </w:pPr>
                  <w:r>
                    <w:t xml:space="preserve">&lt; 0.001</w:t>
                  </w:r>
                </w:p>
              </w:tc>
              <w:tc>
                <w:tcPr/>
                <w:p>
                  <w:pPr>
                    <w:pStyle w:val="Compact"/>
                    <w:jc w:val="center"/>
                  </w:pPr>
                  <w:r>
                    <w:t xml:space="preserve">1,400</w:t>
                  </w:r>
                </w:p>
              </w:tc>
            </w:tr>
            <w:tr>
              <w:tc>
                <w:tcPr/>
                <w:p>
                  <w:pPr>
                    <w:pStyle w:val="Compact"/>
                    <w:jc w:val="center"/>
                  </w:pPr>
                  <w:r>
                    <w:t xml:space="preserve">Step yield (%)</w:t>
                  </w:r>
                </w:p>
              </w:tc>
              <w:tc>
                <w:tcPr/>
                <w:p>
                  <w:pPr>
                    <w:pStyle w:val="Compact"/>
                    <w:jc w:val="center"/>
                  </w:pPr>
                  <w:r>
                    <w:t xml:space="preserve">19</w:t>
                  </w:r>
                </w:p>
              </w:tc>
              <w:tc>
                <w:tcPr/>
                <w:p>
                  <w:pPr>
                    <w:pStyle w:val="Compact"/>
                    <w:jc w:val="center"/>
                  </w:pPr>
                  <w:r>
                    <w:t xml:space="preserve">0.976</w:t>
                  </w:r>
                </w:p>
              </w:tc>
              <w:tc>
                <w:tcPr/>
                <w:p>
                  <w:pPr>
                    <w:pStyle w:val="Compact"/>
                    <w:jc w:val="center"/>
                  </w:pPr>
                  <w:r>
                    <w:t xml:space="preserve">0.945</w:t>
                  </w:r>
                </w:p>
              </w:tc>
              <w:tc>
                <w:tcPr/>
                <w:p>
                  <w:pPr>
                    <w:pStyle w:val="Compact"/>
                    <w:jc w:val="center"/>
                  </w:pPr>
                  <w:r>
                    <w:t xml:space="preserve">0.798</w:t>
                  </w:r>
                </w:p>
              </w:tc>
              <w:tc>
                <w:tcPr/>
                <w:p>
                  <w:pPr>
                    <w:pStyle w:val="Compact"/>
                    <w:jc w:val="center"/>
                  </w:pPr>
                  <w:r>
                    <w:t xml:space="preserve">32.04</w:t>
                  </w:r>
                </w:p>
              </w:tc>
              <w:tc>
                <w:tcPr/>
                <w:p>
                  <w:pPr>
                    <w:pStyle w:val="Compact"/>
                    <w:jc w:val="center"/>
                  </w:pPr>
                  <w:r>
                    <w:t xml:space="preserve">&lt; 0.001</w:t>
                  </w:r>
                </w:p>
              </w:tc>
              <w:tc>
                <w:tcPr/>
                <w:p>
                  <w:pPr>
                    <w:pStyle w:val="Compact"/>
                    <w:jc w:val="center"/>
                  </w:pPr>
                  <w:r>
                    <w:t xml:space="preserve">0.83</w:t>
                  </w:r>
                </w:p>
              </w:tc>
            </w:tr>
            <w:tr>
              <w:tc>
                <w:tcPr/>
                <w:p>
                  <w:pPr>
                    <w:pStyle w:val="Compact"/>
                    <w:jc w:val="center"/>
                  </w:pPr>
                  <w:r>
                    <w:t xml:space="preserve">Leached Protein A (ppm)</w:t>
                  </w:r>
                </w:p>
              </w:tc>
              <w:tc>
                <w:tcPr/>
                <w:p>
                  <w:pPr>
                    <w:pStyle w:val="Compact"/>
                    <w:jc w:val="center"/>
                  </w:pPr>
                  <w:r>
                    <w:t xml:space="preserve">19</w:t>
                  </w:r>
                </w:p>
              </w:tc>
              <w:tc>
                <w:tcPr/>
                <w:p>
                  <w:pPr>
                    <w:pStyle w:val="Compact"/>
                    <w:jc w:val="center"/>
                  </w:pPr>
                  <w:r>
                    <w:t xml:space="preserve">0.371</w:t>
                  </w:r>
                </w:p>
              </w:tc>
              <w:tc>
                <w:tcPr/>
                <w:p>
                  <w:pPr>
                    <w:pStyle w:val="Compact"/>
                    <w:jc w:val="center"/>
                  </w:pPr>
                  <w:r>
                    <w:t xml:space="preserve">−0.414</w:t>
                  </w:r>
                </w:p>
              </w:tc>
              <w:tc>
                <w:tcPr/>
                <w:p>
                  <w:pPr>
                    <w:pStyle w:val="Compact"/>
                    <w:jc w:val="center"/>
                  </w:pPr>
                  <w:r>
                    <w:t xml:space="preserve">−2.981</w:t>
                  </w:r>
                </w:p>
              </w:tc>
              <w:tc>
                <w:tcPr/>
                <w:p>
                  <w:pPr>
                    <w:pStyle w:val="Compact"/>
                    <w:jc w:val="center"/>
                  </w:pPr>
                  <w:r>
                    <w:t xml:space="preserve">0.47</w:t>
                  </w:r>
                </w:p>
              </w:tc>
              <w:tc>
                <w:tcPr/>
                <w:p>
                  <w:pPr>
                    <w:pStyle w:val="Compact"/>
                    <w:jc w:val="center"/>
                  </w:pPr>
                  <w:r>
                    <w:t xml:space="preserve">0.867</w:t>
                  </w:r>
                </w:p>
              </w:tc>
              <w:tc>
                <w:tcPr/>
                <w:p>
                  <w:pPr>
                    <w:pStyle w:val="Compact"/>
                    <w:jc w:val="center"/>
                  </w:pPr>
                  <w:r>
                    <w:t xml:space="preserve">0.51</w:t>
                  </w:r>
                </w:p>
              </w:tc>
            </w:tr>
            <w:tr>
              <w:tc>
                <w:tcPr>
                  <w:gridSpan w:val="8"/>
                </w:tcPr>
                <w:p>
                  <w:pPr>
                    <w:pStyle w:val="Compact"/>
                    <w:jc w:val="center"/>
                  </w:pPr>
                  <w:r>
                    <w:t xml:space="preserve">RMSE, root mean square error, for step yield in percentage points.</w:t>
                  </w:r>
                </w:p>
              </w:tc>
            </w:tr>
          </w:tbl>
          <w:bookmarkEnd w:id="60"/>
          <w:p/>
        </w:tc>
      </w:tr>
    </w:tbl>
    <w:p>
      <w:pPr>
        <w:pStyle w:val="BodyText"/>
      </w:pPr>
      <w:r>
        <w:t xml:space="preserve">Pool host cell protein was affected by elution buffer pH (B) and protein load (A). Raising the elution pH across its range lowered pool host cell protein by 8,840 ng/mg, and raising protein load across its range raised it by 7,269 ng/mg. In ng/mg the screening model also shows an interaction of protein load with elution buffer pH (AB, −2,587 ng/mg, p = 0.006), so the fall with rising pH is larger at high load. Two effects that multiply produce an interaction of this sign in ng/mg, and the response-surface analysis examines it on the log scale (</w:t>
      </w:r>
      <w:hyperlink w:anchor="sec-rsm-hcp">
        <w:r>
          <w:rPr>
            <w:rStyle w:val="Hyperlink"/>
          </w:rPr>
          <w:t xml:space="preserve">Section 5.3.1</w:t>
        </w:r>
      </w:hyperlink>
      <w:r>
        <w:t xml:space="preserve">). Load flow rate and end of pool collect had no significant effect in the screening design (</w:t>
      </w:r>
      <w:hyperlink w:anchor="tbl-scr-hcp">
        <w:r>
          <w:rPr>
            <w:rStyle w:val="Hyperlink"/>
          </w:rPr>
          <w:t xml:space="preserve">Table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tbl-scr-hcp"/>
          <w:p>
            <w:pPr>
              <w:jc w:val="center"/>
            </w:pPr>
            <w:pPr>
              <w:jc w:val="start"/>
              <w:spacing w:before="200"/>
              <w:pStyle w:val="ImageCaption"/>
            </w:pPr>
            <w:r>
              <w:t xml:space="preserve">Table 13: Screening effects on pool HCP (ng/mg), sorted by size.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Term</w:t>
                  </w:r>
                </w:p>
              </w:tc>
              <w:tc>
                <w:tcPr/>
                <w:p>
                  <w:pPr>
                    <w:pStyle w:val="Compact"/>
                    <w:jc w:val="center"/>
                  </w:pPr>
                  <w:r>
                    <w:t xml:space="preserve">Effect</w:t>
                  </w:r>
                </w:p>
              </w:tc>
              <w:tc>
                <w:tcPr/>
                <w:p>
                  <w:pPr>
                    <w:pStyle w:val="Compact"/>
                    <w:jc w:val="center"/>
                  </w:pPr>
                  <w:r>
                    <w:t xml:space="preserve">Coef.</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r>
            <w:tr>
              <w:tc>
                <w:tcPr/>
                <w:p>
                  <w:pPr>
                    <w:pStyle w:val="Compact"/>
                    <w:jc w:val="center"/>
                  </w:pPr>
                  <w:r>
                    <w:t xml:space="preserve">B</w:t>
                  </w:r>
                </w:p>
              </w:tc>
              <w:tc>
                <w:tcPr/>
                <w:p>
                  <w:pPr>
                    <w:pStyle w:val="Compact"/>
                    <w:jc w:val="center"/>
                  </w:pPr>
                  <w:r>
                    <w:t xml:space="preserve">−8,840</w:t>
                  </w:r>
                </w:p>
              </w:tc>
              <w:tc>
                <w:tcPr/>
                <w:p>
                  <w:pPr>
                    <w:pStyle w:val="Compact"/>
                    <w:jc w:val="center"/>
                  </w:pPr>
                  <w:r>
                    <w:t xml:space="preserve">−4,420</w:t>
                  </w:r>
                </w:p>
              </w:tc>
              <w:tc>
                <w:tcPr/>
                <w:p>
                  <w:pPr>
                    <w:pStyle w:val="Compact"/>
                    <w:jc w:val="center"/>
                  </w:pPr>
                  <w:r>
                    <w:t xml:space="preserve">350</w:t>
                  </w:r>
                </w:p>
              </w:tc>
              <w:tc>
                <w:tcPr/>
                <w:p>
                  <w:pPr>
                    <w:pStyle w:val="Compact"/>
                    <w:jc w:val="center"/>
                  </w:pPr>
                  <w:r>
                    <w:t xml:space="preserve">−12.63</w:t>
                  </w:r>
                </w:p>
              </w:tc>
              <w:tc>
                <w:tcPr/>
                <w:p>
                  <w:pPr>
                    <w:pStyle w:val="Compact"/>
                    <w:jc w:val="center"/>
                  </w:pPr>
                  <w:r>
                    <w:t xml:space="preserve">&lt; 0.001</w:t>
                  </w:r>
                </w:p>
              </w:tc>
            </w:tr>
            <w:tr>
              <w:tc>
                <w:tcPr/>
                <w:p>
                  <w:pPr>
                    <w:pStyle w:val="Compact"/>
                    <w:jc w:val="center"/>
                  </w:pPr>
                  <w:r>
                    <w:t xml:space="preserve">A</w:t>
                  </w:r>
                </w:p>
              </w:tc>
              <w:tc>
                <w:tcPr/>
                <w:p>
                  <w:pPr>
                    <w:pStyle w:val="Compact"/>
                    <w:jc w:val="center"/>
                  </w:pPr>
                  <w:r>
                    <w:t xml:space="preserve">7,269</w:t>
                  </w:r>
                </w:p>
              </w:tc>
              <w:tc>
                <w:tcPr/>
                <w:p>
                  <w:pPr>
                    <w:pStyle w:val="Compact"/>
                    <w:jc w:val="center"/>
                  </w:pPr>
                  <w:r>
                    <w:t xml:space="preserve">3,635</w:t>
                  </w:r>
                </w:p>
              </w:tc>
              <w:tc>
                <w:tcPr/>
                <w:p>
                  <w:pPr>
                    <w:pStyle w:val="Compact"/>
                    <w:jc w:val="center"/>
                  </w:pPr>
                  <w:r>
                    <w:t xml:space="preserve">350</w:t>
                  </w:r>
                </w:p>
              </w:tc>
              <w:tc>
                <w:tcPr/>
                <w:p>
                  <w:pPr>
                    <w:pStyle w:val="Compact"/>
                    <w:jc w:val="center"/>
                  </w:pPr>
                  <w:r>
                    <w:t xml:space="preserve">10.38</w:t>
                  </w:r>
                </w:p>
              </w:tc>
              <w:tc>
                <w:tcPr/>
                <w:p>
                  <w:pPr>
                    <w:pStyle w:val="Compact"/>
                    <w:jc w:val="center"/>
                  </w:pPr>
                  <w:r>
                    <w:t xml:space="preserve">&lt; 0.001</w:t>
                  </w:r>
                </w:p>
              </w:tc>
            </w:tr>
            <w:tr>
              <w:tc>
                <w:tcPr/>
                <w:p>
                  <w:pPr>
                    <w:pStyle w:val="Compact"/>
                    <w:jc w:val="center"/>
                  </w:pPr>
                  <w:r>
                    <w:t xml:space="preserve">AB</w:t>
                  </w:r>
                </w:p>
              </w:tc>
              <w:tc>
                <w:tcPr/>
                <w:p>
                  <w:pPr>
                    <w:pStyle w:val="Compact"/>
                    <w:jc w:val="center"/>
                  </w:pPr>
                  <w:r>
                    <w:t xml:space="preserve">−2,587</w:t>
                  </w:r>
                </w:p>
              </w:tc>
              <w:tc>
                <w:tcPr/>
                <w:p>
                  <w:pPr>
                    <w:pStyle w:val="Compact"/>
                    <w:jc w:val="center"/>
                  </w:pPr>
                  <w:r>
                    <w:t xml:space="preserve">−1,293</w:t>
                  </w:r>
                </w:p>
              </w:tc>
              <w:tc>
                <w:tcPr/>
                <w:p>
                  <w:pPr>
                    <w:pStyle w:val="Compact"/>
                    <w:jc w:val="center"/>
                  </w:pPr>
                  <w:r>
                    <w:t xml:space="preserve">350</w:t>
                  </w:r>
                </w:p>
              </w:tc>
              <w:tc>
                <w:tcPr/>
                <w:p>
                  <w:pPr>
                    <w:pStyle w:val="Compact"/>
                    <w:jc w:val="center"/>
                  </w:pPr>
                  <w:r>
                    <w:t xml:space="preserve">−3.70</w:t>
                  </w:r>
                </w:p>
              </w:tc>
              <w:tc>
                <w:tcPr/>
                <w:p>
                  <w:pPr>
                    <w:pStyle w:val="Compact"/>
                    <w:jc w:val="center"/>
                  </w:pPr>
                  <w:r>
                    <w:t xml:space="preserve">0.006</w:t>
                  </w:r>
                </w:p>
              </w:tc>
            </w:tr>
            <w:tr>
              <w:tc>
                <w:tcPr/>
                <w:p>
                  <w:pPr>
                    <w:pStyle w:val="Compact"/>
                    <w:jc w:val="center"/>
                  </w:pPr>
                  <w:r>
                    <w:t xml:space="preserve">AD</w:t>
                  </w:r>
                </w:p>
              </w:tc>
              <w:tc>
                <w:tcPr/>
                <w:p>
                  <w:pPr>
                    <w:pStyle w:val="Compact"/>
                    <w:jc w:val="center"/>
                  </w:pPr>
                  <w:r>
                    <w:t xml:space="preserve">1,133</w:t>
                  </w:r>
                </w:p>
              </w:tc>
              <w:tc>
                <w:tcPr/>
                <w:p>
                  <w:pPr>
                    <w:pStyle w:val="Compact"/>
                    <w:jc w:val="center"/>
                  </w:pPr>
                  <w:r>
                    <w:t xml:space="preserve">566</w:t>
                  </w:r>
                </w:p>
              </w:tc>
              <w:tc>
                <w:tcPr/>
                <w:p>
                  <w:pPr>
                    <w:pStyle w:val="Compact"/>
                    <w:jc w:val="center"/>
                  </w:pPr>
                  <w:r>
                    <w:t xml:space="preserve">350</w:t>
                  </w:r>
                </w:p>
              </w:tc>
              <w:tc>
                <w:tcPr/>
                <w:p>
                  <w:pPr>
                    <w:pStyle w:val="Compact"/>
                    <w:jc w:val="center"/>
                  </w:pPr>
                  <w:r>
                    <w:t xml:space="preserve">1.62</w:t>
                  </w:r>
                </w:p>
              </w:tc>
              <w:tc>
                <w:tcPr/>
                <w:p>
                  <w:pPr>
                    <w:pStyle w:val="Compact"/>
                    <w:jc w:val="center"/>
                  </w:pPr>
                  <w:r>
                    <w:t xml:space="preserve">0.144</w:t>
                  </w:r>
                </w:p>
              </w:tc>
            </w:tr>
            <w:tr>
              <w:tc>
                <w:tcPr/>
                <w:p>
                  <w:pPr>
                    <w:pStyle w:val="Compact"/>
                    <w:jc w:val="center"/>
                  </w:pPr>
                  <w:r>
                    <w:t xml:space="preserve">AC</w:t>
                  </w:r>
                </w:p>
              </w:tc>
              <w:tc>
                <w:tcPr/>
                <w:p>
                  <w:pPr>
                    <w:pStyle w:val="Compact"/>
                    <w:jc w:val="center"/>
                  </w:pPr>
                  <w:r>
                    <w:t xml:space="preserve">830</w:t>
                  </w:r>
                </w:p>
              </w:tc>
              <w:tc>
                <w:tcPr/>
                <w:p>
                  <w:pPr>
                    <w:pStyle w:val="Compact"/>
                    <w:jc w:val="center"/>
                  </w:pPr>
                  <w:r>
                    <w:t xml:space="preserve">415</w:t>
                  </w:r>
                </w:p>
              </w:tc>
              <w:tc>
                <w:tcPr/>
                <w:p>
                  <w:pPr>
                    <w:pStyle w:val="Compact"/>
                    <w:jc w:val="center"/>
                  </w:pPr>
                  <w:r>
                    <w:t xml:space="preserve">350</w:t>
                  </w:r>
                </w:p>
              </w:tc>
              <w:tc>
                <w:tcPr/>
                <w:p>
                  <w:pPr>
                    <w:pStyle w:val="Compact"/>
                    <w:jc w:val="center"/>
                  </w:pPr>
                  <w:r>
                    <w:t xml:space="preserve">1.19</w:t>
                  </w:r>
                </w:p>
              </w:tc>
              <w:tc>
                <w:tcPr/>
                <w:p>
                  <w:pPr>
                    <w:pStyle w:val="Compact"/>
                    <w:jc w:val="center"/>
                  </w:pPr>
                  <w:r>
                    <w:t xml:space="preserve">0.270</w:t>
                  </w:r>
                </w:p>
              </w:tc>
            </w:tr>
            <w:tr>
              <w:tc>
                <w:tcPr/>
                <w:p>
                  <w:pPr>
                    <w:pStyle w:val="Compact"/>
                    <w:jc w:val="center"/>
                  </w:pPr>
                  <w:r>
                    <w:t xml:space="preserve">D</w:t>
                  </w:r>
                </w:p>
              </w:tc>
              <w:tc>
                <w:tcPr/>
                <w:p>
                  <w:pPr>
                    <w:pStyle w:val="Compact"/>
                    <w:jc w:val="center"/>
                  </w:pPr>
                  <w:r>
                    <w:t xml:space="preserve">708</w:t>
                  </w:r>
                </w:p>
              </w:tc>
              <w:tc>
                <w:tcPr/>
                <w:p>
                  <w:pPr>
                    <w:pStyle w:val="Compact"/>
                    <w:jc w:val="center"/>
                  </w:pPr>
                  <w:r>
                    <w:t xml:space="preserve">354</w:t>
                  </w:r>
                </w:p>
              </w:tc>
              <w:tc>
                <w:tcPr/>
                <w:p>
                  <w:pPr>
                    <w:pStyle w:val="Compact"/>
                    <w:jc w:val="center"/>
                  </w:pPr>
                  <w:r>
                    <w:t xml:space="preserve">350</w:t>
                  </w:r>
                </w:p>
              </w:tc>
              <w:tc>
                <w:tcPr/>
                <w:p>
                  <w:pPr>
                    <w:pStyle w:val="Compact"/>
                    <w:jc w:val="center"/>
                  </w:pPr>
                  <w:r>
                    <w:t xml:space="preserve">1.01</w:t>
                  </w:r>
                </w:p>
              </w:tc>
              <w:tc>
                <w:tcPr/>
                <w:p>
                  <w:pPr>
                    <w:pStyle w:val="Compact"/>
                    <w:jc w:val="center"/>
                  </w:pPr>
                  <w:r>
                    <w:t xml:space="preserve">0.341</w:t>
                  </w:r>
                </w:p>
              </w:tc>
            </w:tr>
            <w:tr>
              <w:tc>
                <w:tcPr/>
                <w:p>
                  <w:pPr>
                    <w:pStyle w:val="Compact"/>
                    <w:jc w:val="center"/>
                  </w:pPr>
                  <w:r>
                    <w:t xml:space="preserve">BD</w:t>
                  </w:r>
                </w:p>
              </w:tc>
              <w:tc>
                <w:tcPr/>
                <w:p>
                  <w:pPr>
                    <w:pStyle w:val="Compact"/>
                    <w:jc w:val="center"/>
                  </w:pPr>
                  <w:r>
                    <w:t xml:space="preserve">−433</w:t>
                  </w:r>
                </w:p>
              </w:tc>
              <w:tc>
                <w:tcPr/>
                <w:p>
                  <w:pPr>
                    <w:pStyle w:val="Compact"/>
                    <w:jc w:val="center"/>
                  </w:pPr>
                  <w:r>
                    <w:t xml:space="preserve">−217</w:t>
                  </w:r>
                </w:p>
              </w:tc>
              <w:tc>
                <w:tcPr/>
                <w:p>
                  <w:pPr>
                    <w:pStyle w:val="Compact"/>
                    <w:jc w:val="center"/>
                  </w:pPr>
                  <w:r>
                    <w:t xml:space="preserve">350</w:t>
                  </w:r>
                </w:p>
              </w:tc>
              <w:tc>
                <w:tcPr/>
                <w:p>
                  <w:pPr>
                    <w:pStyle w:val="Compact"/>
                    <w:jc w:val="center"/>
                  </w:pPr>
                  <w:r>
                    <w:t xml:space="preserve">−0.62</w:t>
                  </w:r>
                </w:p>
              </w:tc>
              <w:tc>
                <w:tcPr/>
                <w:p>
                  <w:pPr>
                    <w:pStyle w:val="Compact"/>
                    <w:jc w:val="center"/>
                  </w:pPr>
                  <w:r>
                    <w:t xml:space="preserve">0.553</w:t>
                  </w:r>
                </w:p>
              </w:tc>
            </w:tr>
            <w:tr>
              <w:tc>
                <w:tcPr/>
                <w:p>
                  <w:pPr>
                    <w:pStyle w:val="Compact"/>
                    <w:jc w:val="center"/>
                  </w:pPr>
                  <w:r>
                    <w:t xml:space="preserve">C</w:t>
                  </w:r>
                </w:p>
              </w:tc>
              <w:tc>
                <w:tcPr/>
                <w:p>
                  <w:pPr>
                    <w:pStyle w:val="Compact"/>
                    <w:jc w:val="center"/>
                  </w:pPr>
                  <w:r>
                    <w:t xml:space="preserve">167</w:t>
                  </w:r>
                </w:p>
              </w:tc>
              <w:tc>
                <w:tcPr/>
                <w:p>
                  <w:pPr>
                    <w:pStyle w:val="Compact"/>
                    <w:jc w:val="center"/>
                  </w:pPr>
                  <w:r>
                    <w:t xml:space="preserve">84</w:t>
                  </w:r>
                </w:p>
              </w:tc>
              <w:tc>
                <w:tcPr/>
                <w:p>
                  <w:pPr>
                    <w:pStyle w:val="Compact"/>
                    <w:jc w:val="center"/>
                  </w:pPr>
                  <w:r>
                    <w:t xml:space="preserve">350</w:t>
                  </w:r>
                </w:p>
              </w:tc>
              <w:tc>
                <w:tcPr/>
                <w:p>
                  <w:pPr>
                    <w:pStyle w:val="Compact"/>
                    <w:jc w:val="center"/>
                  </w:pPr>
                  <w:r>
                    <w:t xml:space="preserve">0.24</w:t>
                  </w:r>
                </w:p>
              </w:tc>
              <w:tc>
                <w:tcPr/>
                <w:p>
                  <w:pPr>
                    <w:pStyle w:val="Compact"/>
                    <w:jc w:val="center"/>
                  </w:pPr>
                  <w:r>
                    <w:t xml:space="preserve">0.817</w:t>
                  </w:r>
                </w:p>
              </w:tc>
            </w:tr>
            <w:tr>
              <w:tc>
                <w:tcPr/>
                <w:p>
                  <w:pPr>
                    <w:pStyle w:val="Compact"/>
                    <w:jc w:val="center"/>
                  </w:pPr>
                  <w:r>
                    <w:t xml:space="preserve">CD</w:t>
                  </w:r>
                </w:p>
              </w:tc>
              <w:tc>
                <w:tcPr/>
                <w:p>
                  <w:pPr>
                    <w:pStyle w:val="Compact"/>
                    <w:jc w:val="center"/>
                  </w:pPr>
                  <w:r>
                    <w:t xml:space="preserve">−71</w:t>
                  </w:r>
                </w:p>
              </w:tc>
              <w:tc>
                <w:tcPr/>
                <w:p>
                  <w:pPr>
                    <w:pStyle w:val="Compact"/>
                    <w:jc w:val="center"/>
                  </w:pPr>
                  <w:r>
                    <w:t xml:space="preserve">−35</w:t>
                  </w:r>
                </w:p>
              </w:tc>
              <w:tc>
                <w:tcPr/>
                <w:p>
                  <w:pPr>
                    <w:pStyle w:val="Compact"/>
                    <w:jc w:val="center"/>
                  </w:pPr>
                  <w:r>
                    <w:t xml:space="preserve">350</w:t>
                  </w:r>
                </w:p>
              </w:tc>
              <w:tc>
                <w:tcPr/>
                <w:p>
                  <w:pPr>
                    <w:pStyle w:val="Compact"/>
                    <w:jc w:val="center"/>
                  </w:pPr>
                  <w:r>
                    <w:t xml:space="preserve">−0.10</w:t>
                  </w:r>
                </w:p>
              </w:tc>
              <w:tc>
                <w:tcPr/>
                <w:p>
                  <w:pPr>
                    <w:pStyle w:val="Compact"/>
                    <w:jc w:val="center"/>
                  </w:pPr>
                  <w:r>
                    <w:t xml:space="preserve">0.922</w:t>
                  </w:r>
                </w:p>
              </w:tc>
            </w:tr>
            <w:tr>
              <w:tc>
                <w:tcPr/>
                <w:p>
                  <w:pPr>
                    <w:pStyle w:val="Compact"/>
                    <w:jc w:val="center"/>
                  </w:pPr>
                  <w:r>
                    <w:t xml:space="preserve">BC</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350</w:t>
                  </w:r>
                </w:p>
              </w:tc>
              <w:tc>
                <w:tcPr/>
                <w:p>
                  <w:pPr>
                    <w:pStyle w:val="Compact"/>
                    <w:jc w:val="center"/>
                  </w:pPr>
                  <w:r>
                    <w:t xml:space="preserve">0.01</w:t>
                  </w:r>
                </w:p>
              </w:tc>
              <w:tc>
                <w:tcPr/>
                <w:p>
                  <w:pPr>
                    <w:pStyle w:val="Compact"/>
                    <w:jc w:val="center"/>
                  </w:pPr>
                  <w:r>
                    <w:t xml:space="preserve">0.993</w:t>
                  </w:r>
                </w:p>
              </w:tc>
            </w:tr>
          </w:tbl>
          <w:bookmarkEnd w:id="61"/>
          <w:p/>
        </w:tc>
      </w:tr>
    </w:tbl>
    <w:p>
      <w:pPr>
        <w:pStyle w:val="BodyText"/>
      </w:pPr>
      <w:r>
        <w:t xml:space="preserve">Step yield was affected by end of pool collect (D), protein load (A) and load flow rate (C), and by the interaction of protein load with load flow rate (AC). Extending the end of pool collect across its range raised yield by 6.0 percentage points. Raising protein load and load flow rate lowered it by 2.6 and 2.4 percentage points. The interaction of protein load with load flow rate (−2.1 percentage points, p = 0.001) means that flow rate costs more yield at high load. The interactions of load flow rate with end of pool collect (CD) and of elution buffer pH with end of pool collect (BD) were also significant, at −1.1 and −1.0 percentage points. They are smaller than the significant main effects, and neither is in the model selected for step yield in the response-surface design. The p-value of BD, 0.046, rests on the unrounded results. Refitted from the yields as Appendix A prints them, to 0.1 %, it is 0.052. Elution buffer pH had no significant effect on yield.</w:t>
      </w:r>
      <w:r>
        <w:t xml:space="preserve"> </w:t>
      </w:r>
      <w:hyperlink w:anchor="tbl-scr-yield">
        <w:r>
          <w:rPr>
            <w:rStyle w:val="Hyperlink"/>
          </w:rPr>
          <w:t xml:space="preserve">Table 14</w:t>
        </w:r>
      </w:hyperlink>
      <w:r>
        <w:t xml:space="preserve"> </w:t>
      </w:r>
      <w:r>
        <w:t xml:space="preserve">gives the effects, and Appendix C gives the effects for leached Protein A.</w:t>
      </w:r>
    </w:p>
    <w:tbl>
      <w:tblPr>
        <w:tblStyle w:val="Table"/>
        <w:tblW w:type="pct" w:w="5000"/>
        <w:tblLayout w:type="fixed"/>
        <w:tblLook w:firstRow="0" w:lastRow="0" w:firstColumn="0" w:lastColumn="0" w:noHBand="0" w:noVBand="0" w:val="0000"/>
      </w:tblPr>
      <w:tblGrid>
        <w:gridCol w:w="7920"/>
      </w:tblGrid>
      <w:tr>
        <w:tc>
          <w:tcPr/>
          <w:bookmarkStart w:id="62" w:name="tbl-scr-yield"/>
          <w:p>
            <w:pPr>
              <w:jc w:val="center"/>
            </w:pPr>
            <w:pPr>
              <w:jc w:val="start"/>
              <w:spacing w:before="200"/>
              <w:pStyle w:val="ImageCaption"/>
            </w:pPr>
            <w:r>
              <w:t xml:space="preserve">Table 14: Screening effects on step yield (percentage points), sorted by size.</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Term</w:t>
                  </w:r>
                </w:p>
              </w:tc>
              <w:tc>
                <w:tcPr/>
                <w:p>
                  <w:pPr>
                    <w:pStyle w:val="Compact"/>
                    <w:jc w:val="center"/>
                  </w:pPr>
                  <w:r>
                    <w:t xml:space="preserve">Effect</w:t>
                  </w:r>
                </w:p>
              </w:tc>
              <w:tc>
                <w:tcPr/>
                <w:p>
                  <w:pPr>
                    <w:pStyle w:val="Compact"/>
                    <w:jc w:val="center"/>
                  </w:pPr>
                  <w:r>
                    <w:t xml:space="preserve">Coef.</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r>
            <w:tr>
              <w:tc>
                <w:tcPr/>
                <w:p>
                  <w:pPr>
                    <w:pStyle w:val="Compact"/>
                    <w:jc w:val="center"/>
                  </w:pPr>
                  <w:r>
                    <w:t xml:space="preserve">D</w:t>
                  </w:r>
                </w:p>
              </w:tc>
              <w:tc>
                <w:tcPr/>
                <w:p>
                  <w:pPr>
                    <w:pStyle w:val="Compact"/>
                    <w:jc w:val="center"/>
                  </w:pPr>
                  <w:r>
                    <w:t xml:space="preserve">6.04</w:t>
                  </w:r>
                </w:p>
              </w:tc>
              <w:tc>
                <w:tcPr/>
                <w:p>
                  <w:pPr>
                    <w:pStyle w:val="Compact"/>
                    <w:jc w:val="center"/>
                  </w:pPr>
                  <w:r>
                    <w:t xml:space="preserve">3.02</w:t>
                  </w:r>
                </w:p>
              </w:tc>
              <w:tc>
                <w:tcPr/>
                <w:p>
                  <w:pPr>
                    <w:pStyle w:val="Compact"/>
                    <w:jc w:val="center"/>
                  </w:pPr>
                  <w:r>
                    <w:t xml:space="preserve">0.21</w:t>
                  </w:r>
                </w:p>
              </w:tc>
              <w:tc>
                <w:tcPr/>
                <w:p>
                  <w:pPr>
                    <w:pStyle w:val="Compact"/>
                    <w:jc w:val="center"/>
                  </w:pPr>
                  <w:r>
                    <w:t xml:space="preserve">14.50</w:t>
                  </w:r>
                </w:p>
              </w:tc>
              <w:tc>
                <w:tcPr/>
                <w:p>
                  <w:pPr>
                    <w:pStyle w:val="Compact"/>
                    <w:jc w:val="center"/>
                  </w:pPr>
                  <w:r>
                    <w:t xml:space="preserve">&lt; 0.001</w:t>
                  </w:r>
                </w:p>
              </w:tc>
            </w:tr>
            <w:tr>
              <w:tc>
                <w:tcPr/>
                <w:p>
                  <w:pPr>
                    <w:pStyle w:val="Compact"/>
                    <w:jc w:val="center"/>
                  </w:pPr>
                  <w:r>
                    <w:t xml:space="preserve">A</w:t>
                  </w:r>
                </w:p>
              </w:tc>
              <w:tc>
                <w:tcPr/>
                <w:p>
                  <w:pPr>
                    <w:pStyle w:val="Compact"/>
                    <w:jc w:val="center"/>
                  </w:pPr>
                  <w:r>
                    <w:t xml:space="preserve">−2.55</w:t>
                  </w:r>
                </w:p>
              </w:tc>
              <w:tc>
                <w:tcPr/>
                <w:p>
                  <w:pPr>
                    <w:pStyle w:val="Compact"/>
                    <w:jc w:val="center"/>
                  </w:pPr>
                  <w:r>
                    <w:t xml:space="preserve">−1.28</w:t>
                  </w:r>
                </w:p>
              </w:tc>
              <w:tc>
                <w:tcPr/>
                <w:p>
                  <w:pPr>
                    <w:pStyle w:val="Compact"/>
                    <w:jc w:val="center"/>
                  </w:pPr>
                  <w:r>
                    <w:t xml:space="preserve">0.21</w:t>
                  </w:r>
                </w:p>
              </w:tc>
              <w:tc>
                <w:tcPr/>
                <w:p>
                  <w:pPr>
                    <w:pStyle w:val="Compact"/>
                    <w:jc w:val="center"/>
                  </w:pPr>
                  <w:r>
                    <w:t xml:space="preserve">−6.13</w:t>
                  </w:r>
                </w:p>
              </w:tc>
              <w:tc>
                <w:tcPr/>
                <w:p>
                  <w:pPr>
                    <w:pStyle w:val="Compact"/>
                    <w:jc w:val="center"/>
                  </w:pPr>
                  <w:r>
                    <w:t xml:space="preserve">&lt; 0.001</w:t>
                  </w:r>
                </w:p>
              </w:tc>
            </w:tr>
            <w:tr>
              <w:tc>
                <w:tcPr/>
                <w:p>
                  <w:pPr>
                    <w:pStyle w:val="Compact"/>
                    <w:jc w:val="center"/>
                  </w:pPr>
                  <w:r>
                    <w:t xml:space="preserve">C</w:t>
                  </w:r>
                </w:p>
              </w:tc>
              <w:tc>
                <w:tcPr/>
                <w:p>
                  <w:pPr>
                    <w:pStyle w:val="Compact"/>
                    <w:jc w:val="center"/>
                  </w:pPr>
                  <w:r>
                    <w:t xml:space="preserve">−2.37</w:t>
                  </w:r>
                </w:p>
              </w:tc>
              <w:tc>
                <w:tcPr/>
                <w:p>
                  <w:pPr>
                    <w:pStyle w:val="Compact"/>
                    <w:jc w:val="center"/>
                  </w:pPr>
                  <w:r>
                    <w:t xml:space="preserve">−1.18</w:t>
                  </w:r>
                </w:p>
              </w:tc>
              <w:tc>
                <w:tcPr/>
                <w:p>
                  <w:pPr>
                    <w:pStyle w:val="Compact"/>
                    <w:jc w:val="center"/>
                  </w:pPr>
                  <w:r>
                    <w:t xml:space="preserve">0.21</w:t>
                  </w:r>
                </w:p>
              </w:tc>
              <w:tc>
                <w:tcPr/>
                <w:p>
                  <w:pPr>
                    <w:pStyle w:val="Compact"/>
                    <w:jc w:val="center"/>
                  </w:pPr>
                  <w:r>
                    <w:t xml:space="preserve">−5.68</w:t>
                  </w:r>
                </w:p>
              </w:tc>
              <w:tc>
                <w:tcPr/>
                <w:p>
                  <w:pPr>
                    <w:pStyle w:val="Compact"/>
                    <w:jc w:val="center"/>
                  </w:pPr>
                  <w:r>
                    <w:t xml:space="preserve">&lt; 0.001</w:t>
                  </w:r>
                </w:p>
              </w:tc>
            </w:tr>
            <w:tr>
              <w:tc>
                <w:tcPr/>
                <w:p>
                  <w:pPr>
                    <w:pStyle w:val="Compact"/>
                    <w:jc w:val="center"/>
                  </w:pPr>
                  <w:r>
                    <w:t xml:space="preserve">AC</w:t>
                  </w:r>
                </w:p>
              </w:tc>
              <w:tc>
                <w:tcPr/>
                <w:p>
                  <w:pPr>
                    <w:pStyle w:val="Compact"/>
                    <w:jc w:val="center"/>
                  </w:pPr>
                  <w:r>
                    <w:t xml:space="preserve">−2.09</w:t>
                  </w:r>
                </w:p>
              </w:tc>
              <w:tc>
                <w:tcPr/>
                <w:p>
                  <w:pPr>
                    <w:pStyle w:val="Compact"/>
                    <w:jc w:val="center"/>
                  </w:pPr>
                  <w:r>
                    <w:t xml:space="preserve">−1.04</w:t>
                  </w:r>
                </w:p>
              </w:tc>
              <w:tc>
                <w:tcPr/>
                <w:p>
                  <w:pPr>
                    <w:pStyle w:val="Compact"/>
                    <w:jc w:val="center"/>
                  </w:pPr>
                  <w:r>
                    <w:t xml:space="preserve">0.21</w:t>
                  </w:r>
                </w:p>
              </w:tc>
              <w:tc>
                <w:tcPr/>
                <w:p>
                  <w:pPr>
                    <w:pStyle w:val="Compact"/>
                    <w:jc w:val="center"/>
                  </w:pPr>
                  <w:r>
                    <w:t xml:space="preserve">−5.01</w:t>
                  </w:r>
                </w:p>
              </w:tc>
              <w:tc>
                <w:tcPr/>
                <w:p>
                  <w:pPr>
                    <w:pStyle w:val="Compact"/>
                    <w:jc w:val="center"/>
                  </w:pPr>
                  <w:r>
                    <w:t xml:space="preserve">0.001</w:t>
                  </w:r>
                </w:p>
              </w:tc>
            </w:tr>
            <w:tr>
              <w:tc>
                <w:tcPr/>
                <w:p>
                  <w:pPr>
                    <w:pStyle w:val="Compact"/>
                    <w:jc w:val="center"/>
                  </w:pPr>
                  <w:r>
                    <w:t xml:space="preserve">CD</w:t>
                  </w:r>
                </w:p>
              </w:tc>
              <w:tc>
                <w:tcPr/>
                <w:p>
                  <w:pPr>
                    <w:pStyle w:val="Compact"/>
                    <w:jc w:val="center"/>
                  </w:pPr>
                  <w:r>
                    <w:t xml:space="preserve">−1.07</w:t>
                  </w:r>
                </w:p>
              </w:tc>
              <w:tc>
                <w:tcPr/>
                <w:p>
                  <w:pPr>
                    <w:pStyle w:val="Compact"/>
                    <w:jc w:val="center"/>
                  </w:pPr>
                  <w:r>
                    <w:t xml:space="preserve">−0.54</w:t>
                  </w:r>
                </w:p>
              </w:tc>
              <w:tc>
                <w:tcPr/>
                <w:p>
                  <w:pPr>
                    <w:pStyle w:val="Compact"/>
                    <w:jc w:val="center"/>
                  </w:pPr>
                  <w:r>
                    <w:t xml:space="preserve">0.21</w:t>
                  </w:r>
                </w:p>
              </w:tc>
              <w:tc>
                <w:tcPr/>
                <w:p>
                  <w:pPr>
                    <w:pStyle w:val="Compact"/>
                    <w:jc w:val="center"/>
                  </w:pPr>
                  <w:r>
                    <w:t xml:space="preserve">−2.58</w:t>
                  </w:r>
                </w:p>
              </w:tc>
              <w:tc>
                <w:tcPr/>
                <w:p>
                  <w:pPr>
                    <w:pStyle w:val="Compact"/>
                    <w:jc w:val="center"/>
                  </w:pPr>
                  <w:r>
                    <w:t xml:space="preserve">0.033</w:t>
                  </w:r>
                </w:p>
              </w:tc>
            </w:tr>
            <w:tr>
              <w:tc>
                <w:tcPr/>
                <w:p>
                  <w:pPr>
                    <w:pStyle w:val="Compact"/>
                    <w:jc w:val="center"/>
                  </w:pPr>
                  <w:r>
                    <w:t xml:space="preserve">BD</w:t>
                  </w:r>
                </w:p>
              </w:tc>
              <w:tc>
                <w:tcPr/>
                <w:p>
                  <w:pPr>
                    <w:pStyle w:val="Compact"/>
                    <w:jc w:val="center"/>
                  </w:pPr>
                  <w:r>
                    <w:t xml:space="preserve">−0.98</w:t>
                  </w:r>
                </w:p>
              </w:tc>
              <w:tc>
                <w:tcPr/>
                <w:p>
                  <w:pPr>
                    <w:pStyle w:val="Compact"/>
                    <w:jc w:val="center"/>
                  </w:pPr>
                  <w:r>
                    <w:t xml:space="preserve">−0.49</w:t>
                  </w:r>
                </w:p>
              </w:tc>
              <w:tc>
                <w:tcPr/>
                <w:p>
                  <w:pPr>
                    <w:pStyle w:val="Compact"/>
                    <w:jc w:val="center"/>
                  </w:pPr>
                  <w:r>
                    <w:t xml:space="preserve">0.21</w:t>
                  </w:r>
                </w:p>
              </w:tc>
              <w:tc>
                <w:tcPr/>
                <w:p>
                  <w:pPr>
                    <w:pStyle w:val="Compact"/>
                    <w:jc w:val="center"/>
                  </w:pPr>
                  <w:r>
                    <w:t xml:space="preserve">−2.36</w:t>
                  </w:r>
                </w:p>
              </w:tc>
              <w:tc>
                <w:tcPr/>
                <w:p>
                  <w:pPr>
                    <w:pStyle w:val="Compact"/>
                    <w:jc w:val="center"/>
                  </w:pPr>
                  <w:r>
                    <w:t xml:space="preserve">0.046</w:t>
                  </w:r>
                </w:p>
              </w:tc>
            </w:tr>
            <w:tr>
              <w:tc>
                <w:tcPr/>
                <w:p>
                  <w:pPr>
                    <w:pStyle w:val="Compact"/>
                    <w:jc w:val="center"/>
                  </w:pPr>
                  <w:r>
                    <w:t xml:space="preserve">AB</w:t>
                  </w:r>
                </w:p>
              </w:tc>
              <w:tc>
                <w:tcPr/>
                <w:p>
                  <w:pPr>
                    <w:pStyle w:val="Compact"/>
                    <w:jc w:val="center"/>
                  </w:pPr>
                  <w:r>
                    <w:t xml:space="preserve">0.44</w:t>
                  </w:r>
                </w:p>
              </w:tc>
              <w:tc>
                <w:tcPr/>
                <w:p>
                  <w:pPr>
                    <w:pStyle w:val="Compact"/>
                    <w:jc w:val="center"/>
                  </w:pPr>
                  <w:r>
                    <w:t xml:space="preserve">0.22</w:t>
                  </w:r>
                </w:p>
              </w:tc>
              <w:tc>
                <w:tcPr/>
                <w:p>
                  <w:pPr>
                    <w:pStyle w:val="Compact"/>
                    <w:jc w:val="center"/>
                  </w:pPr>
                  <w:r>
                    <w:t xml:space="preserve">0.21</w:t>
                  </w:r>
                </w:p>
              </w:tc>
              <w:tc>
                <w:tcPr/>
                <w:p>
                  <w:pPr>
                    <w:pStyle w:val="Compact"/>
                    <w:jc w:val="center"/>
                  </w:pPr>
                  <w:r>
                    <w:t xml:space="preserve">1.06</w:t>
                  </w:r>
                </w:p>
              </w:tc>
              <w:tc>
                <w:tcPr/>
                <w:p>
                  <w:pPr>
                    <w:pStyle w:val="Compact"/>
                    <w:jc w:val="center"/>
                  </w:pPr>
                  <w:r>
                    <w:t xml:space="preserve">0.319</w:t>
                  </w:r>
                </w:p>
              </w:tc>
            </w:tr>
            <w:tr>
              <w:tc>
                <w:tcPr/>
                <w:p>
                  <w:pPr>
                    <w:pStyle w:val="Compact"/>
                    <w:jc w:val="center"/>
                  </w:pPr>
                  <w:r>
                    <w:t xml:space="preserve">AD</w:t>
                  </w:r>
                </w:p>
              </w:tc>
              <w:tc>
                <w:tcPr/>
                <w:p>
                  <w:pPr>
                    <w:pStyle w:val="Compact"/>
                    <w:jc w:val="center"/>
                  </w:pPr>
                  <w:r>
                    <w:t xml:space="preserve">0.37</w:t>
                  </w:r>
                </w:p>
              </w:tc>
              <w:tc>
                <w:tcPr/>
                <w:p>
                  <w:pPr>
                    <w:pStyle w:val="Compact"/>
                    <w:jc w:val="center"/>
                  </w:pPr>
                  <w:r>
                    <w:t xml:space="preserve">0.19</w:t>
                  </w:r>
                </w:p>
              </w:tc>
              <w:tc>
                <w:tcPr/>
                <w:p>
                  <w:pPr>
                    <w:pStyle w:val="Compact"/>
                    <w:jc w:val="center"/>
                  </w:pPr>
                  <w:r>
                    <w:t xml:space="preserve">0.21</w:t>
                  </w:r>
                </w:p>
              </w:tc>
              <w:tc>
                <w:tcPr/>
                <w:p>
                  <w:pPr>
                    <w:pStyle w:val="Compact"/>
                    <w:jc w:val="center"/>
                  </w:pPr>
                  <w:r>
                    <w:t xml:space="preserve">0.89</w:t>
                  </w:r>
                </w:p>
              </w:tc>
              <w:tc>
                <w:tcPr/>
                <w:p>
                  <w:pPr>
                    <w:pStyle w:val="Compact"/>
                    <w:jc w:val="center"/>
                  </w:pPr>
                  <w:r>
                    <w:t xml:space="preserve">0.400</w:t>
                  </w:r>
                </w:p>
              </w:tc>
            </w:tr>
            <w:tr>
              <w:tc>
                <w:tcPr/>
                <w:p>
                  <w:pPr>
                    <w:pStyle w:val="Compact"/>
                    <w:jc w:val="center"/>
                  </w:pPr>
                  <w:r>
                    <w:t xml:space="preserve">BC</w:t>
                  </w:r>
                </w:p>
              </w:tc>
              <w:tc>
                <w:tcPr/>
                <w:p>
                  <w:pPr>
                    <w:pStyle w:val="Compact"/>
                    <w:jc w:val="center"/>
                  </w:pPr>
                  <w:r>
                    <w:t xml:space="preserve">0.35</w:t>
                  </w:r>
                </w:p>
              </w:tc>
              <w:tc>
                <w:tcPr/>
                <w:p>
                  <w:pPr>
                    <w:pStyle w:val="Compact"/>
                    <w:jc w:val="center"/>
                  </w:pPr>
                  <w:r>
                    <w:t xml:space="preserve">0.17</w:t>
                  </w:r>
                </w:p>
              </w:tc>
              <w:tc>
                <w:tcPr/>
                <w:p>
                  <w:pPr>
                    <w:pStyle w:val="Compact"/>
                    <w:jc w:val="center"/>
                  </w:pPr>
                  <w:r>
                    <w:t xml:space="preserve">0.21</w:t>
                  </w:r>
                </w:p>
              </w:tc>
              <w:tc>
                <w:tcPr/>
                <w:p>
                  <w:pPr>
                    <w:pStyle w:val="Compact"/>
                    <w:jc w:val="center"/>
                  </w:pPr>
                  <w:r>
                    <w:t xml:space="preserve">0.84</w:t>
                  </w:r>
                </w:p>
              </w:tc>
              <w:tc>
                <w:tcPr/>
                <w:p>
                  <w:pPr>
                    <w:pStyle w:val="Compact"/>
                    <w:jc w:val="center"/>
                  </w:pPr>
                  <w:r>
                    <w:t xml:space="preserve">0.425</w:t>
                  </w:r>
                </w:p>
              </w:tc>
            </w:tr>
            <w:tr>
              <w:tc>
                <w:tcPr/>
                <w:p>
                  <w:pPr>
                    <w:pStyle w:val="Compact"/>
                    <w:jc w:val="center"/>
                  </w:pPr>
                  <w:r>
                    <w:t xml:space="preserve">B</w:t>
                  </w:r>
                </w:p>
              </w:tc>
              <w:tc>
                <w:tcPr/>
                <w:p>
                  <w:pPr>
                    <w:pStyle w:val="Compact"/>
                    <w:jc w:val="center"/>
                  </w:pPr>
                  <w:r>
                    <w:t xml:space="preserve">−0.24</w:t>
                  </w:r>
                </w:p>
              </w:tc>
              <w:tc>
                <w:tcPr/>
                <w:p>
                  <w:pPr>
                    <w:pStyle w:val="Compact"/>
                    <w:jc w:val="center"/>
                  </w:pPr>
                  <w:r>
                    <w:t xml:space="preserve">−0.12</w:t>
                  </w:r>
                </w:p>
              </w:tc>
              <w:tc>
                <w:tcPr/>
                <w:p>
                  <w:pPr>
                    <w:pStyle w:val="Compact"/>
                    <w:jc w:val="center"/>
                  </w:pPr>
                  <w:r>
                    <w:t xml:space="preserve">0.21</w:t>
                  </w:r>
                </w:p>
              </w:tc>
              <w:tc>
                <w:tcPr/>
                <w:p>
                  <w:pPr>
                    <w:pStyle w:val="Compact"/>
                    <w:jc w:val="center"/>
                  </w:pPr>
                  <w:r>
                    <w:t xml:space="preserve">−0.57</w:t>
                  </w:r>
                </w:p>
              </w:tc>
              <w:tc>
                <w:tcPr/>
                <w:p>
                  <w:pPr>
                    <w:pStyle w:val="Compact"/>
                    <w:jc w:val="center"/>
                  </w:pPr>
                  <w:r>
                    <w:t xml:space="preserve">0.586</w:t>
                  </w:r>
                </w:p>
              </w:tc>
            </w:tr>
            <w:tr>
              <w:tc>
                <w:tcPr>
                  <w:gridSpan w:val="6"/>
                </w:tcPr>
                <w:p>
                  <w:pPr>
                    <w:pStyle w:val="Compact"/>
                    <w:jc w:val="center"/>
                  </w:pPr>
                  <w:r>
                    <w:t xml:space="preserve">Computed from the unrounded results. Appendix A prints step yield to 0.1 %.</w:t>
                  </w:r>
                </w:p>
              </w:tc>
            </w:tr>
          </w:tbl>
          <w:bookmarkEnd w:id="62"/>
          <w:p/>
        </w:tc>
      </w:tr>
    </w:tbl>
    <w:p>
      <w:pPr>
        <w:pStyle w:val="BodyText"/>
      </w:pPr>
      <w:r>
        <w:t xml:space="preserve">The screening results agree in direction with the expectations of</w:t>
      </w:r>
      <w:r>
        <w:t xml:space="preserve"> </w:t>
      </w:r>
      <w:hyperlink w:anchor="sec-prior">
        <w:r>
          <w:rPr>
            <w:rStyle w:val="Hyperlink"/>
          </w:rPr>
          <w:t xml:space="preserve">Section 2</w:t>
        </w:r>
      </w:hyperlink>
      <w:r>
        <w:t xml:space="preserve"> </w:t>
      </w:r>
      <w:r>
        <w:t xml:space="preserve">for protein load and elution buffer pH on pool host cell protein, and for protein load, load flow rate, their interaction and end of pool collect on step yield.</w:t>
      </w:r>
    </w:p>
    <w:bookmarkEnd w:id="63"/>
    <w:bookmarkStart w:id="87" w:name="sec-rsm"/>
    <w:p>
      <w:pPr>
        <w:pStyle w:val="Heading2"/>
      </w:pPr>
      <w:r>
        <w:t xml:space="preserve">5.3 Response-surface models</w:t>
      </w:r>
    </w:p>
    <w:p>
      <w:pPr>
        <w:pStyle w:val="FirstParagraph"/>
      </w:pPr>
      <w:r>
        <w:t xml:space="preserve">Each output of the response-surface design was analysed by the model selection of</w:t>
      </w:r>
      <w:r>
        <w:t xml:space="preserve"> </w:t>
      </w:r>
      <w:hyperlink w:anchor="sec-stats">
        <w:r>
          <w:rPr>
            <w:rStyle w:val="Hyperlink"/>
          </w:rPr>
          <w:t xml:space="preserve">Section 3.5</w:t>
        </w:r>
      </w:hyperlink>
      <w:r>
        <w:t xml:space="preserve">. Under the rule of the investigation INV-002 for planned models that failed PCMP-001 §7.2, no runs were added to the Protein A design. Leached Protein A showed no effect to resolve, and for fragments no second block within the size of the planned design reached the assurance of at least 0.90 that INV-002 requires. Every run of the design is therefore in one block.</w:t>
      </w:r>
      <w:r>
        <w:t xml:space="preserve"> </w:t>
      </w:r>
      <w:hyperlink w:anchor="tbl-reeval-protein-a">
        <w:r>
          <w:rPr>
            <w:rStyle w:val="Hyperlink"/>
          </w:rPr>
          <w:t xml:space="preserve">Table 15</w:t>
        </w:r>
      </w:hyperlink>
      <w:r>
        <w:t xml:space="preserve"> </w:t>
      </w:r>
      <w:r>
        <w:t xml:space="preserve">compares the full quadratic model that PCP-005 planned, fitted to the 28 planned runs, with the model selected for each output with a criterion.</w:t>
      </w:r>
    </w:p>
    <w:p>
      <w:pPr>
        <w:pStyle w:val="BodyText"/>
      </w:pPr>
      <w:r>
        <w:t xml:space="preserve">In the full quadratic model the predicted R² of leached Protein A and of fragments is below zero. Both fail by a wide margin the limit of PCMP-001 §7.2 that predicted R² may fall no more than 0.20 below R². For pool host cell protein the full quadratic model on the raw scale, with run 23 at its recorded pH, fails the lack of fit test (p = 0.024). With run 23 at its design pH, as Version 1.0 and INV-002 fitted it, the same model meets both tests, with a gap of 0.057 and a lack of fit test of p = 0.058. The full quadratic model of step yield, which has no criterion and is not in the table, also fails the limit, with predicted R² 0.31 below R².</w:t>
      </w:r>
    </w:p>
    <w:tbl>
      <w:tblPr>
        <w:tblStyle w:val="Table"/>
        <w:tblW w:type="pct" w:w="5000"/>
        <w:tblLayout w:type="fixed"/>
        <w:tblLook w:firstRow="0" w:lastRow="0" w:firstColumn="0" w:lastColumn="0" w:noHBand="0" w:noVBand="0" w:val="0000"/>
      </w:tblPr>
      <w:tblGrid>
        <w:gridCol w:w="7920"/>
      </w:tblGrid>
      <w:tr>
        <w:tc>
          <w:tcPr/>
          <w:bookmarkStart w:id="64" w:name="tbl-reeval-protein-a"/>
          <w:p>
            <w:pPr>
              <w:jc w:val="center"/>
            </w:pPr>
            <w:pPr>
              <w:jc w:val="start"/>
              <w:spacing w:before="200"/>
              <w:pStyle w:val="ImageCaption"/>
            </w:pPr>
            <w:r>
              <w:t xml:space="preserve">Table 15: Re-evaluation of the response-surface models.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gridSpan w:val="4"/>
                </w:tcPr>
                <w:p>
                  <w:pPr>
                    <w:pStyle w:val="Compact"/>
                    <w:jc w:val="center"/>
                  </w:pPr>
                  <w:r>
                    <w:t xml:space="preserve">Planned runs, full quadratic</w:t>
                  </w:r>
                </w:p>
              </w:tc>
              <w:tc>
                <w:tcPr>
                  <w:vMerge w:val="restart"/>
                </w:tcPr>
                <w:p>
                  <w:pPr>
                    <w:pStyle w:val="Compact"/>
                    <w:jc w:val="center"/>
                  </w:pPr>
                  <w:r>
                    <w:t xml:space="preserve">Model used</w:t>
                  </w:r>
                  <w:r>
                    <w:br/>
                  </w:r>
                  <w:r>
                    <w:t xml:space="preserve">(terms)</w:t>
                  </w:r>
                </w:p>
              </w:tc>
            </w:tr>
            <w:tr>
              <w:trPr>
                <w:tblHeader w:val="on"/>
              </w:trPr>
              <w:tc>
                <w:tcPr>
                  <w:gridSpan w:val="1"/>
                  <w:vMerge w:val="continue"/>
                </w:tcPr>
                <w:p>
                  <w:pPr/>
                </w:p>
              </w:tc>
              <w:tc>
                <w:tcPr/>
                <w:p>
                  <w:pPr>
                    <w:pStyle w:val="Compact"/>
                    <w:jc w:val="center"/>
                  </w:pPr>
                  <w:r>
                    <w:t xml:space="preserve">Runs</w:t>
                  </w:r>
                </w:p>
              </w:tc>
              <w:tc>
                <w:tcPr/>
                <w:p>
                  <w:pPr>
                    <w:pStyle w:val="Compact"/>
                    <w:jc w:val="center"/>
                  </w:pPr>
                  <w:r>
                    <w:t xml:space="preserve">R²</w:t>
                  </w:r>
                </w:p>
              </w:tc>
              <w:tc>
                <w:tcPr/>
                <w:p>
                  <w:pPr>
                    <w:pStyle w:val="Compact"/>
                    <w:jc w:val="center"/>
                  </w:pPr>
                  <w:r>
                    <w:t xml:space="preserve">Pred. R²</w:t>
                  </w:r>
                </w:p>
              </w:tc>
              <w:tc>
                <w:tcPr/>
                <w:p>
                  <w:pPr>
                    <w:pStyle w:val="Compact"/>
                    <w:jc w:val="center"/>
                  </w:pPr>
                  <w:r>
                    <w:t xml:space="preserve">Gap</w:t>
                  </w:r>
                </w:p>
              </w:tc>
              <w:tc>
                <w:tcPr>
                  <w:gridSpan w:val="1"/>
                  <w:vMerge w:val="continue"/>
                </w:tcPr>
                <w:p>
                  <w:pPr/>
                </w:p>
              </w:tc>
            </w:tr>
            <w:tr>
              <w:tc>
                <w:tcPr/>
                <w:p>
                  <w:pPr>
                    <w:pStyle w:val="Compact"/>
                    <w:jc w:val="center"/>
                  </w:pPr>
                  <w:r>
                    <w:t xml:space="preserve">Host cell protein (ng/mg)</w:t>
                  </w:r>
                </w:p>
              </w:tc>
              <w:tc>
                <w:tcPr/>
                <w:p>
                  <w:pPr>
                    <w:pStyle w:val="Compact"/>
                    <w:jc w:val="center"/>
                  </w:pPr>
                  <w:r>
                    <w:t xml:space="preserve">28</w:t>
                  </w:r>
                </w:p>
              </w:tc>
              <w:tc>
                <w:tcPr/>
                <w:p>
                  <w:pPr>
                    <w:pStyle w:val="Compact"/>
                    <w:jc w:val="center"/>
                  </w:pPr>
                  <w:r>
                    <w:t xml:space="preserve">0.98</w:t>
                  </w:r>
                </w:p>
              </w:tc>
              <w:tc>
                <w:tcPr/>
                <w:p>
                  <w:pPr>
                    <w:pStyle w:val="Compact"/>
                    <w:jc w:val="center"/>
                  </w:pPr>
                  <w:r>
                    <w:t xml:space="preserve">0.89</w:t>
                  </w:r>
                </w:p>
              </w:tc>
              <w:tc>
                <w:tcPr/>
                <w:p>
                  <w:pPr>
                    <w:pStyle w:val="Compact"/>
                    <w:jc w:val="center"/>
                  </w:pPr>
                  <w:r>
                    <w:t xml:space="preserve">0.09</w:t>
                  </w:r>
                </w:p>
              </w:tc>
              <w:tc>
                <w:tcPr/>
                <w:p>
                  <w:pPr>
                    <w:pStyle w:val="Compact"/>
                    <w:jc w:val="center"/>
                  </w:pPr>
                  <w:r>
                    <w:t xml:space="preserve">5 terms, log scale</w:t>
                  </w:r>
                </w:p>
              </w:tc>
            </w:tr>
            <w:tr>
              <w:tc>
                <w:tcPr/>
                <w:p>
                  <w:pPr>
                    <w:pStyle w:val="Compact"/>
                    <w:jc w:val="center"/>
                  </w:pPr>
                  <w:r>
                    <w:t xml:space="preserve">Leached Protein A (ppm)</w:t>
                  </w:r>
                </w:p>
              </w:tc>
              <w:tc>
                <w:tcPr/>
                <w:p>
                  <w:pPr>
                    <w:pStyle w:val="Compact"/>
                    <w:jc w:val="center"/>
                  </w:pPr>
                  <w:r>
                    <w:t xml:space="preserve">28</w:t>
                  </w:r>
                </w:p>
              </w:tc>
              <w:tc>
                <w:tcPr/>
                <w:p>
                  <w:pPr>
                    <w:pStyle w:val="Compact"/>
                    <w:jc w:val="center"/>
                  </w:pPr>
                  <w:r>
                    <w:t xml:space="preserve">0.57</w:t>
                  </w:r>
                </w:p>
              </w:tc>
              <w:tc>
                <w:tcPr/>
                <w:p>
                  <w:pPr>
                    <w:pStyle w:val="Compact"/>
                    <w:jc w:val="center"/>
                  </w:pPr>
                  <w:r>
                    <w:t xml:space="preserve">-0.74</w:t>
                  </w:r>
                </w:p>
              </w:tc>
              <w:tc>
                <w:tcPr/>
                <w:p>
                  <w:pPr>
                    <w:pStyle w:val="Compact"/>
                    <w:jc w:val="center"/>
                  </w:pPr>
                  <w:r>
                    <w:t xml:space="preserve">1.30</w:t>
                  </w:r>
                </w:p>
              </w:tc>
              <w:tc>
                <w:tcPr/>
                <w:p>
                  <w:pPr>
                    <w:pStyle w:val="Compact"/>
                    <w:jc w:val="center"/>
                  </w:pPr>
                  <w:r>
                    <w:t xml:space="preserve">No effect</w:t>
                  </w:r>
                </w:p>
              </w:tc>
            </w:tr>
            <w:tr>
              <w:tc>
                <w:tcPr/>
                <w:p>
                  <w:pPr>
                    <w:pStyle w:val="Compact"/>
                    <w:jc w:val="center"/>
                  </w:pPr>
                  <w:r>
                    <w:t xml:space="preserve">Fragments, LMW (%)</w:t>
                  </w:r>
                </w:p>
              </w:tc>
              <w:tc>
                <w:tcPr/>
                <w:p>
                  <w:pPr>
                    <w:pStyle w:val="Compact"/>
                    <w:jc w:val="center"/>
                  </w:pPr>
                  <w:r>
                    <w:t xml:space="preserve">28</w:t>
                  </w:r>
                </w:p>
              </w:tc>
              <w:tc>
                <w:tcPr/>
                <w:p>
                  <w:pPr>
                    <w:pStyle w:val="Compact"/>
                    <w:jc w:val="center"/>
                  </w:pPr>
                  <w:r>
                    <w:t xml:space="preserve">0.61</w:t>
                  </w:r>
                </w:p>
              </w:tc>
              <w:tc>
                <w:tcPr/>
                <w:p>
                  <w:pPr>
                    <w:pStyle w:val="Compact"/>
                    <w:jc w:val="center"/>
                  </w:pPr>
                  <w:r>
                    <w:t xml:space="preserve">-1.28</w:t>
                  </w:r>
                </w:p>
              </w:tc>
              <w:tc>
                <w:tcPr/>
                <w:p>
                  <w:pPr>
                    <w:pStyle w:val="Compact"/>
                    <w:jc w:val="center"/>
                  </w:pPr>
                  <w:r>
                    <w:t xml:space="preserve">1.89</w:t>
                  </w:r>
                </w:p>
              </w:tc>
              <w:tc>
                <w:tcPr/>
                <w:p>
                  <w:pPr>
                    <w:pStyle w:val="Compact"/>
                    <w:jc w:val="center"/>
                  </w:pPr>
                  <w:r>
                    <w:t xml:space="preserve">Protein load, elution buffer pH</w:t>
                  </w:r>
                </w:p>
              </w:tc>
            </w:tr>
            <w:tr>
              <w:tc>
                <w:tcPr>
                  <w:gridSpan w:val="6"/>
                </w:tcPr>
                <w:p>
                  <w:pPr>
                    <w:pStyle w:val="Compact"/>
                    <w:jc w:val="center"/>
                  </w:pPr>
                  <w:r>
                    <w:t xml:space="preserve">Gap: R² minus predicted R², at most 0.20 under PCMP-001 §7.2. Model used: the scale chosen by the Box-Cox profile and the model with the lowest AICc among the hierarchical submodels of the full quadratic, a block term kept (INV-002).</w:t>
                  </w:r>
                </w:p>
              </w:tc>
            </w:tr>
            <w:tr>
              <w:tc>
                <w:tcPr>
                  <w:gridSpan w:val="6"/>
                </w:tcPr>
                <w:p>
                  <w:pPr>
                    <w:pStyle w:val="Compact"/>
                    <w:jc w:val="center"/>
                  </w:pPr>
                  <w:r>
                    <w:t xml:space="preserve">At this step the full quadratic model is on the raw scale, with run 23 at its recorded elution buffer pH (PD-005-03). The design was not augmented and has no block term. No effect, a selected model with the intercept only.</w:t>
                  </w:r>
                </w:p>
              </w:tc>
            </w:tr>
          </w:tbl>
          <w:bookmarkEnd w:id="64"/>
          <w:p/>
        </w:tc>
      </w:tr>
    </w:tbl>
    <w:p>
      <w:pPr>
        <w:pStyle w:val="BodyText"/>
      </w:pPr>
      <w:hyperlink w:anchor="tbl-adequacy">
        <w:r>
          <w:rPr>
            <w:rStyle w:val="Hyperlink"/>
          </w:rPr>
          <w:t xml:space="preserve">Table 16</w:t>
        </w:r>
      </w:hyperlink>
      <w:r>
        <w:t xml:space="preserve"> </w:t>
      </w:r>
      <w:r>
        <w:t xml:space="preserve">judges each selected model against criteria 2, 3 and 4 of PCP-005 §7.</w:t>
      </w:r>
    </w:p>
    <w:tbl>
      <w:tblPr>
        <w:tblStyle w:val="Table"/>
        <w:tblW w:type="pct" w:w="5000"/>
        <w:tblLayout w:type="fixed"/>
        <w:tblLook w:firstRow="0" w:lastRow="0" w:firstColumn="0" w:lastColumn="0" w:noHBand="0" w:noVBand="0" w:val="0000"/>
      </w:tblPr>
      <w:tblGrid>
        <w:gridCol w:w="7920"/>
      </w:tblGrid>
      <w:tr>
        <w:tc>
          <w:tcPr/>
          <w:bookmarkStart w:id="65" w:name="tbl-adequacy"/>
          <w:p>
            <w:pPr>
              <w:jc w:val="center"/>
            </w:pPr>
            <w:pPr>
              <w:jc w:val="start"/>
              <w:spacing w:before="200"/>
              <w:pStyle w:val="ImageCaption"/>
            </w:pPr>
            <w:r>
              <w:t xml:space="preserve">Table 16: Selected response-surface models against criteria 2, 3 and 4 of PCP-005 §7.</w:t>
            </w:r>
          </w:p>
          <w:tbl>
            <w:tblPr>
              <w:tblStyle w:val="Table"/>
              <w:tblW w:type="auto" w:w="0"/>
              <w:tblLook w:firstRow="1" w:lastRow="1"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vMerge w:val="restart"/>
                </w:tcPr>
                <w:p>
                  <w:pPr>
                    <w:pStyle w:val="Compact"/>
                    <w:jc w:val="center"/>
                  </w:pPr>
                  <w:r>
                    <w:t xml:space="preserve">Output</w:t>
                  </w:r>
                </w:p>
              </w:tc>
              <w:tc>
                <w:tcPr>
                  <w:vMerge w:val="restart"/>
                </w:tcPr>
                <w:p>
                  <w:pPr>
                    <w:pStyle w:val="Compact"/>
                    <w:jc w:val="center"/>
                  </w:pPr>
                  <w:r>
                    <w:t xml:space="preserve">Scale</w:t>
                  </w:r>
                </w:p>
              </w:tc>
              <w:tc>
                <w:tcPr>
                  <w:vMerge w:val="restart"/>
                </w:tcPr>
                <w:p>
                  <w:pPr>
                    <w:pStyle w:val="Compact"/>
                    <w:jc w:val="center"/>
                  </w:pPr>
                  <w:r>
                    <w:t xml:space="preserve">Terms</w:t>
                  </w:r>
                </w:p>
              </w:tc>
              <w:tc>
                <w:tcPr>
                  <w:vMerge w:val="restart"/>
                </w:tcPr>
                <w:p>
                  <w:pPr>
                    <w:pStyle w:val="Compact"/>
                    <w:jc w:val="center"/>
                  </w:pPr>
                  <w:r>
                    <w:t xml:space="preserve">R²</w:t>
                  </w:r>
                </w:p>
              </w:tc>
              <w:tc>
                <w:tcPr>
                  <w:vMerge w:val="restart"/>
                </w:tcPr>
                <w:p>
                  <w:pPr>
                    <w:pStyle w:val="Compact"/>
                    <w:jc w:val="center"/>
                  </w:pPr>
                  <w:r>
                    <w:t xml:space="preserve">Adj. R²</w:t>
                  </w:r>
                </w:p>
              </w:tc>
              <w:tc>
                <w:tcPr>
                  <w:vMerge w:val="restart"/>
                </w:tcPr>
                <w:p>
                  <w:pPr>
                    <w:pStyle w:val="Compact"/>
                    <w:jc w:val="center"/>
                  </w:pPr>
                  <w:r>
                    <w:t xml:space="preserve">Pred. R²</w:t>
                  </w:r>
                </w:p>
              </w:tc>
              <w:tc>
                <w:tcPr>
                  <w:gridSpan w:val="2"/>
                </w:tcPr>
                <w:p>
                  <w:pPr>
                    <w:pStyle w:val="Compact"/>
                    <w:jc w:val="center"/>
                  </w:pPr>
                  <w:r>
                    <w:t xml:space="preserve">Criterion 2</w:t>
                  </w:r>
                </w:p>
              </w:tc>
              <w:tc>
                <w:tcPr>
                  <w:gridSpan w:val="2"/>
                </w:tcPr>
                <w:p>
                  <w:pPr>
                    <w:pStyle w:val="Compact"/>
                    <w:jc w:val="center"/>
                  </w:pPr>
                  <w:r>
                    <w:t xml:space="preserve">Criterion 3</w:t>
                  </w:r>
                </w:p>
              </w:tc>
              <w:tc>
                <w:tcPr>
                  <w:gridSpan w:val="2"/>
                </w:tcPr>
                <w:p>
                  <w:pPr>
                    <w:pStyle w:val="Compact"/>
                    <w:jc w:val="center"/>
                  </w:pPr>
                  <w:r>
                    <w:t xml:space="preserve">Criterion 4</w:t>
                  </w:r>
                </w:p>
              </w:tc>
            </w:tr>
            <w:tr>
              <w:trPr>
                <w:tblHeader w:val="on"/>
              </w:trP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Model p</w:t>
                  </w:r>
                </w:p>
              </w:tc>
              <w:tc>
                <w:tcPr/>
                <w:p>
                  <w:pPr>
                    <w:pStyle w:val="Compact"/>
                    <w:jc w:val="center"/>
                  </w:pPr>
                  <w:r>
                    <w:t xml:space="preserve">Met</w:t>
                  </w:r>
                </w:p>
              </w:tc>
              <w:tc>
                <w:tcPr/>
                <w:p>
                  <w:pPr>
                    <w:pStyle w:val="Compact"/>
                    <w:jc w:val="center"/>
                  </w:pPr>
                  <w:r>
                    <w:t xml:space="preserve">LoF p</w:t>
                  </w:r>
                </w:p>
              </w:tc>
              <w:tc>
                <w:tcPr/>
                <w:p>
                  <w:pPr>
                    <w:pStyle w:val="Compact"/>
                    <w:jc w:val="center"/>
                  </w:pPr>
                  <w:r>
                    <w:t xml:space="preserve">Met</w:t>
                  </w:r>
                </w:p>
              </w:tc>
              <w:tc>
                <w:tcPr/>
                <w:p>
                  <w:pPr>
                    <w:pStyle w:val="Compact"/>
                    <w:jc w:val="center"/>
                  </w:pPr>
                  <w:r>
                    <w:t xml:space="preserve">Gap</w:t>
                  </w:r>
                </w:p>
              </w:tc>
              <w:tc>
                <w:tcPr/>
                <w:p>
                  <w:pPr>
                    <w:pStyle w:val="Compact"/>
                    <w:jc w:val="center"/>
                  </w:pPr>
                  <w:r>
                    <w:t xml:space="preserve">Met</w:t>
                  </w:r>
                </w:p>
              </w:tc>
            </w:tr>
            <w:tr>
              <w:tc>
                <w:tcPr/>
                <w:p>
                  <w:pPr>
                    <w:pStyle w:val="Compact"/>
                    <w:jc w:val="center"/>
                  </w:pPr>
                  <w:r>
                    <w:t xml:space="preserve">Pool HCP (ng/mg)</w:t>
                  </w:r>
                </w:p>
              </w:tc>
              <w:tc>
                <w:tcPr/>
                <w:p>
                  <w:pPr>
                    <w:pStyle w:val="Compact"/>
                    <w:jc w:val="center"/>
                  </w:pPr>
                  <w:r>
                    <w:t xml:space="preserve">log</w:t>
                  </w:r>
                </w:p>
              </w:tc>
              <w:tc>
                <w:tcPr/>
                <w:p>
                  <w:pPr>
                    <w:pStyle w:val="Compact"/>
                    <w:jc w:val="center"/>
                  </w:pPr>
                  <w:r>
                    <w:t xml:space="preserve">A, B, C, D, C²</w:t>
                  </w:r>
                </w:p>
              </w:tc>
              <w:tc>
                <w:tcPr/>
                <w:p>
                  <w:pPr>
                    <w:pStyle w:val="Compact"/>
                    <w:jc w:val="center"/>
                  </w:pPr>
                  <w:r>
                    <w:t xml:space="preserve">0.977</w:t>
                  </w:r>
                </w:p>
              </w:tc>
              <w:tc>
                <w:tcPr/>
                <w:p>
                  <w:pPr>
                    <w:pStyle w:val="Compact"/>
                    <w:jc w:val="center"/>
                  </w:pPr>
                  <w:r>
                    <w:t xml:space="preserve">0.971</w:t>
                  </w:r>
                </w:p>
              </w:tc>
              <w:tc>
                <w:tcPr/>
                <w:p>
                  <w:pPr>
                    <w:pStyle w:val="Compact"/>
                    <w:jc w:val="center"/>
                  </w:pPr>
                  <w:r>
                    <w:t xml:space="preserve">0.963</w:t>
                  </w:r>
                </w:p>
              </w:tc>
              <w:tc>
                <w:tcPr/>
                <w:p>
                  <w:pPr>
                    <w:pStyle w:val="Compact"/>
                    <w:jc w:val="center"/>
                  </w:pPr>
                  <w:r>
                    <w:t xml:space="preserve">&lt; 0.001</w:t>
                  </w:r>
                </w:p>
              </w:tc>
              <w:tc>
                <w:tcPr/>
                <w:p>
                  <w:pPr>
                    <w:pStyle w:val="Compact"/>
                    <w:jc w:val="center"/>
                  </w:pPr>
                  <w:r>
                    <w:t xml:space="preserve">Yes</w:t>
                  </w:r>
                </w:p>
              </w:tc>
              <w:tc>
                <w:tcPr/>
                <w:p>
                  <w:pPr>
                    <w:pStyle w:val="Compact"/>
                    <w:jc w:val="center"/>
                  </w:pPr>
                  <w:r>
                    <w:t xml:space="preserve">0.088</w:t>
                  </w:r>
                </w:p>
              </w:tc>
              <w:tc>
                <w:tcPr/>
                <w:p>
                  <w:pPr>
                    <w:pStyle w:val="Compact"/>
                    <w:jc w:val="center"/>
                  </w:pPr>
                  <w:r>
                    <w:t xml:space="preserve">Yes</w:t>
                  </w:r>
                </w:p>
              </w:tc>
              <w:tc>
                <w:tcPr/>
                <w:p>
                  <w:pPr>
                    <w:pStyle w:val="Compact"/>
                    <w:jc w:val="center"/>
                  </w:pPr>
                  <w:r>
                    <w:t xml:space="preserve">0.014</w:t>
                  </w:r>
                </w:p>
              </w:tc>
              <w:tc>
                <w:tcPr/>
                <w:p>
                  <w:pPr>
                    <w:pStyle w:val="Compact"/>
                    <w:jc w:val="center"/>
                  </w:pPr>
                  <w:r>
                    <w:t xml:space="preserve">Yes</w:t>
                  </w:r>
                </w:p>
              </w:tc>
            </w:tr>
            <w:tr>
              <w:tc>
                <w:tcPr/>
                <w:p>
                  <w:pPr>
                    <w:pStyle w:val="Compact"/>
                    <w:jc w:val="center"/>
                  </w:pPr>
                  <w:r>
                    <w:t xml:space="preserve">Step yield (%)</w:t>
                  </w:r>
                </w:p>
              </w:tc>
              <w:tc>
                <w:tcPr/>
                <w:p>
                  <w:pPr>
                    <w:pStyle w:val="Compact"/>
                    <w:jc w:val="center"/>
                  </w:pPr>
                  <w:r>
                    <w:t xml:space="preserve">raw</w:t>
                  </w:r>
                </w:p>
              </w:tc>
              <w:tc>
                <w:tcPr/>
                <w:p>
                  <w:pPr>
                    <w:pStyle w:val="Compact"/>
                    <w:jc w:val="center"/>
                  </w:pPr>
                  <w:r>
                    <w:t xml:space="preserve">A, C, D, AC, D²</w:t>
                  </w:r>
                </w:p>
              </w:tc>
              <w:tc>
                <w:tcPr/>
                <w:p>
                  <w:pPr>
                    <w:pStyle w:val="Compact"/>
                    <w:jc w:val="center"/>
                  </w:pPr>
                  <w:r>
                    <w:t xml:space="preserve">0.862</w:t>
                  </w:r>
                </w:p>
              </w:tc>
              <w:tc>
                <w:tcPr/>
                <w:p>
                  <w:pPr>
                    <w:pStyle w:val="Compact"/>
                    <w:jc w:val="center"/>
                  </w:pPr>
                  <w:r>
                    <w:t xml:space="preserve">0.831</w:t>
                  </w:r>
                </w:p>
              </w:tc>
              <w:tc>
                <w:tcPr/>
                <w:p>
                  <w:pPr>
                    <w:pStyle w:val="Compact"/>
                    <w:jc w:val="center"/>
                  </w:pPr>
                  <w:r>
                    <w:t xml:space="preserve">0.782</w:t>
                  </w:r>
                </w:p>
              </w:tc>
              <w:tc>
                <w:tcPr/>
                <w:p>
                  <w:pPr>
                    <w:pStyle w:val="Compact"/>
                    <w:jc w:val="center"/>
                  </w:pPr>
                  <w:r>
                    <w:t xml:space="preserve">&lt; 0.001</w:t>
                  </w:r>
                </w:p>
              </w:tc>
              <w:tc>
                <w:tcPr/>
                <w:p>
                  <w:pPr>
                    <w:pStyle w:val="Compact"/>
                    <w:jc w:val="center"/>
                  </w:pPr>
                  <w:r>
                    <w:t xml:space="preserve">Yes</w:t>
                  </w:r>
                </w:p>
              </w:tc>
              <w:tc>
                <w:tcPr/>
                <w:p>
                  <w:pPr>
                    <w:pStyle w:val="Compact"/>
                    <w:jc w:val="center"/>
                  </w:pPr>
                  <w:r>
                    <w:t xml:space="preserve">0.771</w:t>
                  </w:r>
                </w:p>
              </w:tc>
              <w:tc>
                <w:tcPr/>
                <w:p>
                  <w:pPr>
                    <w:pStyle w:val="Compact"/>
                    <w:jc w:val="center"/>
                  </w:pPr>
                  <w:r>
                    <w:t xml:space="preserve">Yes</w:t>
                  </w:r>
                </w:p>
              </w:tc>
              <w:tc>
                <w:tcPr/>
                <w:p>
                  <w:pPr>
                    <w:pStyle w:val="Compact"/>
                    <w:jc w:val="center"/>
                  </w:pPr>
                  <w:r>
                    <w:t xml:space="preserve">0.081</w:t>
                  </w:r>
                </w:p>
              </w:tc>
              <w:tc>
                <w:tcPr/>
                <w:p>
                  <w:pPr>
                    <w:pStyle w:val="Compact"/>
                    <w:jc w:val="center"/>
                  </w:pPr>
                  <w:r>
                    <w:t xml:space="preserve">Yes</w:t>
                  </w:r>
                </w:p>
              </w:tc>
            </w:tr>
            <w:tr>
              <w:tc>
                <w:tcPr/>
                <w:p>
                  <w:pPr>
                    <w:pStyle w:val="Compact"/>
                    <w:jc w:val="center"/>
                  </w:pPr>
                  <w:r>
                    <w:t xml:space="preserve">Leached Protein A (ppm)</w:t>
                  </w:r>
                </w:p>
              </w:tc>
              <w:tc>
                <w:tcPr/>
                <w:p>
                  <w:pPr>
                    <w:pStyle w:val="Compact"/>
                    <w:jc w:val="center"/>
                  </w:pPr>
                  <w:r>
                    <w:t xml:space="preserve">raw</w:t>
                  </w:r>
                </w:p>
              </w:tc>
              <w:tc>
                <w:tcPr/>
                <w:p>
                  <w:pPr>
                    <w:pStyle w:val="Compact"/>
                    <w:jc w:val="center"/>
                  </w:pPr>
                  <w:r>
                    <w:t xml:space="preserve">none</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−0.075</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0.907</w:t>
                  </w:r>
                </w:p>
              </w:tc>
              <w:tc>
                <w:tcPr/>
                <w:p>
                  <w:pPr>
                    <w:pStyle w:val="Compact"/>
                    <w:jc w:val="center"/>
                  </w:pPr>
                  <w:r>
                    <w:t xml:space="preserve">Yes</w:t>
                  </w:r>
                </w:p>
              </w:tc>
              <w:tc>
                <w:tcPr/>
                <w:p>
                  <w:pPr>
                    <w:pStyle w:val="Compact"/>
                    <w:jc w:val="center"/>
                  </w:pPr>
                  <w:r>
                    <w:t xml:space="preserve">0.075</w:t>
                  </w:r>
                </w:p>
              </w:tc>
              <w:tc>
                <w:tcPr/>
                <w:p>
                  <w:pPr>
                    <w:pStyle w:val="Compact"/>
                    <w:jc w:val="center"/>
                  </w:pPr>
                  <w:r>
                    <w:t xml:space="preserve">Yes</w:t>
                  </w:r>
                </w:p>
              </w:tc>
            </w:tr>
            <w:tr>
              <w:tc>
                <w:tcPr/>
                <w:p>
                  <w:pPr>
                    <w:pStyle w:val="Compact"/>
                    <w:jc w:val="center"/>
                  </w:pPr>
                  <w:r>
                    <w:t xml:space="preserve">Fragments, nrCE-SDS (%)</w:t>
                  </w:r>
                </w:p>
              </w:tc>
              <w:tc>
                <w:tcPr/>
                <w:p>
                  <w:pPr>
                    <w:pStyle w:val="Compact"/>
                    <w:jc w:val="center"/>
                  </w:pPr>
                  <w:r>
                    <w:t xml:space="preserve">raw</w:t>
                  </w:r>
                </w:p>
              </w:tc>
              <w:tc>
                <w:tcPr/>
                <w:p>
                  <w:pPr>
                    <w:pStyle w:val="Compact"/>
                    <w:jc w:val="center"/>
                  </w:pPr>
                  <w:r>
                    <w:t xml:space="preserve">A, B</w:t>
                  </w:r>
                </w:p>
              </w:tc>
              <w:tc>
                <w:tcPr/>
                <w:p>
                  <w:pPr>
                    <w:pStyle w:val="Compact"/>
                    <w:jc w:val="center"/>
                  </w:pPr>
                  <w:r>
                    <w:t xml:space="preserve">0.396</w:t>
                  </w:r>
                </w:p>
              </w:tc>
              <w:tc>
                <w:tcPr/>
                <w:p>
                  <w:pPr>
                    <w:pStyle w:val="Compact"/>
                    <w:jc w:val="center"/>
                  </w:pPr>
                  <w:r>
                    <w:t xml:space="preserve">0.348</w:t>
                  </w:r>
                </w:p>
              </w:tc>
              <w:tc>
                <w:tcPr/>
                <w:p>
                  <w:pPr>
                    <w:pStyle w:val="Compact"/>
                    <w:jc w:val="center"/>
                  </w:pPr>
                  <w:r>
                    <w:t xml:space="preserve">0.235</w:t>
                  </w:r>
                </w:p>
              </w:tc>
              <w:tc>
                <w:tcPr/>
                <w:p>
                  <w:pPr>
                    <w:pStyle w:val="Compact"/>
                    <w:jc w:val="center"/>
                  </w:pPr>
                  <w:r>
                    <w:t xml:space="preserve">0.002</w:t>
                  </w:r>
                </w:p>
              </w:tc>
              <w:tc>
                <w:tcPr/>
                <w:p>
                  <w:pPr>
                    <w:pStyle w:val="Compact"/>
                    <w:jc w:val="center"/>
                  </w:pPr>
                  <w:r>
                    <w:t xml:space="preserve">Yes</w:t>
                  </w:r>
                </w:p>
              </w:tc>
              <w:tc>
                <w:tcPr/>
                <w:p>
                  <w:pPr>
                    <w:pStyle w:val="Compact"/>
                    <w:jc w:val="center"/>
                  </w:pPr>
                  <w:r>
                    <w:t xml:space="preserve">0.776</w:t>
                  </w:r>
                </w:p>
              </w:tc>
              <w:tc>
                <w:tcPr/>
                <w:p>
                  <w:pPr>
                    <w:pStyle w:val="Compact"/>
                    <w:jc w:val="center"/>
                  </w:pPr>
                  <w:r>
                    <w:t xml:space="preserve">Yes</w:t>
                  </w:r>
                </w:p>
              </w:tc>
              <w:tc>
                <w:tcPr/>
                <w:p>
                  <w:pPr>
                    <w:pStyle w:val="Compact"/>
                    <w:jc w:val="center"/>
                  </w:pPr>
                  <w:r>
                    <w:t xml:space="preserve">0.161</w:t>
                  </w:r>
                </w:p>
              </w:tc>
              <w:tc>
                <w:tcPr/>
                <w:p>
                  <w:pPr>
                    <w:pStyle w:val="Compact"/>
                    <w:jc w:val="center"/>
                  </w:pPr>
                  <w:r>
                    <w:t xml:space="preserve">Yes</w:t>
                  </w:r>
                </w:p>
              </w:tc>
            </w:tr>
            <w:tr>
              <w:tc>
                <w:tcPr>
                  <w:gridSpan w:val="12"/>
                </w:tcPr>
                <w:p>
                  <w:pPr>
                    <w:pStyle w:val="Compact"/>
                    <w:jc w:val="center"/>
                  </w:pPr>
                  <w:r>
                    <w:t xml:space="preserve">Terms, the terms of the selected model besides the intercept. A, protein load. B, elution buffer pH. C, load flow rate. D, end of pool collect. C², the square of C. AC, the interaction of A with C. Criterion 2, the model F-test significant at α = 0.05 (n.a., a model with no term, which has no F-test). Criterion 3, the lack of fit (LoF) test against pure error not significant at α = 0.05. Criterion 4, the gap, R² minus predicted R², at most 0.20.</w:t>
                  </w:r>
                </w:p>
              </w:tc>
            </w:tr>
          </w:tbl>
          <w:bookmarkEnd w:id="65"/>
          <w:p/>
        </w:tc>
      </w:tr>
    </w:tbl>
    <w:p>
      <w:pPr>
        <w:pStyle w:val="BodyText"/>
      </w:pPr>
      <w:r>
        <w:t xml:space="preserve">Each selected model meets criteria 3 and 4, and each model with a term meets criterion 2. The selection kept 5 of the 14 terms of the full quadratic model for pool host cell protein, 5 for step yield, 2 for fragments and none for leached Protein A.</w:t>
      </w:r>
    </w:p>
    <w:bookmarkStart w:id="77" w:name="sec-rsm-hcp"/>
    <w:p>
      <w:pPr>
        <w:pStyle w:val="Heading3"/>
      </w:pPr>
      <w:r>
        <w:t xml:space="preserve">5.3.1 Pool host cell protein</w:t>
      </w:r>
    </w:p>
    <w:p>
      <w:pPr>
        <w:pStyle w:val="FirstParagraph"/>
      </w:pPr>
      <w:hyperlink w:anchor="tbl-coef-hcp">
        <w:r>
          <w:rPr>
            <w:rStyle w:val="Hyperlink"/>
          </w:rPr>
          <w:t xml:space="preserve">Table 17</w:t>
        </w:r>
      </w:hyperlink>
      <w:r>
        <w:t xml:space="preserve"> </w:t>
      </w:r>
      <w:r>
        <w:t xml:space="preserve">gives the coefficients of the selected model for pool host cell protein, on the natural log scale, and</w:t>
      </w:r>
      <w:r>
        <w:t xml:space="preserve"> </w:t>
      </w:r>
      <w:hyperlink w:anchor="tbl-anova-hcp">
        <w:r>
          <w:rPr>
            <w:rStyle w:val="Hyperlink"/>
          </w:rPr>
          <w:t xml:space="preserve">Table 18</w:t>
        </w:r>
      </w:hyperlink>
      <w:r>
        <w:t xml:space="preserve"> </w:t>
      </w:r>
      <w:r>
        <w:t xml:space="preserve">its analysis of variance.</w:t>
      </w:r>
    </w:p>
    <w:tbl>
      <w:tblPr>
        <w:tblStyle w:val="Table"/>
        <w:tblW w:type="pct" w:w="5000"/>
        <w:tblLayout w:type="fixed"/>
        <w:tblLook w:firstRow="0" w:lastRow="0" w:firstColumn="0" w:lastColumn="0" w:noHBand="0" w:noVBand="0" w:val="0000"/>
      </w:tblPr>
      <w:tblGrid>
        <w:gridCol w:w="7920"/>
      </w:tblGrid>
      <w:tr>
        <w:tc>
          <w:tcPr/>
          <w:bookmarkStart w:id="66" w:name="tbl-coef-hcp"/>
          <w:p>
            <w:pPr>
              <w:jc w:val="center"/>
            </w:pPr>
            <w:pPr>
              <w:jc w:val="start"/>
              <w:spacing w:before="200"/>
              <w:pStyle w:val="ImageCaption"/>
            </w:pPr>
            <w:r>
              <w:t xml:space="preserve">Table 17: Response-surface coefficients for pool HCP, natural log of ng/mg, coded units.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w:t>
                  </w:r>
                </w:p>
              </w:tc>
              <w:tc>
                <w:tcPr/>
                <w:p>
                  <w:pPr>
                    <w:pStyle w:val="Compact"/>
                    <w:jc w:val="center"/>
                  </w:pPr>
                  <w:r>
                    <w:t xml:space="preserve">Coef.</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r>
            <w:tr>
              <w:tc>
                <w:tcPr/>
                <w:p>
                  <w:pPr>
                    <w:pStyle w:val="Compact"/>
                    <w:jc w:val="center"/>
                  </w:pPr>
                  <w:r>
                    <w:t xml:space="preserve">Intercept</w:t>
                  </w:r>
                </w:p>
              </w:tc>
              <w:tc>
                <w:tcPr/>
                <w:p>
                  <w:pPr>
                    <w:pStyle w:val="Compact"/>
                    <w:jc w:val="center"/>
                  </w:pPr>
                  <w:r>
                    <w:t xml:space="preserve">8.848</w:t>
                  </w:r>
                </w:p>
              </w:tc>
              <w:tc>
                <w:tcPr/>
                <w:p>
                  <w:pPr>
                    <w:pStyle w:val="Compact"/>
                    <w:jc w:val="center"/>
                  </w:pPr>
                  <w:r>
                    <w:t xml:space="preserve">0.033</w:t>
                  </w:r>
                </w:p>
              </w:tc>
              <w:tc>
                <w:tcPr/>
                <w:p>
                  <w:pPr>
                    <w:pStyle w:val="Compact"/>
                    <w:jc w:val="center"/>
                  </w:pPr>
                  <w:r>
                    <w:t xml:space="preserve">265.73</w:t>
                  </w:r>
                </w:p>
              </w:tc>
              <w:tc>
                <w:tcPr/>
                <w:p>
                  <w:pPr>
                    <w:pStyle w:val="Compact"/>
                    <w:jc w:val="center"/>
                  </w:pPr>
                  <w:r>
                    <w:t xml:space="preserve">&lt; 0.001</w:t>
                  </w:r>
                </w:p>
              </w:tc>
            </w:tr>
            <w:tr>
              <w:tc>
                <w:tcPr/>
                <w:p>
                  <w:pPr>
                    <w:pStyle w:val="Compact"/>
                    <w:jc w:val="center"/>
                  </w:pPr>
                  <w:r>
                    <w:t xml:space="preserve">A</w:t>
                  </w:r>
                </w:p>
              </w:tc>
              <w:tc>
                <w:tcPr/>
                <w:p>
                  <w:pPr>
                    <w:pStyle w:val="Compact"/>
                    <w:jc w:val="center"/>
                  </w:pPr>
                  <w:r>
                    <w:t xml:space="preserve">0.443</w:t>
                  </w:r>
                </w:p>
              </w:tc>
              <w:tc>
                <w:tcPr/>
                <w:p>
                  <w:pPr>
                    <w:pStyle w:val="Compact"/>
                    <w:jc w:val="center"/>
                  </w:pPr>
                  <w:r>
                    <w:t xml:space="preserve">0.025</w:t>
                  </w:r>
                </w:p>
              </w:tc>
              <w:tc>
                <w:tcPr/>
                <w:p>
                  <w:pPr>
                    <w:pStyle w:val="Compact"/>
                    <w:jc w:val="center"/>
                  </w:pPr>
                  <w:r>
                    <w:t xml:space="preserve">17.87</w:t>
                  </w:r>
                </w:p>
              </w:tc>
              <w:tc>
                <w:tcPr/>
                <w:p>
                  <w:pPr>
                    <w:pStyle w:val="Compact"/>
                    <w:jc w:val="center"/>
                  </w:pPr>
                  <w:r>
                    <w:t xml:space="preserve">&lt; 0.001</w:t>
                  </w:r>
                </w:p>
              </w:tc>
            </w:tr>
            <w:tr>
              <w:tc>
                <w:tcPr/>
                <w:p>
                  <w:pPr>
                    <w:pStyle w:val="Compact"/>
                    <w:jc w:val="center"/>
                  </w:pPr>
                  <w:r>
                    <w:t xml:space="preserve">B</w:t>
                  </w:r>
                </w:p>
              </w:tc>
              <w:tc>
                <w:tcPr/>
                <w:p>
                  <w:pPr>
                    <w:pStyle w:val="Compact"/>
                    <w:jc w:val="center"/>
                  </w:pPr>
                  <w:r>
                    <w:t xml:space="preserve">−0.596</w:t>
                  </w:r>
                </w:p>
              </w:tc>
              <w:tc>
                <w:tcPr/>
                <w:p>
                  <w:pPr>
                    <w:pStyle w:val="Compact"/>
                    <w:jc w:val="center"/>
                  </w:pPr>
                  <w:r>
                    <w:t xml:space="preserve">0.025</w:t>
                  </w:r>
                </w:p>
              </w:tc>
              <w:tc>
                <w:tcPr/>
                <w:p>
                  <w:pPr>
                    <w:pStyle w:val="Compact"/>
                    <w:jc w:val="center"/>
                  </w:pPr>
                  <w:r>
                    <w:t xml:space="preserve">−24.17</w:t>
                  </w:r>
                </w:p>
              </w:tc>
              <w:tc>
                <w:tcPr/>
                <w:p>
                  <w:pPr>
                    <w:pStyle w:val="Compact"/>
                    <w:jc w:val="center"/>
                  </w:pPr>
                  <w:r>
                    <w:t xml:space="preserve">&lt; 0.001</w:t>
                  </w:r>
                </w:p>
              </w:tc>
            </w:tr>
            <w:tr>
              <w:tc>
                <w:tcPr/>
                <w:p>
                  <w:pPr>
                    <w:pStyle w:val="Compact"/>
                    <w:jc w:val="center"/>
                  </w:pPr>
                  <w:r>
                    <w:t xml:space="preserve">C</w:t>
                  </w:r>
                </w:p>
              </w:tc>
              <w:tc>
                <w:tcPr/>
                <w:p>
                  <w:pPr>
                    <w:pStyle w:val="Compact"/>
                    <w:jc w:val="center"/>
                  </w:pPr>
                  <w:r>
                    <w:t xml:space="preserve">−0.027</w:t>
                  </w:r>
                </w:p>
              </w:tc>
              <w:tc>
                <w:tcPr/>
                <w:p>
                  <w:pPr>
                    <w:pStyle w:val="Compact"/>
                    <w:jc w:val="center"/>
                  </w:pPr>
                  <w:r>
                    <w:t xml:space="preserve">0.025</w:t>
                  </w:r>
                </w:p>
              </w:tc>
              <w:tc>
                <w:tcPr/>
                <w:p>
                  <w:pPr>
                    <w:pStyle w:val="Compact"/>
                    <w:jc w:val="center"/>
                  </w:pPr>
                  <w:r>
                    <w:t xml:space="preserve">−1.09</w:t>
                  </w:r>
                </w:p>
              </w:tc>
              <w:tc>
                <w:tcPr/>
                <w:p>
                  <w:pPr>
                    <w:pStyle w:val="Compact"/>
                    <w:jc w:val="center"/>
                  </w:pPr>
                  <w:r>
                    <w:t xml:space="preserve">0.288</w:t>
                  </w:r>
                </w:p>
              </w:tc>
            </w:tr>
            <w:tr>
              <w:tc>
                <w:tcPr/>
                <w:p>
                  <w:pPr>
                    <w:pStyle w:val="Compact"/>
                    <w:jc w:val="center"/>
                  </w:pPr>
                  <w:r>
                    <w:t xml:space="preserve">D</w:t>
                  </w:r>
                </w:p>
              </w:tc>
              <w:tc>
                <w:tcPr/>
                <w:p>
                  <w:pPr>
                    <w:pStyle w:val="Compact"/>
                    <w:jc w:val="center"/>
                  </w:pPr>
                  <w:r>
                    <w:t xml:space="preserve">−0.082</w:t>
                  </w:r>
                </w:p>
              </w:tc>
              <w:tc>
                <w:tcPr/>
                <w:p>
                  <w:pPr>
                    <w:pStyle w:val="Compact"/>
                    <w:jc w:val="center"/>
                  </w:pPr>
                  <w:r>
                    <w:t xml:space="preserve">0.025</w:t>
                  </w:r>
                </w:p>
              </w:tc>
              <w:tc>
                <w:tcPr/>
                <w:p>
                  <w:pPr>
                    <w:pStyle w:val="Compact"/>
                    <w:jc w:val="center"/>
                  </w:pPr>
                  <w:r>
                    <w:t xml:space="preserve">−3.30</w:t>
                  </w:r>
                </w:p>
              </w:tc>
              <w:tc>
                <w:tcPr/>
                <w:p>
                  <w:pPr>
                    <w:pStyle w:val="Compact"/>
                    <w:jc w:val="center"/>
                  </w:pPr>
                  <w:r>
                    <w:t xml:space="preserve">0.003</w:t>
                  </w:r>
                </w:p>
              </w:tc>
            </w:tr>
            <w:tr>
              <w:tc>
                <w:tcPr/>
                <w:p>
                  <w:pPr>
                    <w:pStyle w:val="Compact"/>
                    <w:jc w:val="center"/>
                  </w:pPr>
                  <w:r>
                    <w:t xml:space="preserve">C²</w:t>
                  </w:r>
                </w:p>
              </w:tc>
              <w:tc>
                <w:tcPr/>
                <w:p>
                  <w:pPr>
                    <w:pStyle w:val="Compact"/>
                    <w:jc w:val="center"/>
                  </w:pPr>
                  <w:r>
                    <w:t xml:space="preserve">0.100</w:t>
                  </w:r>
                </w:p>
              </w:tc>
              <w:tc>
                <w:tcPr/>
                <w:p>
                  <w:pPr>
                    <w:pStyle w:val="Compact"/>
                    <w:jc w:val="center"/>
                  </w:pPr>
                  <w:r>
                    <w:t xml:space="preserve">0.042</w:t>
                  </w:r>
                </w:p>
              </w:tc>
              <w:tc>
                <w:tcPr/>
                <w:p>
                  <w:pPr>
                    <w:pStyle w:val="Compact"/>
                    <w:jc w:val="center"/>
                  </w:pPr>
                  <w:r>
                    <w:t xml:space="preserve">2.40</w:t>
                  </w:r>
                </w:p>
              </w:tc>
              <w:tc>
                <w:tcPr/>
                <w:p>
                  <w:pPr>
                    <w:pStyle w:val="Compact"/>
                    <w:jc w:val="center"/>
                  </w:pPr>
                  <w:r>
                    <w:t xml:space="preserve">0.025</w:t>
                  </w:r>
                </w:p>
              </w:tc>
            </w:tr>
          </w:tbl>
          <w:bookmarkEnd w:id="6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7" w:name="tbl-anova-hcp"/>
          <w:p>
            <w:pPr>
              <w:jc w:val="center"/>
            </w:pPr>
            <w:pPr>
              <w:jc w:val="start"/>
              <w:spacing w:before="200"/>
              <w:pStyle w:val="ImageCaption"/>
            </w:pPr>
            <w:r>
              <w:t xml:space="preserve">Table 18: Analysis of variance with lack of fit for pool HCP, natural log of ng/mg.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Source</w:t>
                  </w:r>
                </w:p>
              </w:tc>
              <w:tc>
                <w:tcPr/>
                <w:p>
                  <w:pPr>
                    <w:pStyle w:val="Compact"/>
                    <w:jc w:val="center"/>
                  </w:pPr>
                  <w:r>
                    <w:t xml:space="preserve">Sum sq.</w:t>
                  </w:r>
                </w:p>
              </w:tc>
              <w:tc>
                <w:tcPr/>
                <w:p>
                  <w:pPr>
                    <w:pStyle w:val="Compact"/>
                    <w:jc w:val="center"/>
                  </w:pPr>
                  <w:r>
                    <w:t xml:space="preserve">df</w:t>
                  </w:r>
                </w:p>
              </w:tc>
              <w:tc>
                <w:tcPr/>
                <w:p>
                  <w:pPr>
                    <w:pStyle w:val="Compact"/>
                    <w:jc w:val="center"/>
                  </w:pPr>
                  <w:r>
                    <w:t xml:space="preserve">Mean sq.</w:t>
                  </w:r>
                </w:p>
              </w:tc>
              <w:tc>
                <w:tcPr/>
                <w:p>
                  <w:pPr>
                    <w:pStyle w:val="Compact"/>
                    <w:jc w:val="center"/>
                  </w:pPr>
                  <w:r>
                    <w:t xml:space="preserve">F</w:t>
                  </w:r>
                </w:p>
              </w:tc>
              <w:tc>
                <w:tcPr/>
                <w:p>
                  <w:pPr>
                    <w:pStyle w:val="Compact"/>
                    <w:jc w:val="center"/>
                  </w:pPr>
                  <w:r>
                    <w:t xml:space="preserve">p-value</w:t>
                  </w:r>
                </w:p>
              </w:tc>
            </w:tr>
            <w:tr>
              <w:tc>
                <w:tcPr/>
                <w:p>
                  <w:pPr>
                    <w:pStyle w:val="Compact"/>
                    <w:jc w:val="center"/>
                  </w:pPr>
                  <w:r>
                    <w:t xml:space="preserve">Model</w:t>
                  </w:r>
                </w:p>
              </w:tc>
              <w:tc>
                <w:tcPr/>
                <w:p>
                  <w:pPr>
                    <w:pStyle w:val="Compact"/>
                    <w:jc w:val="center"/>
                  </w:pPr>
                  <w:r>
                    <w:t xml:space="preserve">10.2228</w:t>
                  </w:r>
                </w:p>
              </w:tc>
              <w:tc>
                <w:tcPr/>
                <w:p>
                  <w:pPr>
                    <w:pStyle w:val="Compact"/>
                    <w:jc w:val="center"/>
                  </w:pPr>
                  <w:r>
                    <w:t xml:space="preserve">5</w:t>
                  </w:r>
                </w:p>
              </w:tc>
              <w:tc>
                <w:tcPr/>
                <w:p>
                  <w:pPr>
                    <w:pStyle w:val="Compact"/>
                    <w:jc w:val="center"/>
                  </w:pPr>
                  <w:r>
                    <w:t xml:space="preserve">2.0446</w:t>
                  </w:r>
                </w:p>
              </w:tc>
              <w:tc>
                <w:tcPr/>
                <w:p>
                  <w:pPr>
                    <w:pStyle w:val="Compact"/>
                    <w:jc w:val="center"/>
                  </w:pPr>
                  <w:r>
                    <w:t xml:space="preserve">184.65</w:t>
                  </w:r>
                </w:p>
              </w:tc>
              <w:tc>
                <w:tcPr/>
                <w:p>
                  <w:pPr>
                    <w:pStyle w:val="Compact"/>
                    <w:jc w:val="center"/>
                  </w:pPr>
                  <w:r>
                    <w:t xml:space="preserve">&lt; 0.001</w:t>
                  </w:r>
                </w:p>
              </w:tc>
            </w:tr>
            <w:tr>
              <w:tc>
                <w:tcPr/>
                <w:p>
                  <w:pPr>
                    <w:pStyle w:val="Compact"/>
                    <w:jc w:val="center"/>
                  </w:pPr>
                  <w:r>
                    <w:t xml:space="preserve">Residual</w:t>
                  </w:r>
                </w:p>
              </w:tc>
              <w:tc>
                <w:tcPr/>
                <w:p>
                  <w:pPr>
                    <w:pStyle w:val="Compact"/>
                    <w:jc w:val="center"/>
                  </w:pPr>
                  <w:r>
                    <w:t xml:space="preserve">0.2436</w:t>
                  </w:r>
                </w:p>
              </w:tc>
              <w:tc>
                <w:tcPr/>
                <w:p>
                  <w:pPr>
                    <w:pStyle w:val="Compact"/>
                    <w:jc w:val="center"/>
                  </w:pPr>
                  <w:r>
                    <w:t xml:space="preserve">22</w:t>
                  </w:r>
                </w:p>
              </w:tc>
              <w:tc>
                <w:tcPr/>
                <w:p>
                  <w:pPr>
                    <w:pStyle w:val="Compact"/>
                    <w:jc w:val="center"/>
                  </w:pPr>
                  <w:r>
                    <w:t xml:space="preserve">0.0111</w:t>
                  </w:r>
                </w:p>
              </w:tc>
              <w:tc>
                <w:tcPr/>
                <w:p>
                  <w:pPr>
                    <w:pStyle w:val="Compact"/>
                  </w:pPr>
                </w:p>
              </w:tc>
              <w:tc>
                <w:tcPr/>
                <w:p>
                  <w:pPr>
                    <w:pStyle w:val="Compact"/>
                  </w:pPr>
                </w:p>
              </w:tc>
            </w:tr>
            <w:tr>
              <w:tc>
                <w:tcPr/>
                <w:p>
                  <w:pPr>
                    <w:pStyle w:val="Compact"/>
                    <w:jc w:val="center"/>
                  </w:pPr>
                  <w:r>
                    <w:t xml:space="preserve">Lack of fit</w:t>
                  </w:r>
                </w:p>
              </w:tc>
              <w:tc>
                <w:tcPr/>
                <w:p>
                  <w:pPr>
                    <w:pStyle w:val="Compact"/>
                    <w:jc w:val="center"/>
                  </w:pPr>
                  <w:r>
                    <w:t xml:space="preserve">0.2370</w:t>
                  </w:r>
                </w:p>
              </w:tc>
              <w:tc>
                <w:tcPr/>
                <w:p>
                  <w:pPr>
                    <w:pStyle w:val="Compact"/>
                    <w:jc w:val="center"/>
                  </w:pPr>
                  <w:r>
                    <w:t xml:space="preserve">19</w:t>
                  </w:r>
                </w:p>
              </w:tc>
              <w:tc>
                <w:tcPr/>
                <w:p>
                  <w:pPr>
                    <w:pStyle w:val="Compact"/>
                    <w:jc w:val="center"/>
                  </w:pPr>
                  <w:r>
                    <w:t xml:space="preserve">0.0125</w:t>
                  </w:r>
                </w:p>
              </w:tc>
              <w:tc>
                <w:tcPr/>
                <w:p>
                  <w:pPr>
                    <w:pStyle w:val="Compact"/>
                    <w:jc w:val="center"/>
                  </w:pPr>
                  <w:r>
                    <w:t xml:space="preserve">5.70</w:t>
                  </w:r>
                </w:p>
              </w:tc>
              <w:tc>
                <w:tcPr/>
                <w:p>
                  <w:pPr>
                    <w:pStyle w:val="Compact"/>
                    <w:jc w:val="center"/>
                  </w:pPr>
                  <w:r>
                    <w:t xml:space="preserve">0.088</w:t>
                  </w:r>
                </w:p>
              </w:tc>
            </w:tr>
            <w:tr>
              <w:tc>
                <w:tcPr/>
                <w:p>
                  <w:pPr>
                    <w:pStyle w:val="Compact"/>
                    <w:jc w:val="center"/>
                  </w:pPr>
                  <w:r>
                    <w:t xml:space="preserve">Pure error</w:t>
                  </w:r>
                </w:p>
              </w:tc>
              <w:tc>
                <w:tcPr/>
                <w:p>
                  <w:pPr>
                    <w:pStyle w:val="Compact"/>
                    <w:jc w:val="center"/>
                  </w:pPr>
                  <w:r>
                    <w:t xml:space="preserve">0.0066</w:t>
                  </w:r>
                </w:p>
              </w:tc>
              <w:tc>
                <w:tcPr/>
                <w:p>
                  <w:pPr>
                    <w:pStyle w:val="Compact"/>
                    <w:jc w:val="center"/>
                  </w:pPr>
                  <w:r>
                    <w:t xml:space="preserve">3</w:t>
                  </w:r>
                </w:p>
              </w:tc>
              <w:tc>
                <w:tcPr/>
                <w:p>
                  <w:pPr>
                    <w:pStyle w:val="Compact"/>
                    <w:jc w:val="center"/>
                  </w:pPr>
                  <w:r>
                    <w:t xml:space="preserve">0.0022</w:t>
                  </w:r>
                </w:p>
              </w:tc>
              <w:tc>
                <w:tcPr/>
                <w:p>
                  <w:pPr>
                    <w:pStyle w:val="Compact"/>
                  </w:pPr>
                </w:p>
              </w:tc>
              <w:tc>
                <w:tcPr/>
                <w:p>
                  <w:pPr>
                    <w:pStyle w:val="Compact"/>
                  </w:pPr>
                </w:p>
              </w:tc>
            </w:tr>
          </w:tbl>
          <w:bookmarkEnd w:id="67"/>
          <w:p/>
        </w:tc>
      </w:tr>
    </w:tbl>
    <w:p>
      <w:pPr>
        <w:pStyle w:val="BodyText"/>
      </w:pPr>
      <w:r>
        <w:t xml:space="preserve">Protein load and elution buffer pH carry the largest coefficients, 0.443 and −0.596 per half range. Across the range studied pool host cell protein rises by a factor of 2.43 with protein load, and it falls by a factor of 3.30 as elution buffer pH rises from 3.2 to 3.9. On the log scale the two effects add, so in ng/mg they multiply. With load flow rate and end of pool collect at their set-points, raising the pH across its range lowers pool host cell protein by 14,081 ng/mg at a protein load of 50 g/L resin and by 5,804 ng/mg at 10 g/L resin, at manufacturing scale. The factor is the same at both loads. In ng/mg the fall is larger at high load because the level it acts on is higher.</w:t>
      </w:r>
    </w:p>
    <w:p>
      <w:pPr>
        <w:pStyle w:val="BodyText"/>
      </w:pPr>
      <w:r>
        <w:t xml:space="preserve">A model on the raw scale can describe two effects that multiply only through an interaction. In the full quadratic model on the raw scale the interaction of protein load with elution buffer pH is significant (p &lt; 0.001), and the model of Version 1.0 carried it. In the full quadratic model on the log scale it is not significant (p = 0.156), and the selected model does not contain it. The raw-scale interaction was therefore largely the multiplicative structure of the two main effects. Whether a further interaction of the two exists on the log scale the data do not decide. Its p-value is above 0.05 in each of the three analyses of run 23, and the selection keeps it in 2 of the 3 (</w:t>
      </w:r>
      <w:hyperlink w:anchor="sec-dev01">
        <w:r>
          <w:rPr>
            <w:rStyle w:val="Hyperlink"/>
          </w:rPr>
          <w:t xml:space="preserve">Section 13.1</w:t>
        </w:r>
      </w:hyperlink>
      <w:r>
        <w:t xml:space="preserve">).</w:t>
      </w:r>
      <w:r>
        <w:t xml:space="preserve"> </w:t>
      </w:r>
      <w:hyperlink w:anchor="tbl-near-hcp">
        <w:r>
          <w:rPr>
            <w:rStyle w:val="Hyperlink"/>
          </w:rPr>
          <w:t xml:space="preserve">Table 19</w:t>
        </w:r>
      </w:hyperlink>
      <w:r>
        <w:t xml:space="preserve"> </w:t>
      </w:r>
      <w:r>
        <w:t xml:space="preserve">lists the 9 models whose AICc lies within 2 units of that of the selected model. All of them contain protein load, elution buffer pH and end of pool collect. They differ in load flow rate, in the interaction of protein load with elution buffer pH, and in the squares of the four factors. The interaction is in 4 of them, the nearest 1.06 units from the selected model, and its p-value is at least 0.126 in each. Models within 2 units of the lowest AICc have substantial support from the data</w:t>
      </w:r>
      <w:r>
        <w:t xml:space="preserve"> </w:t>
      </w:r>
      <w:r>
        <w:t xml:space="preserve">(Burnham and Anderson 2002)</w:t>
      </w:r>
      <w:r>
        <w:t xml:space="preserve">, so the data support each of these models about as well as the selected one.</w:t>
      </w:r>
    </w:p>
    <w:tbl>
      <w:tblPr>
        <w:tblStyle w:val="Table"/>
        <w:tblW w:type="pct" w:w="5000"/>
        <w:tblLayout w:type="fixed"/>
        <w:tblLook w:firstRow="0" w:lastRow="0" w:firstColumn="0" w:lastColumn="0" w:noHBand="0" w:noVBand="0" w:val="0000"/>
      </w:tblPr>
      <w:tblGrid>
        <w:gridCol w:w="7920"/>
      </w:tblGrid>
      <w:tr>
        <w:tc>
          <w:tcPr/>
          <w:bookmarkStart w:id="68" w:name="tbl-near-hcp"/>
          <w:p>
            <w:pPr>
              <w:jc w:val="center"/>
            </w:pPr>
            <w:pPr>
              <w:jc w:val="start"/>
              <w:spacing w:before="200"/>
              <w:pStyle w:val="ImageCaption"/>
            </w:pPr>
            <w:r>
              <w:t xml:space="preserve">Table 19: Models of pool HCP within 2 AICc units of the selected model, log scale, with the upper prediction limit over the NOR.</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Terms</w:t>
                  </w:r>
                </w:p>
              </w:tc>
              <w:tc>
                <w:tcPr>
                  <w:vMerge w:val="restart"/>
                </w:tcPr>
                <w:p>
                  <w:pPr>
                    <w:pStyle w:val="Compact"/>
                    <w:jc w:val="center"/>
                  </w:pPr>
                  <w:r>
                    <w:t xml:space="preserve">ΔAICc</w:t>
                  </w:r>
                </w:p>
              </w:tc>
              <w:tc>
                <w:tcPr>
                  <w:gridSpan w:val="2"/>
                </w:tcPr>
                <w:p>
                  <w:pPr>
                    <w:pStyle w:val="Compact"/>
                    <w:jc w:val="center"/>
                  </w:pPr>
                  <w:r>
                    <w:t xml:space="preserve">Upper prediction limit over</w:t>
                  </w:r>
                  <w:r>
                    <w:br/>
                  </w:r>
                  <w:r>
                    <w:t xml:space="preserve">the NOR, ng/mg</w:t>
                  </w:r>
                </w:p>
              </w:tc>
              <w:tc>
                <w:tcPr>
                  <w:vMerge w:val="restart"/>
                </w:tcPr>
                <w:p>
                  <w:pPr>
                    <w:pStyle w:val="Compact"/>
                    <w:jc w:val="center"/>
                  </w:pPr>
                  <w:r>
                    <w:t xml:space="preserve">Criteria</w:t>
                  </w:r>
                  <w:r>
                    <w:br/>
                  </w:r>
                  <w:r>
                    <w:t xml:space="preserve">2 to 4 met</w:t>
                  </w:r>
                </w:p>
              </w:tc>
              <w:tc>
                <w:tcPr>
                  <w:vMerge w:val="restart"/>
                </w:tcPr>
                <w:p>
                  <w:pPr>
                    <w:pStyle w:val="Compact"/>
                    <w:jc w:val="center"/>
                  </w:pPr>
                  <w:r>
                    <w:t xml:space="preserve">Scale-down</w:t>
                  </w:r>
                  <w:r>
                    <w:br/>
                  </w:r>
                  <w:r>
                    <w:t xml:space="preserve">model</w:t>
                  </w:r>
                  <w:r>
                    <w:br/>
                  </w:r>
                  <w:r>
                    <w:t xml:space="preserve">qualified</w:t>
                  </w:r>
                </w:p>
              </w:tc>
            </w:tr>
            <w:tr>
              <w:trPr>
                <w:tblHeader w:val="on"/>
              </w:trPr>
              <w:tc>
                <w:tcPr>
                  <w:gridSpan w:val="1"/>
                  <w:vMerge w:val="continue"/>
                </w:tcPr>
                <w:p>
                  <w:pPr/>
                </w:p>
              </w:tc>
              <w:tc>
                <w:tcPr>
                  <w:gridSpan w:val="1"/>
                  <w:vMerge w:val="continue"/>
                </w:tcPr>
                <w:p>
                  <w:pPr/>
                </w:p>
              </w:tc>
              <w:tc>
                <w:tcPr/>
                <w:p>
                  <w:pPr>
                    <w:pStyle w:val="Compact"/>
                    <w:jc w:val="center"/>
                  </w:pPr>
                  <w:r>
                    <w:t xml:space="preserve">At the estimate</w:t>
                  </w:r>
                </w:p>
              </w:tc>
              <w:tc>
                <w:tcPr/>
                <w:p>
                  <w:pPr>
                    <w:pStyle w:val="Compact"/>
                    <w:jc w:val="center"/>
                  </w:pPr>
                  <w:r>
                    <w:t xml:space="preserve">At the low end</w:t>
                  </w:r>
                </w:p>
              </w:tc>
              <w:tc>
                <w:tcPr>
                  <w:gridSpan w:val="1"/>
                  <w:vMerge w:val="continue"/>
                </w:tcPr>
                <w:p>
                  <w:pPr/>
                </w:p>
              </w:tc>
              <w:tc>
                <w:tcPr>
                  <w:gridSpan w:val="1"/>
                  <w:vMerge w:val="continue"/>
                </w:tcPr>
                <w:p>
                  <w:pPr/>
                </w:p>
              </w:tc>
            </w:tr>
            <w:tr>
              <w:tc>
                <w:tcPr/>
                <w:p>
                  <w:pPr>
                    <w:pStyle w:val="Compact"/>
                    <w:jc w:val="center"/>
                  </w:pPr>
                  <w:r>
                    <w:t xml:space="preserve">A, B, C, D, C²</w:t>
                  </w:r>
                </w:p>
              </w:tc>
              <w:tc>
                <w:tcPr/>
                <w:p>
                  <w:pPr>
                    <w:pStyle w:val="Compact"/>
                    <w:jc w:val="center"/>
                  </w:pPr>
                  <w:r>
                    <w:t xml:space="preserve">0.00</w:t>
                  </w:r>
                </w:p>
              </w:tc>
              <w:tc>
                <w:tcPr/>
                <w:p>
                  <w:pPr>
                    <w:pStyle w:val="Compact"/>
                    <w:jc w:val="center"/>
                  </w:pPr>
                  <w:r>
                    <w:t xml:space="preserve">15,349</w:t>
                  </w:r>
                </w:p>
              </w:tc>
              <w:tc>
                <w:tcPr/>
                <w:p>
                  <w:pPr>
                    <w:pStyle w:val="Compact"/>
                    <w:jc w:val="center"/>
                  </w:pPr>
                  <w:r>
                    <w:t xml:space="preserve">16,763</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A, B, C, D, A², C²</w:t>
                  </w:r>
                </w:p>
              </w:tc>
              <w:tc>
                <w:tcPr/>
                <w:p>
                  <w:pPr>
                    <w:pStyle w:val="Compact"/>
                    <w:jc w:val="center"/>
                  </w:pPr>
                  <w:r>
                    <w:t xml:space="preserve">0.33</w:t>
                  </w:r>
                </w:p>
              </w:tc>
              <w:tc>
                <w:tcPr/>
                <w:p>
                  <w:pPr>
                    <w:pStyle w:val="Compact"/>
                    <w:jc w:val="center"/>
                  </w:pPr>
                  <w:r>
                    <w:t xml:space="preserve">15,469</w:t>
                  </w:r>
                </w:p>
              </w:tc>
              <w:tc>
                <w:tcPr/>
                <w:p>
                  <w:pPr>
                    <w:pStyle w:val="Compact"/>
                    <w:jc w:val="center"/>
                  </w:pPr>
                  <w:r>
                    <w:t xml:space="preserve">16,893</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A, B, D, B²</w:t>
                  </w:r>
                </w:p>
              </w:tc>
              <w:tc>
                <w:tcPr/>
                <w:p>
                  <w:pPr>
                    <w:pStyle w:val="Compact"/>
                    <w:jc w:val="center"/>
                  </w:pPr>
                  <w:r>
                    <w:t xml:space="preserve">0.38</w:t>
                  </w:r>
                </w:p>
              </w:tc>
              <w:tc>
                <w:tcPr/>
                <w:p>
                  <w:pPr>
                    <w:pStyle w:val="Compact"/>
                    <w:jc w:val="center"/>
                  </w:pPr>
                  <w:r>
                    <w:t xml:space="preserve">15,319</w:t>
                  </w:r>
                </w:p>
              </w:tc>
              <w:tc>
                <w:tcPr/>
                <w:p>
                  <w:pPr>
                    <w:pStyle w:val="Compact"/>
                    <w:jc w:val="center"/>
                  </w:pPr>
                  <w:r>
                    <w:t xml:space="preserve">16,730</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A, B, D</w:t>
                  </w:r>
                </w:p>
              </w:tc>
              <w:tc>
                <w:tcPr/>
                <w:p>
                  <w:pPr>
                    <w:pStyle w:val="Compact"/>
                    <w:jc w:val="center"/>
                  </w:pPr>
                  <w:r>
                    <w:t xml:space="preserve">0.82</w:t>
                  </w:r>
                </w:p>
              </w:tc>
              <w:tc>
                <w:tcPr/>
                <w:p>
                  <w:pPr>
                    <w:pStyle w:val="Compact"/>
                    <w:jc w:val="center"/>
                  </w:pPr>
                  <w:r>
                    <w:t xml:space="preserve">16,011</w:t>
                  </w:r>
                </w:p>
              </w:tc>
              <w:tc>
                <w:tcPr/>
                <w:p>
                  <w:pPr>
                    <w:pStyle w:val="Compact"/>
                    <w:jc w:val="center"/>
                  </w:pPr>
                  <w:r>
                    <w:t xml:space="preserve">17,485</w:t>
                  </w:r>
                </w:p>
              </w:tc>
              <w:tc>
                <w:tcPr/>
                <w:p>
                  <w:pPr>
                    <w:pStyle w:val="Compact"/>
                    <w:jc w:val="center"/>
                  </w:pPr>
                  <w:r>
                    <w:t xml:space="preserve">Yes</w:t>
                  </w:r>
                </w:p>
              </w:tc>
              <w:tc>
                <w:tcPr/>
                <w:p>
                  <w:pPr>
                    <w:pStyle w:val="Compact"/>
                    <w:jc w:val="center"/>
                  </w:pPr>
                  <w:r>
                    <w:t xml:space="preserve">No</w:t>
                  </w:r>
                </w:p>
              </w:tc>
            </w:tr>
            <w:tr>
              <w:tc>
                <w:tcPr/>
                <w:p>
                  <w:pPr>
                    <w:pStyle w:val="Compact"/>
                    <w:jc w:val="center"/>
                  </w:pPr>
                  <w:r>
                    <w:t xml:space="preserve">A, B, C, D, AB, C²</w:t>
                  </w:r>
                </w:p>
              </w:tc>
              <w:tc>
                <w:tcPr/>
                <w:p>
                  <w:pPr>
                    <w:pStyle w:val="Compact"/>
                    <w:jc w:val="center"/>
                  </w:pPr>
                  <w:r>
                    <w:t xml:space="preserve">1.06</w:t>
                  </w:r>
                </w:p>
              </w:tc>
              <w:tc>
                <w:tcPr/>
                <w:p>
                  <w:pPr>
                    <w:pStyle w:val="Compact"/>
                    <w:jc w:val="center"/>
                  </w:pPr>
                  <w:r>
                    <w:t xml:space="preserve">15,148</w:t>
                  </w:r>
                </w:p>
              </w:tc>
              <w:tc>
                <w:tcPr/>
                <w:p>
                  <w:pPr>
                    <w:pStyle w:val="Compact"/>
                    <w:jc w:val="center"/>
                  </w:pPr>
                  <w:r>
                    <w:t xml:space="preserve">16,543</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A, B, C, D, AB, A², C²</w:t>
                  </w:r>
                </w:p>
              </w:tc>
              <w:tc>
                <w:tcPr/>
                <w:p>
                  <w:pPr>
                    <w:pStyle w:val="Compact"/>
                    <w:jc w:val="center"/>
                  </w:pPr>
                  <w:r>
                    <w:t xml:space="preserve">1.40</w:t>
                  </w:r>
                </w:p>
              </w:tc>
              <w:tc>
                <w:tcPr/>
                <w:p>
                  <w:pPr>
                    <w:pStyle w:val="Compact"/>
                    <w:jc w:val="center"/>
                  </w:pPr>
                  <w:r>
                    <w:t xml:space="preserve">15,249</w:t>
                  </w:r>
                </w:p>
              </w:tc>
              <w:tc>
                <w:tcPr/>
                <w:p>
                  <w:pPr>
                    <w:pStyle w:val="Compact"/>
                    <w:jc w:val="center"/>
                  </w:pPr>
                  <w:r>
                    <w:t xml:space="preserve">16,653</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A, B, D, AB, B²</w:t>
                  </w:r>
                </w:p>
              </w:tc>
              <w:tc>
                <w:tcPr/>
                <w:p>
                  <w:pPr>
                    <w:pStyle w:val="Compact"/>
                    <w:jc w:val="center"/>
                  </w:pPr>
                  <w:r>
                    <w:t xml:space="preserve">1.46</w:t>
                  </w:r>
                </w:p>
              </w:tc>
              <w:tc>
                <w:tcPr/>
                <w:p>
                  <w:pPr>
                    <w:pStyle w:val="Compact"/>
                    <w:jc w:val="center"/>
                  </w:pPr>
                  <w:r>
                    <w:t xml:space="preserve">15,135</w:t>
                  </w:r>
                </w:p>
              </w:tc>
              <w:tc>
                <w:tcPr/>
                <w:p>
                  <w:pPr>
                    <w:pStyle w:val="Compact"/>
                    <w:jc w:val="center"/>
                  </w:pPr>
                  <w:r>
                    <w:t xml:space="preserve">16,529</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A, B, D, AB</w:t>
                  </w:r>
                </w:p>
              </w:tc>
              <w:tc>
                <w:tcPr/>
                <w:p>
                  <w:pPr>
                    <w:pStyle w:val="Compact"/>
                    <w:jc w:val="center"/>
                  </w:pPr>
                  <w:r>
                    <w:t xml:space="preserve">1.91</w:t>
                  </w:r>
                </w:p>
              </w:tc>
              <w:tc>
                <w:tcPr/>
                <w:p>
                  <w:pPr>
                    <w:pStyle w:val="Compact"/>
                    <w:jc w:val="center"/>
                  </w:pPr>
                  <w:r>
                    <w:t xml:space="preserve">15,835</w:t>
                  </w:r>
                </w:p>
              </w:tc>
              <w:tc>
                <w:tcPr/>
                <w:p>
                  <w:pPr>
                    <w:pStyle w:val="Compact"/>
                    <w:jc w:val="center"/>
                  </w:pPr>
                  <w:r>
                    <w:t xml:space="preserve">17,293</w:t>
                  </w:r>
                </w:p>
              </w:tc>
              <w:tc>
                <w:tcPr/>
                <w:p>
                  <w:pPr>
                    <w:pStyle w:val="Compact"/>
                    <w:jc w:val="center"/>
                  </w:pPr>
                  <w:r>
                    <w:t xml:space="preserve">Yes</w:t>
                  </w:r>
                </w:p>
              </w:tc>
              <w:tc>
                <w:tcPr/>
                <w:p>
                  <w:pPr>
                    <w:pStyle w:val="Compact"/>
                    <w:jc w:val="center"/>
                  </w:pPr>
                  <w:r>
                    <w:t xml:space="preserve">No</w:t>
                  </w:r>
                </w:p>
              </w:tc>
            </w:tr>
            <w:tr>
              <w:tc>
                <w:tcPr/>
                <w:p>
                  <w:pPr>
                    <w:pStyle w:val="Compact"/>
                    <w:jc w:val="center"/>
                  </w:pPr>
                  <w:r>
                    <w:t xml:space="preserve">A, B, C, D, C², D²</w:t>
                  </w:r>
                </w:p>
              </w:tc>
              <w:tc>
                <w:tcPr/>
                <w:p>
                  <w:pPr>
                    <w:pStyle w:val="Compact"/>
                    <w:jc w:val="center"/>
                  </w:pPr>
                  <w:r>
                    <w:t xml:space="preserve">1.94</w:t>
                  </w:r>
                </w:p>
              </w:tc>
              <w:tc>
                <w:tcPr/>
                <w:p>
                  <w:pPr>
                    <w:pStyle w:val="Compact"/>
                    <w:jc w:val="center"/>
                  </w:pPr>
                  <w:r>
                    <w:t xml:space="preserve">15,464</w:t>
                  </w:r>
                </w:p>
              </w:tc>
              <w:tc>
                <w:tcPr/>
                <w:p>
                  <w:pPr>
                    <w:pStyle w:val="Compact"/>
                    <w:jc w:val="center"/>
                  </w:pPr>
                  <w:r>
                    <w:t xml:space="preserve">16,888</w:t>
                  </w:r>
                </w:p>
              </w:tc>
              <w:tc>
                <w:tcPr/>
                <w:p>
                  <w:pPr>
                    <w:pStyle w:val="Compact"/>
                    <w:jc w:val="center"/>
                  </w:pPr>
                  <w:r>
                    <w:t xml:space="preserve">Yes</w:t>
                  </w:r>
                </w:p>
              </w:tc>
              <w:tc>
                <w:tcPr/>
                <w:p>
                  <w:pPr>
                    <w:pStyle w:val="Compact"/>
                    <w:jc w:val="center"/>
                  </w:pPr>
                  <w:r>
                    <w:t xml:space="preserve">Yes</w:t>
                  </w:r>
                </w:p>
              </w:tc>
            </w:tr>
            <w:tr>
              <w:tc>
                <w:tcPr>
                  <w:gridSpan w:val="6"/>
                </w:tcPr>
                <w:p>
                  <w:pPr>
                    <w:pStyle w:val="Compact"/>
                    <w:jc w:val="center"/>
                  </w:pPr>
                  <w:r>
                    <w:t xml:space="preserve">Terms of the model besides the intercept, coded as in the factor legend. AB, the interaction of A with B. A², B², C², D², the squares of A, B, C and D. ΔAICc, the AICc of the model minus that of the selected model, the first row. AICc counts the residual variance as a parameter. At the estimate and at the low end, at manufacturing scale over the NOR in force, with the offset ratio at its estimate and at the low end of its 90 % confidence interval. Scale-down model qualified, both limits within the criterion of ≤ 17,069 ng/mg.</w:t>
                  </w:r>
                </w:p>
              </w:tc>
            </w:tr>
          </w:tbl>
          <w:bookmarkEnd w:id="68"/>
          <w:p/>
        </w:tc>
      </w:tr>
    </w:tbl>
    <w:p>
      <w:pPr>
        <w:pStyle w:val="BodyText"/>
      </w:pPr>
      <w:r>
        <w:t xml:space="preserve">Each of these models meets criteria 2 to 4. With the offset ratio at its estimate, each gives an upper prediction limit over the NOR between 15,135 and 16,011 ng/mg at manufacturing scale, below the criterion of ≤ 17,069 ng/mg, so the conclusion over the NOR is the same whichever model is used. The qualification of the scale-down model is not. With the ratio at the low end of its interval, 2 of the 9 models exceed the criterion. One contains only the main effects of protein load, elution buffer pH and end of pool collect (A, B, D) and gives 17,485 ng/mg. The other adds the interaction of protein load with elution buffer pH (A, B, D, AB) and gives 17,293 ng/mg. Neither contains load flow rate or a square. With either of them the scale-down model would not be qualified for pool host cell protein (</w:t>
      </w:r>
      <w:hyperlink w:anchor="sec-sdm">
        <w:r>
          <w:rPr>
            <w:rStyle w:val="Hyperlink"/>
          </w:rPr>
          <w:t xml:space="preserve">Section 3.1</w:t>
        </w:r>
      </w:hyperlink>
      <w:r>
        <w:t xml:space="preserve">). The rule of the model selection takes the model with the lowest AICc, so the selected model decides the qualification. The other models are a sensitivity analysis. It shows that the qualification would change with 2 models that the data support about as well as the selected one.</w:t>
      </w:r>
    </w:p>
    <w:p>
      <w:pPr>
        <w:pStyle w:val="BodyText"/>
      </w:pPr>
      <w:r>
        <w:t xml:space="preserve">End of pool collect lowers pool host cell protein. Its coefficient of −0.082 per half range (p = 0.003) is a fall of 15 % across the range studied. Load flow rate has no significant linear effect (p = 0.288). Its square is significant (p = 0.025), and pool host cell protein is higher at both ends of the flow range than at the set-point, by 8 % at 300 cm/hr and 14 % at 100 cm/hr. At the edges of the NOR of load flow rate the rise is at most 4 %. The lack of fit test (p = 0.088) is not significant.</w:t>
      </w:r>
    </w:p>
    <w:p>
      <w:pPr>
        <w:pStyle w:val="BodyText"/>
      </w:pPr>
      <w:r>
        <w:t xml:space="preserve">The effect of end of pool collect has opposite signs in the two designs. In the screening design it was 708 ng/mg across its range (p = 0.341), and in the response-surface design it is a fall of 15 %. The screening estimate is not significant, with a standard error of 700 ng/mg. Noise alone does not explain the difference, however. The screening results were compared with the predictions of the response-surface model at the same settings. Their ratio rises with end of pool collect, by a factor of 1.22 across its range (p = 0.021). Curvature does not explain it either, because in a full factorial design the quadratic terms are confounded with the intercept, not with the main effect of end of pool collect. The cause was not identified (finding F11). A feed that carries more host cell protein in the tail of the elution peak would give the screening sign, because a later end of collection would then add host cell protein to the pool. The two designs were run at different times (</w:t>
      </w:r>
      <w:hyperlink w:anchor="tbl-chronology">
        <w:r>
          <w:rPr>
            <w:rStyle w:val="Hyperlink"/>
          </w:rPr>
          <w:t xml:space="preserve">Table 8</w:t>
        </w:r>
      </w:hyperlink>
      <w:r>
        <w:t xml:space="preserve">), and their feeds were not characterized for this. The effect of end of pool collect is taken from the response-surface model, which is the predictive model.</w:t>
      </w:r>
    </w:p>
    <w:p>
      <w:pPr>
        <w:pStyle w:val="BodyText"/>
      </w:pPr>
      <w:r>
        <w:t xml:space="preserve">Across the response-surface design pool host cell protein ranged from 2,149 to 25,114 ng/mg in the scale-down model. At manufacturing scale, 7 results of the two designs exceeded the criterion of ≤ 17,069 ng/mg, at 17,150 to 25,800 ng/mg. Each of them was at the highest protein load and the lowest elution buffer pH of the range studied, outside both NORs.</w:t>
      </w:r>
    </w:p>
    <w:p>
      <w:pPr>
        <w:pStyle w:val="BodyText"/>
      </w:pPr>
      <w:hyperlink w:anchor="fig-contours">
        <w:r>
          <w:rPr>
            <w:rStyle w:val="Hyperlink"/>
          </w:rPr>
          <w:t xml:space="preserve">Figure 1</w:t>
        </w:r>
      </w:hyperlink>
      <w:r>
        <w:t xml:space="preserve"> </w:t>
      </w:r>
      <w:r>
        <w:t xml:space="preserve">shows the response surfaces of the scale-down model over protein load and elution buffer pH, with load flow rate and end of pool collect at their set-points. In the pool host cell protein panel the contours are straight and parallel, because the selected model has no interaction of protein load with elution buffer pH. The contour levels are evenly spaced in ng/mg. Because the effects multiply, the bands between them are narrower where pool host cell protein is high, at high load and low pH. The leached Protein A panel is flat, because its selected model has no term.</w:t>
      </w:r>
    </w:p>
    <w:tbl>
      <w:tblPr>
        <w:tblStyle w:val="Table"/>
        <w:tblW w:type="pct" w:w="5000"/>
        <w:tblLayout w:type="fixed"/>
        <w:tblLook w:firstRow="0" w:lastRow="0" w:firstColumn="0" w:lastColumn="0" w:noHBand="0" w:noVBand="0" w:val="0000"/>
      </w:tblPr>
      <w:tblGrid>
        <w:gridCol w:w="7920"/>
      </w:tblGrid>
      <w:tr>
        <w:tc>
          <w:tcPr/>
          <w:bookmarkStart w:id="72" w:name="fig-contours"/>
          <w:p>
            <w:pPr>
              <w:pStyle w:val="Compact"/>
              <w:jc w:val="center"/>
            </w:pPr>
            <w:r>
              <w:drawing>
                <wp:inline>
                  <wp:extent cx="5334000" cy="1617141"/>
                  <wp:effectExtent b="0" l="0" r="0" t="0"/>
                  <wp:docPr descr="" title="" id="70" name="Picture"/>
                  <a:graphic>
                    <a:graphicData uri="http://schemas.openxmlformats.org/drawingml/2006/picture">
                      <pic:pic>
                        <pic:nvPicPr>
                          <pic:cNvPr descr="PCR-005_protein_a_files/figure-docx/fig-contours-output-1.png" id="71" name="Picture"/>
                          <pic:cNvPicPr>
                            <a:picLocks noChangeArrowheads="1" noChangeAspect="1"/>
                          </pic:cNvPicPr>
                        </pic:nvPicPr>
                        <pic:blipFill>
                          <a:blip r:embed="rId69"/>
                          <a:stretch>
                            <a:fillRect/>
                          </a:stretch>
                        </pic:blipFill>
                        <pic:spPr bwMode="auto">
                          <a:xfrm>
                            <a:off x="0" y="0"/>
                            <a:ext cx="5334000" cy="16171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Response surfaces of the scale-down model over protein load and elution buffer pH, with load flow rate and end of pool collect at their set-points (the design centre). Pool HCP, the median of the log-scale model. Step yield as a fraction. Leached Protein A, the mean of the runs, since its model has no term.</w:t>
            </w:r>
          </w:p>
          <w:bookmarkEnd w:id="72"/>
        </w:tc>
      </w:tr>
    </w:tbl>
    <w:p>
      <w:pPr>
        <w:pStyle w:val="BodyText"/>
      </w:pPr>
      <w:hyperlink w:anchor="fig-diag-hcp">
        <w:r>
          <w:rPr>
            <w:rStyle w:val="Hyperlink"/>
          </w:rPr>
          <w:t xml:space="preserve">Figure 2</w:t>
        </w:r>
      </w:hyperlink>
      <w:r>
        <w:t xml:space="preserve"> </w:t>
      </w:r>
      <w:r>
        <w:t xml:space="preserve">shows the diagnostics of the model on the log scale. The residuals scatter about zero across the predicted range without a funnel. On the normal probability plot they follow the line in the middle, and the largest positive residuals fall below it, so the upper tail of the residuals is shorter than that of a normal distribution. The lowest residual belongs to run 23, at 2.0 residual standard deviations below its prediction (</w:t>
      </w:r>
      <w:hyperlink w:anchor="sec-dev01">
        <w:r>
          <w:rPr>
            <w:rStyle w:val="Hyperlink"/>
          </w:rPr>
          <w:t xml:space="preserve">Section 13.1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6" w:name="fig-diag-hcp"/>
          <w:p>
            <w:pPr>
              <w:pStyle w:val="Compact"/>
              <w:jc w:val="center"/>
            </w:pPr>
            <w:r>
              <w:drawing>
                <wp:inline>
                  <wp:extent cx="5334000" cy="1671388"/>
                  <wp:effectExtent b="0" l="0" r="0" t="0"/>
                  <wp:docPr descr="" title="" id="74" name="Picture"/>
                  <a:graphic>
                    <a:graphicData uri="http://schemas.openxmlformats.org/drawingml/2006/picture">
                      <pic:pic>
                        <pic:nvPicPr>
                          <pic:cNvPr descr="PCR-005_protein_a_files/figure-docx/fig-diag-hcp-output-1.png" id="75" name="Picture"/>
                          <pic:cNvPicPr>
                            <a:picLocks noChangeArrowheads="1" noChangeAspect="1"/>
                          </pic:cNvPicPr>
                        </pic:nvPicPr>
                        <pic:blipFill>
                          <a:blip r:embed="rId73"/>
                          <a:stretch>
                            <a:fillRect/>
                          </a:stretch>
                        </pic:blipFill>
                        <pic:spPr bwMode="auto">
                          <a:xfrm>
                            <a:off x="0" y="0"/>
                            <a:ext cx="5334000" cy="16713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Diagnostics of the selected response-surface model for pool HCP, on the natural log scale.</w:t>
            </w:r>
          </w:p>
          <w:bookmarkEnd w:id="76"/>
        </w:tc>
      </w:tr>
    </w:tbl>
    <w:bookmarkEnd w:id="77"/>
    <w:bookmarkStart w:id="83" w:name="sec-rsm-yield"/>
    <w:p>
      <w:pPr>
        <w:pStyle w:val="Heading3"/>
      </w:pPr>
      <w:r>
        <w:t xml:space="preserve">5.3.2 Step yield</w:t>
      </w:r>
    </w:p>
    <w:p>
      <w:pPr>
        <w:pStyle w:val="FirstParagraph"/>
      </w:pPr>
      <w:hyperlink w:anchor="tbl-coef-yield">
        <w:r>
          <w:rPr>
            <w:rStyle w:val="Hyperlink"/>
          </w:rPr>
          <w:t xml:space="preserve">Table 20</w:t>
        </w:r>
      </w:hyperlink>
      <w:r>
        <w:t xml:space="preserve"> </w:t>
      </w:r>
      <w:r>
        <w:t xml:space="preserve">gives the coefficients of the selected model for step yield, in percentage points.</w:t>
      </w:r>
    </w:p>
    <w:tbl>
      <w:tblPr>
        <w:tblStyle w:val="Table"/>
        <w:tblW w:type="pct" w:w="5000"/>
        <w:tblLayout w:type="fixed"/>
        <w:tblLook w:firstRow="0" w:lastRow="0" w:firstColumn="0" w:lastColumn="0" w:noHBand="0" w:noVBand="0" w:val="0000"/>
      </w:tblPr>
      <w:tblGrid>
        <w:gridCol w:w="7920"/>
      </w:tblGrid>
      <w:tr>
        <w:tc>
          <w:tcPr/>
          <w:bookmarkStart w:id="78" w:name="tbl-coef-yield"/>
          <w:p>
            <w:pPr>
              <w:jc w:val="center"/>
            </w:pPr>
            <w:pPr>
              <w:jc w:val="start"/>
              <w:spacing w:before="200"/>
              <w:pStyle w:val="ImageCaption"/>
            </w:pPr>
            <w:r>
              <w:t xml:space="preserve">Table 20: Response-surface coefficients for step yield (percentage points), coded units.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w:t>
                  </w:r>
                </w:p>
              </w:tc>
              <w:tc>
                <w:tcPr/>
                <w:p>
                  <w:pPr>
                    <w:pStyle w:val="Compact"/>
                    <w:jc w:val="center"/>
                  </w:pPr>
                  <w:r>
                    <w:t xml:space="preserve">Coef.</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r>
            <w:tr>
              <w:tc>
                <w:tcPr/>
                <w:p>
                  <w:pPr>
                    <w:pStyle w:val="Compact"/>
                    <w:jc w:val="center"/>
                  </w:pPr>
                  <w:r>
                    <w:t xml:space="preserve">Intercept</w:t>
                  </w:r>
                </w:p>
              </w:tc>
              <w:tc>
                <w:tcPr/>
                <w:p>
                  <w:pPr>
                    <w:pStyle w:val="Compact"/>
                    <w:jc w:val="center"/>
                  </w:pPr>
                  <w:r>
                    <w:t xml:space="preserve">94.86</w:t>
                  </w:r>
                </w:p>
              </w:tc>
              <w:tc>
                <w:tcPr/>
                <w:p>
                  <w:pPr>
                    <w:pStyle w:val="Compact"/>
                    <w:jc w:val="center"/>
                  </w:pPr>
                  <w:r>
                    <w:t xml:space="preserve">0.49</w:t>
                  </w:r>
                </w:p>
              </w:tc>
              <w:tc>
                <w:tcPr/>
                <w:p>
                  <w:pPr>
                    <w:pStyle w:val="Compact"/>
                    <w:jc w:val="center"/>
                  </w:pPr>
                  <w:r>
                    <w:t xml:space="preserve">194.20</w:t>
                  </w:r>
                </w:p>
              </w:tc>
              <w:tc>
                <w:tcPr/>
                <w:p>
                  <w:pPr>
                    <w:pStyle w:val="Compact"/>
                    <w:jc w:val="center"/>
                  </w:pPr>
                  <w:r>
                    <w:t xml:space="preserve">&lt; 0.001</w:t>
                  </w:r>
                </w:p>
              </w:tc>
            </w:tr>
            <w:tr>
              <w:tc>
                <w:tcPr/>
                <w:p>
                  <w:pPr>
                    <w:pStyle w:val="Compact"/>
                    <w:jc w:val="center"/>
                  </w:pPr>
                  <w:r>
                    <w:t xml:space="preserve">A</w:t>
                  </w:r>
                </w:p>
              </w:tc>
              <w:tc>
                <w:tcPr/>
                <w:p>
                  <w:pPr>
                    <w:pStyle w:val="Compact"/>
                    <w:jc w:val="center"/>
                  </w:pPr>
                  <w:r>
                    <w:t xml:space="preserve">−1.65</w:t>
                  </w:r>
                </w:p>
              </w:tc>
              <w:tc>
                <w:tcPr/>
                <w:p>
                  <w:pPr>
                    <w:pStyle w:val="Compact"/>
                    <w:jc w:val="center"/>
                  </w:pPr>
                  <w:r>
                    <w:t xml:space="preserve">0.36</w:t>
                  </w:r>
                </w:p>
              </w:tc>
              <w:tc>
                <w:tcPr/>
                <w:p>
                  <w:pPr>
                    <w:pStyle w:val="Compact"/>
                    <w:jc w:val="center"/>
                  </w:pPr>
                  <w:r>
                    <w:t xml:space="preserve">−4.52</w:t>
                  </w:r>
                </w:p>
              </w:tc>
              <w:tc>
                <w:tcPr/>
                <w:p>
                  <w:pPr>
                    <w:pStyle w:val="Compact"/>
                    <w:jc w:val="center"/>
                  </w:pPr>
                  <w:r>
                    <w:t xml:space="preserve">&lt; 0.001</w:t>
                  </w:r>
                </w:p>
              </w:tc>
            </w:tr>
            <w:tr>
              <w:tc>
                <w:tcPr/>
                <w:p>
                  <w:pPr>
                    <w:pStyle w:val="Compact"/>
                    <w:jc w:val="center"/>
                  </w:pPr>
                  <w:r>
                    <w:t xml:space="preserve">C</w:t>
                  </w:r>
                </w:p>
              </w:tc>
              <w:tc>
                <w:tcPr/>
                <w:p>
                  <w:pPr>
                    <w:pStyle w:val="Compact"/>
                    <w:jc w:val="center"/>
                  </w:pPr>
                  <w:r>
                    <w:t xml:space="preserve">−0.89</w:t>
                  </w:r>
                </w:p>
              </w:tc>
              <w:tc>
                <w:tcPr/>
                <w:p>
                  <w:pPr>
                    <w:pStyle w:val="Compact"/>
                    <w:jc w:val="center"/>
                  </w:pPr>
                  <w:r>
                    <w:t xml:space="preserve">0.36</w:t>
                  </w:r>
                </w:p>
              </w:tc>
              <w:tc>
                <w:tcPr/>
                <w:p>
                  <w:pPr>
                    <w:pStyle w:val="Compact"/>
                    <w:jc w:val="center"/>
                  </w:pPr>
                  <w:r>
                    <w:t xml:space="preserve">−2.45</w:t>
                  </w:r>
                </w:p>
              </w:tc>
              <w:tc>
                <w:tcPr/>
                <w:p>
                  <w:pPr>
                    <w:pStyle w:val="Compact"/>
                    <w:jc w:val="center"/>
                  </w:pPr>
                  <w:r>
                    <w:t xml:space="preserve">0.023</w:t>
                  </w:r>
                </w:p>
              </w:tc>
            </w:tr>
            <w:tr>
              <w:tc>
                <w:tcPr/>
                <w:p>
                  <w:pPr>
                    <w:pStyle w:val="Compact"/>
                    <w:jc w:val="center"/>
                  </w:pPr>
                  <w:r>
                    <w:t xml:space="preserve">D</w:t>
                  </w:r>
                </w:p>
              </w:tc>
              <w:tc>
                <w:tcPr/>
                <w:p>
                  <w:pPr>
                    <w:pStyle w:val="Compact"/>
                    <w:jc w:val="center"/>
                  </w:pPr>
                  <w:r>
                    <w:t xml:space="preserve">3.65</w:t>
                  </w:r>
                </w:p>
              </w:tc>
              <w:tc>
                <w:tcPr/>
                <w:p>
                  <w:pPr>
                    <w:pStyle w:val="Compact"/>
                    <w:jc w:val="center"/>
                  </w:pPr>
                  <w:r>
                    <w:t xml:space="preserve">0.36</w:t>
                  </w:r>
                </w:p>
              </w:tc>
              <w:tc>
                <w:tcPr/>
                <w:p>
                  <w:pPr>
                    <w:pStyle w:val="Compact"/>
                    <w:jc w:val="center"/>
                  </w:pPr>
                  <w:r>
                    <w:t xml:space="preserve">10.04</w:t>
                  </w:r>
                </w:p>
              </w:tc>
              <w:tc>
                <w:tcPr/>
                <w:p>
                  <w:pPr>
                    <w:pStyle w:val="Compact"/>
                    <w:jc w:val="center"/>
                  </w:pPr>
                  <w:r>
                    <w:t xml:space="preserve">&lt; 0.001</w:t>
                  </w:r>
                </w:p>
              </w:tc>
            </w:tr>
            <w:tr>
              <w:tc>
                <w:tcPr/>
                <w:p>
                  <w:pPr>
                    <w:pStyle w:val="Compact"/>
                    <w:jc w:val="center"/>
                  </w:pPr>
                  <w:r>
                    <w:t xml:space="preserve">AC</w:t>
                  </w:r>
                </w:p>
              </w:tc>
              <w:tc>
                <w:tcPr/>
                <w:p>
                  <w:pPr>
                    <w:pStyle w:val="Compact"/>
                    <w:jc w:val="center"/>
                  </w:pPr>
                  <w:r>
                    <w:t xml:space="preserve">−0.91</w:t>
                  </w:r>
                </w:p>
              </w:tc>
              <w:tc>
                <w:tcPr/>
                <w:p>
                  <w:pPr>
                    <w:pStyle w:val="Compact"/>
                    <w:jc w:val="center"/>
                  </w:pPr>
                  <w:r>
                    <w:t xml:space="preserve">0.39</w:t>
                  </w:r>
                </w:p>
              </w:tc>
              <w:tc>
                <w:tcPr/>
                <w:p>
                  <w:pPr>
                    <w:pStyle w:val="Compact"/>
                    <w:jc w:val="center"/>
                  </w:pPr>
                  <w:r>
                    <w:t xml:space="preserve">−2.37</w:t>
                  </w:r>
                </w:p>
              </w:tc>
              <w:tc>
                <w:tcPr/>
                <w:p>
                  <w:pPr>
                    <w:pStyle w:val="Compact"/>
                    <w:jc w:val="center"/>
                  </w:pPr>
                  <w:r>
                    <w:t xml:space="preserve">0.027</w:t>
                  </w:r>
                </w:p>
              </w:tc>
            </w:tr>
            <w:tr>
              <w:tc>
                <w:tcPr/>
                <w:p>
                  <w:pPr>
                    <w:pStyle w:val="Compact"/>
                    <w:jc w:val="center"/>
                  </w:pPr>
                  <w:r>
                    <w:t xml:space="preserve">D²</w:t>
                  </w:r>
                </w:p>
              </w:tc>
              <w:tc>
                <w:tcPr/>
                <w:p>
                  <w:pPr>
                    <w:pStyle w:val="Compact"/>
                    <w:jc w:val="center"/>
                  </w:pPr>
                  <w:r>
                    <w:t xml:space="preserve">−1.37</w:t>
                  </w:r>
                </w:p>
              </w:tc>
              <w:tc>
                <w:tcPr/>
                <w:p>
                  <w:pPr>
                    <w:pStyle w:val="Compact"/>
                    <w:jc w:val="center"/>
                  </w:pPr>
                  <w:r>
                    <w:t xml:space="preserve">0.61</w:t>
                  </w:r>
                </w:p>
              </w:tc>
              <w:tc>
                <w:tcPr/>
                <w:p>
                  <w:pPr>
                    <w:pStyle w:val="Compact"/>
                    <w:jc w:val="center"/>
                  </w:pPr>
                  <w:r>
                    <w:t xml:space="preserve">−2.25</w:t>
                  </w:r>
                </w:p>
              </w:tc>
              <w:tc>
                <w:tcPr/>
                <w:p>
                  <w:pPr>
                    <w:pStyle w:val="Compact"/>
                    <w:jc w:val="center"/>
                  </w:pPr>
                  <w:r>
                    <w:t xml:space="preserve">0.035</w:t>
                  </w:r>
                </w:p>
              </w:tc>
            </w:tr>
          </w:tbl>
          <w:bookmarkEnd w:id="78"/>
          <w:p/>
        </w:tc>
      </w:tr>
    </w:tbl>
    <w:p>
      <w:pPr>
        <w:pStyle w:val="BodyText"/>
      </w:pPr>
      <w:r>
        <w:t xml:space="preserve">End of pool collect has the largest effect. Extending it from 2 to 2.6 CV raises yield by 5.0 percentage points, and from 2.6 to 3.2 CV by a further 2.3 points. The negative square of end of pool collect makes the gain smaller at the upper end of its range. Protein load lowers yield by 1.65 points per half range. At high load the coefficient of load flow rate is −1.80 points per half range, and at low load it is 0.02. Flow rate therefore has almost no effect on yield when the bed has capacity to spare. Across the response-surface design step yield ranged from 84.4 to 99.0 %.</w:t>
      </w:r>
      <w:r>
        <w:t xml:space="preserve"> </w:t>
      </w:r>
      <w:hyperlink w:anchor="fig-diag-yield">
        <w:r>
          <w:rPr>
            <w:rStyle w:val="Hyperlink"/>
          </w:rPr>
          <w:t xml:space="preserve">Figure 3</w:t>
        </w:r>
      </w:hyperlink>
      <w:r>
        <w:t xml:space="preserve"> </w:t>
      </w:r>
      <w:r>
        <w:t xml:space="preserve">shows the diagnostics of the model.</w:t>
      </w:r>
    </w:p>
    <w:p>
      <w:pPr>
        <w:pStyle w:val="BodyText"/>
      </w:pPr>
      <w:r>
        <w:t xml:space="preserve">In the designs and the univariate study, 6 results of step yield are exactly 99.0 %, and none is higher. Of these, 5 were at the upper end of the range of end of pool collect, 3.2 CV. These results may reflect a limit on the reported yield. If they do, the gain at the upper end of end of pool collect is understated, and part of the negative square of end of pool collect may come from that limit.</w:t>
      </w:r>
    </w:p>
    <w:tbl>
      <w:tblPr>
        <w:tblStyle w:val="Table"/>
        <w:tblW w:type="pct" w:w="5000"/>
        <w:tblLayout w:type="fixed"/>
        <w:tblLook w:firstRow="0" w:lastRow="0" w:firstColumn="0" w:lastColumn="0" w:noHBand="0" w:noVBand="0" w:val="0000"/>
      </w:tblPr>
      <w:tblGrid>
        <w:gridCol w:w="7920"/>
      </w:tblGrid>
      <w:tr>
        <w:tc>
          <w:tcPr/>
          <w:bookmarkStart w:id="82" w:name="fig-diag-yield"/>
          <w:p>
            <w:pPr>
              <w:pStyle w:val="Compact"/>
              <w:jc w:val="center"/>
            </w:pPr>
            <w:r>
              <w:drawing>
                <wp:inline>
                  <wp:extent cx="5334000" cy="1671388"/>
                  <wp:effectExtent b="0" l="0" r="0" t="0"/>
                  <wp:docPr descr="" title="" id="80" name="Picture"/>
                  <a:graphic>
                    <a:graphicData uri="http://schemas.openxmlformats.org/drawingml/2006/picture">
                      <pic:pic>
                        <pic:nvPicPr>
                          <pic:cNvPr descr="PCR-005_protein_a_files/figure-docx/fig-diag-yield-output-1.png" id="81" name="Picture"/>
                          <pic:cNvPicPr>
                            <a:picLocks noChangeArrowheads="1" noChangeAspect="1"/>
                          </pic:cNvPicPr>
                        </pic:nvPicPr>
                        <pic:blipFill>
                          <a:blip r:embed="rId79"/>
                          <a:stretch>
                            <a:fillRect/>
                          </a:stretch>
                        </pic:blipFill>
                        <pic:spPr bwMode="auto">
                          <a:xfrm>
                            <a:off x="0" y="0"/>
                            <a:ext cx="5334000" cy="16713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Diagnostics of the selected response-surface model for step yield (as a fraction).</w:t>
            </w:r>
          </w:p>
          <w:bookmarkEnd w:id="82"/>
        </w:tc>
      </w:tr>
    </w:tbl>
    <w:bookmarkEnd w:id="83"/>
    <w:bookmarkStart w:id="84" w:name="sec-rsm-lpa"/>
    <w:p>
      <w:pPr>
        <w:pStyle w:val="Heading3"/>
      </w:pPr>
      <w:r>
        <w:t xml:space="preserve">5.3.3 Leached Protein A</w:t>
      </w:r>
    </w:p>
    <w:p>
      <w:pPr>
        <w:pStyle w:val="FirstParagraph"/>
      </w:pPr>
      <w:r>
        <w:t xml:space="preserve">The selected model of leached Protein A has no term. Within the range studied, leached Protein A does not depend on the 4 parameters of the multivariate design by more than the design resolves. With the 28 runs and the scatter of this output, the half-width of the 95 % confidence interval of a main effect across the range studied is 0.67 ppm in a model of the four main effects. An effect smaller than this would not be told apart from zero. The model is the mean of the runs, 2.94 ppm in the scale-down model and 4.12 ppm at manufacturing scale. In the scale-down model leached Protein A ranged from 1.70 to 4.61 ppm across the runs of both designs. At manufacturing scale the highest result corresponds to 5.79 ppm, and every run met the intermediate acceptance criterion of ≤ 158 ppm (finding F5). These results use the re-assay of run 11. With the first result of that run in its place, the selection keeps end of pool collect, and that model meets criteria 2 to 4 (</w:t>
      </w:r>
      <w:hyperlink w:anchor="sec-dev02">
        <w:r>
          <w:rPr>
            <w:rStyle w:val="Hyperlink"/>
          </w:rPr>
          <w:t xml:space="preserve">Section 13.2</w:t>
        </w:r>
      </w:hyperlink>
      <w:r>
        <w:t xml:space="preserve">).</w:t>
      </w:r>
    </w:p>
    <w:bookmarkEnd w:id="84"/>
    <w:bookmarkStart w:id="86" w:name="sec-rsm-frag"/>
    <w:p>
      <w:pPr>
        <w:pStyle w:val="Heading3"/>
      </w:pPr>
      <w:r>
        <w:t xml:space="preserve">5.3.4 Fragments by nrCE-SDS</w:t>
      </w:r>
    </w:p>
    <w:p>
      <w:pPr>
        <w:pStyle w:val="FirstParagraph"/>
      </w:pPr>
      <w:hyperlink w:anchor="tbl-coef-frag">
        <w:r>
          <w:rPr>
            <w:rStyle w:val="Hyperlink"/>
          </w:rPr>
          <w:t xml:space="preserve">Table 21</w:t>
        </w:r>
      </w:hyperlink>
      <w:r>
        <w:t xml:space="preserve"> </w:t>
      </w:r>
      <w:r>
        <w:t xml:space="preserve">gives the coefficients of the selected model for fragments by nrCE-SDS, measured on the 28 retained pools of the response-surface design.</w:t>
      </w:r>
    </w:p>
    <w:tbl>
      <w:tblPr>
        <w:tblStyle w:val="Table"/>
        <w:tblW w:type="pct" w:w="5000"/>
        <w:tblLayout w:type="fixed"/>
        <w:tblLook w:firstRow="0" w:lastRow="0" w:firstColumn="0" w:lastColumn="0" w:noHBand="0" w:noVBand="0" w:val="0000"/>
      </w:tblPr>
      <w:tblGrid>
        <w:gridCol w:w="7920"/>
      </w:tblGrid>
      <w:tr>
        <w:tc>
          <w:tcPr/>
          <w:bookmarkStart w:id="85" w:name="tbl-coef-frag"/>
          <w:p>
            <w:pPr>
              <w:jc w:val="center"/>
            </w:pPr>
            <w:pPr>
              <w:jc w:val="start"/>
              <w:spacing w:before="200"/>
              <w:pStyle w:val="ImageCaption"/>
            </w:pPr>
            <w:r>
              <w:t xml:space="preserve">Table 21: Response-surface coefficients for fragments by nrCE-SDS (%), coded units.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w:t>
                  </w:r>
                </w:p>
              </w:tc>
              <w:tc>
                <w:tcPr/>
                <w:p>
                  <w:pPr>
                    <w:pStyle w:val="Compact"/>
                    <w:jc w:val="center"/>
                  </w:pPr>
                  <w:r>
                    <w:t xml:space="preserve">Coef.</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r>
            <w:tr>
              <w:tc>
                <w:tcPr/>
                <w:p>
                  <w:pPr>
                    <w:pStyle w:val="Compact"/>
                    <w:jc w:val="center"/>
                  </w:pPr>
                  <w:r>
                    <w:t xml:space="preserve">Intercept</w:t>
                  </w:r>
                </w:p>
              </w:tc>
              <w:tc>
                <w:tcPr/>
                <w:p>
                  <w:pPr>
                    <w:pStyle w:val="Compact"/>
                    <w:jc w:val="center"/>
                  </w:pPr>
                  <w:r>
                    <w:t xml:space="preserve">0.921</w:t>
                  </w:r>
                </w:p>
              </w:tc>
              <w:tc>
                <w:tcPr/>
                <w:p>
                  <w:pPr>
                    <w:pStyle w:val="Compact"/>
                    <w:jc w:val="center"/>
                  </w:pPr>
                  <w:r>
                    <w:t xml:space="preserve">0.012</w:t>
                  </w:r>
                </w:p>
              </w:tc>
              <w:tc>
                <w:tcPr/>
                <w:p>
                  <w:pPr>
                    <w:pStyle w:val="Compact"/>
                    <w:jc w:val="center"/>
                  </w:pPr>
                  <w:r>
                    <w:t xml:space="preserve">76.44</w:t>
                  </w:r>
                </w:p>
              </w:tc>
              <w:tc>
                <w:tcPr/>
                <w:p>
                  <w:pPr>
                    <w:pStyle w:val="Compact"/>
                    <w:jc w:val="center"/>
                  </w:pPr>
                  <w:r>
                    <w:t xml:space="preserve">&lt; 0.001</w:t>
                  </w:r>
                </w:p>
              </w:tc>
            </w:tr>
            <w:tr>
              <w:tc>
                <w:tcPr/>
                <w:p>
                  <w:pPr>
                    <w:pStyle w:val="Compact"/>
                    <w:jc w:val="center"/>
                  </w:pPr>
                  <w:r>
                    <w:t xml:space="preserve">A</w:t>
                  </w:r>
                </w:p>
              </w:tc>
              <w:tc>
                <w:tcPr/>
                <w:p>
                  <w:pPr>
                    <w:pStyle w:val="Compact"/>
                    <w:jc w:val="center"/>
                  </w:pPr>
                  <w:r>
                    <w:t xml:space="preserve">−0.028</w:t>
                  </w:r>
                </w:p>
              </w:tc>
              <w:tc>
                <w:tcPr/>
                <w:p>
                  <w:pPr>
                    <w:pStyle w:val="Compact"/>
                    <w:jc w:val="center"/>
                  </w:pPr>
                  <w:r>
                    <w:t xml:space="preserve">0.015</w:t>
                  </w:r>
                </w:p>
              </w:tc>
              <w:tc>
                <w:tcPr/>
                <w:p>
                  <w:pPr>
                    <w:pStyle w:val="Compact"/>
                    <w:jc w:val="center"/>
                  </w:pPr>
                  <w:r>
                    <w:t xml:space="preserve">−1.83</w:t>
                  </w:r>
                </w:p>
              </w:tc>
              <w:tc>
                <w:tcPr/>
                <w:p>
                  <w:pPr>
                    <w:pStyle w:val="Compact"/>
                    <w:jc w:val="center"/>
                  </w:pPr>
                  <w:r>
                    <w:t xml:space="preserve">0.079</w:t>
                  </w:r>
                </w:p>
              </w:tc>
            </w:tr>
            <w:tr>
              <w:tc>
                <w:tcPr/>
                <w:p>
                  <w:pPr>
                    <w:pStyle w:val="Compact"/>
                    <w:jc w:val="center"/>
                  </w:pPr>
                  <w:r>
                    <w:t xml:space="preserve">B</w:t>
                  </w:r>
                </w:p>
              </w:tc>
              <w:tc>
                <w:tcPr/>
                <w:p>
                  <w:pPr>
                    <w:pStyle w:val="Compact"/>
                    <w:jc w:val="center"/>
                  </w:pPr>
                  <w:r>
                    <w:t xml:space="preserve">−0.054</w:t>
                  </w:r>
                </w:p>
              </w:tc>
              <w:tc>
                <w:tcPr/>
                <w:p>
                  <w:pPr>
                    <w:pStyle w:val="Compact"/>
                    <w:jc w:val="center"/>
                  </w:pPr>
                  <w:r>
                    <w:t xml:space="preserve">0.015</w:t>
                  </w:r>
                </w:p>
              </w:tc>
              <w:tc>
                <w:tcPr/>
                <w:p>
                  <w:pPr>
                    <w:pStyle w:val="Compact"/>
                    <w:jc w:val="center"/>
                  </w:pPr>
                  <w:r>
                    <w:t xml:space="preserve">−3.61</w:t>
                  </w:r>
                </w:p>
              </w:tc>
              <w:tc>
                <w:tcPr/>
                <w:p>
                  <w:pPr>
                    <w:pStyle w:val="Compact"/>
                    <w:jc w:val="center"/>
                  </w:pPr>
                  <w:r>
                    <w:t xml:space="preserve">0.001</w:t>
                  </w:r>
                </w:p>
              </w:tc>
            </w:tr>
          </w:tbl>
          <w:bookmarkEnd w:id="85"/>
          <w:p/>
        </w:tc>
      </w:tr>
    </w:tbl>
    <w:p>
      <w:pPr>
        <w:pStyle w:val="BodyText"/>
      </w:pPr>
      <w:r>
        <w:t xml:space="preserve">The model is significant (p = 0.002), shows no significant lack of fit (p = 0.776), and its predicted R² falls short of R² by 0.161, within the limit of 0.20. Its R² of 0.396 shows that most of the variation between pools is not explained by the parameters. Fragments fall as elution buffer pH rises, by 0.11 percentage points across the range studied (p = 0.001). The selection also kept protein load, whose coefficient is not significant at α = 0.05 (p = 0.079). AICc keeps a term when the improvement of the fit outweighs the penalty for its coefficient, and such a term need not be significant at α = 0.05. The effect of protein load on fragments is not interpreted. Over the NOR the upper prediction limit of a single run is 1.09 %, against the intermediate acceptance criterion of ≤ 2.45 %. Fragments ranged from 0.77 to 1.09 % across the pools, and every pool met the criterion. These results are in the scale-down model, because fragments carry no offset (</w:t>
      </w:r>
      <w:hyperlink w:anchor="sec-sdm">
        <w:r>
          <w:rPr>
            <w:rStyle w:val="Hyperlink"/>
          </w:rPr>
          <w:t xml:space="preserve">Section 3.1</w:t>
        </w:r>
      </w:hyperlink>
      <w:r>
        <w:t xml:space="preserve">).</w:t>
      </w:r>
    </w:p>
    <w:bookmarkEnd w:id="86"/>
    <w:bookmarkEnd w:id="87"/>
    <w:bookmarkStart w:id="88" w:name="attributes-measured-for-information"/>
    <w:p>
      <w:pPr>
        <w:pStyle w:val="Heading2"/>
      </w:pPr>
      <w:r>
        <w:t xml:space="preserve">5.4 Attributes measured for information</w:t>
      </w:r>
    </w:p>
    <w:p>
      <w:pPr>
        <w:pStyle w:val="FirstParagraph"/>
      </w:pPr>
      <w:r>
        <w:t xml:space="preserve">Aggregate by SEC was measured on every pool of both designs, for information. It ranged from 1.40 to 1.73 % HMW across the 47 pools, below the ≤ 6.46 % that applies to the held eluate. Aggregate was not measured in the load, so these results do not show whether capture changes it. Appendix A and Appendix B give the individual results.</w:t>
      </w:r>
    </w:p>
    <w:p>
      <w:pPr>
        <w:pStyle w:val="BodyText"/>
      </w:pPr>
      <w:r>
        <w:t xml:space="preserve">Residual DNA was measured on the load and the pool of the 7 centre-point runs of the two designs. With the antibody in the load measured by Protein A affinity HPLC, the load carried 137,045 to 234,778 pg per mg antibody, and the pool 498 to 1,372 pg/mg. That is a reduction of 2.2 to 2.5 log10 across the step. DNA was not measured away from the set-point, as PCP-005 planned, so its dependence on the parameters is not tested here.</w:t>
      </w:r>
    </w:p>
    <w:bookmarkEnd w:id="88"/>
    <w:bookmarkStart w:id="90" w:name="sec-resid"/>
    <w:p>
      <w:pPr>
        <w:pStyle w:val="Heading2"/>
      </w:pPr>
      <w:r>
        <w:t xml:space="preserve">5.5 Model residuals and influential runs</w:t>
      </w:r>
    </w:p>
    <w:p>
      <w:pPr>
        <w:pStyle w:val="FirstParagraph"/>
      </w:pPr>
      <w:hyperlink w:anchor="tbl-resid">
        <w:r>
          <w:rPr>
            <w:rStyle w:val="Hyperlink"/>
          </w:rPr>
          <w:t xml:space="preserve">Table 22</w:t>
        </w:r>
      </w:hyperlink>
      <w:r>
        <w:t xml:space="preserve"> </w:t>
      </w:r>
      <w:r>
        <w:t xml:space="preserve">gives the residual checks of criterion 5 of PCP-005 §7 for the selected models.</w:t>
      </w:r>
    </w:p>
    <w:tbl>
      <w:tblPr>
        <w:tblStyle w:val="Table"/>
        <w:tblW w:type="pct" w:w="5000"/>
        <w:tblLayout w:type="fixed"/>
        <w:tblLook w:firstRow="0" w:lastRow="0" w:firstColumn="0" w:lastColumn="0" w:noHBand="0" w:noVBand="0" w:val="0000"/>
      </w:tblPr>
      <w:tblGrid>
        <w:gridCol w:w="7920"/>
      </w:tblGrid>
      <w:tr>
        <w:tc>
          <w:tcPr/>
          <w:bookmarkStart w:id="89" w:name="tbl-resid"/>
          <w:p>
            <w:pPr>
              <w:jc w:val="center"/>
            </w:pPr>
            <w:pPr>
              <w:jc w:val="start"/>
              <w:spacing w:before="200"/>
              <w:pStyle w:val="ImageCaption"/>
            </w:pPr>
            <w:r>
              <w:t xml:space="preserve">Table 22: Residual checks of the selected response-surface models (PCP-005 §7, criterion 5).</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Output</w:t>
                  </w:r>
                </w:p>
              </w:tc>
              <w:tc>
                <w:tcPr/>
                <w:p>
                  <w:pPr>
                    <w:pStyle w:val="Compact"/>
                    <w:jc w:val="center"/>
                  </w:pPr>
                  <w:r>
                    <w:t xml:space="preserve">Trend on</w:t>
                  </w:r>
                  <w:r>
                    <w:br/>
                  </w:r>
                  <w:r>
                    <w:t xml:space="preserve">predicted, p</w:t>
                  </w:r>
                </w:p>
              </w:tc>
              <w:tc>
                <w:tcPr/>
                <w:p>
                  <w:pPr>
                    <w:pStyle w:val="Compact"/>
                    <w:jc w:val="center"/>
                  </w:pPr>
                  <w:r>
                    <w:t xml:space="preserve">Trend on</w:t>
                  </w:r>
                  <w:r>
                    <w:br/>
                  </w:r>
                  <w:r>
                    <w:t xml:space="preserve">run order, p</w:t>
                  </w:r>
                </w:p>
              </w:tc>
              <w:tc>
                <w:tcPr/>
                <w:p>
                  <w:pPr>
                    <w:pStyle w:val="Compact"/>
                    <w:jc w:val="center"/>
                  </w:pPr>
                  <w:r>
                    <w:t xml:space="preserve">Largest</w:t>
                  </w:r>
                  <w:r>
                    <w:br/>
                  </w:r>
                  <w:r>
                    <w:t xml:space="preserve">Cook's D</w:t>
                  </w:r>
                </w:p>
              </w:tc>
              <w:tc>
                <w:tcPr/>
                <w:p>
                  <w:pPr>
                    <w:pStyle w:val="Compact"/>
                    <w:jc w:val="center"/>
                  </w:pPr>
                  <w:r>
                    <w:t xml:space="preserve">Run with</w:t>
                  </w:r>
                  <w:r>
                    <w:br/>
                  </w:r>
                  <w:r>
                    <w:t xml:space="preserve">largest D</w:t>
                  </w:r>
                </w:p>
              </w:tc>
              <w:tc>
                <w:tcPr/>
                <w:p>
                  <w:pPr>
                    <w:pStyle w:val="Compact"/>
                    <w:jc w:val="center"/>
                  </w:pPr>
                  <w:r>
                    <w:t xml:space="preserve">Runs</w:t>
                  </w:r>
                  <w:r>
                    <w:br/>
                  </w:r>
                  <w:r>
                    <w:t xml:space="preserve">above 4/n</w:t>
                  </w:r>
                </w:p>
              </w:tc>
              <w:tc>
                <w:tcPr/>
                <w:p>
                  <w:pPr>
                    <w:pStyle w:val="Compact"/>
                    <w:jc w:val="center"/>
                  </w:pPr>
                  <w:r>
                    <w:t xml:space="preserve">F</w:t>
                  </w:r>
                  <w:r>
                    <w:br/>
                  </w:r>
                  <w:r>
                    <w:t xml:space="preserve">median</w:t>
                  </w:r>
                </w:p>
              </w:tc>
              <w:tc>
                <w:tcPr/>
                <w:p>
                  <w:pPr>
                    <w:pStyle w:val="Compact"/>
                    <w:jc w:val="center"/>
                  </w:pPr>
                  <w:r>
                    <w:t xml:space="preserve">Met</w:t>
                  </w:r>
                </w:p>
              </w:tc>
            </w:tr>
            <w:tr>
              <w:tc>
                <w:tcPr/>
                <w:p>
                  <w:pPr>
                    <w:pStyle w:val="Compact"/>
                    <w:jc w:val="center"/>
                  </w:pPr>
                  <w:r>
                    <w:t xml:space="preserve">Pool HCP (ng/mg)</w:t>
                  </w:r>
                </w:p>
              </w:tc>
              <w:tc>
                <w:tcPr/>
                <w:p>
                  <w:pPr>
                    <w:pStyle w:val="Compact"/>
                    <w:jc w:val="center"/>
                  </w:pPr>
                  <w:r>
                    <w:t xml:space="preserve">0.463</w:t>
                  </w:r>
                </w:p>
              </w:tc>
              <w:tc>
                <w:tcPr/>
                <w:p>
                  <w:pPr>
                    <w:pStyle w:val="Compact"/>
                    <w:jc w:val="center"/>
                  </w:pPr>
                  <w:r>
                    <w:t xml:space="preserve">0.586</w:t>
                  </w:r>
                </w:p>
              </w:tc>
              <w:tc>
                <w:tcPr/>
                <w:p>
                  <w:pPr>
                    <w:pStyle w:val="Compact"/>
                    <w:jc w:val="center"/>
                  </w:pPr>
                  <w:r>
                    <w:t xml:space="preserve">0.26</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0.92</w:t>
                  </w:r>
                </w:p>
              </w:tc>
              <w:tc>
                <w:tcPr/>
                <w:p>
                  <w:pPr>
                    <w:pStyle w:val="Compact"/>
                    <w:jc w:val="center"/>
                  </w:pPr>
                  <w:r>
                    <w:t xml:space="preserve">Yes</w:t>
                  </w:r>
                </w:p>
              </w:tc>
            </w:tr>
            <w:tr>
              <w:tc>
                <w:tcPr/>
                <w:p>
                  <w:pPr>
                    <w:pStyle w:val="Compact"/>
                    <w:jc w:val="center"/>
                  </w:pPr>
                  <w:r>
                    <w:t xml:space="preserve">Step yield (%)</w:t>
                  </w:r>
                </w:p>
              </w:tc>
              <w:tc>
                <w:tcPr/>
                <w:p>
                  <w:pPr>
                    <w:pStyle w:val="Compact"/>
                    <w:jc w:val="center"/>
                  </w:pPr>
                  <w:r>
                    <w:t xml:space="preserve">0.758</w:t>
                  </w:r>
                </w:p>
              </w:tc>
              <w:tc>
                <w:tcPr/>
                <w:p>
                  <w:pPr>
                    <w:pStyle w:val="Compact"/>
                    <w:jc w:val="center"/>
                  </w:pPr>
                  <w:r>
                    <w:t xml:space="preserve">0.634</w:t>
                  </w:r>
                </w:p>
              </w:tc>
              <w:tc>
                <w:tcPr/>
                <w:p>
                  <w:pPr>
                    <w:pStyle w:val="Compact"/>
                    <w:jc w:val="center"/>
                  </w:pPr>
                  <w:r>
                    <w:t xml:space="preserve">0.25</w:t>
                  </w:r>
                </w:p>
              </w:tc>
              <w:tc>
                <w:tcPr/>
                <w:p>
                  <w:pPr>
                    <w:pStyle w:val="Compact"/>
                    <w:jc w:val="center"/>
                  </w:pPr>
                  <w:r>
                    <w:t xml:space="preserve">16</w:t>
                  </w:r>
                </w:p>
              </w:tc>
              <w:tc>
                <w:tcPr/>
                <w:p>
                  <w:pPr>
                    <w:pStyle w:val="Compact"/>
                    <w:jc w:val="center"/>
                  </w:pPr>
                  <w:r>
                    <w:t xml:space="preserve">2</w:t>
                  </w:r>
                </w:p>
              </w:tc>
              <w:tc>
                <w:tcPr/>
                <w:p>
                  <w:pPr>
                    <w:pStyle w:val="Compact"/>
                    <w:jc w:val="center"/>
                  </w:pPr>
                  <w:r>
                    <w:t xml:space="preserve">0.92</w:t>
                  </w:r>
                </w:p>
              </w:tc>
              <w:tc>
                <w:tcPr/>
                <w:p>
                  <w:pPr>
                    <w:pStyle w:val="Compact"/>
                    <w:jc w:val="center"/>
                  </w:pPr>
                  <w:r>
                    <w:t xml:space="preserve">Yes</w:t>
                  </w:r>
                </w:p>
              </w:tc>
            </w:tr>
            <w:tr>
              <w:tc>
                <w:tcPr/>
                <w:p>
                  <w:pPr>
                    <w:pStyle w:val="Compact"/>
                    <w:jc w:val="center"/>
                  </w:pPr>
                  <w:r>
                    <w:t xml:space="preserve">Leached Protein A (ppm)</w:t>
                  </w:r>
                </w:p>
              </w:tc>
              <w:tc>
                <w:tcPr/>
                <w:p>
                  <w:pPr>
                    <w:pStyle w:val="Compact"/>
                    <w:jc w:val="center"/>
                  </w:pPr>
                  <w:r>
                    <w:t xml:space="preserve">n.a.</w:t>
                  </w:r>
                </w:p>
              </w:tc>
              <w:tc>
                <w:tcPr/>
                <w:p>
                  <w:pPr>
                    <w:pStyle w:val="Compact"/>
                    <w:jc w:val="center"/>
                  </w:pPr>
                  <w:r>
                    <w:t xml:space="preserve">0.046</w:t>
                  </w:r>
                </w:p>
              </w:tc>
              <w:tc>
                <w:tcPr/>
                <w:p>
                  <w:pPr>
                    <w:pStyle w:val="Compact"/>
                    <w:jc w:val="center"/>
                  </w:pPr>
                  <w:r>
                    <w:t xml:space="preserve">0.24</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0.47</w:t>
                  </w:r>
                </w:p>
              </w:tc>
              <w:tc>
                <w:tcPr/>
                <w:p>
                  <w:pPr>
                    <w:pStyle w:val="Compact"/>
                    <w:jc w:val="center"/>
                  </w:pPr>
                  <w:r>
                    <w:t xml:space="preserve">No</w:t>
                  </w:r>
                </w:p>
              </w:tc>
            </w:tr>
            <w:tr>
              <w:tc>
                <w:tcPr/>
                <w:p>
                  <w:pPr>
                    <w:pStyle w:val="Compact"/>
                    <w:jc w:val="center"/>
                  </w:pPr>
                  <w:r>
                    <w:t xml:space="preserve">Fragments, nrCE-SDS (%)</w:t>
                  </w:r>
                </w:p>
              </w:tc>
              <w:tc>
                <w:tcPr/>
                <w:p>
                  <w:pPr>
                    <w:pStyle w:val="Compact"/>
                    <w:jc w:val="center"/>
                  </w:pPr>
                  <w:r>
                    <w:t xml:space="preserve">0.021</w:t>
                  </w:r>
                </w:p>
              </w:tc>
              <w:tc>
                <w:tcPr/>
                <w:p>
                  <w:pPr>
                    <w:pStyle w:val="Compact"/>
                    <w:jc w:val="center"/>
                  </w:pPr>
                  <w:r>
                    <w:t xml:space="preserve">0.872</w:t>
                  </w:r>
                </w:p>
              </w:tc>
              <w:tc>
                <w:tcPr/>
                <w:p>
                  <w:pPr>
                    <w:pStyle w:val="Compact"/>
                    <w:jc w:val="center"/>
                  </w:pPr>
                  <w:r>
                    <w:t xml:space="preserve">0.17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0.81</w:t>
                  </w:r>
                </w:p>
              </w:tc>
              <w:tc>
                <w:tcPr/>
                <w:p>
                  <w:pPr>
                    <w:pStyle w:val="Compact"/>
                    <w:jc w:val="center"/>
                  </w:pPr>
                  <w:r>
                    <w:t xml:space="preserve">No</w:t>
                  </w:r>
                </w:p>
              </w:tc>
            </w:tr>
            <w:tr>
              <w:tc>
                <w:tcPr>
                  <w:gridSpan w:val="8"/>
                </w:tcPr>
                <w:p>
                  <w:pPr>
                    <w:pStyle w:val="Compact"/>
                    <w:jc w:val="center"/>
                  </w:pPr>
                  <w:r>
                    <w:t xml:space="preserve">Trend on predicted, the p-value of the regression of the absolute residuals on the predicted values (n.a., a model with no term predicts a single value). Trend on run order, the p-value of the regression of the residuals on the run order of execution, which Appendix B gives. Cook's D, Cook's distance. Runs above 4/n, the number of runs with a Cook's distance above 0.14, each examined by deleting it. F median, the median of the F distribution with p and n − p degrees of freedom, p being the number of coefficients of the model, above which a run fails it. Met, no trend significant at α = 0.05 and no run above the F median.</w:t>
                  </w:r>
                </w:p>
              </w:tc>
            </w:tr>
          </w:tbl>
          <w:bookmarkEnd w:id="89"/>
          <w:p/>
        </w:tc>
      </w:tr>
    </w:tbl>
    <w:p>
      <w:pPr>
        <w:pStyle w:val="BodyText"/>
      </w:pPr>
      <w:r>
        <w:t xml:space="preserve">Two of the 7 trend tests are significant at α = 0.05, so criterion 5 is not met for leached Protein A or for fragments on their trends. The residuals of leached Protein A rise with the run order of execution (p = 0.046), by 0.84 ppm over the 28 runs. That is 0.5 % of the criterion of ≤ 158 ppm. The cause of the drift was not investigated. The absolute residuals of fragments rise with the predicted value (p = 0.021), so the spread of the fragment results grows with their level. Across the range of the predictions the mean absolute residual grows by 0.04 percentage points. The upper prediction limit of fragments over the NOR lies 1.36 points below its criterion.</w:t>
      </w:r>
    </w:p>
    <w:p>
      <w:pPr>
        <w:pStyle w:val="BodyText"/>
      </w:pPr>
      <w:r>
        <w:t xml:space="preserve">Every selected model has runs above the Cook’s distance limit of 4/n, between 1 and 3 per output. The cut-off flags runs even when a model is correct. In data simulated from each selected model with normal residuals, it flags on average between 1.3 and 2.5 of the 28 runs, and at least one run in 87 to 96 % of the data sets. A flagged run is therefore examined, and it fails the model only where its Cook’s distance exceeds the median of F(p, n − p), 0.47 to 0.92 for these models. No run exceeds it, and the largest Cook’s distance is 0.26. Criterion 5 is therefore met for pool host cell protein and step yield, and it is not met for leached Protein A and fragments, because of their residual trends.</w:t>
      </w:r>
    </w:p>
    <w:p>
      <w:pPr>
        <w:pStyle w:val="BodyText"/>
      </w:pPr>
      <w:r>
        <w:t xml:space="preserve">For each output with a criterion, each run above 4/n was deleted in turn, the model selection repeated, and the output judged over the NOR again. For pool host cell protein these are runs 6, 12 and 23. With any one of them deleted, the upper prediction limit over the NOR lies between 14,978 and 15,252 ng/mg at manufacturing scale, against 15,349 ng/mg with every run. With the offset at the low end of its interval it is at most 16,657 ng/mg, below the criterion of ≤ 17,069 ng/mg. The coefficients of protein load and elution buffer pH change by at most 3.1 %. Deleting run 23 adds the interaction of protein load with elution buffer pH and the square of protein load to the selected model (</w:t>
      </w:r>
      <w:hyperlink w:anchor="sec-dev01">
        <w:r>
          <w:rPr>
            <w:rStyle w:val="Hyperlink"/>
          </w:rPr>
          <w:t xml:space="preserve">Section 13.1</w:t>
        </w:r>
      </w:hyperlink>
      <w:r>
        <w:t xml:space="preserve">). Run 23 therefore decides whether the selected model contains that interaction, but not the conclusion over the NOR. Leached Protein A with run 7 deleted, and fragments with run 1 deleted, still meet their criteria at every combination of the NOR.</w:t>
      </w:r>
    </w:p>
    <w:bookmarkEnd w:id="90"/>
    <w:bookmarkStart w:id="93" w:name="sec-uni"/>
    <w:p>
      <w:pPr>
        <w:pStyle w:val="Heading2"/>
      </w:pPr>
      <w:r>
        <w:t xml:space="preserve">5.6 Univariate assessment</w:t>
      </w:r>
    </w:p>
    <w:p>
      <w:pPr>
        <w:pStyle w:val="FirstParagraph"/>
      </w:pPr>
      <w:hyperlink w:anchor="tbl-uni">
        <w:r>
          <w:rPr>
            <w:rStyle w:val="Hyperlink"/>
          </w:rPr>
          <w:t xml:space="preserve">Table 23</w:t>
        </w:r>
      </w:hyperlink>
      <w:r>
        <w:t xml:space="preserve"> </w:t>
      </w:r>
      <w:r>
        <w:t xml:space="preserve">gives the results of the univariate study S-PA-UNI for pool host cell protein, step yield and leached Protein A. Each end of each range is the arithmetic mean of 2 runs. The difference is taken from the arithmetic mean of the 3 set-point runs of the planned qualification study S-PA-SDM, with its 95 % confidence interval (Student t, pooled variance). The qualification runs are the reference because the univariate study made no run at the centre of each range (DEV-005-03,</w:t>
      </w:r>
      <w:r>
        <w:t xml:space="preserve"> </w:t>
      </w:r>
      <w:hyperlink w:anchor="sec-dev03">
        <w:r>
          <w:rPr>
            <w:rStyle w:val="Hyperlink"/>
          </w:rPr>
          <w:t xml:space="preserve">Section 13.3</w:t>
        </w:r>
      </w:hyperlink>
      <w:r>
        <w:t xml:space="preserve">). Both are in the scale-down model. The offset of leached Protein A is a difference, and it cancels from the difference. The offset of pool host cell protein is a ratio, and at manufacturing scale each difference in pool host cell protein would be divided by it, a change of 3 %.</w:t>
      </w:r>
      <w:r>
        <w:t xml:space="preserve"> </w:t>
      </w:r>
      <w:hyperlink w:anchor="tbl-sdm-offsets-planned">
        <w:r>
          <w:rPr>
            <w:rStyle w:val="Hyperlink"/>
          </w:rPr>
          <w:t xml:space="preserve">Table 33</w:t>
        </w:r>
      </w:hyperlink>
      <w:r>
        <w:t xml:space="preserve"> </w:t>
      </w:r>
      <w:r>
        <w:t xml:space="preserve">gives the geometric mean of pool host cell protein for the same set-point runs, because that output is modelled on the log scale.</w:t>
      </w:r>
    </w:p>
    <w:tbl>
      <w:tblPr>
        <w:tblStyle w:val="Table"/>
        <w:tblW w:type="pct" w:w="5000"/>
        <w:tblLayout w:type="fixed"/>
        <w:tblLook w:firstRow="0" w:lastRow="0" w:firstColumn="0" w:lastColumn="0" w:noHBand="0" w:noVBand="0" w:val="0000"/>
      </w:tblPr>
      <w:tblGrid>
        <w:gridCol w:w="7920"/>
      </w:tblGrid>
      <w:tr>
        <w:tc>
          <w:tcPr/>
          <w:bookmarkStart w:id="91" w:name="tbl-uni"/>
          <w:p>
            <w:pPr>
              <w:jc w:val="center"/>
            </w:pPr>
            <w:pPr>
              <w:jc w:val="start"/>
              <w:spacing w:before="200"/>
              <w:pStyle w:val="ImageCaption"/>
            </w:pPr>
            <w:r>
              <w:t xml:space="preserve">Table 23: Univariate study of operating temperature and bed height (S-PA-UNI), difference from the set-point runs.</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Parameter</w:t>
                  </w:r>
                </w:p>
              </w:tc>
              <w:tc>
                <w:tcPr>
                  <w:vMerge w:val="restart"/>
                </w:tcPr>
                <w:p>
                  <w:pPr>
                    <w:pStyle w:val="Compact"/>
                    <w:jc w:val="center"/>
                  </w:pPr>
                  <w:r>
                    <w:t xml:space="preserve">Setting</w:t>
                  </w:r>
                </w:p>
              </w:tc>
              <w:tc>
                <w:tcPr>
                  <w:gridSpan w:val="2"/>
                </w:tcPr>
                <w:p>
                  <w:pPr>
                    <w:pStyle w:val="Compact"/>
                    <w:jc w:val="center"/>
                  </w:pPr>
                  <w:r>
                    <w:t xml:space="preserve">HCP (ng/mg)</w:t>
                  </w:r>
                </w:p>
              </w:tc>
              <w:tc>
                <w:tcPr>
                  <w:gridSpan w:val="2"/>
                </w:tcPr>
                <w:p>
                  <w:pPr>
                    <w:pStyle w:val="Compact"/>
                    <w:jc w:val="center"/>
                  </w:pPr>
                  <w:r>
                    <w:t xml:space="preserve">Yield (points)</w:t>
                  </w:r>
                </w:p>
              </w:tc>
              <w:tc>
                <w:tcPr>
                  <w:gridSpan w:val="2"/>
                </w:tcPr>
                <w:p>
                  <w:pPr>
                    <w:pStyle w:val="Compact"/>
                    <w:jc w:val="center"/>
                  </w:pPr>
                  <w:r>
                    <w:t xml:space="preserve">LPA (ppm)</w:t>
                  </w:r>
                </w:p>
              </w:tc>
            </w:tr>
            <w:tr>
              <w:trPr>
                <w:tblHeader w:val="on"/>
              </w:trPr>
              <w:tc>
                <w:tcPr>
                  <w:gridSpan w:val="1"/>
                  <w:vMerge w:val="continue"/>
                </w:tcPr>
                <w:p>
                  <w:pPr/>
                </w:p>
              </w:tc>
              <w:tc>
                <w:tcPr>
                  <w:gridSpan w:val="1"/>
                  <w:vMerge w:val="continue"/>
                </w:tcPr>
                <w:p>
                  <w:pPr/>
                </w:p>
              </w:tc>
              <w:tc>
                <w:tcPr/>
                <w:p>
                  <w:pPr>
                    <w:pStyle w:val="Compact"/>
                    <w:jc w:val="center"/>
                  </w:pPr>
                  <w:r>
                    <w:t xml:space="preserve">Δ</w:t>
                  </w:r>
                </w:p>
              </w:tc>
              <w:tc>
                <w:tcPr/>
                <w:p>
                  <w:pPr>
                    <w:pStyle w:val="Compact"/>
                    <w:jc w:val="center"/>
                  </w:pPr>
                  <w:r>
                    <w:t xml:space="preserve">95 % CI</w:t>
                  </w:r>
                </w:p>
              </w:tc>
              <w:tc>
                <w:tcPr/>
                <w:p>
                  <w:pPr>
                    <w:pStyle w:val="Compact"/>
                    <w:jc w:val="center"/>
                  </w:pPr>
                  <w:r>
                    <w:t xml:space="preserve">Δ</w:t>
                  </w:r>
                </w:p>
              </w:tc>
              <w:tc>
                <w:tcPr/>
                <w:p>
                  <w:pPr>
                    <w:pStyle w:val="Compact"/>
                    <w:jc w:val="center"/>
                  </w:pPr>
                  <w:r>
                    <w:t xml:space="preserve">95 % CI</w:t>
                  </w:r>
                </w:p>
              </w:tc>
              <w:tc>
                <w:tcPr/>
                <w:p>
                  <w:pPr>
                    <w:pStyle w:val="Compact"/>
                    <w:jc w:val="center"/>
                  </w:pPr>
                  <w:r>
                    <w:t xml:space="preserve">Δ</w:t>
                  </w:r>
                </w:p>
              </w:tc>
              <w:tc>
                <w:tcPr/>
                <w:p>
                  <w:pPr>
                    <w:pStyle w:val="Compact"/>
                    <w:jc w:val="center"/>
                  </w:pPr>
                  <w:r>
                    <w:t xml:space="preserve">95 % CI</w:t>
                  </w:r>
                </w:p>
              </w:tc>
            </w:tr>
            <w:tr>
              <w:tc>
                <w:tcPr>
                  <w:vMerge w:val="restart"/>
                </w:tcPr>
                <w:p>
                  <w:pPr>
                    <w:pStyle w:val="Compact"/>
                    <w:jc w:val="center"/>
                  </w:pPr>
                  <w:r>
                    <w:t xml:space="preserve">Operating temperature</w:t>
                  </w:r>
                </w:p>
              </w:tc>
              <w:tc>
                <w:tcPr/>
                <w:p>
                  <w:pPr>
                    <w:pStyle w:val="Compact"/>
                    <w:jc w:val="center"/>
                  </w:pPr>
                  <w:r>
                    <w:t xml:space="preserve">15 °C</w:t>
                  </w:r>
                </w:p>
              </w:tc>
              <w:tc>
                <w:tcPr/>
                <w:p>
                  <w:pPr>
                    <w:pStyle w:val="Compact"/>
                    <w:jc w:val="center"/>
                  </w:pPr>
                  <w:r>
                    <w:t xml:space="preserve">2,005</w:t>
                  </w:r>
                </w:p>
              </w:tc>
              <w:tc>
                <w:tcPr/>
                <w:p>
                  <w:pPr>
                    <w:pStyle w:val="Compact"/>
                    <w:jc w:val="center"/>
                  </w:pPr>
                  <w:r>
                    <w:t xml:space="preserve">−281 to 4,291</w:t>
                  </w:r>
                </w:p>
              </w:tc>
              <w:tc>
                <w:tcPr/>
                <w:p>
                  <w:pPr>
                    <w:pStyle w:val="Compact"/>
                    <w:jc w:val="center"/>
                  </w:pPr>
                  <w:r>
                    <w:t xml:space="preserve">3.6</w:t>
                  </w:r>
                </w:p>
              </w:tc>
              <w:tc>
                <w:tcPr/>
                <w:p>
                  <w:pPr>
                    <w:pStyle w:val="Compact"/>
                    <w:jc w:val="center"/>
                  </w:pPr>
                  <w:r>
                    <w:t xml:space="preserve">−4.9 to 12.0</w:t>
                  </w:r>
                </w:p>
              </w:tc>
              <w:tc>
                <w:tcPr/>
                <w:p>
                  <w:pPr>
                    <w:pStyle w:val="Compact"/>
                    <w:jc w:val="center"/>
                  </w:pPr>
                  <w:r>
                    <w:t xml:space="preserve">0.26</w:t>
                  </w:r>
                </w:p>
              </w:tc>
              <w:tc>
                <w:tcPr/>
                <w:p>
                  <w:pPr>
                    <w:pStyle w:val="Compact"/>
                    <w:jc w:val="center"/>
                  </w:pPr>
                  <w:r>
                    <w:t xml:space="preserve">−1.46 to 1.99</w:t>
                  </w:r>
                </w:p>
              </w:tc>
            </w:tr>
            <w:tr>
              <w:tc>
                <w:tcPr>
                  <w:gridSpan w:val="1"/>
                  <w:vMerge w:val="continue"/>
                </w:tcPr>
                <w:p>
                  <w:pPr/>
                </w:p>
              </w:tc>
              <w:tc>
                <w:tcPr/>
                <w:p>
                  <w:pPr>
                    <w:pStyle w:val="Compact"/>
                    <w:jc w:val="center"/>
                  </w:pPr>
                  <w:r>
                    <w:t xml:space="preserve">30 °C</w:t>
                  </w:r>
                </w:p>
              </w:tc>
              <w:tc>
                <w:tcPr/>
                <w:p>
                  <w:pPr>
                    <w:pStyle w:val="Compact"/>
                    <w:jc w:val="center"/>
                  </w:pPr>
                  <w:r>
                    <w:t xml:space="preserve">417</w:t>
                  </w:r>
                </w:p>
              </w:tc>
              <w:tc>
                <w:tcPr/>
                <w:p>
                  <w:pPr>
                    <w:pStyle w:val="Compact"/>
                    <w:jc w:val="center"/>
                  </w:pPr>
                  <w:r>
                    <w:t xml:space="preserve">−1,186 to 2,021</w:t>
                  </w:r>
                </w:p>
              </w:tc>
              <w:tc>
                <w:tcPr/>
                <w:p>
                  <w:pPr>
                    <w:pStyle w:val="Compact"/>
                    <w:jc w:val="center"/>
                  </w:pPr>
                  <w:r>
                    <w:t xml:space="preserve">4.1</w:t>
                  </w:r>
                </w:p>
              </w:tc>
              <w:tc>
                <w:tcPr/>
                <w:p>
                  <w:pPr>
                    <w:pStyle w:val="Compact"/>
                    <w:jc w:val="center"/>
                  </w:pPr>
                  <w:r>
                    <w:t xml:space="preserve">−4.4 to 12.5</w:t>
                  </w:r>
                </w:p>
              </w:tc>
              <w:tc>
                <w:tcPr/>
                <w:p>
                  <w:pPr>
                    <w:pStyle w:val="Compact"/>
                    <w:jc w:val="center"/>
                  </w:pPr>
                  <w:r>
                    <w:t xml:space="preserve">1.51</w:t>
                  </w:r>
                </w:p>
              </w:tc>
              <w:tc>
                <w:tcPr/>
                <w:p>
                  <w:pPr>
                    <w:pStyle w:val="Compact"/>
                    <w:jc w:val="center"/>
                  </w:pPr>
                  <w:r>
                    <w:t xml:space="preserve">−0.67 to 3.70</w:t>
                  </w:r>
                </w:p>
              </w:tc>
            </w:tr>
            <w:tr>
              <w:tc>
                <w:tcPr>
                  <w:vMerge w:val="restart"/>
                </w:tcPr>
                <w:p>
                  <w:pPr>
                    <w:pStyle w:val="Compact"/>
                    <w:jc w:val="center"/>
                  </w:pPr>
                  <w:r>
                    <w:t xml:space="preserve">Bed height</w:t>
                  </w:r>
                </w:p>
              </w:tc>
              <w:tc>
                <w:tcPr/>
                <w:p>
                  <w:pPr>
                    <w:pStyle w:val="Compact"/>
                    <w:jc w:val="center"/>
                  </w:pPr>
                  <w:r>
                    <w:t xml:space="preserve">10 cm</w:t>
                  </w:r>
                </w:p>
              </w:tc>
              <w:tc>
                <w:tcPr/>
                <w:p>
                  <w:pPr>
                    <w:pStyle w:val="Compact"/>
                    <w:jc w:val="center"/>
                  </w:pPr>
                  <w:r>
                    <w:t xml:space="preserve">13</w:t>
                  </w:r>
                </w:p>
              </w:tc>
              <w:tc>
                <w:tcPr/>
                <w:p>
                  <w:pPr>
                    <w:pStyle w:val="Compact"/>
                    <w:jc w:val="center"/>
                  </w:pPr>
                  <w:r>
                    <w:t xml:space="preserve">−1,446 to 1,471</w:t>
                  </w:r>
                </w:p>
              </w:tc>
              <w:tc>
                <w:tcPr/>
                <w:p>
                  <w:pPr>
                    <w:pStyle w:val="Compact"/>
                    <w:jc w:val="center"/>
                  </w:pPr>
                  <w:r>
                    <w:t xml:space="preserve">3.1</w:t>
                  </w:r>
                </w:p>
              </w:tc>
              <w:tc>
                <w:tcPr/>
                <w:p>
                  <w:pPr>
                    <w:pStyle w:val="Compact"/>
                    <w:jc w:val="center"/>
                  </w:pPr>
                  <w:r>
                    <w:t xml:space="preserve">−6.9 to 13.0</w:t>
                  </w:r>
                </w:p>
              </w:tc>
              <w:tc>
                <w:tcPr/>
                <w:p>
                  <w:pPr>
                    <w:pStyle w:val="Compact"/>
                    <w:jc w:val="center"/>
                  </w:pPr>
                  <w:r>
                    <w:t xml:space="preserve">0.76</w:t>
                  </w:r>
                </w:p>
              </w:tc>
              <w:tc>
                <w:tcPr/>
                <w:p>
                  <w:pPr>
                    <w:pStyle w:val="Compact"/>
                    <w:jc w:val="center"/>
                  </w:pPr>
                  <w:r>
                    <w:t xml:space="preserve">−1.12 to 2.65</w:t>
                  </w:r>
                </w:p>
              </w:tc>
            </w:tr>
            <w:tr>
              <w:tc>
                <w:tcPr>
                  <w:gridSpan w:val="1"/>
                  <w:vMerge w:val="continue"/>
                </w:tcPr>
                <w:p>
                  <w:pPr/>
                </w:p>
              </w:tc>
              <w:tc>
                <w:tcPr/>
                <w:p>
                  <w:pPr>
                    <w:pStyle w:val="Compact"/>
                    <w:jc w:val="center"/>
                  </w:pPr>
                  <w:r>
                    <w:t xml:space="preserve">30 cm</w:t>
                  </w:r>
                </w:p>
              </w:tc>
              <w:tc>
                <w:tcPr/>
                <w:p>
                  <w:pPr>
                    <w:pStyle w:val="Compact"/>
                    <w:jc w:val="center"/>
                  </w:pPr>
                  <w:r>
                    <w:t xml:space="preserve">486</w:t>
                  </w:r>
                </w:p>
              </w:tc>
              <w:tc>
                <w:tcPr/>
                <w:p>
                  <w:pPr>
                    <w:pStyle w:val="Compact"/>
                    <w:jc w:val="center"/>
                  </w:pPr>
                  <w:r>
                    <w:t xml:space="preserve">−1,843 to 2,815</w:t>
                  </w:r>
                </w:p>
              </w:tc>
              <w:tc>
                <w:tcPr/>
                <w:p>
                  <w:pPr>
                    <w:pStyle w:val="Compact"/>
                    <w:jc w:val="center"/>
                  </w:pPr>
                  <w:r>
                    <w:t xml:space="preserve">2.4</w:t>
                  </w:r>
                </w:p>
              </w:tc>
              <w:tc>
                <w:tcPr/>
                <w:p>
                  <w:pPr>
                    <w:pStyle w:val="Compact"/>
                    <w:jc w:val="center"/>
                  </w:pPr>
                  <w:r>
                    <w:t xml:space="preserve">−7.8 to 12.6</w:t>
                  </w:r>
                </w:p>
              </w:tc>
              <w:tc>
                <w:tcPr/>
                <w:p>
                  <w:pPr>
                    <w:pStyle w:val="Compact"/>
                    <w:jc w:val="center"/>
                  </w:pPr>
                  <w:r>
                    <w:t xml:space="preserve">0.59</w:t>
                  </w:r>
                </w:p>
              </w:tc>
              <w:tc>
                <w:tcPr/>
                <w:p>
                  <w:pPr>
                    <w:pStyle w:val="Compact"/>
                    <w:jc w:val="center"/>
                  </w:pPr>
                  <w:r>
                    <w:t xml:space="preserve">−1.15 to 2.32</w:t>
                  </w:r>
                </w:p>
              </w:tc>
            </w:tr>
            <w:tr>
              <w:tc>
                <w:tcPr>
                  <w:gridSpan w:val="8"/>
                </w:tcPr>
                <w:p>
                  <w:pPr>
                    <w:pStyle w:val="Compact"/>
                    <w:jc w:val="center"/>
                  </w:pPr>
                  <w:r>
                    <w:t xml:space="preserve">Δ, the arithmetic mean of the 2 runs at the setting minus the arithmetic mean of the 3 set-point runs of study S-PA-SDM, both in the scale-down model. CI, confidence interval. HCP, pool host cell protein. LPA, leached Protein A. Yield in percentage points. Aggregate and fragments by SEC have no difference, because the set-point runs of study S-PA-SDM were not tested by SEC. Fragments by nrCE-SDS were not tested in this study.</w:t>
                  </w:r>
                </w:p>
              </w:tc>
            </w:tr>
          </w:tbl>
          <w:bookmarkEnd w:id="91"/>
          <w:p/>
        </w:tc>
      </w:tr>
    </w:tbl>
    <w:p>
      <w:pPr>
        <w:pStyle w:val="BodyText"/>
      </w:pPr>
      <w:hyperlink w:anchor="tbl-uni-ind">
        <w:r>
          <w:rPr>
            <w:rStyle w:val="Hyperlink"/>
          </w:rPr>
          <w:t xml:space="preserve">Table 24</w:t>
        </w:r>
      </w:hyperlink>
      <w:r>
        <w:t xml:space="preserve"> </w:t>
      </w:r>
      <w:r>
        <w:t xml:space="preserve">gives the individual results, as measured in the scale-down model, with the reference runs.</w:t>
      </w:r>
    </w:p>
    <w:tbl>
      <w:tblPr>
        <w:tblStyle w:val="Table"/>
        <w:tblW w:type="pct" w:w="5000"/>
        <w:tblLayout w:type="fixed"/>
        <w:tblLook w:firstRow="0" w:lastRow="0" w:firstColumn="0" w:lastColumn="0" w:noHBand="0" w:noVBand="0" w:val="0000"/>
      </w:tblPr>
      <w:tblGrid>
        <w:gridCol w:w="7920"/>
      </w:tblGrid>
      <w:tr>
        <w:tc>
          <w:tcPr/>
          <w:bookmarkStart w:id="92" w:name="tbl-uni-ind"/>
          <w:p>
            <w:pPr>
              <w:jc w:val="center"/>
            </w:pPr>
            <w:pPr>
              <w:jc w:val="start"/>
              <w:spacing w:before="200"/>
              <w:pStyle w:val="ImageCaption"/>
            </w:pPr>
            <w:r>
              <w:t xml:space="preserve">Table 24: Individual results of study S-PA-UNI and of its reference runs, scale-down model.</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Parameter</w:t>
                  </w:r>
                </w:p>
              </w:tc>
              <w:tc>
                <w:tcPr/>
                <w:p>
                  <w:pPr>
                    <w:pStyle w:val="Compact"/>
                    <w:jc w:val="center"/>
                  </w:pPr>
                  <w:r>
                    <w:t xml:space="preserve">Setting</w:t>
                  </w:r>
                </w:p>
              </w:tc>
              <w:tc>
                <w:tcPr/>
                <w:p>
                  <w:pPr>
                    <w:pStyle w:val="Compact"/>
                    <w:jc w:val="center"/>
                  </w:pPr>
                  <w:r>
                    <w:t xml:space="preserve">Run</w:t>
                  </w:r>
                </w:p>
              </w:tc>
              <w:tc>
                <w:tcPr/>
                <w:p>
                  <w:pPr>
                    <w:pStyle w:val="Compact"/>
                    <w:jc w:val="center"/>
                  </w:pPr>
                  <w:r>
                    <w:t xml:space="preserve">HCP</w:t>
                  </w:r>
                  <w:r>
                    <w:br/>
                  </w:r>
                  <w:r>
                    <w:t xml:space="preserve">(ng/mg)</w:t>
                  </w:r>
                </w:p>
              </w:tc>
              <w:tc>
                <w:tcPr/>
                <w:p>
                  <w:pPr>
                    <w:pStyle w:val="Compact"/>
                    <w:jc w:val="center"/>
                  </w:pPr>
                  <w:r>
                    <w:t xml:space="preserve">Yield</w:t>
                  </w:r>
                  <w:r>
                    <w:br/>
                  </w:r>
                  <w:r>
                    <w:t xml:space="preserve">(%)</w:t>
                  </w:r>
                </w:p>
              </w:tc>
              <w:tc>
                <w:tcPr/>
                <w:p>
                  <w:pPr>
                    <w:pStyle w:val="Compact"/>
                    <w:jc w:val="center"/>
                  </w:pPr>
                  <w:r>
                    <w:t xml:space="preserve">LPA</w:t>
                  </w:r>
                  <w:r>
                    <w:br/>
                  </w:r>
                  <w:r>
                    <w:t xml:space="preserve">(ppm)</w:t>
                  </w:r>
                </w:p>
              </w:tc>
              <w:tc>
                <w:tcPr/>
                <w:p>
                  <w:pPr>
                    <w:pStyle w:val="Compact"/>
                    <w:jc w:val="center"/>
                  </w:pPr>
                  <w:r>
                    <w:t xml:space="preserve">HMW,</w:t>
                  </w:r>
                  <w:r>
                    <w:br/>
                  </w:r>
                  <w:r>
                    <w:t xml:space="preserve">SEC (%)</w:t>
                  </w:r>
                </w:p>
              </w:tc>
              <w:tc>
                <w:tcPr/>
                <w:p>
                  <w:pPr>
                    <w:pStyle w:val="Compact"/>
                    <w:jc w:val="center"/>
                  </w:pPr>
                  <w:r>
                    <w:t xml:space="preserve">LMW,</w:t>
                  </w:r>
                  <w:r>
                    <w:br/>
                  </w:r>
                  <w:r>
                    <w:t xml:space="preserve">SEC (%)</w:t>
                  </w:r>
                </w:p>
              </w:tc>
            </w:tr>
            <w:tr>
              <w:tc>
                <w:tcPr>
                  <w:vMerge w:val="restart"/>
                </w:tcPr>
                <w:p>
                  <w:pPr>
                    <w:pStyle w:val="Compact"/>
                    <w:jc w:val="center"/>
                  </w:pPr>
                  <w:r>
                    <w:t xml:space="preserve">Operating temperature</w:t>
                  </w:r>
                </w:p>
              </w:tc>
              <w:tc>
                <w:tcPr>
                  <w:vMerge w:val="restart"/>
                </w:tcPr>
                <w:p>
                  <w:pPr>
                    <w:pStyle w:val="Compact"/>
                    <w:jc w:val="center"/>
                  </w:pPr>
                  <w:r>
                    <w:t xml:space="preserve">15 °C</w:t>
                  </w:r>
                </w:p>
              </w:tc>
              <w:tc>
                <w:tcPr/>
                <w:p>
                  <w:pPr>
                    <w:pStyle w:val="Compact"/>
                    <w:jc w:val="center"/>
                  </w:pPr>
                  <w:r>
                    <w:t xml:space="preserve">1</w:t>
                  </w:r>
                </w:p>
              </w:tc>
              <w:tc>
                <w:tcPr/>
                <w:p>
                  <w:pPr>
                    <w:pStyle w:val="Compact"/>
                    <w:jc w:val="center"/>
                  </w:pPr>
                  <w:r>
                    <w:t xml:space="preserve">10,209</w:t>
                  </w:r>
                </w:p>
              </w:tc>
              <w:tc>
                <w:tcPr/>
                <w:p>
                  <w:pPr>
                    <w:pStyle w:val="Compact"/>
                    <w:jc w:val="center"/>
                  </w:pPr>
                  <w:r>
                    <w:t xml:space="preserve">96.5</w:t>
                  </w:r>
                </w:p>
              </w:tc>
              <w:tc>
                <w:tcPr/>
                <w:p>
                  <w:pPr>
                    <w:pStyle w:val="Compact"/>
                    <w:jc w:val="center"/>
                  </w:pPr>
                  <w:r>
                    <w:t xml:space="preserve">2.51</w:t>
                  </w:r>
                </w:p>
              </w:tc>
              <w:tc>
                <w:tcPr/>
                <w:p>
                  <w:pPr>
                    <w:pStyle w:val="Compact"/>
                    <w:jc w:val="center"/>
                  </w:pPr>
                  <w:r>
                    <w:t xml:space="preserve">1.59</w:t>
                  </w:r>
                </w:p>
              </w:tc>
              <w:tc>
                <w:tcPr/>
                <w:p>
                  <w:pPr>
                    <w:pStyle w:val="Compact"/>
                    <w:jc w:val="center"/>
                  </w:pPr>
                  <w:r>
                    <w:t xml:space="preserve">1.42</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8,628</w:t>
                  </w:r>
                </w:p>
              </w:tc>
              <w:tc>
                <w:tcPr/>
                <w:p>
                  <w:pPr>
                    <w:pStyle w:val="Compact"/>
                    <w:jc w:val="center"/>
                  </w:pPr>
                  <w:r>
                    <w:t xml:space="preserve">97.8</w:t>
                  </w:r>
                </w:p>
              </w:tc>
              <w:tc>
                <w:tcPr/>
                <w:p>
                  <w:pPr>
                    <w:pStyle w:val="Compact"/>
                    <w:jc w:val="center"/>
                  </w:pPr>
                  <w:r>
                    <w:t xml:space="preserve">2.22</w:t>
                  </w:r>
                </w:p>
              </w:tc>
              <w:tc>
                <w:tcPr/>
                <w:p>
                  <w:pPr>
                    <w:pStyle w:val="Compact"/>
                    <w:jc w:val="center"/>
                  </w:pPr>
                  <w:r>
                    <w:t xml:space="preserve">1.55</w:t>
                  </w:r>
                </w:p>
              </w:tc>
              <w:tc>
                <w:tcPr/>
                <w:p>
                  <w:pPr>
                    <w:pStyle w:val="Compact"/>
                    <w:jc w:val="center"/>
                  </w:pPr>
                  <w:r>
                    <w:t xml:space="preserve">1.34</w:t>
                  </w:r>
                </w:p>
              </w:tc>
            </w:tr>
            <w:tr>
              <w:tc>
                <w:tcPr>
                  <w:gridSpan w:val="1"/>
                  <w:vMerge w:val="continue"/>
                </w:tcPr>
                <w:p>
                  <w:pPr/>
                </w:p>
              </w:tc>
              <w:tc>
                <w:tcPr>
                  <w:vMerge w:val="restart"/>
                </w:tcPr>
                <w:p>
                  <w:pPr>
                    <w:pStyle w:val="Compact"/>
                    <w:jc w:val="center"/>
                  </w:pPr>
                  <w:r>
                    <w:t xml:space="preserve">30 °C</w:t>
                  </w:r>
                </w:p>
              </w:tc>
              <w:tc>
                <w:tcPr/>
                <w:p>
                  <w:pPr>
                    <w:pStyle w:val="Compact"/>
                    <w:jc w:val="center"/>
                  </w:pPr>
                  <w:r>
                    <w:t xml:space="preserve">1</w:t>
                  </w:r>
                </w:p>
              </w:tc>
              <w:tc>
                <w:tcPr/>
                <w:p>
                  <w:pPr>
                    <w:pStyle w:val="Compact"/>
                    <w:jc w:val="center"/>
                  </w:pPr>
                  <w:r>
                    <w:t xml:space="preserve">7,441</w:t>
                  </w:r>
                </w:p>
              </w:tc>
              <w:tc>
                <w:tcPr/>
                <w:p>
                  <w:pPr>
                    <w:pStyle w:val="Compact"/>
                    <w:jc w:val="center"/>
                  </w:pPr>
                  <w:r>
                    <w:t xml:space="preserve">98.4</w:t>
                  </w:r>
                </w:p>
              </w:tc>
              <w:tc>
                <w:tcPr/>
                <w:p>
                  <w:pPr>
                    <w:pStyle w:val="Compact"/>
                    <w:jc w:val="center"/>
                  </w:pPr>
                  <w:r>
                    <w:t xml:space="preserve">3.03</w:t>
                  </w:r>
                </w:p>
              </w:tc>
              <w:tc>
                <w:tcPr/>
                <w:p>
                  <w:pPr>
                    <w:pStyle w:val="Compact"/>
                    <w:jc w:val="center"/>
                  </w:pPr>
                  <w:r>
                    <w:t xml:space="preserve">1.56</w:t>
                  </w:r>
                </w:p>
              </w:tc>
              <w:tc>
                <w:tcPr/>
                <w:p>
                  <w:pPr>
                    <w:pStyle w:val="Compact"/>
                    <w:jc w:val="center"/>
                  </w:pPr>
                  <w:r>
                    <w:t xml:space="preserve">1.24</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8,222</w:t>
                  </w:r>
                </w:p>
              </w:tc>
              <w:tc>
                <w:tcPr/>
                <w:p>
                  <w:pPr>
                    <w:pStyle w:val="Compact"/>
                    <w:jc w:val="center"/>
                  </w:pPr>
                  <w:r>
                    <w:t xml:space="preserve">96.9</w:t>
                  </w:r>
                </w:p>
              </w:tc>
              <w:tc>
                <w:tcPr/>
                <w:p>
                  <w:pPr>
                    <w:pStyle w:val="Compact"/>
                    <w:jc w:val="center"/>
                  </w:pPr>
                  <w:r>
                    <w:t xml:space="preserve">4.20</w:t>
                  </w:r>
                </w:p>
              </w:tc>
              <w:tc>
                <w:tcPr/>
                <w:p>
                  <w:pPr>
                    <w:pStyle w:val="Compact"/>
                    <w:jc w:val="center"/>
                  </w:pPr>
                  <w:r>
                    <w:t xml:space="preserve">1.53</w:t>
                  </w:r>
                </w:p>
              </w:tc>
              <w:tc>
                <w:tcPr/>
                <w:p>
                  <w:pPr>
                    <w:pStyle w:val="Compact"/>
                    <w:jc w:val="center"/>
                  </w:pPr>
                  <w:r>
                    <w:t xml:space="preserve">1.31</w:t>
                  </w:r>
                </w:p>
              </w:tc>
            </w:tr>
            <w:tr>
              <w:tc>
                <w:tcPr>
                  <w:vMerge w:val="restart"/>
                </w:tcPr>
                <w:p>
                  <w:pPr>
                    <w:pStyle w:val="Compact"/>
                    <w:jc w:val="center"/>
                  </w:pPr>
                  <w:r>
                    <w:t xml:space="preserve">Bed height</w:t>
                  </w:r>
                </w:p>
              </w:tc>
              <w:tc>
                <w:tcPr>
                  <w:vMerge w:val="restart"/>
                </w:tcPr>
                <w:p>
                  <w:pPr>
                    <w:pStyle w:val="Compact"/>
                    <w:jc w:val="center"/>
                  </w:pPr>
                  <w:r>
                    <w:t xml:space="preserve">10 cm</w:t>
                  </w:r>
                </w:p>
              </w:tc>
              <w:tc>
                <w:tcPr/>
                <w:p>
                  <w:pPr>
                    <w:pStyle w:val="Compact"/>
                    <w:jc w:val="center"/>
                  </w:pPr>
                  <w:r>
                    <w:t xml:space="preserve">1</w:t>
                  </w:r>
                </w:p>
              </w:tc>
              <w:tc>
                <w:tcPr/>
                <w:p>
                  <w:pPr>
                    <w:pStyle w:val="Compact"/>
                    <w:jc w:val="center"/>
                  </w:pPr>
                  <w:r>
                    <w:t xml:space="preserve">7,698</w:t>
                  </w:r>
                </w:p>
              </w:tc>
              <w:tc>
                <w:tcPr/>
                <w:p>
                  <w:pPr>
                    <w:pStyle w:val="Compact"/>
                    <w:jc w:val="center"/>
                  </w:pPr>
                  <w:r>
                    <w:t xml:space="preserve">94.4</w:t>
                  </w:r>
                </w:p>
              </w:tc>
              <w:tc>
                <w:tcPr/>
                <w:p>
                  <w:pPr>
                    <w:pStyle w:val="Compact"/>
                    <w:jc w:val="center"/>
                  </w:pPr>
                  <w:r>
                    <w:t xml:space="preserve">2.52</w:t>
                  </w:r>
                </w:p>
              </w:tc>
              <w:tc>
                <w:tcPr/>
                <w:p>
                  <w:pPr>
                    <w:pStyle w:val="Compact"/>
                    <w:jc w:val="center"/>
                  </w:pPr>
                  <w:r>
                    <w:t xml:space="preserve">1.60</w:t>
                  </w:r>
                </w:p>
              </w:tc>
              <w:tc>
                <w:tcPr/>
                <w:p>
                  <w:pPr>
                    <w:pStyle w:val="Compact"/>
                    <w:jc w:val="center"/>
                  </w:pPr>
                  <w:r>
                    <w:t xml:space="preserve">1.26</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7,155</w:t>
                  </w:r>
                </w:p>
              </w:tc>
              <w:tc>
                <w:tcPr/>
                <w:p>
                  <w:pPr>
                    <w:pStyle w:val="Compact"/>
                    <w:jc w:val="center"/>
                  </w:pPr>
                  <w:r>
                    <w:t xml:space="preserve">99.0</w:t>
                  </w:r>
                </w:p>
              </w:tc>
              <w:tc>
                <w:tcPr/>
                <w:p>
                  <w:pPr>
                    <w:pStyle w:val="Compact"/>
                    <w:jc w:val="center"/>
                  </w:pPr>
                  <w:r>
                    <w:t xml:space="preserve">3.21</w:t>
                  </w:r>
                </w:p>
              </w:tc>
              <w:tc>
                <w:tcPr/>
                <w:p>
                  <w:pPr>
                    <w:pStyle w:val="Compact"/>
                    <w:jc w:val="center"/>
                  </w:pPr>
                  <w:r>
                    <w:t xml:space="preserve">1.50</w:t>
                  </w:r>
                </w:p>
              </w:tc>
              <w:tc>
                <w:tcPr/>
                <w:p>
                  <w:pPr>
                    <w:pStyle w:val="Compact"/>
                    <w:jc w:val="center"/>
                  </w:pPr>
                  <w:r>
                    <w:t xml:space="preserve">1.26</w:t>
                  </w:r>
                </w:p>
              </w:tc>
            </w:tr>
            <w:tr>
              <w:tc>
                <w:tcPr>
                  <w:gridSpan w:val="1"/>
                  <w:vMerge w:val="continue"/>
                </w:tcPr>
                <w:p>
                  <w:pPr/>
                </w:p>
              </w:tc>
              <w:tc>
                <w:tcPr>
                  <w:vMerge w:val="restart"/>
                </w:tcPr>
                <w:p>
                  <w:pPr>
                    <w:pStyle w:val="Compact"/>
                    <w:jc w:val="center"/>
                  </w:pPr>
                  <w:r>
                    <w:t xml:space="preserve">30 cm</w:t>
                  </w:r>
                </w:p>
              </w:tc>
              <w:tc>
                <w:tcPr/>
                <w:p>
                  <w:pPr>
                    <w:pStyle w:val="Compact"/>
                    <w:jc w:val="center"/>
                  </w:pPr>
                  <w:r>
                    <w:t xml:space="preserve">1</w:t>
                  </w:r>
                </w:p>
              </w:tc>
              <w:tc>
                <w:tcPr/>
                <w:p>
                  <w:pPr>
                    <w:pStyle w:val="Compact"/>
                    <w:jc w:val="center"/>
                  </w:pPr>
                  <w:r>
                    <w:t xml:space="preserve">8,712</w:t>
                  </w:r>
                </w:p>
              </w:tc>
              <w:tc>
                <w:tcPr/>
                <w:p>
                  <w:pPr>
                    <w:pStyle w:val="Compact"/>
                    <w:jc w:val="center"/>
                  </w:pPr>
                  <w:r>
                    <w:t xml:space="preserve">93.5</w:t>
                  </w:r>
                </w:p>
              </w:tc>
              <w:tc>
                <w:tcPr/>
                <w:p>
                  <w:pPr>
                    <w:pStyle w:val="Compact"/>
                    <w:jc w:val="center"/>
                  </w:pPr>
                  <w:r>
                    <w:t xml:space="preserve">2.84</w:t>
                  </w:r>
                </w:p>
              </w:tc>
              <w:tc>
                <w:tcPr/>
                <w:p>
                  <w:pPr>
                    <w:pStyle w:val="Compact"/>
                    <w:jc w:val="center"/>
                  </w:pPr>
                  <w:r>
                    <w:t xml:space="preserve">1.57</w:t>
                  </w:r>
                </w:p>
              </w:tc>
              <w:tc>
                <w:tcPr/>
                <w:p>
                  <w:pPr>
                    <w:pStyle w:val="Compact"/>
                    <w:jc w:val="center"/>
                  </w:pPr>
                  <w:r>
                    <w:t xml:space="preserve">1.40</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7,088</w:t>
                  </w:r>
                </w:p>
              </w:tc>
              <w:tc>
                <w:tcPr/>
                <w:p>
                  <w:pPr>
                    <w:pStyle w:val="Compact"/>
                    <w:jc w:val="center"/>
                  </w:pPr>
                  <w:r>
                    <w:t xml:space="preserve">98.5</w:t>
                  </w:r>
                </w:p>
              </w:tc>
              <w:tc>
                <w:tcPr/>
                <w:p>
                  <w:pPr>
                    <w:pStyle w:val="Compact"/>
                    <w:jc w:val="center"/>
                  </w:pPr>
                  <w:r>
                    <w:t xml:space="preserve">2.54</w:t>
                  </w:r>
                </w:p>
              </w:tc>
              <w:tc>
                <w:tcPr/>
                <w:p>
                  <w:pPr>
                    <w:pStyle w:val="Compact"/>
                    <w:jc w:val="center"/>
                  </w:pPr>
                  <w:r>
                    <w:t xml:space="preserve">1.49</w:t>
                  </w:r>
                </w:p>
              </w:tc>
              <w:tc>
                <w:tcPr/>
                <w:p>
                  <w:pPr>
                    <w:pStyle w:val="Compact"/>
                    <w:jc w:val="center"/>
                  </w:pPr>
                  <w:r>
                    <w:t xml:space="preserve">1.28</w:t>
                  </w:r>
                </w:p>
              </w:tc>
            </w:tr>
            <w:tr>
              <w:tc>
                <w:tcPr>
                  <w:vMerge w:val="restart"/>
                </w:tcPr>
                <w:p>
                  <w:pPr>
                    <w:pStyle w:val="Compact"/>
                    <w:jc w:val="center"/>
                  </w:pPr>
                  <w:r>
                    <w:t xml:space="preserve">Reference, S-PA-SDM</w:t>
                  </w:r>
                </w:p>
              </w:tc>
              <w:tc>
                <w:tcPr>
                  <w:vMerge w:val="restart"/>
                </w:tcPr>
                <w:p>
                  <w:pPr>
                    <w:pStyle w:val="Compact"/>
                    <w:jc w:val="center"/>
                  </w:pPr>
                  <w:r>
                    <w:t xml:space="preserve">set-point</w:t>
                  </w:r>
                </w:p>
              </w:tc>
              <w:tc>
                <w:tcPr/>
                <w:p>
                  <w:pPr>
                    <w:pStyle w:val="Compact"/>
                    <w:jc w:val="center"/>
                  </w:pPr>
                  <w:r>
                    <w:t xml:space="preserve">1</w:t>
                  </w:r>
                </w:p>
              </w:tc>
              <w:tc>
                <w:tcPr/>
                <w:p>
                  <w:pPr>
                    <w:pStyle w:val="Compact"/>
                    <w:jc w:val="center"/>
                  </w:pPr>
                  <w:r>
                    <w:t xml:space="preserve">7,436</w:t>
                  </w:r>
                </w:p>
              </w:tc>
              <w:tc>
                <w:tcPr/>
                <w:p>
                  <w:pPr>
                    <w:pStyle w:val="Compact"/>
                    <w:jc w:val="center"/>
                  </w:pPr>
                  <w:r>
                    <w:t xml:space="preserve">89.9</w:t>
                  </w:r>
                </w:p>
              </w:tc>
              <w:tc>
                <w:tcPr/>
                <w:p>
                  <w:pPr>
                    <w:pStyle w:val="Compact"/>
                    <w:jc w:val="center"/>
                  </w:pPr>
                  <w:r>
                    <w:t xml:space="preserve">2.88</w:t>
                  </w:r>
                </w:p>
              </w:tc>
              <w:tc>
                <w:tcPr/>
                <w:p>
                  <w:pPr>
                    <w:pStyle w:val="Compact"/>
                    <w:jc w:val="center"/>
                  </w:pPr>
                  <w:r>
                    <w:t xml:space="preserve">n.t.</w:t>
                  </w:r>
                </w:p>
              </w:tc>
              <w:tc>
                <w:tcPr/>
                <w:p>
                  <w:pPr>
                    <w:pStyle w:val="Compact"/>
                    <w:jc w:val="center"/>
                  </w:pPr>
                  <w:r>
                    <w:t xml:space="preserve">n.t.</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7,955</w:t>
                  </w:r>
                </w:p>
              </w:tc>
              <w:tc>
                <w:tcPr/>
                <w:p>
                  <w:pPr>
                    <w:pStyle w:val="Compact"/>
                    <w:jc w:val="center"/>
                  </w:pPr>
                  <w:r>
                    <w:t xml:space="preserve">96.8</w:t>
                  </w:r>
                </w:p>
              </w:tc>
              <w:tc>
                <w:tcPr/>
                <w:p>
                  <w:pPr>
                    <w:pStyle w:val="Compact"/>
                    <w:jc w:val="center"/>
                  </w:pPr>
                  <w:r>
                    <w:t xml:space="preserve">1.48</w:t>
                  </w:r>
                </w:p>
              </w:tc>
              <w:tc>
                <w:tcPr/>
                <w:p>
                  <w:pPr>
                    <w:pStyle w:val="Compact"/>
                    <w:jc w:val="center"/>
                  </w:pPr>
                  <w:r>
                    <w:t xml:space="preserve">n.t.</w:t>
                  </w:r>
                </w:p>
              </w:tc>
              <w:tc>
                <w:tcPr/>
                <w:p>
                  <w:pPr>
                    <w:pStyle w:val="Compact"/>
                    <w:jc w:val="center"/>
                  </w:pPr>
                  <w:r>
                    <w:t xml:space="preserve">n.t.</w:t>
                  </w:r>
                </w:p>
              </w:tc>
            </w:tr>
            <w:tr>
              <w:tc>
                <w:tcPr>
                  <w:gridSpan w:val="1"/>
                  <w:vMerge w:val="continue"/>
                </w:tcPr>
                <w:p>
                  <w:pPr/>
                </w:p>
              </w:tc>
              <w:tc>
                <w:tcPr>
                  <w:gridSpan w:val="1"/>
                  <w:vMerge w:val="continue"/>
                </w:tcPr>
                <w:p>
                  <w:pPr/>
                </w:p>
              </w:tc>
              <w:tc>
                <w:tcPr/>
                <w:p>
                  <w:pPr>
                    <w:pStyle w:val="Compact"/>
                    <w:jc w:val="center"/>
                  </w:pPr>
                  <w:r>
                    <w:t xml:space="preserve">3</w:t>
                  </w:r>
                </w:p>
              </w:tc>
              <w:tc>
                <w:tcPr/>
                <w:p>
                  <w:pPr>
                    <w:pStyle w:val="Compact"/>
                    <w:jc w:val="center"/>
                  </w:pPr>
                  <w:r>
                    <w:t xml:space="preserve">6,852</w:t>
                  </w:r>
                </w:p>
              </w:tc>
              <w:tc>
                <w:tcPr/>
                <w:p>
                  <w:pPr>
                    <w:pStyle w:val="Compact"/>
                    <w:jc w:val="center"/>
                  </w:pPr>
                  <w:r>
                    <w:t xml:space="preserve">94.1</w:t>
                  </w:r>
                </w:p>
              </w:tc>
              <w:tc>
                <w:tcPr/>
                <w:p>
                  <w:pPr>
                    <w:pStyle w:val="Compact"/>
                    <w:jc w:val="center"/>
                  </w:pPr>
                  <w:r>
                    <w:t xml:space="preserve">1.94</w:t>
                  </w:r>
                </w:p>
              </w:tc>
              <w:tc>
                <w:tcPr/>
                <w:p>
                  <w:pPr>
                    <w:pStyle w:val="Compact"/>
                    <w:jc w:val="center"/>
                  </w:pPr>
                  <w:r>
                    <w:t xml:space="preserve">n.t.</w:t>
                  </w:r>
                </w:p>
              </w:tc>
              <w:tc>
                <w:tcPr/>
                <w:p>
                  <w:pPr>
                    <w:pStyle w:val="Compact"/>
                    <w:jc w:val="center"/>
                  </w:pPr>
                  <w:r>
                    <w:t xml:space="preserve">n.t.</w:t>
                  </w:r>
                </w:p>
              </w:tc>
            </w:tr>
            <w:tr>
              <w:tc>
                <w:tcPr>
                  <w:gridSpan w:val="8"/>
                </w:tcPr>
                <w:p>
                  <w:pPr>
                    <w:pStyle w:val="Compact"/>
                    <w:jc w:val="center"/>
                  </w:pPr>
                  <w:r>
                    <w:t xml:space="preserve">HCP, pool host cell protein. LPA, leached Protein A. HMW, aggregate by SEC. LMW, fragments by SEC, biased in this matrix and reported for information only under the method decision AMD-001. Reference, the set-point runs of the planned qualification study S-PA-SDM. n.t., not tested. Fragments by nrCE-SDS were not tested in this study.</w:t>
                  </w:r>
                </w:p>
              </w:tc>
            </w:tr>
          </w:tbl>
          <w:bookmarkEnd w:id="92"/>
          <w:p/>
        </w:tc>
      </w:tr>
    </w:tbl>
    <w:p>
      <w:pPr>
        <w:pStyle w:val="BodyText"/>
      </w:pPr>
      <w:r>
        <w:t xml:space="preserve">At manufacturing scale every individual result of pool host cell protein and leached Protein A met its criterion. The highest pool host cell protein was 10,488 ng/mg against ≤ 17,069 ng/mg, and the highest leached Protein A was 5.38 ppm against ≤ 158 ppm. For these two attributes the range studied of each parameter is supported with the other parameters at their set-points. The study gives no fragment result by nrCE-SDS, and it supports no range of operating temperature or bed height for fragments (</w:t>
      </w:r>
      <w:hyperlink w:anchor="sec-class">
        <w:r>
          <w:rPr>
            <w:rStyle w:val="Hyperlink"/>
          </w:rPr>
          <w:t xml:space="preserve">Section 9</w:t>
        </w:r>
      </w:hyperlink>
      <w:r>
        <w:t xml:space="preserve">).</w:t>
      </w:r>
    </w:p>
    <w:p>
      <w:pPr>
        <w:pStyle w:val="BodyText"/>
      </w:pPr>
      <w:r>
        <w:t xml:space="preserve">Every confidence interval includes zero. The largest difference in pool host cell protein, 2,005 ng/mg at 15 °C of operating temperature, is not significant. With 2 runs at each end the intervals are wide, so the study excludes only effects larger than their upper bounds. Step yield was 2.4 to 4.1 percentage points higher than the reference at every end. The difference has the same sign at both ends of both parameters. It is therefore more likely a difference between the reference runs and the univariate runs than an effect of either parameter (</w:t>
      </w:r>
      <w:hyperlink w:anchor="sec-dev03">
        <w:r>
          <w:rPr>
            <w:rStyle w:val="Hyperlink"/>
          </w:rPr>
          <w:t xml:space="preserve">Section 13.3</w:t>
        </w:r>
      </w:hyperlink>
      <w:r>
        <w:t xml:space="preserve">).</w:t>
      </w:r>
    </w:p>
    <w:p>
      <w:pPr>
        <w:pStyle w:val="BodyText"/>
      </w:pPr>
      <w:r>
        <w:t xml:space="preserve">Aggregate by SEC ranged from 1.49 to 1.60 % HMW across the 8 runs of the study, within the range of the pools of both designs and below the ≤ 6.46 % that applies to the held eluate. Fragments by SEC ranged from 1.24 to 1.42 %. In the Protein A pool SEC reads part of the host cell protein as fragment, so this result is biased and is reported for information only (AMD-001). Neither SEC result has a difference from the set-point, because the reference runs of study S-PA-SDM were not tested by SEC.</w:t>
      </w:r>
    </w:p>
    <w:bookmarkEnd w:id="93"/>
    <w:bookmarkStart w:id="96" w:name="sec-hold"/>
    <w:p>
      <w:pPr>
        <w:pStyle w:val="Heading2"/>
      </w:pPr>
      <w:r>
        <w:t xml:space="preserve">5.7 Hold study of the Protein A eluate</w:t>
      </w:r>
    </w:p>
    <w:p>
      <w:pPr>
        <w:pStyle w:val="FirstParagraph"/>
      </w:pPr>
      <w:hyperlink w:anchor="tbl-hold-protein-a">
        <w:r>
          <w:rPr>
            <w:rStyle w:val="Hyperlink"/>
          </w:rPr>
          <w:t xml:space="preserve">Table 25</w:t>
        </w:r>
      </w:hyperlink>
      <w:r>
        <w:t xml:space="preserve"> </w:t>
      </w:r>
      <w:r>
        <w:t xml:space="preserve">gives the results of the hold study.</w:t>
      </w:r>
    </w:p>
    <w:tbl>
      <w:tblPr>
        <w:tblStyle w:val="Table"/>
        <w:tblW w:type="pct" w:w="5000"/>
        <w:tblLayout w:type="fixed"/>
        <w:tblLook w:firstRow="0" w:lastRow="0" w:firstColumn="0" w:lastColumn="0" w:noHBand="0" w:noVBand="0" w:val="0000"/>
      </w:tblPr>
      <w:tblGrid>
        <w:gridCol w:w="7920"/>
      </w:tblGrid>
      <w:tr>
        <w:tc>
          <w:tcPr/>
          <w:bookmarkStart w:id="94" w:name="tbl-hold-protein-a"/>
          <w:p>
            <w:pPr>
              <w:jc w:val="center"/>
            </w:pPr>
            <w:pPr>
              <w:jc w:val="start"/>
              <w:spacing w:before="200"/>
              <w:pStyle w:val="ImageCaption"/>
            </w:pPr>
            <w:r>
              <w:t xml:space="preserve">Table 25: Hold-time stability of the Protein A eluate (held at elution pH).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Storage</w:t>
                  </w:r>
                </w:p>
              </w:tc>
              <w:tc>
                <w:tcPr>
                  <w:vMerge w:val="restart"/>
                </w:tcPr>
                <w:p>
                  <w:pPr>
                    <w:pStyle w:val="Compact"/>
                    <w:jc w:val="center"/>
                  </w:pPr>
                  <w:r>
                    <w:t xml:space="preserve">Day</w:t>
                  </w:r>
                </w:p>
              </w:tc>
              <w:tc>
                <w:tcPr>
                  <w:gridSpan w:val="2"/>
                </w:tcPr>
                <w:p>
                  <w:pPr>
                    <w:pStyle w:val="Compact"/>
                    <w:jc w:val="center"/>
                  </w:pPr>
                  <w:r>
                    <w:t xml:space="preserve">Size variants (%)</w:t>
                  </w:r>
                </w:p>
              </w:tc>
              <w:tc>
                <w:tcPr>
                  <w:vMerge w:val="restart"/>
                </w:tcPr>
                <w:p>
                  <w:pPr>
                    <w:pStyle w:val="Compact"/>
                    <w:jc w:val="center"/>
                  </w:pPr>
                  <w:r>
                    <w:t xml:space="preserve">Acidic variants (%)</w:t>
                  </w:r>
                </w:p>
              </w:tc>
            </w:tr>
            <w:tr>
              <w:trPr>
                <w:tblHeader w:val="on"/>
              </w:trPr>
              <w:tc>
                <w:tcPr>
                  <w:gridSpan w:val="1"/>
                  <w:vMerge w:val="continue"/>
                </w:tcPr>
                <w:p>
                  <w:pPr/>
                </w:p>
              </w:tc>
              <w:tc>
                <w:tcPr>
                  <w:gridSpan w:val="1"/>
                  <w:vMerge w:val="continue"/>
                </w:tcPr>
                <w:p>
                  <w:pPr/>
                </w:p>
              </w:tc>
              <w:tc>
                <w:tcPr/>
                <w:p>
                  <w:pPr>
                    <w:pStyle w:val="Compact"/>
                    <w:jc w:val="center"/>
                  </w:pPr>
                  <w:r>
                    <w:t xml:space="preserve">HMW (SEC)</w:t>
                  </w:r>
                </w:p>
              </w:tc>
              <w:tc>
                <w:tcPr/>
                <w:p>
                  <w:pPr>
                    <w:pStyle w:val="Compact"/>
                    <w:jc w:val="center"/>
                  </w:pPr>
                  <w:r>
                    <w:t xml:space="preserve">LMW (nrCE-SDS)</w:t>
                  </w:r>
                </w:p>
              </w:tc>
              <w:tc>
                <w:tcPr>
                  <w:gridSpan w:val="1"/>
                  <w:vMerge w:val="continue"/>
                </w:tcPr>
                <w:p>
                  <w:pPr/>
                </w:p>
              </w:tc>
            </w:tr>
            <w:tr>
              <w:tc>
                <w:tcPr>
                  <w:vMerge w:val="restart"/>
                </w:tcPr>
                <w:p>
                  <w:pPr>
                    <w:pStyle w:val="Compact"/>
                    <w:jc w:val="center"/>
                  </w:pPr>
                  <w:r>
                    <w:t xml:space="preserve">2-8 °C</w:t>
                  </w:r>
                </w:p>
              </w:tc>
              <w:tc>
                <w:tcPr/>
                <w:p>
                  <w:pPr>
                    <w:pStyle w:val="Compact"/>
                    <w:jc w:val="center"/>
                  </w:pPr>
                  <w:r>
                    <w:t xml:space="preserve">0</w:t>
                  </w:r>
                </w:p>
              </w:tc>
              <w:tc>
                <w:tcPr/>
                <w:p>
                  <w:pPr>
                    <w:pStyle w:val="Compact"/>
                    <w:jc w:val="center"/>
                  </w:pPr>
                  <w:r>
                    <w:t xml:space="preserve">1.61</w:t>
                  </w:r>
                </w:p>
              </w:tc>
              <w:tc>
                <w:tcPr/>
                <w:p>
                  <w:pPr>
                    <w:pStyle w:val="Compact"/>
                    <w:jc w:val="center"/>
                  </w:pPr>
                  <w:r>
                    <w:t xml:space="preserve">0.91</w:t>
                  </w:r>
                </w:p>
              </w:tc>
              <w:tc>
                <w:tcPr/>
                <w:p>
                  <w:pPr>
                    <w:pStyle w:val="Compact"/>
                    <w:jc w:val="center"/>
                  </w:pPr>
                  <w:r>
                    <w:t xml:space="preserve">21.7</w:t>
                  </w:r>
                </w:p>
              </w:tc>
            </w:tr>
            <w:tr>
              <w:tc>
                <w:tcPr>
                  <w:gridSpan w:val="1"/>
                  <w:vMerge w:val="continue"/>
                </w:tcPr>
                <w:p>
                  <w:pPr/>
                </w:p>
              </w:tc>
              <w:tc>
                <w:tcPr/>
                <w:p>
                  <w:pPr>
                    <w:pStyle w:val="Compact"/>
                    <w:jc w:val="center"/>
                  </w:pPr>
                  <w:r>
                    <w:t xml:space="preserve">1</w:t>
                  </w:r>
                </w:p>
              </w:tc>
              <w:tc>
                <w:tcPr/>
                <w:p>
                  <w:pPr>
                    <w:pStyle w:val="Compact"/>
                    <w:jc w:val="center"/>
                  </w:pPr>
                  <w:r>
                    <w:t xml:space="preserve">1.57</w:t>
                  </w:r>
                </w:p>
              </w:tc>
              <w:tc>
                <w:tcPr/>
                <w:p>
                  <w:pPr>
                    <w:pStyle w:val="Compact"/>
                    <w:jc w:val="center"/>
                  </w:pPr>
                  <w:r>
                    <w:t xml:space="preserve">0.86</w:t>
                  </w:r>
                </w:p>
              </w:tc>
              <w:tc>
                <w:tcPr/>
                <w:p>
                  <w:pPr>
                    <w:pStyle w:val="Compact"/>
                    <w:jc w:val="center"/>
                  </w:pPr>
                  <w:r>
                    <w:t xml:space="preserve">22.0</w:t>
                  </w:r>
                </w:p>
              </w:tc>
            </w:tr>
            <w:tr>
              <w:tc>
                <w:tcPr>
                  <w:gridSpan w:val="1"/>
                  <w:vMerge w:val="continue"/>
                </w:tcPr>
                <w:p>
                  <w:pPr/>
                </w:p>
              </w:tc>
              <w:tc>
                <w:tcPr/>
                <w:p>
                  <w:pPr>
                    <w:pStyle w:val="Compact"/>
                    <w:jc w:val="center"/>
                  </w:pPr>
                  <w:r>
                    <w:t xml:space="preserve">3</w:t>
                  </w:r>
                </w:p>
              </w:tc>
              <w:tc>
                <w:tcPr/>
                <w:p>
                  <w:pPr>
                    <w:pStyle w:val="Compact"/>
                    <w:jc w:val="center"/>
                  </w:pPr>
                  <w:r>
                    <w:t xml:space="preserve">1.63</w:t>
                  </w:r>
                </w:p>
              </w:tc>
              <w:tc>
                <w:tcPr/>
                <w:p>
                  <w:pPr>
                    <w:pStyle w:val="Compact"/>
                    <w:jc w:val="center"/>
                  </w:pPr>
                  <w:r>
                    <w:t xml:space="preserve">0.88</w:t>
                  </w:r>
                </w:p>
              </w:tc>
              <w:tc>
                <w:tcPr/>
                <w:p>
                  <w:pPr>
                    <w:pStyle w:val="Compact"/>
                    <w:jc w:val="center"/>
                  </w:pPr>
                  <w:r>
                    <w:t xml:space="preserve">21.9</w:t>
                  </w:r>
                </w:p>
              </w:tc>
            </w:tr>
            <w:tr>
              <w:tc>
                <w:tcPr>
                  <w:gridSpan w:val="1"/>
                  <w:vMerge w:val="continue"/>
                </w:tcPr>
                <w:p>
                  <w:pPr/>
                </w:p>
              </w:tc>
              <w:tc>
                <w:tcPr/>
                <w:p>
                  <w:pPr>
                    <w:pStyle w:val="Compact"/>
                    <w:jc w:val="center"/>
                  </w:pPr>
                  <w:r>
                    <w:t xml:space="preserve">5</w:t>
                  </w:r>
                </w:p>
              </w:tc>
              <w:tc>
                <w:tcPr/>
                <w:p>
                  <w:pPr>
                    <w:pStyle w:val="Compact"/>
                    <w:jc w:val="center"/>
                  </w:pPr>
                  <w:r>
                    <w:t xml:space="preserve">1.66</w:t>
                  </w:r>
                </w:p>
              </w:tc>
              <w:tc>
                <w:tcPr/>
                <w:p>
                  <w:pPr>
                    <w:pStyle w:val="Compact"/>
                    <w:jc w:val="center"/>
                  </w:pPr>
                  <w:r>
                    <w:t xml:space="preserve">0.93</w:t>
                  </w:r>
                </w:p>
              </w:tc>
              <w:tc>
                <w:tcPr/>
                <w:p>
                  <w:pPr>
                    <w:pStyle w:val="Compact"/>
                    <w:jc w:val="center"/>
                  </w:pPr>
                  <w:r>
                    <w:t xml:space="preserve">21.8</w:t>
                  </w:r>
                </w:p>
              </w:tc>
            </w:tr>
            <w:tr>
              <w:tc>
                <w:tcPr>
                  <w:gridSpan w:val="1"/>
                  <w:vMerge w:val="continue"/>
                </w:tcPr>
                <w:p>
                  <w:pPr/>
                </w:p>
              </w:tc>
              <w:tc>
                <w:tcPr/>
                <w:p>
                  <w:pPr>
                    <w:pStyle w:val="Compact"/>
                    <w:jc w:val="center"/>
                  </w:pPr>
                  <w:r>
                    <w:t xml:space="preserve">7</w:t>
                  </w:r>
                </w:p>
              </w:tc>
              <w:tc>
                <w:tcPr/>
                <w:p>
                  <w:pPr>
                    <w:pStyle w:val="Compact"/>
                    <w:jc w:val="center"/>
                  </w:pPr>
                  <w:r>
                    <w:t xml:space="preserve">1.72</w:t>
                  </w:r>
                </w:p>
              </w:tc>
              <w:tc>
                <w:tcPr/>
                <w:p>
                  <w:pPr>
                    <w:pStyle w:val="Compact"/>
                    <w:jc w:val="center"/>
                  </w:pPr>
                  <w:r>
                    <w:t xml:space="preserve">0.99</w:t>
                  </w:r>
                </w:p>
              </w:tc>
              <w:tc>
                <w:tcPr/>
                <w:p>
                  <w:pPr>
                    <w:pStyle w:val="Compact"/>
                    <w:jc w:val="center"/>
                  </w:pPr>
                  <w:r>
                    <w:t xml:space="preserve">22.0</w:t>
                  </w:r>
                </w:p>
              </w:tc>
            </w:tr>
            <w:tr>
              <w:tc>
                <w:tcPr>
                  <w:vMerge w:val="restart"/>
                </w:tcPr>
                <w:p>
                  <w:pPr>
                    <w:pStyle w:val="Compact"/>
                    <w:jc w:val="center"/>
                  </w:pPr>
                  <w:r>
                    <w:t xml:space="preserve">21 °C</w:t>
                  </w:r>
                </w:p>
              </w:tc>
              <w:tc>
                <w:tcPr/>
                <w:p>
                  <w:pPr>
                    <w:pStyle w:val="Compact"/>
                    <w:jc w:val="center"/>
                  </w:pPr>
                  <w:r>
                    <w:t xml:space="preserve">0</w:t>
                  </w:r>
                </w:p>
              </w:tc>
              <w:tc>
                <w:tcPr/>
                <w:p>
                  <w:pPr>
                    <w:pStyle w:val="Compact"/>
                    <w:jc w:val="center"/>
                  </w:pPr>
                  <w:r>
                    <w:t xml:space="preserve">1.54</w:t>
                  </w:r>
                </w:p>
              </w:tc>
              <w:tc>
                <w:tcPr/>
                <w:p>
                  <w:pPr>
                    <w:pStyle w:val="Compact"/>
                    <w:jc w:val="center"/>
                  </w:pPr>
                  <w:r>
                    <w:t xml:space="preserve">0.83</w:t>
                  </w:r>
                </w:p>
              </w:tc>
              <w:tc>
                <w:tcPr/>
                <w:p>
                  <w:pPr>
                    <w:pStyle w:val="Compact"/>
                    <w:jc w:val="center"/>
                  </w:pPr>
                  <w:r>
                    <w:t xml:space="preserve">22.3</w:t>
                  </w:r>
                </w:p>
              </w:tc>
            </w:tr>
            <w:tr>
              <w:tc>
                <w:tcPr>
                  <w:gridSpan w:val="1"/>
                  <w:vMerge w:val="continue"/>
                </w:tcPr>
                <w:p>
                  <w:pPr/>
                </w:p>
              </w:tc>
              <w:tc>
                <w:tcPr/>
                <w:p>
                  <w:pPr>
                    <w:pStyle w:val="Compact"/>
                    <w:jc w:val="center"/>
                  </w:pPr>
                  <w:r>
                    <w:t xml:space="preserve">1</w:t>
                  </w:r>
                </w:p>
              </w:tc>
              <w:tc>
                <w:tcPr/>
                <w:p>
                  <w:pPr>
                    <w:pStyle w:val="Compact"/>
                    <w:jc w:val="center"/>
                  </w:pPr>
                  <w:r>
                    <w:t xml:space="preserve">1.71</w:t>
                  </w:r>
                </w:p>
              </w:tc>
              <w:tc>
                <w:tcPr/>
                <w:p>
                  <w:pPr>
                    <w:pStyle w:val="Compact"/>
                    <w:jc w:val="center"/>
                  </w:pPr>
                  <w:r>
                    <w:t xml:space="preserve">0.79</w:t>
                  </w:r>
                </w:p>
              </w:tc>
              <w:tc>
                <w:tcPr/>
                <w:p>
                  <w:pPr>
                    <w:pStyle w:val="Compact"/>
                    <w:jc w:val="center"/>
                  </w:pPr>
                  <w:r>
                    <w:t xml:space="preserve">22.2</w:t>
                  </w:r>
                </w:p>
              </w:tc>
            </w:tr>
            <w:tr>
              <w:tc>
                <w:tcPr>
                  <w:gridSpan w:val="1"/>
                  <w:vMerge w:val="continue"/>
                </w:tcPr>
                <w:p>
                  <w:pPr/>
                </w:p>
              </w:tc>
              <w:tc>
                <w:tcPr/>
                <w:p>
                  <w:pPr>
                    <w:pStyle w:val="Compact"/>
                    <w:jc w:val="center"/>
                  </w:pPr>
                  <w:r>
                    <w:t xml:space="preserve">3</w:t>
                  </w:r>
                </w:p>
              </w:tc>
              <w:tc>
                <w:tcPr/>
                <w:p>
                  <w:pPr>
                    <w:pStyle w:val="Compact"/>
                    <w:jc w:val="center"/>
                  </w:pPr>
                  <w:r>
                    <w:t xml:space="preserve">1.80</w:t>
                  </w:r>
                </w:p>
              </w:tc>
              <w:tc>
                <w:tcPr/>
                <w:p>
                  <w:pPr>
                    <w:pStyle w:val="Compact"/>
                    <w:jc w:val="center"/>
                  </w:pPr>
                  <w:r>
                    <w:t xml:space="preserve">1.05</w:t>
                  </w:r>
                </w:p>
              </w:tc>
              <w:tc>
                <w:tcPr/>
                <w:p>
                  <w:pPr>
                    <w:pStyle w:val="Compact"/>
                    <w:jc w:val="center"/>
                  </w:pPr>
                  <w:r>
                    <w:t xml:space="preserve">22.4</w:t>
                  </w:r>
                </w:p>
              </w:tc>
            </w:tr>
            <w:tr>
              <w:tc>
                <w:tcPr>
                  <w:gridSpan w:val="1"/>
                  <w:vMerge w:val="continue"/>
                </w:tcPr>
                <w:p>
                  <w:pPr/>
                </w:p>
              </w:tc>
              <w:tc>
                <w:tcPr/>
                <w:p>
                  <w:pPr>
                    <w:pStyle w:val="Compact"/>
                    <w:jc w:val="center"/>
                  </w:pPr>
                  <w:r>
                    <w:t xml:space="preserve">5</w:t>
                  </w:r>
                </w:p>
              </w:tc>
              <w:tc>
                <w:tcPr/>
                <w:p>
                  <w:pPr>
                    <w:pStyle w:val="Compact"/>
                    <w:jc w:val="center"/>
                  </w:pPr>
                  <w:r>
                    <w:t xml:space="preserve">1.77</w:t>
                  </w:r>
                </w:p>
              </w:tc>
              <w:tc>
                <w:tcPr/>
                <w:p>
                  <w:pPr>
                    <w:pStyle w:val="Compact"/>
                    <w:jc w:val="center"/>
                  </w:pPr>
                  <w:r>
                    <w:t xml:space="preserve">0.99</w:t>
                  </w:r>
                </w:p>
              </w:tc>
              <w:tc>
                <w:tcPr/>
                <w:p>
                  <w:pPr>
                    <w:pStyle w:val="Compact"/>
                    <w:jc w:val="center"/>
                  </w:pPr>
                  <w:r>
                    <w:t xml:space="preserve">22.4</w:t>
                  </w:r>
                </w:p>
              </w:tc>
            </w:tr>
            <w:tr>
              <w:tc>
                <w:tcPr>
                  <w:gridSpan w:val="1"/>
                  <w:vMerge w:val="continue"/>
                </w:tcPr>
                <w:p>
                  <w:pPr/>
                </w:p>
              </w:tc>
              <w:tc>
                <w:tcPr/>
                <w:p>
                  <w:pPr>
                    <w:pStyle w:val="Compact"/>
                    <w:jc w:val="center"/>
                  </w:pPr>
                  <w:r>
                    <w:t xml:space="preserve">7</w:t>
                  </w:r>
                </w:p>
              </w:tc>
              <w:tc>
                <w:tcPr/>
                <w:p>
                  <w:pPr>
                    <w:pStyle w:val="Compact"/>
                    <w:jc w:val="center"/>
                  </w:pPr>
                  <w:r>
                    <w:t xml:space="preserve">1.95</w:t>
                  </w:r>
                </w:p>
              </w:tc>
              <w:tc>
                <w:tcPr/>
                <w:p>
                  <w:pPr>
                    <w:pStyle w:val="Compact"/>
                    <w:jc w:val="center"/>
                  </w:pPr>
                  <w:r>
                    <w:t xml:space="preserve">1.08</w:t>
                  </w:r>
                </w:p>
              </w:tc>
              <w:tc>
                <w:tcPr/>
                <w:p>
                  <w:pPr>
                    <w:pStyle w:val="Compact"/>
                    <w:jc w:val="center"/>
                  </w:pPr>
                  <w:r>
                    <w:t xml:space="preserve">22.6</w:t>
                  </w:r>
                </w:p>
              </w:tc>
            </w:tr>
          </w:tbl>
          <w:bookmarkEnd w:id="94"/>
          <w:p/>
        </w:tc>
      </w:tr>
    </w:tbl>
    <w:p>
      <w:pPr>
        <w:pStyle w:val="BodyText"/>
      </w:pPr>
      <w:r>
        <w:t xml:space="preserve">The study held one eluate, made at set-point with elution buffer pH 3.55, and the two temperatures started from aliquots of it. On day 0 these aliquots already differed by 0.07 percentage points in aggregate, 0.6 points in acidic variants and 0.08 points in fragments by nrCE-SDS. This is the variation of the methods and of the aliquots, and a change smaller than it is not resolved.</w:t>
      </w:r>
    </w:p>
    <w:p>
      <w:pPr>
        <w:pStyle w:val="BodyText"/>
      </w:pPr>
      <w:r>
        <w:t xml:space="preserve">Over 7 days aggregate rose by 0.41 percentage points at 21 °C and 0.11 points at 2-8 °C. The faster rise when warm is consistent with partial unfolding at low pH. Fragments by nrCE-SDS rose by 0.25 points at 21 °C, more than the 0.08 points between the day 0 aliquots, which is consistent with faster hinge hydrolysis when warm. At 2-8 °C they changed by 0.084 points, about the same as the 0.081 points between the day 0 aliquots, which is not resolved. Acidic variants changed by 0.3 points at both temperatures, less than the 0.6 points between the day 0 aliquots. The hold therefore did not change acidic variants by more than the methods and aliquots resolve.</w:t>
      </w:r>
    </w:p>
    <w:p>
      <w:pPr>
        <w:pStyle w:val="BodyText"/>
      </w:pPr>
      <w:hyperlink w:anchor="tbl-hold-criterion">
        <w:r>
          <w:rPr>
            <w:rStyle w:val="Hyperlink"/>
          </w:rPr>
          <w:t xml:space="preserve">Table 26</w:t>
        </w:r>
      </w:hyperlink>
      <w:r>
        <w:t xml:space="preserve"> </w:t>
      </w:r>
      <w:r>
        <w:t xml:space="preserve">judges the hold against the criteria of the low-pH inactivation load by the rule of</w:t>
      </w:r>
      <w:r>
        <w:t xml:space="preserve"> </w:t>
      </w:r>
      <w:hyperlink w:anchor="sec-holddesign">
        <w:r>
          <w:rPr>
            <w:rStyle w:val="Hyperlink"/>
          </w:rPr>
          <w:t xml:space="preserve">Section 4.5</w:t>
        </w:r>
      </w:hyperlink>
      <w:r>
        <w:t xml:space="preserve">, and acidic variants also against their lower limit.</w:t>
      </w:r>
    </w:p>
    <w:tbl>
      <w:tblPr>
        <w:tblStyle w:val="Table"/>
        <w:tblW w:type="pct" w:w="5000"/>
        <w:tblLayout w:type="fixed"/>
        <w:tblLook w:firstRow="0" w:lastRow="0" w:firstColumn="0" w:lastColumn="0" w:noHBand="0" w:noVBand="0" w:val="0000"/>
      </w:tblPr>
      <w:tblGrid>
        <w:gridCol w:w="7920"/>
      </w:tblGrid>
      <w:tr>
        <w:tc>
          <w:tcPr/>
          <w:bookmarkStart w:id="95" w:name="tbl-hold-criterion"/>
          <w:p>
            <w:pPr>
              <w:jc w:val="center"/>
            </w:pPr>
            <w:pPr>
              <w:jc w:val="start"/>
              <w:spacing w:before="200"/>
              <w:pStyle w:val="ImageCaption"/>
            </w:pPr>
            <w:r>
              <w:t xml:space="preserve">Table 26: Hold of the Protein A eluate up to day 7 against the criteria of the low-pH inactivation load, with acidic variants also against their lower limit.</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Attribute</w:t>
                  </w:r>
                </w:p>
              </w:tc>
              <w:tc>
                <w:tcPr/>
                <w:p>
                  <w:pPr>
                    <w:pStyle w:val="Compact"/>
                    <w:jc w:val="center"/>
                  </w:pPr>
                  <w:r>
                    <w:t xml:space="preserve">Limit</w:t>
                  </w:r>
                </w:p>
              </w:tc>
              <w:tc>
                <w:tcPr/>
                <w:p>
                  <w:pPr>
                    <w:pStyle w:val="Compact"/>
                    <w:jc w:val="center"/>
                  </w:pPr>
                  <w:r>
                    <w:t xml:space="preserve">Criterion</w:t>
                  </w:r>
                </w:p>
              </w:tc>
              <w:tc>
                <w:tcPr/>
                <w:p>
                  <w:pPr>
                    <w:pStyle w:val="Compact"/>
                    <w:jc w:val="center"/>
                  </w:pPr>
                  <w:r>
                    <w:t xml:space="preserve">Level entering</w:t>
                  </w:r>
                  <w:r>
                    <w:br/>
                  </w:r>
                  <w:r>
                    <w:t xml:space="preserve">the hold</w:t>
                  </w:r>
                </w:p>
              </w:tc>
              <w:tc>
                <w:tcPr/>
                <w:p>
                  <w:pPr>
                    <w:pStyle w:val="Compact"/>
                    <w:jc w:val="center"/>
                  </w:pPr>
                  <w:r>
                    <w:t xml:space="preserve">Temperature</w:t>
                  </w:r>
                </w:p>
              </w:tc>
              <w:tc>
                <w:tcPr/>
                <w:p>
                  <w:pPr>
                    <w:pStyle w:val="Compact"/>
                    <w:jc w:val="center"/>
                  </w:pPr>
                  <w:r>
                    <w:t xml:space="preserve">Change over</w:t>
                  </w:r>
                  <w:r>
                    <w:br/>
                  </w:r>
                  <w:r>
                    <w:t xml:space="preserve">the hold</w:t>
                  </w:r>
                </w:p>
              </w:tc>
              <w:tc>
                <w:tcPr/>
                <w:p>
                  <w:pPr>
                    <w:pStyle w:val="Compact"/>
                    <w:jc w:val="center"/>
                  </w:pPr>
                  <w:r>
                    <w:t xml:space="preserve">Level after</w:t>
                  </w:r>
                  <w:r>
                    <w:br/>
                  </w:r>
                  <w:r>
                    <w:t xml:space="preserve">the hold</w:t>
                  </w:r>
                </w:p>
              </w:tc>
              <w:tc>
                <w:tcPr/>
                <w:p>
                  <w:pPr>
                    <w:pStyle w:val="Compact"/>
                    <w:jc w:val="center"/>
                  </w:pPr>
                  <w:r>
                    <w:t xml:space="preserve">Met</w:t>
                  </w:r>
                </w:p>
              </w:tc>
            </w:tr>
            <w:tr>
              <w:tc>
                <w:tcPr>
                  <w:vMerge w:val="restart"/>
                </w:tcPr>
                <w:p>
                  <w:pPr>
                    <w:pStyle w:val="Compact"/>
                    <w:jc w:val="center"/>
                  </w:pPr>
                  <w:r>
                    <w:t xml:space="preserve">Aggregate, HMW (%)</w:t>
                  </w:r>
                </w:p>
              </w:tc>
              <w:tc>
                <w:tcPr>
                  <w:vMerge w:val="restart"/>
                </w:tcPr>
                <w:p>
                  <w:pPr>
                    <w:pStyle w:val="Compact"/>
                    <w:jc w:val="center"/>
                  </w:pPr>
                  <w:r>
                    <w:t xml:space="preserve">Upper</w:t>
                  </w:r>
                </w:p>
              </w:tc>
              <w:tc>
                <w:tcPr>
                  <w:vMerge w:val="restart"/>
                </w:tcPr>
                <w:p>
                  <w:pPr>
                    <w:pStyle w:val="Compact"/>
                    <w:jc w:val="center"/>
                  </w:pPr>
                  <w:r>
                    <w:t xml:space="preserve">≤ 6.46</w:t>
                  </w:r>
                </w:p>
              </w:tc>
              <w:tc>
                <w:tcPr>
                  <w:vMerge w:val="restart"/>
                </w:tcPr>
                <w:p>
                  <w:pPr>
                    <w:pStyle w:val="Compact"/>
                    <w:jc w:val="center"/>
                  </w:pPr>
                  <w:r>
                    <w:t xml:space="preserve">2.35</w:t>
                  </w:r>
                </w:p>
              </w:tc>
              <w:tc>
                <w:tcPr/>
                <w:p>
                  <w:pPr>
                    <w:pStyle w:val="Compact"/>
                    <w:jc w:val="center"/>
                  </w:pPr>
                  <w:r>
                    <w:t xml:space="preserve">2-8 °C</w:t>
                  </w:r>
                </w:p>
              </w:tc>
              <w:tc>
                <w:tcPr/>
                <w:p>
                  <w:pPr>
                    <w:pStyle w:val="Compact"/>
                    <w:jc w:val="center"/>
                  </w:pPr>
                  <w:r>
                    <w:t xml:space="preserve">+0.11</w:t>
                  </w:r>
                </w:p>
              </w:tc>
              <w:tc>
                <w:tcPr/>
                <w:p>
                  <w:pPr>
                    <w:pStyle w:val="Compact"/>
                    <w:jc w:val="center"/>
                  </w:pPr>
                  <w:r>
                    <w:t xml:space="preserve">2.46</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21 °C</w:t>
                  </w:r>
                </w:p>
              </w:tc>
              <w:tc>
                <w:tcPr/>
                <w:p>
                  <w:pPr>
                    <w:pStyle w:val="Compact"/>
                    <w:jc w:val="center"/>
                  </w:pPr>
                  <w:r>
                    <w:t xml:space="preserve">+0.41</w:t>
                  </w:r>
                </w:p>
              </w:tc>
              <w:tc>
                <w:tcPr/>
                <w:p>
                  <w:pPr>
                    <w:pStyle w:val="Compact"/>
                    <w:jc w:val="center"/>
                  </w:pPr>
                  <w:r>
                    <w:t xml:space="preserve">2.76</w:t>
                  </w:r>
                </w:p>
              </w:tc>
              <w:tc>
                <w:tcPr/>
                <w:p>
                  <w:pPr>
                    <w:pStyle w:val="Compact"/>
                    <w:jc w:val="center"/>
                  </w:pPr>
                  <w:r>
                    <w:t xml:space="preserve">Yes</w:t>
                  </w:r>
                </w:p>
              </w:tc>
            </w:tr>
            <w:tr>
              <w:tc>
                <w:tcPr>
                  <w:vMerge w:val="restart"/>
                </w:tcPr>
                <w:p>
                  <w:pPr>
                    <w:pStyle w:val="Compact"/>
                    <w:jc w:val="center"/>
                  </w:pPr>
                  <w:r>
                    <w:t xml:space="preserve">Acidic variants (%)</w:t>
                  </w:r>
                </w:p>
              </w:tc>
              <w:tc>
                <w:tcPr>
                  <w:vMerge w:val="restart"/>
                </w:tcPr>
                <w:p>
                  <w:pPr>
                    <w:pStyle w:val="Compact"/>
                    <w:jc w:val="center"/>
                  </w:pPr>
                  <w:r>
                    <w:t xml:space="preserve">Upper</w:t>
                  </w:r>
                </w:p>
              </w:tc>
              <w:tc>
                <w:tcPr>
                  <w:vMerge w:val="restart"/>
                </w:tcPr>
                <w:p>
                  <w:pPr>
                    <w:pStyle w:val="Compact"/>
                    <w:jc w:val="center"/>
                  </w:pPr>
                  <w:r>
                    <w:t xml:space="preserve">≤ 39.0</w:t>
                  </w:r>
                </w:p>
              </w:tc>
              <w:tc>
                <w:tcPr>
                  <w:vMerge w:val="restart"/>
                </w:tcPr>
                <w:p>
                  <w:pPr>
                    <w:pStyle w:val="Compact"/>
                    <w:jc w:val="center"/>
                  </w:pPr>
                  <w:r>
                    <w:t xml:space="preserve">30.3</w:t>
                  </w:r>
                </w:p>
              </w:tc>
              <w:tc>
                <w:tcPr/>
                <w:p>
                  <w:pPr>
                    <w:pStyle w:val="Compact"/>
                    <w:jc w:val="center"/>
                  </w:pPr>
                  <w:r>
                    <w:t xml:space="preserve">2-8 °C</w:t>
                  </w:r>
                </w:p>
              </w:tc>
              <w:tc>
                <w:tcPr/>
                <w:p>
                  <w:pPr>
                    <w:pStyle w:val="Compact"/>
                    <w:jc w:val="center"/>
                  </w:pPr>
                  <w:r>
                    <w:t xml:space="preserve">+0.3</w:t>
                  </w:r>
                </w:p>
              </w:tc>
              <w:tc>
                <w:tcPr/>
                <w:p>
                  <w:pPr>
                    <w:pStyle w:val="Compact"/>
                    <w:jc w:val="center"/>
                  </w:pPr>
                  <w:r>
                    <w:t xml:space="preserve">30.6</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21 °C</w:t>
                  </w:r>
                </w:p>
              </w:tc>
              <w:tc>
                <w:tcPr/>
                <w:p>
                  <w:pPr>
                    <w:pStyle w:val="Compact"/>
                    <w:jc w:val="center"/>
                  </w:pPr>
                  <w:r>
                    <w:t xml:space="preserve">+0.3</w:t>
                  </w:r>
                </w:p>
              </w:tc>
              <w:tc>
                <w:tcPr/>
                <w:p>
                  <w:pPr>
                    <w:pStyle w:val="Compact"/>
                    <w:jc w:val="center"/>
                  </w:pPr>
                  <w:r>
                    <w:t xml:space="preserve">30.6</w:t>
                  </w:r>
                </w:p>
              </w:tc>
              <w:tc>
                <w:tcPr/>
                <w:p>
                  <w:pPr>
                    <w:pStyle w:val="Compact"/>
                    <w:jc w:val="center"/>
                  </w:pPr>
                  <w:r>
                    <w:t xml:space="preserve">Yes</w:t>
                  </w:r>
                </w:p>
              </w:tc>
            </w:tr>
            <w:tr>
              <w:tc>
                <w:tcPr>
                  <w:gridSpan w:val="1"/>
                  <w:vMerge w:val="continue"/>
                </w:tcPr>
                <w:p>
                  <w:pPr/>
                </w:p>
              </w:tc>
              <w:tc>
                <w:tcPr>
                  <w:vMerge w:val="restart"/>
                </w:tcPr>
                <w:p>
                  <w:pPr>
                    <w:pStyle w:val="Compact"/>
                    <w:jc w:val="center"/>
                  </w:pPr>
                  <w:r>
                    <w:t xml:space="preserve">Lower</w:t>
                  </w:r>
                </w:p>
              </w:tc>
              <w:tc>
                <w:tcPr>
                  <w:vMerge w:val="restart"/>
                </w:tcPr>
                <w:p>
                  <w:pPr>
                    <w:pStyle w:val="Compact"/>
                    <w:jc w:val="center"/>
                  </w:pPr>
                  <w:r>
                    <w:t xml:space="preserve">≥ 18</w:t>
                  </w:r>
                </w:p>
              </w:tc>
              <w:tc>
                <w:tcPr>
                  <w:vMerge w:val="restart"/>
                </w:tcPr>
                <w:p>
                  <w:pPr>
                    <w:pStyle w:val="Compact"/>
                    <w:jc w:val="center"/>
                  </w:pPr>
                  <w:r>
                    <w:t xml:space="preserve">16.2</w:t>
                  </w:r>
                </w:p>
              </w:tc>
              <w:tc>
                <w:tcPr/>
                <w:p>
                  <w:pPr>
                    <w:pStyle w:val="Compact"/>
                    <w:jc w:val="center"/>
                  </w:pPr>
                  <w:r>
                    <w:t xml:space="preserve">2-8 °C</w:t>
                  </w:r>
                </w:p>
              </w:tc>
              <w:tc>
                <w:tcPr/>
                <w:p>
                  <w:pPr>
                    <w:pStyle w:val="Compact"/>
                    <w:jc w:val="center"/>
                  </w:pPr>
                  <w:r>
                    <w:t xml:space="preserve">0.0</w:t>
                  </w:r>
                </w:p>
              </w:tc>
              <w:tc>
                <w:tcPr/>
                <w:p>
                  <w:pPr>
                    <w:pStyle w:val="Compact"/>
                    <w:jc w:val="center"/>
                  </w:pPr>
                  <w:r>
                    <w:t xml:space="preserve">16.2</w:t>
                  </w:r>
                </w:p>
              </w:tc>
              <w:tc>
                <w:tcPr/>
                <w:p>
                  <w:pPr>
                    <w:pStyle w:val="Compact"/>
                    <w:jc w:val="center"/>
                  </w:pPr>
                  <w:r>
                    <w:t xml:space="preserve">No</w:t>
                  </w:r>
                  <w:r>
                    <w:rPr>
                      <w:vertAlign w:val="superscript"/>
                    </w:rPr>
                    <w:t xml:space="preserve">a)</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21 °C</w:t>
                  </w:r>
                </w:p>
              </w:tc>
              <w:tc>
                <w:tcPr/>
                <w:p>
                  <w:pPr>
                    <w:pStyle w:val="Compact"/>
                    <w:jc w:val="center"/>
                  </w:pPr>
                  <w:r>
                    <w:t xml:space="preserve">−0.1</w:t>
                  </w:r>
                </w:p>
              </w:tc>
              <w:tc>
                <w:tcPr/>
                <w:p>
                  <w:pPr>
                    <w:pStyle w:val="Compact"/>
                    <w:jc w:val="center"/>
                  </w:pPr>
                  <w:r>
                    <w:t xml:space="preserve">16.1</w:t>
                  </w:r>
                </w:p>
              </w:tc>
              <w:tc>
                <w:tcPr/>
                <w:p>
                  <w:pPr>
                    <w:pStyle w:val="Compact"/>
                    <w:jc w:val="center"/>
                  </w:pPr>
                  <w:r>
                    <w:t xml:space="preserve">No</w:t>
                  </w:r>
                  <w:r>
                    <w:rPr>
                      <w:vertAlign w:val="superscript"/>
                    </w:rPr>
                    <w:t xml:space="preserve">a)</w:t>
                  </w:r>
                </w:p>
              </w:tc>
            </w:tr>
            <w:tr>
              <w:tc>
                <w:tcPr>
                  <w:vMerge w:val="restart"/>
                </w:tcPr>
                <w:p>
                  <w:pPr>
                    <w:pStyle w:val="Compact"/>
                    <w:jc w:val="center"/>
                  </w:pPr>
                  <w:r>
                    <w:t xml:space="preserve">Fragments, nrCE-SDS (%)</w:t>
                  </w:r>
                </w:p>
              </w:tc>
              <w:tc>
                <w:tcPr>
                  <w:vMerge w:val="restart"/>
                </w:tcPr>
                <w:p>
                  <w:pPr>
                    <w:pStyle w:val="Compact"/>
                    <w:jc w:val="center"/>
                  </w:pPr>
                  <w:r>
                    <w:t xml:space="preserve">Upper</w:t>
                  </w:r>
                </w:p>
              </w:tc>
              <w:tc>
                <w:tcPr>
                  <w:vMerge w:val="restart"/>
                </w:tcPr>
                <w:p>
                  <w:pPr>
                    <w:pStyle w:val="Compact"/>
                    <w:jc w:val="center"/>
                  </w:pPr>
                  <w:r>
                    <w:t xml:space="preserve">≤ 2.45</w:t>
                  </w:r>
                </w:p>
              </w:tc>
              <w:tc>
                <w:tcPr>
                  <w:vMerge w:val="restart"/>
                </w:tcPr>
                <w:p>
                  <w:pPr>
                    <w:pStyle w:val="Compact"/>
                    <w:jc w:val="center"/>
                  </w:pPr>
                  <w:r>
                    <w:t xml:space="preserve">1.09</w:t>
                  </w:r>
                </w:p>
              </w:tc>
              <w:tc>
                <w:tcPr/>
                <w:p>
                  <w:pPr>
                    <w:pStyle w:val="Compact"/>
                    <w:jc w:val="center"/>
                  </w:pPr>
                  <w:r>
                    <w:t xml:space="preserve">2-8 °C</w:t>
                  </w:r>
                </w:p>
              </w:tc>
              <w:tc>
                <w:tcPr/>
                <w:p>
                  <w:pPr>
                    <w:pStyle w:val="Compact"/>
                    <w:jc w:val="center"/>
                  </w:pPr>
                  <w:r>
                    <w:t xml:space="preserve">+0.08</w:t>
                  </w:r>
                </w:p>
              </w:tc>
              <w:tc>
                <w:tcPr/>
                <w:p>
                  <w:pPr>
                    <w:pStyle w:val="Compact"/>
                    <w:jc w:val="center"/>
                  </w:pPr>
                  <w:r>
                    <w:t xml:space="preserve">1.17</w:t>
                  </w:r>
                </w:p>
              </w:tc>
              <w:tc>
                <w:tcPr/>
                <w:p>
                  <w:pPr>
                    <w:pStyle w:val="Compact"/>
                    <w:jc w:val="center"/>
                  </w:pPr>
                  <w:r>
                    <w:t xml:space="preserve">Yes</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21 °C</w:t>
                  </w:r>
                </w:p>
              </w:tc>
              <w:tc>
                <w:tcPr/>
                <w:p>
                  <w:pPr>
                    <w:pStyle w:val="Compact"/>
                    <w:jc w:val="center"/>
                  </w:pPr>
                  <w:r>
                    <w:t xml:space="preserve">+0.25</w:t>
                  </w:r>
                </w:p>
              </w:tc>
              <w:tc>
                <w:tcPr/>
                <w:p>
                  <w:pPr>
                    <w:pStyle w:val="Compact"/>
                    <w:jc w:val="center"/>
                  </w:pPr>
                  <w:r>
                    <w:t xml:space="preserve">1.34</w:t>
                  </w:r>
                </w:p>
              </w:tc>
              <w:tc>
                <w:tcPr/>
                <w:p>
                  <w:pPr>
                    <w:pStyle w:val="Compact"/>
                    <w:jc w:val="center"/>
                  </w:pPr>
                  <w:r>
                    <w:t xml:space="preserve">Yes</w:t>
                  </w:r>
                </w:p>
              </w:tc>
            </w:tr>
            <w:tr>
              <w:tc>
                <w:tcPr>
                  <w:gridSpan w:val="8"/>
                </w:tcPr>
                <w:p>
                  <w:pPr>
                    <w:pStyle w:val="Compact"/>
                    <w:jc w:val="center"/>
                  </w:pPr>
                  <w:r>
                    <w:rPr>
                      <w:vertAlign w:val="superscript"/>
                    </w:rPr>
                    <w:t xml:space="preserve">a)</w:t>
                  </w:r>
                  <w:r>
                    <w:t xml:space="preserve"> </w:t>
                  </w:r>
                  <w:r>
                    <w:t xml:space="preserve">Below the lower limit before the hold, at the least favourable corner of the production bioreactor NOR (PCR-003). The hold rule judges what the hold adds, and the hold does not lower acidic variants by more than the difference between the day 0 aliquots.</w:t>
                  </w:r>
                </w:p>
              </w:tc>
            </w:tr>
            <w:tr>
              <w:tc>
                <w:tcPr>
                  <w:gridSpan w:val="8"/>
                </w:tcPr>
                <w:p>
                  <w:pPr>
                    <w:pStyle w:val="Compact"/>
                    <w:jc w:val="center"/>
                  </w:pPr>
                  <w:r>
                    <w:t xml:space="preserve">Level entering the hold, for the upper limit the highest and for the lower limit the lowest level expected in the pool in manufacture, the upper or lower end of the 95 % prediction interval of a single run over the NOR. It comes from the production bioreactor model for aggregate and acidic variants, and from the fragment model of this step for fragments. Change over the hold, in percentage points, for the upper limit the largest increase and for the lower limit the largest fall from day 0 at the same temperature (0.0 where none), from the results as the hold stability table shows them. Level after the hold, the level entering the hold plus the change.</w:t>
                  </w:r>
                </w:p>
              </w:tc>
            </w:tr>
          </w:tbl>
          <w:bookmarkEnd w:id="95"/>
          <w:p/>
        </w:tc>
      </w:tr>
    </w:tbl>
    <w:p>
      <w:pPr>
        <w:pStyle w:val="BodyText"/>
      </w:pPr>
      <w:r>
        <w:t xml:space="preserve">For aggregate, acidic variants and fragments the largest increase at each temperature, added to the highest level expected in the pool, stays within the criterion of the low-pH inactivation load. On this evidence a hold of 7 days at elution pH is supported at both 2-8 °C and 21 °C for an eluate made at set-point (finding F9). An eluate made at the low end of the elution buffer pH NOR, or one that carries more host cell protein, was not held. At a lower pH, aggregation and hinge hydrolysis are expected to be faster, and more host cell protein could bring more protease activity that clips the antibody. The results therefore do not show that the hold is supported for such an eluate.</w:t>
      </w:r>
    </w:p>
    <w:p>
      <w:pPr>
        <w:pStyle w:val="BodyText"/>
      </w:pPr>
      <w:r>
        <w:t xml:space="preserve">The hold does not lower acidic variants. Their largest fall at any sample point was 0.1 points, no more than the 0.6 points between the two day 0 aliquots. The lower limit of 18 % is not met before the hold, at the least favourable corner of the production bioreactor NOR, with culture pH 6.95, culture temperature 34.5 °C, culture duration 18 days and CO2 partial pressure (pCO2) 130 mmHg. There the predicted median of acidic variants is 18.4 %, and the lower end of the 95 % prediction interval of a single batch is 16.2 %, below the limit. This is a result of the production bioreactor, not of the hold. The production bioreactor report PCR-003 accepts it as the producer’s risk and reduces it with alarm limits on culture pH, CO2 partial pressure (pCO2) and osmolality inside the NOR on the side that lowers acidic variants, and with monitoring of acidic variants at harvest.</w:t>
      </w:r>
    </w:p>
    <w:bookmarkEnd w:id="96"/>
    <w:bookmarkStart w:id="97" w:name="sec-mech"/>
    <w:p>
      <w:pPr>
        <w:pStyle w:val="Heading2"/>
      </w:pPr>
      <w:r>
        <w:t xml:space="preserve">5.8 Mechanistic interpretation</w:t>
      </w:r>
    </w:p>
    <w:p>
      <w:pPr>
        <w:pStyle w:val="FirstParagraph"/>
      </w:pPr>
      <w:r>
        <w:t xml:space="preserve">Pool host cell protein rises as elution buffer pH falls. A lower pH desorbs more of the host cell protein held weakly on the resin backbone and on the ligand, and this protein leaves the column with the product. On the log scale the pH effect is linear, so each step down in pH multiplies pool host cell protein by the same factor.</w:t>
      </w:r>
    </w:p>
    <w:p>
      <w:pPr>
        <w:pStyle w:val="BodyText"/>
      </w:pPr>
      <w:r>
        <w:t xml:space="preserve">Pool host cell protein also rises with protein load, as in the A-Mab case study</w:t>
      </w:r>
      <w:r>
        <w:t xml:space="preserve"> </w:t>
      </w:r>
      <w:r>
        <w:t xml:space="preserve">(CMC Biotech Working Group 2009)</w:t>
      </w:r>
      <w:r>
        <w:t xml:space="preserve">. PCP-005 assumed no mechanism for this rise (PCP-005 §4.1), and the designs do not test one. One explanation would give effects that multiply. Suppose a higher load leaves more host cell protein held weakly on the resin for each gram of antibody bound, and a lower elution pH releases a larger share of what is held. The host cell protein in the pool per mg of antibody is then the product of the two. The designs do not distinguish this explanation from others.</w:t>
      </w:r>
    </w:p>
    <w:p>
      <w:pPr>
        <w:pStyle w:val="BodyText"/>
      </w:pPr>
      <w:r>
        <w:t xml:space="preserve">End of pool collect lowers pool host cell protein per mass of antibody. The weakly held impurity desorbs early, at the elution front, so collecting further into the tail of the peak adds antibody with little host cell protein. This does not explain why the effect had the opposite sign in the screening design (finding F11).</w:t>
      </w:r>
    </w:p>
    <w:p>
      <w:pPr>
        <w:pStyle w:val="BodyText"/>
      </w:pPr>
      <w:r>
        <w:t xml:space="preserve">Pool host cell protein is slightly higher at both ends of the flow range than at the set-point. A short residence time at high flow lowers the dynamic binding capacity and broadens the mass transfer zone, which could raise pool host cell protein, but the same mechanism predicts no rise at low flow. The rise is at most 14 % across the range studied and 4 % within the NOR, and it is not interpreted further.</w:t>
      </w:r>
    </w:p>
    <w:p>
      <w:pPr>
        <w:pStyle w:val="BodyText"/>
      </w:pPr>
      <w:r>
        <w:t xml:space="preserve">Step yield behaves as</w:t>
      </w:r>
      <w:r>
        <w:t xml:space="preserve"> </w:t>
      </w:r>
      <w:hyperlink w:anchor="sec-prior">
        <w:r>
          <w:rPr>
            <w:rStyle w:val="Hyperlink"/>
          </w:rPr>
          <w:t xml:space="preserve">Section 2</w:t>
        </w:r>
      </w:hyperlink>
      <w:r>
        <w:t xml:space="preserve"> </w:t>
      </w:r>
      <w:r>
        <w:t xml:space="preserve">expected. Load flow rate costs yield only at high load, where the shorter residence time lets antibody break through near the capacity of the bed. The gain from extending the end of pool collect becomes smaller as the tail of the elution peak is exhausted, which is the negative square of the model.</w:t>
      </w:r>
    </w:p>
    <w:p>
      <w:pPr>
        <w:pStyle w:val="BodyText"/>
      </w:pPr>
      <w:r>
        <w:t xml:space="preserve">Leached Protein A shows no dependence on the parameters within the range studied. Neither of the two opposite effects of protein load expected in</w:t>
      </w:r>
      <w:r>
        <w:t xml:space="preserve"> </w:t>
      </w:r>
      <w:hyperlink w:anchor="sec-prior">
        <w:r>
          <w:rPr>
            <w:rStyle w:val="Hyperlink"/>
          </w:rPr>
          <w:t xml:space="preserve">Section 2</w:t>
        </w:r>
      </w:hyperlink>
      <w:r>
        <w:t xml:space="preserve">, a longer exposure of the ligand to the harvest proteases and a dilution of the leached ligand over more antibody, is resolved against the variation of the runs. The offset of leached Protein A between the scales is expected to come from the protease activity of the held load, which is not a setting of a run (</w:t>
      </w:r>
      <w:hyperlink w:anchor="sec-sdm">
        <w:r>
          <w:rPr>
            <w:rStyle w:val="Hyperlink"/>
          </w:rPr>
          <w:t xml:space="preserve">Section 3.1</w:t>
        </w:r>
      </w:hyperlink>
      <w:r>
        <w:t xml:space="preserve">).</w:t>
      </w:r>
    </w:p>
    <w:p>
      <w:pPr>
        <w:pStyle w:val="BodyText"/>
      </w:pPr>
      <w:r>
        <w:t xml:space="preserve">Fragments by nrCE-SDS fall slightly as elution pH rises, which is the direction expected from acid-catalysed hinge hydrolysis during elution. The effect is small because the antibody spends only the duration of the elution at low pH in the column.</w:t>
      </w:r>
    </w:p>
    <w:p>
      <w:pPr>
        <w:pStyle w:val="BodyText"/>
      </w:pPr>
      <w:r>
        <w:t xml:space="preserve">For operation, the risk to pool host cell protein lies at high protein load combined with low elution buffer pH, and never with every parameter of the multivariate design inside its NOR (</w:t>
      </w:r>
      <w:hyperlink w:anchor="sec-ds">
        <w:r>
          <w:rPr>
            <w:rStyle w:val="Hyperlink"/>
          </w:rPr>
          <w:t xml:space="preserve">Section 6</w:t>
        </w:r>
      </w:hyperlink>
      <w:r>
        <w:t xml:space="preserve">). Within their NORs, end of pool collect moves pool host cell protein by 8 % and load flow rate by at most 4 %.</w:t>
      </w:r>
    </w:p>
    <w:bookmarkEnd w:id="97"/>
    <w:bookmarkEnd w:id="98"/>
    <w:bookmarkStart w:id="99" w:name="sec-ds"/>
    <w:p>
      <w:pPr>
        <w:pStyle w:val="Heading1"/>
      </w:pPr>
      <w:r>
        <w:t xml:space="preserve">6. Design space</w:t>
      </w:r>
    </w:p>
    <w:p>
      <w:pPr>
        <w:pStyle w:val="FirstParagraph"/>
      </w:pPr>
      <w:r>
        <w:t xml:space="preserve">The design space of this step is the region in protein load and elution buffer pH, the 2 WC-CPPs, over which a single batch is predicted to meet every intermediate acceptance criterion of the step. A point lies inside it when both ends of the 95 % prediction interval of a single run lie within the criterion of each quality attribute, at manufacturing scale where an offset applies. The criteria of this step are upper limits, so the upper prediction limit of</w:t>
      </w:r>
      <w:r>
        <w:t xml:space="preserve"> </w:t>
      </w:r>
      <w:hyperlink w:anchor="sec-stats">
        <w:r>
          <w:rPr>
            <w:rStyle w:val="Hyperlink"/>
          </w:rPr>
          <w:t xml:space="preserve">Section 3.5</w:t>
        </w:r>
      </w:hyperlink>
      <w:r>
        <w:t xml:space="preserve"> </w:t>
      </w:r>
      <w:r>
        <w:t xml:space="preserve">decides, and at the boundary of the region a single batch is predicted to exceed the criterion with a probability of 2.5 %. Leached Protein A and fragments meet their criteria on this statistic everywhere in the range studied, and step yield has no criterion, so pool host cell protein alone bounds the region. The fractions below are of a grid of 41 points per factor over the range studied, with the offset of pool host cell protein at its estimate.</w:t>
      </w:r>
    </w:p>
    <w:p>
      <w:pPr>
        <w:pStyle w:val="BodyText"/>
      </w:pPr>
      <w:r>
        <w:t xml:space="preserve">With load flow rate and end of pool collect at their set-points, the upper prediction limit meets the criterion over 91.7 % of the plane of protein load and elution buffer pH studied. It exceeds the criterion in the corner of high load and low pH, above a protein load of 31.8 g/L resin at pH 3.2 and below pH 3.44 at 50 g/L resin. The excluded corner reaches into the protein load NOR and into the pH NOR, but never into both at once. It begins below pH 3.29 at the upper edge of the protein load NOR, 39 g/L resin, and above 47.2 g/L resin at the lower edge of the pH NOR, 3.4. The upper prediction limit is 25,690 ng/mg at the corner of high load and low pH of the range studied, and 14,196 ng/mg at that corner of the two NORs. With load flow rate and end of pool collect at the corners of their NORs, between 88.5 and 92.8 % of the plane meets the criterion, and at the corners of their ranges studied between 81.4 and 91.9 %.</w:t>
      </w:r>
    </w:p>
    <w:p>
      <w:pPr>
        <w:pStyle w:val="BodyText"/>
      </w:pPr>
      <w:r>
        <w:t xml:space="preserve">Over the whole range studied of all 4 factors, 90.2 % of the grid lies inside the design space. The excluded points lie at a protein load of 23 g/L resin or more with elution buffer pH 3.55 or less. No point is excluded with every factor inside its NOR. With load flow rate and end of pool collect within their NORs, each excluded point lies outside the protein load NOR of 20–39 g/L resin or outside the pH NOR of 3.4–3.7. Inside both the protein load NOR and the pH NOR, a point is excluded only where load flow rate is at most 105 cm/hr and end of pool collect at most 2.09 CV, both below their NORs.</w:t>
      </w:r>
    </w:p>
    <w:p>
      <w:pPr>
        <w:pStyle w:val="BodyText"/>
      </w:pPr>
      <w:r>
        <w:t xml:space="preserve">Drawn on the median prediction, for comparison only, the region would cover 97.5 % of the grid. A median can meet the criterion where a single batch does not.</w:t>
      </w:r>
    </w:p>
    <w:p>
      <w:pPr>
        <w:pStyle w:val="BodyText"/>
      </w:pPr>
      <w:r>
        <w:t xml:space="preserve">Over the NOR the selected model predicts a median pool host cell protein of 4,259 to 12,201 ng/mg at manufacturing scale (</w:t>
      </w:r>
      <w:hyperlink w:anchor="tbl-criteria-protein-a">
        <w:r>
          <w:rPr>
            <w:rStyle w:val="Hyperlink"/>
          </w:rPr>
          <w:t xml:space="preserve">Table 28</w:t>
        </w:r>
      </w:hyperlink>
      <w:r>
        <w:t xml:space="preserve">). The upper prediction limit reaches at most 15,349 ng/mg over the NOR, below the criterion. Movement outside the NOR and within a PAR would be assessed under change control.</w:t>
      </w:r>
    </w:p>
    <w:bookmarkEnd w:id="99"/>
    <w:bookmarkStart w:id="114" w:name="sec-par"/>
    <w:p>
      <w:pPr>
        <w:pStyle w:val="Heading1"/>
      </w:pPr>
      <w:r>
        <w:t xml:space="preserve">7. Proven acceptable ranges</w:t>
      </w:r>
    </w:p>
    <w:bookmarkStart w:id="101" w:name="acceptance-basis"/>
    <w:p>
      <w:pPr>
        <w:pStyle w:val="Heading2"/>
      </w:pPr>
      <w:r>
        <w:t xml:space="preserve">7.1 Acceptance basis</w:t>
      </w:r>
    </w:p>
    <w:p>
      <w:pPr>
        <w:pStyle w:val="FirstParagraph"/>
      </w:pPr>
      <w:r>
        <w:t xml:space="preserve">Each output of the step is judged against the intermediate acceptance criterion that PCMP-001 §7.3 derives and that PCP-005 §8.1 applies to this step. The derivation is a priori, which here means that it uses the drug substance criteria and the platform worst cases of X-Mab, Y-Mab and Z-Mab, and no data from this campaign. The drug substance criterion is carried backward through the train with the worst case that each downstream step showed on the platform, and no margin is applied. PCMP-001 Version 2.0, which states this rule and the one below, took effect on 2026-09-30, after every study of this report had ended.</w:t>
      </w:r>
    </w:p>
    <w:p>
      <w:pPr>
        <w:pStyle w:val="BodyText"/>
      </w:pPr>
      <w:r>
        <w:t xml:space="preserve">PCMP-001 §7.5 then checks each platform worst case against the A-Mab results of its step. The check uses the one-sided 95 % prediction bound of a single batch, at the least favourable combination of NOR low, set-point and NOR high of the response-surface factors of the downstream step, on its unfavourable side. These are the NORs as characterized. Where the worst case that the model predicts within the NOR is worse than the platform value, the bound replaces the platform value and the criteria upstream become stricter. Where the bound is better than the platform value, and the model behind it meets the first three adequacy criteria of PCMP-001 §7.2 (a significant model, no significant lack of fit and the limit on overfitting) and is not an exact fit, the bound replaces the platform value and the criteria upstream become wider. The fourth criterion, on the residuals and on influential runs, does not decide the change, and the report that gives the bound examines whether the bound depends on a single run. Otherwise the platform value stands. A point prediction never replaces it.</w:t>
      </w:r>
    </w:p>
    <w:p>
      <w:pPr>
        <w:pStyle w:val="BodyText"/>
      </w:pPr>
      <w:r>
        <w:t xml:space="preserve">The bound is that of a single batch, not a confidence bound of the mean, for three reasons that PCMP-001 §7.5 gives. A quality attribute is judged on a single batch, and a single batch can fall beyond a bound of the mean. The platform worst case that the bound may replace was itself the result of a single run. A bound from a tolerance interval, which covers a stated share of all batches, would be statistically purer, but too conservative to set against a platform worst case of one run.</w:t>
      </w:r>
      <w:r>
        <w:t xml:space="preserve"> </w:t>
      </w:r>
      <w:hyperlink w:anchor="tbl-iac-verification">
        <w:r>
          <w:rPr>
            <w:rStyle w:val="Hyperlink"/>
          </w:rPr>
          <w:t xml:space="preserve">Table 27</w:t>
        </w:r>
      </w:hyperlink>
      <w:r>
        <w:t xml:space="preserve"> </w:t>
      </w:r>
      <w:r>
        <w:t xml:space="preserve">gives the downstream values on which the criteria of this step rely.</w:t>
      </w:r>
    </w:p>
    <w:tbl>
      <w:tblPr>
        <w:tblStyle w:val="Table"/>
        <w:tblW w:type="pct" w:w="5000"/>
        <w:tblLayout w:type="fixed"/>
        <w:tblLook w:firstRow="0" w:lastRow="0" w:firstColumn="0" w:lastColumn="0" w:noHBand="0" w:noVBand="0" w:val="0000"/>
      </w:tblPr>
      <w:tblGrid>
        <w:gridCol w:w="7920"/>
      </w:tblGrid>
      <w:tr>
        <w:tc>
          <w:tcPr/>
          <w:bookmarkStart w:id="100" w:name="tbl-iac-verification"/>
          <w:p>
            <w:pPr>
              <w:jc w:val="center"/>
            </w:pPr>
            <w:pPr>
              <w:jc w:val="start"/>
              <w:spacing w:before="200"/>
              <w:pStyle w:val="ImageCaption"/>
            </w:pPr>
            <w:r>
              <w:t xml:space="preserve">Table 27: Platform worst cases assumed by the intermediate acceptance criteria, against this campaign’s results.</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Step</w:t>
                  </w:r>
                </w:p>
              </w:tc>
              <w:tc>
                <w:tcPr>
                  <w:vMerge w:val="restart"/>
                </w:tcPr>
                <w:p>
                  <w:pPr>
                    <w:pStyle w:val="Compact"/>
                    <w:jc w:val="center"/>
                  </w:pPr>
                  <w:r>
                    <w:t xml:space="preserve">Attribute</w:t>
                  </w:r>
                </w:p>
              </w:tc>
              <w:tc>
                <w:tcPr>
                  <w:vMerge w:val="restart"/>
                </w:tcPr>
                <w:p>
                  <w:pPr>
                    <w:pStyle w:val="Compact"/>
                    <w:jc w:val="center"/>
                  </w:pPr>
                  <w:r>
                    <w:t xml:space="preserve">Worst case</w:t>
                  </w:r>
                </w:p>
              </w:tc>
              <w:tc>
                <w:tcPr>
                  <w:vMerge w:val="restart"/>
                </w:tcPr>
                <w:p>
                  <w:pPr>
                    <w:pStyle w:val="Compact"/>
                    <w:jc w:val="center"/>
                  </w:pPr>
                  <w:r>
                    <w:t xml:space="preserve">Platform</w:t>
                  </w:r>
                </w:p>
              </w:tc>
              <w:tc>
                <w:tcPr>
                  <w:gridSpan w:val="3"/>
                </w:tcPr>
                <w:p>
                  <w:pPr>
                    <w:pStyle w:val="Compact"/>
                    <w:jc w:val="center"/>
                    <w:jc w:val="center"/>
                  </w:pPr>
                  <w:r>
                    <w:t xml:space="preserve">This campaign</w:t>
                  </w:r>
                </w:p>
              </w:tc>
              <w:tc>
                <w:tcPr>
                  <w:vMerge w:val="restart"/>
                </w:tcPr>
                <w:p>
                  <w:pPr>
                    <w:pStyle w:val="Compact"/>
                    <w:jc w:val="center"/>
                  </w:pPr>
                  <w:r>
                    <w:t xml:space="preserve">Outcome</w:t>
                  </w:r>
                </w:p>
              </w:tc>
            </w:tr>
            <w:tr>
              <w:trPr>
                <w:tblHeader w:val="on"/>
              </w:trP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jc w:val="center"/>
                  </w:pPr>
                  <w:r>
                    <w:t xml:space="preserve">At the</w:t>
                  </w:r>
                  <w:r>
                    <w:br/>
                  </w:r>
                  <w:r>
                    <w:t xml:space="preserve">edges</w:t>
                  </w:r>
                </w:p>
              </w:tc>
              <w:tc>
                <w:tcPr/>
                <w:p>
                  <w:pPr>
                    <w:pStyle w:val="Compact"/>
                    <w:jc w:val="center"/>
                    <w:jc w:val="center"/>
                  </w:pPr>
                  <w:r>
                    <w:t xml:space="preserve">Within</w:t>
                  </w:r>
                  <w:r>
                    <w:br/>
                  </w:r>
                  <w:r>
                    <w:t xml:space="preserve">the NOR</w:t>
                  </w:r>
                </w:p>
              </w:tc>
              <w:tc>
                <w:tcPr/>
                <w:p>
                  <w:pPr>
                    <w:pStyle w:val="Compact"/>
                    <w:jc w:val="center"/>
                    <w:jc w:val="center"/>
                  </w:pPr>
                  <w:r>
                    <w:t xml:space="preserve">95 %</w:t>
                  </w:r>
                  <w:r>
                    <w:br/>
                  </w:r>
                  <w:r>
                    <w:t xml:space="preserve">bound</w:t>
                  </w:r>
                </w:p>
              </w:tc>
              <w:tc>
                <w:tcPr>
                  <w:gridSpan w:val="1"/>
                  <w:vMerge w:val="continue"/>
                </w:tcPr>
                <w:p>
                  <w:pPr/>
                </w:p>
              </w:tc>
            </w:tr>
            <w:tr>
              <w:tc>
                <w:tcPr>
                  <w:vMerge w:val="restart"/>
                </w:tcPr>
                <w:p>
                  <w:pPr>
                    <w:pStyle w:val="Compact"/>
                    <w:jc w:val="center"/>
                  </w:pPr>
                  <w:r>
                    <w:t xml:space="preserve">Low-pH viral inactivation</w:t>
                  </w:r>
                </w:p>
              </w:tc>
              <w:tc>
                <w:tcPr/>
                <w:p>
                  <w:pPr>
                    <w:pStyle w:val="Compact"/>
                    <w:jc w:val="center"/>
                  </w:pPr>
                  <w:r>
                    <w:t xml:space="preserve">Aggregates, HMW</w:t>
                  </w:r>
                </w:p>
              </w:tc>
              <w:tc>
                <w:tcPr>
                  <w:vMerge w:val="restart"/>
                </w:tcPr>
                <w:p>
                  <w:pPr>
                    <w:pStyle w:val="Compact"/>
                    <w:jc w:val="center"/>
                  </w:pPr>
                  <w:r>
                    <w:t xml:space="preserve">Increase, largest (points)</w:t>
                  </w:r>
                </w:p>
              </w:tc>
              <w:tc>
                <w:tcPr/>
                <w:p>
                  <w:pPr>
                    <w:pStyle w:val="Compact"/>
                    <w:jc w:val="center"/>
                  </w:pPr>
                  <w:r>
                    <w:t xml:space="preserve">0.70</w:t>
                  </w:r>
                </w:p>
              </w:tc>
              <w:tc>
                <w:tcPr/>
                <w:p>
                  <w:pPr>
                    <w:pStyle w:val="Compact"/>
                    <w:jc w:val="center"/>
                  </w:pPr>
                  <w:r>
                    <w:t xml:space="preserve">0.84</w:t>
                  </w:r>
                </w:p>
              </w:tc>
              <w:tc>
                <w:tcPr/>
                <w:p>
                  <w:pPr>
                    <w:pStyle w:val="Compact"/>
                    <w:jc w:val="center"/>
                  </w:pPr>
                  <w:r>
                    <w:t xml:space="preserve">0.53</w:t>
                  </w:r>
                </w:p>
              </w:tc>
              <w:tc>
                <w:tcPr/>
                <w:p>
                  <w:pPr>
                    <w:pStyle w:val="Compact"/>
                    <w:jc w:val="center"/>
                  </w:pPr>
                  <w:r>
                    <w:t xml:space="preserve">0.56</w:t>
                  </w:r>
                </w:p>
              </w:tc>
              <w:tc>
                <w:tcPr/>
                <w:p>
                  <w:pPr>
                    <w:pStyle w:val="Compact"/>
                    <w:jc w:val="center"/>
                  </w:pPr>
                  <w:r>
                    <w:t xml:space="preserve">Better, widened</w:t>
                  </w:r>
                  <w:r>
                    <w:rPr>
                      <w:vertAlign w:val="superscript"/>
                    </w:rPr>
                    <w:t xml:space="preserve">a)</w:t>
                  </w:r>
                </w:p>
              </w:tc>
            </w:tr>
            <w:tr>
              <w:tc>
                <w:tcPr>
                  <w:gridSpan w:val="1"/>
                  <w:vMerge w:val="continue"/>
                </w:tcPr>
                <w:p>
                  <w:pPr/>
                </w:p>
              </w:tc>
              <w:tc>
                <w:tcPr/>
                <w:p>
                  <w:pPr>
                    <w:pStyle w:val="Compact"/>
                    <w:jc w:val="center"/>
                  </w:pPr>
                  <w:r>
                    <w:t xml:space="preserve">Fragments, LMW</w:t>
                  </w:r>
                </w:p>
              </w:tc>
              <w:tc>
                <w:tcPr>
                  <w:gridSpan w:val="1"/>
                  <w:vMerge w:val="continue"/>
                </w:tcPr>
                <w:p>
                  <w:pPr/>
                </w:p>
              </w:tc>
              <w:tc>
                <w:tcPr/>
                <w:p>
                  <w:pPr>
                    <w:pStyle w:val="Compact"/>
                    <w:jc w:val="center"/>
                  </w:pPr>
                  <w:r>
                    <w:t xml:space="preserve">0.15</w:t>
                  </w:r>
                </w:p>
              </w:tc>
              <w:tc>
                <w:tcPr/>
                <w:p>
                  <w:pPr>
                    <w:pStyle w:val="Compact"/>
                    <w:jc w:val="center"/>
                  </w:pPr>
                  <w:r>
                    <w:t xml:space="preserve">0.22</w:t>
                  </w:r>
                </w:p>
              </w:tc>
              <w:tc>
                <w:tcPr/>
                <w:p>
                  <w:pPr>
                    <w:pStyle w:val="Compact"/>
                    <w:jc w:val="center"/>
                  </w:pPr>
                  <w:r>
                    <w:t xml:space="preserve">0.10</w:t>
                  </w:r>
                </w:p>
              </w:tc>
              <w:tc>
                <w:tcPr/>
                <w:p>
                  <w:pPr>
                    <w:pStyle w:val="Compact"/>
                    <w:jc w:val="center"/>
                  </w:pPr>
                  <w:r>
                    <w:t xml:space="preserve">0.19</w:t>
                  </w:r>
                </w:p>
              </w:tc>
              <w:tc>
                <w:tcPr/>
                <w:p>
                  <w:pPr>
                    <w:pStyle w:val="Compact"/>
                    <w:jc w:val="center"/>
                  </w:pPr>
                  <w:r>
                    <w:t xml:space="preserve">Confirmed</w:t>
                  </w:r>
                </w:p>
              </w:tc>
            </w:tr>
            <w:tr>
              <w:tc>
                <w:tcPr>
                  <w:gridSpan w:val="1"/>
                  <w:vMerge w:val="continue"/>
                </w:tcPr>
                <w:p>
                  <w:pPr/>
                </w:p>
              </w:tc>
              <w:tc>
                <w:tcPr/>
                <w:p>
                  <w:pPr>
                    <w:pStyle w:val="Compact"/>
                    <w:jc w:val="center"/>
                  </w:pPr>
                  <w:r>
                    <w:t xml:space="preserve">Acidic variants</w:t>
                  </w:r>
                </w:p>
              </w:tc>
              <w:tc>
                <w:tcPr>
                  <w:gridSpan w:val="1"/>
                  <w:vMerge w:val="continue"/>
                </w:tcPr>
                <w:p>
                  <w:pPr/>
                </w:p>
              </w:tc>
              <w:tc>
                <w:tcPr/>
                <w:p>
                  <w:pPr>
                    <w:pStyle w:val="Compact"/>
                    <w:jc w:val="center"/>
                  </w:pPr>
                  <w:r>
                    <w:t xml:space="preserve">1.00</w:t>
                  </w:r>
                </w:p>
              </w:tc>
              <w:tc>
                <w:tcPr/>
                <w:p>
                  <w:pPr>
                    <w:pStyle w:val="Compact"/>
                    <w:jc w:val="center"/>
                  </w:pPr>
                  <w:r>
                    <w:t xml:space="preserve">0.60</w:t>
                  </w:r>
                </w:p>
              </w:tc>
              <w:tc>
                <w:tcPr/>
                <w:p>
                  <w:pPr>
                    <w:pStyle w:val="Compact"/>
                    <w:jc w:val="center"/>
                  </w:pPr>
                  <w:r>
                    <w:t xml:space="preserve">0.40</w:t>
                  </w:r>
                </w:p>
              </w:tc>
              <w:tc>
                <w:tcPr/>
                <w:p>
                  <w:pPr>
                    <w:pStyle w:val="Compact"/>
                    <w:jc w:val="center"/>
                  </w:pPr>
                  <w:r>
                    <w:t xml:space="preserve">0.40</w:t>
                  </w:r>
                </w:p>
              </w:tc>
              <w:tc>
                <w:tcPr/>
                <w:p>
                  <w:pPr>
                    <w:pStyle w:val="Compact"/>
                    <w:jc w:val="center"/>
                  </w:pPr>
                  <w:r>
                    <w:t xml:space="preserve">Confirmed, not widened</w:t>
                  </w:r>
                  <w:r>
                    <w:rPr>
                      <w:vertAlign w:val="superscript"/>
                    </w:rPr>
                    <w:t xml:space="preserve">b)</w:t>
                  </w:r>
                </w:p>
              </w:tc>
            </w:tr>
            <w:tr>
              <w:tc>
                <w:tcPr>
                  <w:vMerge w:val="restart"/>
                </w:tcPr>
                <w:p>
                  <w:pPr>
                    <w:pStyle w:val="Compact"/>
                    <w:jc w:val="center"/>
                  </w:pPr>
                  <w:r>
                    <w:t xml:space="preserve">Cation exchange</w:t>
                  </w:r>
                </w:p>
              </w:tc>
              <w:tc>
                <w:tcPr/>
                <w:p>
                  <w:pPr>
                    <w:pStyle w:val="Compact"/>
                    <w:jc w:val="center"/>
                  </w:pPr>
                  <w:r>
                    <w:t xml:space="preserve">Host cell protein</w:t>
                  </w:r>
                </w:p>
              </w:tc>
              <w:tc>
                <w:tcPr>
                  <w:vMerge w:val="restart"/>
                </w:tcPr>
                <w:p>
                  <w:pPr>
                    <w:pStyle w:val="Compact"/>
                    <w:jc w:val="center"/>
                  </w:pPr>
                  <w:r>
                    <w:t xml:space="preserve">Clearance factor, lowest</w:t>
                  </w:r>
                </w:p>
              </w:tc>
              <w:tc>
                <w:tcPr/>
                <w:p>
                  <w:pPr>
                    <w:pStyle w:val="Compact"/>
                    <w:jc w:val="center"/>
                  </w:pPr>
                  <w:r>
                    <w:t xml:space="preserve">40.0</w:t>
                  </w:r>
                </w:p>
              </w:tc>
              <w:tc>
                <w:tcPr/>
                <w:p>
                  <w:pPr>
                    <w:pStyle w:val="Compact"/>
                    <w:jc w:val="center"/>
                  </w:pPr>
                  <w:r>
                    <w:t xml:space="preserve">30.3</w:t>
                  </w:r>
                </w:p>
              </w:tc>
              <w:tc>
                <w:tcPr/>
                <w:p>
                  <w:pPr>
                    <w:pStyle w:val="Compact"/>
                    <w:jc w:val="center"/>
                  </w:pPr>
                  <w:r>
                    <w:t xml:space="preserve">44.9</w:t>
                  </w:r>
                </w:p>
              </w:tc>
              <w:tc>
                <w:tcPr/>
                <w:p>
                  <w:pPr>
                    <w:pStyle w:val="Compact"/>
                    <w:jc w:val="center"/>
                  </w:pPr>
                  <w:r>
                    <w:t xml:space="preserve">36.7</w:t>
                  </w:r>
                </w:p>
              </w:tc>
              <w:tc>
                <w:tcPr/>
                <w:p>
                  <w:pPr>
                    <w:pStyle w:val="Compact"/>
                    <w:jc w:val="center"/>
                  </w:pPr>
                  <w:r>
                    <w:t xml:space="preserve">Confirmed</w:t>
                  </w:r>
                </w:p>
              </w:tc>
            </w:tr>
            <w:tr>
              <w:tc>
                <w:tcPr>
                  <w:gridSpan w:val="1"/>
                  <w:vMerge w:val="continue"/>
                </w:tcPr>
                <w:p>
                  <w:pPr/>
                </w:p>
              </w:tc>
              <w:tc>
                <w:tcPr/>
                <w:p>
                  <w:pPr>
                    <w:pStyle w:val="Compact"/>
                    <w:jc w:val="center"/>
                  </w:pPr>
                  <w:r>
                    <w:t xml:space="preserve">Aggregates, HMW</w:t>
                  </w:r>
                </w:p>
              </w:tc>
              <w:tc>
                <w:tcPr>
                  <w:gridSpan w:val="1"/>
                  <w:vMerge w:val="continue"/>
                </w:tcPr>
                <w:p>
                  <w:pPr/>
                </w:p>
              </w:tc>
              <w:tc>
                <w:tcPr/>
                <w:p>
                  <w:pPr>
                    <w:pStyle w:val="Compact"/>
                    <w:jc w:val="center"/>
                  </w:pPr>
                  <w:r>
                    <w:t xml:space="preserve">2.00</w:t>
                  </w:r>
                </w:p>
              </w:tc>
              <w:tc>
                <w:tcPr/>
                <w:p>
                  <w:pPr>
                    <w:pStyle w:val="Compact"/>
                    <w:jc w:val="center"/>
                  </w:pPr>
                  <w:r>
                    <w:t xml:space="preserve">1.01</w:t>
                  </w:r>
                </w:p>
              </w:tc>
              <w:tc>
                <w:tcPr/>
                <w:p>
                  <w:pPr>
                    <w:pStyle w:val="Compact"/>
                    <w:jc w:val="center"/>
                  </w:pPr>
                  <w:r>
                    <w:t xml:space="preserve">1.58</w:t>
                  </w:r>
                </w:p>
              </w:tc>
              <w:tc>
                <w:tcPr/>
                <w:p>
                  <w:pPr>
                    <w:pStyle w:val="Compact"/>
                    <w:jc w:val="center"/>
                  </w:pPr>
                  <w:r>
                    <w:t xml:space="preserve">1.40</w:t>
                  </w:r>
                </w:p>
              </w:tc>
              <w:tc>
                <w:tcPr/>
                <w:p>
                  <w:pPr>
                    <w:pStyle w:val="Compact"/>
                    <w:jc w:val="center"/>
                  </w:pPr>
                  <w:r>
                    <w:t xml:space="preserve">Not confirmed, tightened</w:t>
                  </w:r>
                  <w:r>
                    <w:rPr>
                      <w:vertAlign w:val="superscript"/>
                    </w:rPr>
                    <w:t xml:space="preserve">c)</w:t>
                  </w:r>
                </w:p>
              </w:tc>
            </w:tr>
            <w:tr>
              <w:tc>
                <w:tcPr>
                  <w:gridSpan w:val="1"/>
                  <w:vMerge w:val="continue"/>
                </w:tcPr>
                <w:p>
                  <w:pPr/>
                </w:p>
              </w:tc>
              <w:tc>
                <w:tcPr/>
                <w:p>
                  <w:pPr>
                    <w:pStyle w:val="Compact"/>
                    <w:jc w:val="center"/>
                  </w:pPr>
                  <w:r>
                    <w:t xml:space="preserve">Fragments, LMW</w:t>
                  </w:r>
                </w:p>
              </w:tc>
              <w:tc>
                <w:tcPr>
                  <w:gridSpan w:val="1"/>
                  <w:vMerge w:val="continue"/>
                </w:tcPr>
                <w:p>
                  <w:pPr/>
                </w:p>
              </w:tc>
              <w:tc>
                <w:tcPr/>
                <w:p>
                  <w:pPr>
                    <w:pStyle w:val="Compact"/>
                    <w:jc w:val="center"/>
                  </w:pPr>
                  <w:r>
                    <w:t xml:space="preserve">1.30</w:t>
                  </w:r>
                </w:p>
              </w:tc>
              <w:tc>
                <w:tcPr/>
                <w:p>
                  <w:pPr>
                    <w:pStyle w:val="Compact"/>
                    <w:jc w:val="center"/>
                  </w:pPr>
                  <w:r>
                    <w:t xml:space="preserve">1.28</w:t>
                  </w:r>
                </w:p>
              </w:tc>
              <w:tc>
                <w:tcPr/>
                <w:p>
                  <w:pPr>
                    <w:pStyle w:val="Compact"/>
                    <w:jc w:val="center"/>
                  </w:pPr>
                  <w:r>
                    <w:t xml:space="preserve">1.45</w:t>
                  </w:r>
                </w:p>
              </w:tc>
              <w:tc>
                <w:tcPr/>
                <w:p>
                  <w:pPr>
                    <w:pStyle w:val="Compact"/>
                    <w:jc w:val="center"/>
                  </w:pPr>
                  <w:r>
                    <w:t xml:space="preserve">1.27</w:t>
                  </w:r>
                </w:p>
              </w:tc>
              <w:tc>
                <w:tcPr/>
                <w:p>
                  <w:pPr>
                    <w:pStyle w:val="Compact"/>
                    <w:jc w:val="center"/>
                  </w:pPr>
                  <w:r>
                    <w:t xml:space="preserve">Confirmed</w:t>
                  </w:r>
                </w:p>
              </w:tc>
            </w:tr>
            <w:tr>
              <w:tc>
                <w:tcPr>
                  <w:gridSpan w:val="1"/>
                  <w:vMerge w:val="continue"/>
                </w:tcPr>
                <w:p>
                  <w:pPr/>
                </w:p>
              </w:tc>
              <w:tc>
                <w:tcPr/>
                <w:p>
                  <w:pPr>
                    <w:pStyle w:val="Compact"/>
                    <w:jc w:val="center"/>
                  </w:pPr>
                  <w:r>
                    <w:t xml:space="preserve">Leached Protein A</w:t>
                  </w:r>
                </w:p>
              </w:tc>
              <w:tc>
                <w:tcPr>
                  <w:gridSpan w:val="1"/>
                  <w:vMerge w:val="continue"/>
                </w:tcPr>
                <w:p>
                  <w:pPr/>
                </w:p>
              </w:tc>
              <w:tc>
                <w:tcPr/>
                <w:p>
                  <w:pPr>
                    <w:pStyle w:val="Compact"/>
                    <w:jc w:val="center"/>
                  </w:pPr>
                  <w:r>
                    <w:t xml:space="preserve">3.16</w:t>
                  </w:r>
                </w:p>
              </w:tc>
              <w:tc>
                <w:tcPr>
                  <w:gridSpan w:val="4"/>
                </w:tcPr>
                <w:p>
                  <w:pPr>
                    <w:pStyle w:val="Compact"/>
                    <w:jc w:val="center"/>
                  </w:pPr>
                  <w:r>
                    <w:t xml:space="preserve">not a response</w:t>
                  </w:r>
                  <w:r>
                    <w:rPr>
                      <w:vertAlign w:val="superscript"/>
                    </w:rPr>
                    <w:t xml:space="preserve">d)</w:t>
                  </w:r>
                </w:p>
              </w:tc>
            </w:tr>
            <w:tr>
              <w:tc>
                <w:tcPr>
                  <w:vMerge w:val="restart"/>
                </w:tcPr>
                <w:p>
                  <w:pPr>
                    <w:pStyle w:val="Compact"/>
                    <w:jc w:val="center"/>
                  </w:pPr>
                  <w:r>
                    <w:t xml:space="preserve">Anion exchange</w:t>
                  </w:r>
                </w:p>
              </w:tc>
              <w:tc>
                <w:tcPr/>
                <w:p>
                  <w:pPr>
                    <w:pStyle w:val="Compact"/>
                    <w:jc w:val="center"/>
                  </w:pPr>
                  <w:r>
                    <w:t xml:space="preserve">Host cell protein</w:t>
                  </w:r>
                </w:p>
              </w:tc>
              <w:tc>
                <w:tcPr>
                  <w:vMerge w:val="restart"/>
                </w:tcPr>
                <w:p>
                  <w:pPr>
                    <w:pStyle w:val="Compact"/>
                    <w:jc w:val="center"/>
                  </w:pPr>
                  <w:r>
                    <w:t xml:space="preserve">Clearance factor, lowest</w:t>
                  </w:r>
                </w:p>
              </w:tc>
              <w:tc>
                <w:tcPr/>
                <w:p>
                  <w:pPr>
                    <w:pStyle w:val="Compact"/>
                    <w:jc w:val="center"/>
                  </w:pPr>
                  <w:r>
                    <w:t xml:space="preserve">4.00</w:t>
                  </w:r>
                </w:p>
              </w:tc>
              <w:tc>
                <w:tcPr/>
                <w:p>
                  <w:pPr>
                    <w:pStyle w:val="Compact"/>
                    <w:jc w:val="center"/>
                  </w:pPr>
                  <w:r>
                    <w:t xml:space="preserve">3.63</w:t>
                  </w:r>
                </w:p>
              </w:tc>
              <w:tc>
                <w:tcPr/>
                <w:p>
                  <w:pPr>
                    <w:pStyle w:val="Compact"/>
                    <w:jc w:val="center"/>
                  </w:pPr>
                  <w:r>
                    <w:t xml:space="preserve">5.51</w:t>
                  </w:r>
                </w:p>
              </w:tc>
              <w:tc>
                <w:tcPr/>
                <w:p>
                  <w:pPr>
                    <w:pStyle w:val="Compact"/>
                    <w:jc w:val="center"/>
                  </w:pPr>
                  <w:r>
                    <w:t xml:space="preserve">4.27</w:t>
                  </w:r>
                </w:p>
              </w:tc>
              <w:tc>
                <w:tcPr/>
                <w:p>
                  <w:pPr>
                    <w:pStyle w:val="Compact"/>
                    <w:jc w:val="center"/>
                  </w:pPr>
                  <w:r>
                    <w:t xml:space="preserve">Better, widened</w:t>
                  </w:r>
                  <w:r>
                    <w:rPr>
                      <w:vertAlign w:val="superscript"/>
                    </w:rPr>
                    <w:t xml:space="preserve">a)</w:t>
                  </w:r>
                </w:p>
              </w:tc>
            </w:tr>
            <w:tr>
              <w:tc>
                <w:tcPr>
                  <w:gridSpan w:val="1"/>
                  <w:vMerge w:val="continue"/>
                </w:tcPr>
                <w:p>
                  <w:pPr/>
                </w:p>
              </w:tc>
              <w:tc>
                <w:tcPr/>
                <w:p>
                  <w:pPr>
                    <w:pStyle w:val="Compact"/>
                    <w:jc w:val="center"/>
                  </w:pPr>
                  <w:r>
                    <w:t xml:space="preserve">Leached Protein A</w:t>
                  </w:r>
                </w:p>
              </w:tc>
              <w:tc>
                <w:tcPr>
                  <w:gridSpan w:val="1"/>
                  <w:vMerge w:val="continue"/>
                </w:tcPr>
                <w:p>
                  <w:pPr/>
                </w:p>
              </w:tc>
              <w:tc>
                <w:tcPr/>
                <w:p>
                  <w:pPr>
                    <w:pStyle w:val="Compact"/>
                    <w:jc w:val="center"/>
                  </w:pPr>
                  <w:r>
                    <w:t xml:space="preserve">10.0</w:t>
                  </w:r>
                </w:p>
              </w:tc>
              <w:tc>
                <w:tcPr>
                  <w:gridSpan w:val="4"/>
                </w:tcPr>
                <w:p>
                  <w:pPr>
                    <w:pStyle w:val="Compact"/>
                    <w:jc w:val="center"/>
                  </w:pPr>
                  <w:r>
                    <w:t xml:space="preserve">not a response</w:t>
                  </w:r>
                  <w:r>
                    <w:rPr>
                      <w:vertAlign w:val="superscript"/>
                    </w:rPr>
                    <w:t xml:space="preserve">d)</w:t>
                  </w:r>
                </w:p>
              </w:tc>
            </w:tr>
            <w:tr>
              <w:tc>
                <w:tcPr>
                  <w:gridSpan w:val="8"/>
                </w:tcPr>
                <w:p>
                  <w:pPr>
                    <w:pStyle w:val="Compact"/>
                    <w:jc w:val="center"/>
                  </w:pPr>
                  <w:r>
                    <w:rPr>
                      <w:vertAlign w:val="superscript"/>
                    </w:rPr>
                    <w:t xml:space="preserve">a)</w:t>
                  </w:r>
                  <w:r>
                    <w:t xml:space="preserve"> </w:t>
                  </w:r>
                  <w:r>
                    <w:t xml:space="preserve">The one-sided 95 % prediction bound of a single batch is better than the platform worst case. The criteria upstream of this step were recalculated with the bound.</w:t>
                  </w:r>
                </w:p>
              </w:tc>
            </w:tr>
            <w:tr>
              <w:tc>
                <w:tcPr>
                  <w:gridSpan w:val="8"/>
                </w:tcPr>
                <w:p>
                  <w:pPr>
                    <w:pStyle w:val="Compact"/>
                    <w:jc w:val="center"/>
                  </w:pPr>
                  <w:r>
                    <w:rPr>
                      <w:vertAlign w:val="superscript"/>
                    </w:rPr>
                    <w:t xml:space="preserve">b)</w:t>
                  </w:r>
                  <w:r>
                    <w:t xml:space="preserve"> </w:t>
                  </w:r>
                  <w:r>
                    <w:t xml:space="preserve">The one-sided 95 % prediction bound of a single batch is better than the platform worst case, but the model is not adequate by the criteria of PCMP-001: it fails a test, or it fits the results exactly and the tests cannot be applied. The platform value stands.</w:t>
                  </w:r>
                </w:p>
              </w:tc>
            </w:tr>
            <w:tr>
              <w:tc>
                <w:tcPr>
                  <w:gridSpan w:val="8"/>
                </w:tcPr>
                <w:p>
                  <w:pPr>
                    <w:pStyle w:val="Compact"/>
                    <w:jc w:val="center"/>
                  </w:pPr>
                  <w:r>
                    <w:rPr>
                      <w:vertAlign w:val="superscript"/>
                    </w:rPr>
                    <w:t xml:space="preserve">c)</w:t>
                  </w:r>
                  <w:r>
                    <w:t xml:space="preserve"> </w:t>
                  </w:r>
                  <w:r>
                    <w:t xml:space="preserve">The criteria upstream of this step were recalculated with the one-sided 95 % prediction bound of a single batch at the value predicted within the NOR.</w:t>
                  </w:r>
                </w:p>
              </w:tc>
            </w:tr>
            <w:tr>
              <w:tc>
                <w:tcPr>
                  <w:gridSpan w:val="8"/>
                </w:tcPr>
                <w:p>
                  <w:pPr>
                    <w:pStyle w:val="Compact"/>
                    <w:jc w:val="center"/>
                  </w:pPr>
                  <w:r>
                    <w:rPr>
                      <w:vertAlign w:val="superscript"/>
                    </w:rPr>
                    <w:t xml:space="preserve">d)</w:t>
                  </w:r>
                  <w:r>
                    <w:t xml:space="preserve"> </w:t>
                  </w:r>
                  <w:r>
                    <w:t xml:space="preserve">Not a response of the response-surface study at this step, so the platform value stands unverified.</w:t>
                  </w:r>
                </w:p>
              </w:tc>
            </w:tr>
            <w:tr>
              <w:tc>
                <w:tcPr>
                  <w:gridSpan w:val="8"/>
                </w:tcPr>
                <w:p>
                  <w:pPr>
                    <w:pStyle w:val="Compact"/>
                    <w:jc w:val="center"/>
                  </w:pPr>
                  <w:r>
                    <w:t xml:space="preserve">Computed from unrounded values. A criterion recomputed from the rounded values shown can differ in its last digit.</w:t>
                  </w:r>
                </w:p>
              </w:tc>
            </w:tr>
          </w:tbl>
          <w:bookmarkEnd w:id="100"/>
          <w:p/>
        </w:tc>
      </w:tr>
    </w:tbl>
    <w:p>
      <w:pPr>
        <w:pStyle w:val="BodyText"/>
      </w:pPr>
      <w:r>
        <w:t xml:space="preserve">Each of the 9 rows bears on this report. Host cell protein at cation exchange and anion exchange, fragments at low-pH viral inactivation and cation exchange, and leached Protein A at cation exchange and anion exchange set the criteria of the Protein A pool. Aggregate at low-pH viral inactivation and cation exchange, and acidic variants at low-pH viral inactivation, set the criteria of the held eluate (</w:t>
      </w:r>
      <w:hyperlink w:anchor="sec-holddesign">
        <w:r>
          <w:rPr>
            <w:rStyle w:val="Hyperlink"/>
          </w:rPr>
          <w:t xml:space="preserve">Section 4.5</w:t>
        </w:r>
      </w:hyperlink>
      <w:r>
        <w:t xml:space="preserve">). For acidic variants the single-batch bound of the low-pH increase is better than the platform value but does not replace it. The acidic variant results of the low-pH design have no scatter, so their model fits them exactly and cannot be judged adequate.</w:t>
      </w:r>
    </w:p>
    <w:p>
      <w:pPr>
        <w:pStyle w:val="BodyText"/>
      </w:pPr>
      <w:r>
        <w:t xml:space="preserve">For pool host cell protein the drug substance limit of ≤ 100 ng/mg is carried back through cation exchange and anion exchange. With the platform worst cases of 40-fold and 4-fold clearance, the a priori criterion was ≤ 16,000 ng/mg.</w:t>
      </w:r>
    </w:p>
    <w:p>
      <w:pPr>
        <w:pStyle w:val="BodyText"/>
      </w:pPr>
      <w:r>
        <w:t xml:space="preserve">At cation exchange the platform worst case for host cell protein clearance stands. The cation exchange model, from the 28 runs of its response-surface design with 4 centre points, predicts a lowest host cell protein clearance within its NOR of 44.9-fold, no worse than the platform value of 40-fold, so no criterion is tightened. Its single-batch bound, 36.7-fold, is not better than the platform value, so none is widened.</w:t>
      </w:r>
    </w:p>
    <w:p>
      <w:pPr>
        <w:pStyle w:val="BodyText"/>
      </w:pPr>
      <w:r>
        <w:t xml:space="preserve">At anion exchange the single-batch bound for host cell protein clearance replaced the platform worst case. The anion exchange model predicts a lowest clearance within its NOR of 5.51-fold, and its single-batch bound, 4.27-fold, is better than the platform value of 4-fold. The model behind the bound meets the first three adequacy criteria of PCMP-001 §7.2. Its F-test is significant (p &lt; 0.001), its lack of fit test is not (p = 0.824), and its predicted R² falls short of R² by 0.02, within the limit of 0.20. The model is not an exact fit, and it meets the fourth criterion, because no run has a Cook’s distance above the median of F(p, n − p), 0.81. Runs 2 and 9 lie above 4/n and were examined. With each of runs 2 and 9 deleted in turn, and the model selection and the bound computed again, the selected model still met the three criteria and the bound stayed better than the platform value, at 4.33 to 4.56-fold (INV-002 §8.4). The bound therefore does not depend on a single run. The bound comes from the 28 runs of the planned anion exchange design, with 4 centre points. The criteria of this report were fixed when INV-001 closed on 2026-09-18, before the 12 runs that INV-002 added to that design were complete (study S-AEX-AUG, 2026-09-10 to 2026-09-24). On all 40 runs the bound is the same to three significant figures, 4.27-fold. For these reasons the clearance of anion exchange for A-Mab is known well enough to replace the platform value. The 40-fold of cation exchange and the 4.27-fold of anion exchange give a combined clearance of 171-fold and the criterion in force of ≤ 17,069 ng/mg, 7 % wider than the a priori value. At the edges of their ranges studied, outside their NORs, the lowest clearance measured in a run was 30.3-fold at cation exchange and 3.63-fold at anion exchange, both below their platform values. The criterion therefore relies on both steps running within their NORs (PCR-007, PCR-008).</w:t>
      </w:r>
    </w:p>
    <w:p>
      <w:pPr>
        <w:pStyle w:val="BodyText"/>
      </w:pPr>
      <w:r>
        <w:t xml:space="preserve">The widening of the criterion for pool host cell protein is argued by its risk, in the four parts that PCMP-001 §7.5 asks for.</w:t>
      </w:r>
    </w:p>
    <w:p>
      <w:pPr>
        <w:pStyle w:val="Compact"/>
        <w:numPr>
          <w:ilvl w:val="0"/>
          <w:numId w:val="1006"/>
        </w:numPr>
      </w:pPr>
      <w:r>
        <w:t xml:space="preserve">The risk is the producer’s. A wider criterion admits a Protein A pool with more host cell protein, and a drug substance batch that then exceeded its criterion would be rejected at release.</w:t>
      </w:r>
    </w:p>
    <w:p>
      <w:pPr>
        <w:pStyle w:val="Compact"/>
        <w:numPr>
          <w:ilvl w:val="0"/>
          <w:numId w:val="1006"/>
        </w:numPr>
      </w:pPr>
      <w:r>
        <w:t xml:space="preserve">An excursion would be detected at release of the drug substance, where host cell protein is tested by ELISA (AMV-3012). The limit of quantitation of the ELISA, 1 ng/mg, is far below the criterion of ≤ 100 ng/mg. The coverage of the ELISA, the share of the host cell proteins that its antibodies recognise, is 80 %, measured by 2D western blot against the platform CHO host cell protein antigen (AMV-3012). A host cell protein outside that share would not be detected by the release test.</w:t>
      </w:r>
    </w:p>
    <w:p>
      <w:pPr>
        <w:pStyle w:val="Compact"/>
        <w:numPr>
          <w:ilvl w:val="0"/>
          <w:numId w:val="1006"/>
        </w:numPr>
      </w:pPr>
      <w:r>
        <w:t xml:space="preserve">A pool at the criterion meets the drug substance limit only if cation exchange clears at least 40-fold, to the cation exchange pool criterion of ≤ 427 ng/mg, and anion exchange at least 4.27-fold. Cation exchange is credited with its platform value, which lies above its own single-batch bound of 36.7-fold. If both steps cleared only their single-batch bounds, a pool at the criterion would give 109 ng/mg in the drug substance, above the limit. Over the NOR the upper prediction limit of a single pool is 15,349 ng/mg, below the criterion.</w:t>
      </w:r>
    </w:p>
    <w:p>
      <w:pPr>
        <w:pStyle w:val="Compact"/>
        <w:numPr>
          <w:ilvl w:val="0"/>
          <w:numId w:val="1006"/>
        </w:numPr>
      </w:pPr>
      <w:r>
        <w:t xml:space="preserve">In the integrated process model no simulated batch of 2,000 exceeded the host cell protein criterion of the drug substance, and the normal tail probability is below one per million (</w:t>
      </w:r>
      <w:hyperlink w:anchor="sec-cap">
        <w:r>
          <w:rPr>
            <w:rStyle w:val="Hyperlink"/>
          </w:rPr>
          <w:t xml:space="preserve">Section 8</w:t>
        </w:r>
      </w:hyperlink>
      <w:r>
        <w:t xml:space="preserve">).</w:t>
      </w:r>
    </w:p>
    <w:p>
      <w:pPr>
        <w:pStyle w:val="FirstParagraph"/>
      </w:pPr>
      <w:r>
        <w:t xml:space="preserve">The widening of the criterion for pool host cell protein rests on the model selection of INV-002 corrective action CA3. Without the model selection, the full quadratic model of anion exchange fails the limit on overfitting of PCMP-001 §7.2, with predicted R² 0.27 below R², so no bound replaces a platform value, and the criterion would be the a priori value of ≤ 16,000 ng/mg. Against that criterion the scale-down model would not be qualified for pool host cell protein (</w:t>
      </w:r>
      <w:hyperlink w:anchor="sec-sdm">
        <w:r>
          <w:rPr>
            <w:rStyle w:val="Hyperlink"/>
          </w:rPr>
          <w:t xml:space="preserve">Section 3.1</w:t>
        </w:r>
      </w:hyperlink>
      <w:r>
        <w:t xml:space="preserve">), and the NOR-propagated PAR of elution buffer pH for this output would be 3.25–3.9 instead of 3.21–3.9. No conclusion over the NOR would change.</w:t>
      </w:r>
    </w:p>
    <w:p>
      <w:pPr>
        <w:pStyle w:val="BodyText"/>
      </w:pPr>
      <w:r>
        <w:t xml:space="preserve">For fragments the drug substance limit of ≤ 2.00 % is carried back through cation exchange and then through the largest increase of low-pH viral inactivation, which gives ≤ 2.45 %. Both point predictions confirm the platform values. Cation exchange is predicted to clear at least 1.45-fold within its NOR against 1.30-fold, and low-pH viral inactivation to add at most 0.095 points against 0.15. Neither single-batch bound is better than its platform value, at 1.27-fold and 0.194 points, so both platform values stand and the criterion in force is the a priori value. Both fragment models also fail the limit of PCMP-001 §7.2 on how far predicted R² may fall below R², by 0.21 and 0.33 against 0.20.</w:t>
      </w:r>
    </w:p>
    <w:p>
      <w:pPr>
        <w:pStyle w:val="BodyText"/>
      </w:pPr>
      <w:r>
        <w:t xml:space="preserve">For leached Protein A the drug substance limit of ≤ 5 ppm is carried back through cation exchange and anion exchange, which together remove it 31.6-fold on the platform. That gives ≤ 158 ppm. Leached Protein A is not a response of the cation exchange or anion exchange designs. Its platform values therefore cannot be checked in this campaign, and they stand. No criterion upstream of this step uses a platform worst case of the Protein A step.</w:t>
      </w:r>
    </w:p>
    <w:p>
      <w:pPr>
        <w:pStyle w:val="BodyText"/>
      </w:pPr>
      <w:r>
        <w:t xml:space="preserve">None of the 3 criteria of the Protein A pool was tightened. The aggregate criterion of the held eluate, the low-pH inactivation load, which the A-Mab results of cation exchange and low-pH viral inactivation changed, is derived in</w:t>
      </w:r>
      <w:r>
        <w:t xml:space="preserve"> </w:t>
      </w:r>
      <w:hyperlink w:anchor="sec-holddesign">
        <w:r>
          <w:rPr>
            <w:rStyle w:val="Hyperlink"/>
          </w:rPr>
          <w:t xml:space="preserve">Section 4.5</w:t>
        </w:r>
      </w:hyperlink>
      <w:r>
        <w:t xml:space="preserve">.</w:t>
      </w:r>
    </w:p>
    <w:bookmarkEnd w:id="101"/>
    <w:bookmarkStart w:id="103" w:name="Xeb9c77c0aebc2062364e6f7c18e00eecee4986c"/>
    <w:p>
      <w:pPr>
        <w:pStyle w:val="Heading2"/>
      </w:pPr>
      <w:r>
        <w:t xml:space="preserve">7.2 Outputs against their criteria over the NOR</w:t>
      </w:r>
    </w:p>
    <w:p>
      <w:pPr>
        <w:pStyle w:val="FirstParagraph"/>
      </w:pPr>
      <w:hyperlink w:anchor="tbl-criteria-protein-a">
        <w:r>
          <w:rPr>
            <w:rStyle w:val="Hyperlink"/>
          </w:rPr>
          <w:t xml:space="preserve">Table 28</w:t>
        </w:r>
      </w:hyperlink>
      <w:r>
        <w:t xml:space="preserve"> </w:t>
      </w:r>
      <w:r>
        <w:t xml:space="preserve">gives each output at the set-point and over the NOR, as predicted by its selected model. Pool host cell protein and leached Protein A are at manufacturing scale. Fragments are in the scale-down model, because they carry no offset.</w:t>
      </w:r>
    </w:p>
    <w:tbl>
      <w:tblPr>
        <w:tblStyle w:val="Table"/>
        <w:tblW w:type="pct" w:w="5000"/>
        <w:tblLayout w:type="fixed"/>
        <w:tblLook w:firstRow="0" w:lastRow="0" w:firstColumn="0" w:lastColumn="0" w:noHBand="0" w:noVBand="0" w:val="0000"/>
      </w:tblPr>
      <w:tblGrid>
        <w:gridCol w:w="7920"/>
      </w:tblGrid>
      <w:tr>
        <w:tc>
          <w:tcPr/>
          <w:bookmarkStart w:id="102" w:name="tbl-criteria-protein-a"/>
          <w:p>
            <w:pPr>
              <w:jc w:val="center"/>
            </w:pPr>
            <w:pPr>
              <w:jc w:val="start"/>
              <w:spacing w:before="200"/>
              <w:pStyle w:val="ImageCaption"/>
            </w:pPr>
            <w:r>
              <w:t xml:space="preserve">Table 28: Protein A outputs against their intermediate acceptance criteria.</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vMerge w:val="restart"/>
                </w:tcPr>
                <w:p>
                  <w:pPr>
                    <w:pStyle w:val="Compact"/>
                    <w:jc w:val="center"/>
                  </w:pPr>
                  <w:r>
                    <w:t xml:space="preserve">Criterion</w:t>
                  </w:r>
                </w:p>
              </w:tc>
              <w:tc>
                <w:tcPr>
                  <w:gridSpan w:val="2"/>
                </w:tcPr>
                <w:p>
                  <w:pPr>
                    <w:pStyle w:val="Compact"/>
                    <w:jc w:val="center"/>
                  </w:pPr>
                  <w:r>
                    <w:t xml:space="preserve">Mean predicted by the response-surface model</w:t>
                  </w:r>
                  <w:r>
                    <w:rPr>
                      <w:vertAlign w:val="superscript"/>
                    </w:rPr>
                    <w:t xml:space="preserve">a)</w:t>
                  </w:r>
                </w:p>
              </w:tc>
              <w:tc>
                <w:tcPr>
                  <w:vMerge w:val="restart"/>
                </w:tcPr>
                <w:p>
                  <w:pPr>
                    <w:pStyle w:val="Compact"/>
                    <w:jc w:val="center"/>
                  </w:pPr>
                  <w:r>
                    <w:t xml:space="preserve">Met across</w:t>
                  </w:r>
                  <w:r>
                    <w:br/>
                  </w:r>
                  <w:r>
                    <w:t xml:space="preserve">the NOR</w:t>
                  </w:r>
                  <w:r>
                    <w:rPr>
                      <w:vertAlign w:val="superscript"/>
                    </w:rPr>
                    <w:t xml:space="preserve">b)</w:t>
                  </w:r>
                </w:p>
              </w:tc>
            </w:tr>
            <w:tr>
              <w:trPr>
                <w:tblHeader w:val="on"/>
              </w:trPr>
              <w:tc>
                <w:tcPr>
                  <w:gridSpan w:val="1"/>
                  <w:vMerge w:val="continue"/>
                </w:tcPr>
                <w:p>
                  <w:pPr/>
                </w:p>
              </w:tc>
              <w:tc>
                <w:tcPr>
                  <w:gridSpan w:val="1"/>
                  <w:vMerge w:val="continue"/>
                </w:tcPr>
                <w:p>
                  <w:pPr/>
                </w:p>
              </w:tc>
              <w:tc>
                <w:tcPr/>
                <w:p>
                  <w:pPr>
                    <w:pStyle w:val="Compact"/>
                    <w:jc w:val="center"/>
                  </w:pPr>
                  <w:r>
                    <w:t xml:space="preserve">At the set-point</w:t>
                  </w:r>
                </w:p>
              </w:tc>
              <w:tc>
                <w:tcPr/>
                <w:p>
                  <w:pPr>
                    <w:pStyle w:val="Compact"/>
                    <w:jc w:val="center"/>
                  </w:pPr>
                  <w:r>
                    <w:t xml:space="preserve">Range over the NOR</w:t>
                  </w:r>
                </w:p>
              </w:tc>
              <w:tc>
                <w:tcPr>
                  <w:gridSpan w:val="1"/>
                  <w:vMerge w:val="continue"/>
                </w:tcPr>
                <w:p>
                  <w:pPr/>
                </w:p>
              </w:tc>
            </w:tr>
            <w:tr>
              <w:tc>
                <w:tcPr/>
                <w:p>
                  <w:pPr>
                    <w:pStyle w:val="Compact"/>
                    <w:jc w:val="center"/>
                  </w:pPr>
                  <w:r>
                    <w:t xml:space="preserve">Host cell protein (ng/mg)</w:t>
                  </w:r>
                </w:p>
              </w:tc>
              <w:tc>
                <w:tcPr/>
                <w:p>
                  <w:pPr>
                    <w:pStyle w:val="Compact"/>
                    <w:jc w:val="center"/>
                  </w:pPr>
                  <w:r>
                    <w:t xml:space="preserve">≤ 17,069</w:t>
                  </w:r>
                </w:p>
              </w:tc>
              <w:tc>
                <w:tcPr/>
                <w:p>
                  <w:pPr>
                    <w:pStyle w:val="Compact"/>
                    <w:jc w:val="center"/>
                  </w:pPr>
                  <w:r>
                    <w:t xml:space="preserve">7,150</w:t>
                  </w:r>
                  <w:r>
                    <w:rPr>
                      <w:vertAlign w:val="superscript"/>
                    </w:rPr>
                    <w:t xml:space="preserve">c)</w:t>
                  </w:r>
                </w:p>
              </w:tc>
              <w:tc>
                <w:tcPr/>
                <w:p>
                  <w:pPr>
                    <w:pStyle w:val="Compact"/>
                    <w:jc w:val="center"/>
                  </w:pPr>
                  <w:r>
                    <w:t xml:space="preserve">4,259 to 12,201</w:t>
                  </w:r>
                  <w:r>
                    <w:rPr>
                      <w:vertAlign w:val="superscript"/>
                    </w:rPr>
                    <w:t xml:space="preserve">c)</w:t>
                  </w:r>
                </w:p>
              </w:tc>
              <w:tc>
                <w:tcPr/>
                <w:p>
                  <w:pPr>
                    <w:pStyle w:val="Compact"/>
                    <w:jc w:val="center"/>
                  </w:pPr>
                  <w:r>
                    <w:t xml:space="preserve">Yes</w:t>
                  </w:r>
                </w:p>
              </w:tc>
            </w:tr>
            <w:tr>
              <w:tc>
                <w:tcPr/>
                <w:p>
                  <w:pPr>
                    <w:pStyle w:val="Compact"/>
                    <w:jc w:val="center"/>
                  </w:pPr>
                  <w:r>
                    <w:t xml:space="preserve">Leached Protein A (ppm)</w:t>
                  </w:r>
                </w:p>
              </w:tc>
              <w:tc>
                <w:tcPr/>
                <w:p>
                  <w:pPr>
                    <w:pStyle w:val="Compact"/>
                    <w:jc w:val="center"/>
                  </w:pPr>
                  <w:r>
                    <w:t xml:space="preserve">≤ 158</w:t>
                  </w:r>
                </w:p>
              </w:tc>
              <w:tc>
                <w:tcPr/>
                <w:p>
                  <w:pPr>
                    <w:pStyle w:val="Compact"/>
                    <w:jc w:val="center"/>
                  </w:pPr>
                  <w:r>
                    <w:t xml:space="preserve">4.12</w:t>
                  </w:r>
                </w:p>
              </w:tc>
              <w:tc>
                <w:tcPr/>
                <w:p>
                  <w:pPr>
                    <w:pStyle w:val="Compact"/>
                    <w:jc w:val="center"/>
                  </w:pPr>
                  <w:r>
                    <w:t xml:space="preserve">4.12 to 4.12</w:t>
                  </w:r>
                </w:p>
              </w:tc>
              <w:tc>
                <w:tcPr/>
                <w:p>
                  <w:pPr>
                    <w:pStyle w:val="Compact"/>
                    <w:jc w:val="center"/>
                  </w:pPr>
                  <w:r>
                    <w:t xml:space="preserve">Yes</w:t>
                  </w:r>
                </w:p>
              </w:tc>
            </w:tr>
            <w:tr>
              <w:tc>
                <w:tcPr/>
                <w:p>
                  <w:pPr>
                    <w:pStyle w:val="Compact"/>
                    <w:jc w:val="center"/>
                  </w:pPr>
                  <w:r>
                    <w:t xml:space="preserve">Fragments, LMW (%)</w:t>
                  </w:r>
                </w:p>
              </w:tc>
              <w:tc>
                <w:tcPr/>
                <w:p>
                  <w:pPr>
                    <w:pStyle w:val="Compact"/>
                    <w:jc w:val="center"/>
                  </w:pPr>
                  <w:r>
                    <w:t xml:space="preserve">≤ 2.45</w:t>
                  </w:r>
                </w:p>
              </w:tc>
              <w:tc>
                <w:tcPr/>
                <w:p>
                  <w:pPr>
                    <w:pStyle w:val="Compact"/>
                    <w:jc w:val="center"/>
                  </w:pPr>
                  <w:r>
                    <w:t xml:space="preserve">0.92</w:t>
                  </w:r>
                </w:p>
              </w:tc>
              <w:tc>
                <w:tcPr/>
                <w:p>
                  <w:pPr>
                    <w:pStyle w:val="Compact"/>
                    <w:jc w:val="center"/>
                  </w:pPr>
                  <w:r>
                    <w:t xml:space="preserve">0.89 to 0.96</w:t>
                  </w:r>
                </w:p>
              </w:tc>
              <w:tc>
                <w:tcPr/>
                <w:p>
                  <w:pPr>
                    <w:pStyle w:val="Compact"/>
                    <w:jc w:val="center"/>
                  </w:pPr>
                  <w:r>
                    <w:t xml:space="preserve">Yes</w:t>
                  </w:r>
                </w:p>
              </w:tc>
            </w:tr>
            <w:tr>
              <w:tc>
                <w:tcPr>
                  <w:gridSpan w:val="5"/>
                </w:tcPr>
                <w:p>
                  <w:pPr>
                    <w:pStyle w:val="Compact"/>
                    <w:jc w:val="center"/>
                  </w:pPr>
                  <w:r>
                    <w:rPr>
                      <w:vertAlign w:val="superscript"/>
                    </w:rPr>
                    <w:t xml:space="preserve">a)</w:t>
                  </w:r>
                  <w:r>
                    <w:t xml:space="preserve"> </w:t>
                  </w:r>
                  <w:r>
                    <w:t xml:space="preserve">At manufacturing scale: the scale-down prediction minus the offset of the scale-down model for this output, or divided by it where the offset is a ratio.</w:t>
                  </w:r>
                </w:p>
              </w:tc>
            </w:tr>
            <w:tr>
              <w:tc>
                <w:tcPr>
                  <w:gridSpan w:val="5"/>
                </w:tcPr>
                <w:p>
                  <w:pPr>
                    <w:pStyle w:val="Compact"/>
                    <w:jc w:val="center"/>
                  </w:pPr>
                  <w:r>
                    <w:rPr>
                      <w:vertAlign w:val="superscript"/>
                    </w:rPr>
                    <w:t xml:space="preserve">b)</w:t>
                  </w:r>
                  <w:r>
                    <w:t xml:space="preserve"> </w:t>
                  </w:r>
                  <w:r>
                    <w:t xml:space="preserve">Judged at every combination of NOR low, set-point and NOR high. Quality attributes: the 95 % prediction interval of a single run (t quantile, coefficient and residual uncertainty).</w:t>
                  </w:r>
                </w:p>
              </w:tc>
            </w:tr>
            <w:tr>
              <w:tc>
                <w:tcPr>
                  <w:gridSpan w:val="5"/>
                </w:tcPr>
                <w:p>
                  <w:pPr>
                    <w:pStyle w:val="Compact"/>
                    <w:jc w:val="center"/>
                  </w:pPr>
                  <w:r>
                    <w:rPr>
                      <w:vertAlign w:val="superscript"/>
                    </w:rPr>
                    <w:t xml:space="preserve">c)</w:t>
                  </w:r>
                  <w:r>
                    <w:t xml:space="preserve"> </w:t>
                  </w:r>
                  <w:r>
                    <w:t xml:space="preserve">Modelled on the log scale: the median, the back-transformed mean prediction.</w:t>
                  </w:r>
                </w:p>
              </w:tc>
            </w:tr>
            <w:tr>
              <w:tc>
                <w:tcPr>
                  <w:gridSpan w:val="5"/>
                </w:tcPr>
                <w:p>
                  <w:pPr>
                    <w:pStyle w:val="Compact"/>
                    <w:jc w:val="center"/>
                  </w:pPr>
                  <w:r>
                    <w:t xml:space="preserve">Fragments carry no offset, and their values are those of the scale-down model.</w:t>
                  </w:r>
                </w:p>
              </w:tc>
            </w:tr>
          </w:tbl>
          <w:bookmarkEnd w:id="102"/>
          <w:p/>
        </w:tc>
      </w:tr>
    </w:tbl>
    <w:p>
      <w:pPr>
        <w:pStyle w:val="BodyText"/>
      </w:pPr>
      <w:r>
        <w:t xml:space="preserve">The 3 outputs with a criterion all meet it at the set-point and across the NOR in force. The value judged is the upper prediction limit of a single run over the NOR. It is 15,349 ng/mg for pool host cell protein against ≤ 17,069 ng/mg, 5.52 ppm for leached Protein A against ≤ 158 ppm, and 1.09 % for fragments against ≤ 2.45 %. The table gives medians for pool host cell protein, because its model is on the log scale. The model of leached Protein A has no term, so its prediction is the same at every setting.</w:t>
      </w:r>
    </w:p>
    <w:bookmarkEnd w:id="103"/>
    <w:bookmarkStart w:id="113" w:name="Xb95bb6e7e07563b389d400cd2a0a53c2b690ec8"/>
    <w:p>
      <w:pPr>
        <w:pStyle w:val="Heading2"/>
      </w:pPr>
      <w:r>
        <w:t xml:space="preserve">7.3 Proven acceptable ranges per attribute and parameter</w:t>
      </w:r>
    </w:p>
    <w:p>
      <w:pPr>
        <w:pStyle w:val="FirstParagraph"/>
      </w:pPr>
      <w:hyperlink w:anchor="tbl-par">
        <w:r>
          <w:rPr>
            <w:rStyle w:val="Hyperlink"/>
          </w:rPr>
          <w:t xml:space="preserve">Table 29</w:t>
        </w:r>
      </w:hyperlink>
      <w:r>
        <w:t xml:space="preserve"> </w:t>
      </w:r>
      <w:r>
        <w:t xml:space="preserve">gives the PAR of each parameter of the multivariate design for each output with a criterion, by the univariate analysis and by the NOR-propagated analysis of PCMP-001 §6.4. Every PAR spans the range studied of its parameter, except the NOR-propagated PAR of elution buffer pH for pool host cell protein. That PAR is 3.21–3.9. Its lower end lies 0.009 pH units inside the range studied, one step of the grid of the analysis. The lower edge of the pH NOR lies 0.19 pH units above the end of this PAR, and the set-point 0.34.</w:t>
      </w:r>
    </w:p>
    <w:tbl>
      <w:tblPr>
        <w:tblStyle w:val="Table"/>
        <w:tblW w:type="pct" w:w="5000"/>
        <w:tblLayout w:type="fixed"/>
        <w:tblLook w:firstRow="0" w:lastRow="0" w:firstColumn="0" w:lastColumn="0" w:noHBand="0" w:noVBand="0" w:val="0000"/>
      </w:tblPr>
      <w:tblGrid>
        <w:gridCol w:w="7920"/>
      </w:tblGrid>
      <w:tr>
        <w:tc>
          <w:tcPr/>
          <w:bookmarkStart w:id="104" w:name="tbl-par"/>
          <w:p>
            <w:pPr>
              <w:jc w:val="center"/>
            </w:pPr>
            <w:pPr>
              <w:jc w:val="start"/>
              <w:spacing w:before="200"/>
              <w:pStyle w:val="ImageCaption"/>
            </w:pPr>
            <w:r>
              <w:t xml:space="preserve">Table 29: Proven acceptable ranges for each output with a criterion and each parameter of the multivariate design.</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Parameter</w:t>
                  </w:r>
                </w:p>
              </w:tc>
              <w:tc>
                <w:tcPr>
                  <w:vMerge w:val="restart"/>
                </w:tcPr>
                <w:p>
                  <w:pPr>
                    <w:pStyle w:val="Compact"/>
                    <w:jc w:val="center"/>
                  </w:pPr>
                  <w:r>
                    <w:t xml:space="preserve">Range</w:t>
                  </w:r>
                  <w:r>
                    <w:br/>
                  </w:r>
                  <w:r>
                    <w:t xml:space="preserve">studied</w:t>
                  </w:r>
                </w:p>
              </w:tc>
              <w:tc>
                <w:tcPr>
                  <w:gridSpan w:val="2"/>
                </w:tcPr>
                <w:p>
                  <w:pPr>
                    <w:pStyle w:val="Compact"/>
                    <w:jc w:val="center"/>
                  </w:pPr>
                  <w:r>
                    <w:t xml:space="preserve">HCP ≤ 17,069 ng/mg</w:t>
                  </w:r>
                </w:p>
              </w:tc>
              <w:tc>
                <w:tcPr>
                  <w:gridSpan w:val="2"/>
                </w:tcPr>
                <w:p>
                  <w:pPr>
                    <w:pStyle w:val="Compact"/>
                    <w:jc w:val="center"/>
                  </w:pPr>
                  <w:r>
                    <w:t xml:space="preserve">LPA ≤ 158 ppm</w:t>
                  </w:r>
                </w:p>
              </w:tc>
              <w:tc>
                <w:tcPr>
                  <w:gridSpan w:val="2"/>
                </w:tcPr>
                <w:p>
                  <w:pPr>
                    <w:pStyle w:val="Compact"/>
                    <w:jc w:val="center"/>
                  </w:pPr>
                  <w:r>
                    <w:t xml:space="preserve">Fragments ≤ 2.45 %</w:t>
                  </w:r>
                </w:p>
              </w:tc>
            </w:tr>
            <w:tr>
              <w:trPr>
                <w:tblHeader w:val="on"/>
              </w:trPr>
              <w:tc>
                <w:tcPr>
                  <w:gridSpan w:val="1"/>
                  <w:vMerge w:val="continue"/>
                </w:tcPr>
                <w:p>
                  <w:pPr/>
                </w:p>
              </w:tc>
              <w:tc>
                <w:tcPr>
                  <w:gridSpan w:val="1"/>
                  <w:vMerge w:val="continue"/>
                </w:tcPr>
                <w:p>
                  <w:pPr/>
                </w:p>
              </w:tc>
              <w:tc>
                <w:tcPr/>
                <w:p>
                  <w:pPr>
                    <w:pStyle w:val="Compact"/>
                    <w:jc w:val="center"/>
                  </w:pPr>
                  <w:r>
                    <w:t xml:space="preserve">Univ.</w:t>
                  </w:r>
                </w:p>
              </w:tc>
              <w:tc>
                <w:tcPr/>
                <w:p>
                  <w:pPr>
                    <w:pStyle w:val="Compact"/>
                    <w:jc w:val="center"/>
                  </w:pPr>
                  <w:r>
                    <w:t xml:space="preserve">NOR-prop.</w:t>
                  </w:r>
                </w:p>
              </w:tc>
              <w:tc>
                <w:tcPr/>
                <w:p>
                  <w:pPr>
                    <w:pStyle w:val="Compact"/>
                    <w:jc w:val="center"/>
                  </w:pPr>
                  <w:r>
                    <w:t xml:space="preserve">Univ.</w:t>
                  </w:r>
                </w:p>
              </w:tc>
              <w:tc>
                <w:tcPr/>
                <w:p>
                  <w:pPr>
                    <w:pStyle w:val="Compact"/>
                    <w:jc w:val="center"/>
                  </w:pPr>
                  <w:r>
                    <w:t xml:space="preserve">NOR-prop.</w:t>
                  </w:r>
                </w:p>
              </w:tc>
              <w:tc>
                <w:tcPr/>
                <w:p>
                  <w:pPr>
                    <w:pStyle w:val="Compact"/>
                    <w:jc w:val="center"/>
                  </w:pPr>
                  <w:r>
                    <w:t xml:space="preserve">Univ.</w:t>
                  </w:r>
                </w:p>
              </w:tc>
              <w:tc>
                <w:tcPr/>
                <w:p>
                  <w:pPr>
                    <w:pStyle w:val="Compact"/>
                    <w:jc w:val="center"/>
                  </w:pPr>
                  <w:r>
                    <w:t xml:space="preserve">NOR-prop.</w:t>
                  </w:r>
                </w:p>
              </w:tc>
            </w:tr>
            <w:tr>
              <w:tc>
                <w:tcPr/>
                <w:p>
                  <w:pPr>
                    <w:pStyle w:val="Compact"/>
                    <w:jc w:val="center"/>
                  </w:pPr>
                  <w:r>
                    <w:t xml:space="preserve">Protein load (g/L resin)</w:t>
                  </w:r>
                </w:p>
              </w:tc>
              <w:tc>
                <w:tcPr/>
                <w:p>
                  <w:pPr>
                    <w:pStyle w:val="Compact"/>
                    <w:jc w:val="center"/>
                  </w:pPr>
                  <w:r>
                    <w:t xml:space="preserve">10–50</w:t>
                  </w:r>
                </w:p>
              </w:tc>
              <w:tc>
                <w:tcPr/>
                <w:p>
                  <w:pPr>
                    <w:pStyle w:val="Compact"/>
                    <w:jc w:val="center"/>
                  </w:pPr>
                  <w:r>
                    <w:t xml:space="preserve">10–50</w:t>
                  </w:r>
                </w:p>
              </w:tc>
              <w:tc>
                <w:tcPr/>
                <w:p>
                  <w:pPr>
                    <w:pStyle w:val="Compact"/>
                    <w:jc w:val="center"/>
                  </w:pPr>
                  <w:r>
                    <w:t xml:space="preserve">10–50</w:t>
                  </w:r>
                </w:p>
              </w:tc>
              <w:tc>
                <w:tcPr/>
                <w:p>
                  <w:pPr>
                    <w:pStyle w:val="Compact"/>
                    <w:jc w:val="center"/>
                  </w:pPr>
                  <w:r>
                    <w:t xml:space="preserve">10–50</w:t>
                  </w:r>
                </w:p>
              </w:tc>
              <w:tc>
                <w:tcPr/>
                <w:p>
                  <w:pPr>
                    <w:pStyle w:val="Compact"/>
                    <w:jc w:val="center"/>
                  </w:pPr>
                  <w:r>
                    <w:t xml:space="preserve">10–50</w:t>
                  </w:r>
                </w:p>
              </w:tc>
              <w:tc>
                <w:tcPr/>
                <w:p>
                  <w:pPr>
                    <w:pStyle w:val="Compact"/>
                    <w:jc w:val="center"/>
                  </w:pPr>
                  <w:r>
                    <w:t xml:space="preserve">10–50</w:t>
                  </w:r>
                </w:p>
              </w:tc>
              <w:tc>
                <w:tcPr/>
                <w:p>
                  <w:pPr>
                    <w:pStyle w:val="Compact"/>
                    <w:jc w:val="center"/>
                  </w:pPr>
                  <w:r>
                    <w:t xml:space="preserve">10–50</w:t>
                  </w:r>
                </w:p>
              </w:tc>
            </w:tr>
            <w:tr>
              <w:tc>
                <w:tcPr/>
                <w:p>
                  <w:pPr>
                    <w:pStyle w:val="Compact"/>
                    <w:jc w:val="center"/>
                  </w:pPr>
                  <w:r>
                    <w:t xml:space="preserve">Elution buffer pH (pH)</w:t>
                  </w:r>
                </w:p>
              </w:tc>
              <w:tc>
                <w:tcPr/>
                <w:p>
                  <w:pPr>
                    <w:pStyle w:val="Compact"/>
                    <w:jc w:val="center"/>
                  </w:pPr>
                  <w:r>
                    <w:t xml:space="preserve">3.2–3.9</w:t>
                  </w:r>
                </w:p>
              </w:tc>
              <w:tc>
                <w:tcPr/>
                <w:p>
                  <w:pPr>
                    <w:pStyle w:val="Compact"/>
                    <w:jc w:val="center"/>
                  </w:pPr>
                  <w:r>
                    <w:t xml:space="preserve">3.2–3.9</w:t>
                  </w:r>
                </w:p>
              </w:tc>
              <w:tc>
                <w:tcPr/>
                <w:p>
                  <w:pPr>
                    <w:pStyle w:val="Compact"/>
                    <w:jc w:val="center"/>
                  </w:pPr>
                  <w:r>
                    <w:t xml:space="preserve">3.21–3.9</w:t>
                  </w:r>
                </w:p>
              </w:tc>
              <w:tc>
                <w:tcPr/>
                <w:p>
                  <w:pPr>
                    <w:pStyle w:val="Compact"/>
                    <w:jc w:val="center"/>
                  </w:pPr>
                  <w:r>
                    <w:t xml:space="preserve">3.2–3.9</w:t>
                  </w:r>
                </w:p>
              </w:tc>
              <w:tc>
                <w:tcPr/>
                <w:p>
                  <w:pPr>
                    <w:pStyle w:val="Compact"/>
                    <w:jc w:val="center"/>
                  </w:pPr>
                  <w:r>
                    <w:t xml:space="preserve">3.2–3.9</w:t>
                  </w:r>
                </w:p>
              </w:tc>
              <w:tc>
                <w:tcPr/>
                <w:p>
                  <w:pPr>
                    <w:pStyle w:val="Compact"/>
                    <w:jc w:val="center"/>
                  </w:pPr>
                  <w:r>
                    <w:t xml:space="preserve">3.2–3.9</w:t>
                  </w:r>
                </w:p>
              </w:tc>
              <w:tc>
                <w:tcPr/>
                <w:p>
                  <w:pPr>
                    <w:pStyle w:val="Compact"/>
                    <w:jc w:val="center"/>
                  </w:pPr>
                  <w:r>
                    <w:t xml:space="preserve">3.2–3.9</w:t>
                  </w:r>
                </w:p>
              </w:tc>
            </w:tr>
            <w:tr>
              <w:tc>
                <w:tcPr/>
                <w:p>
                  <w:pPr>
                    <w:pStyle w:val="Compact"/>
                    <w:jc w:val="center"/>
                  </w:pPr>
                  <w:r>
                    <w:t xml:space="preserve">Load flow rate (cm/hr)</w:t>
                  </w:r>
                </w:p>
              </w:tc>
              <w:tc>
                <w:tcPr/>
                <w:p>
                  <w:pPr>
                    <w:pStyle w:val="Compact"/>
                    <w:jc w:val="center"/>
                  </w:pPr>
                  <w:r>
                    <w:t xml:space="preserve">100–300</w:t>
                  </w:r>
                </w:p>
              </w:tc>
              <w:tc>
                <w:tcPr/>
                <w:p>
                  <w:pPr>
                    <w:pStyle w:val="Compact"/>
                    <w:jc w:val="center"/>
                  </w:pPr>
                  <w:r>
                    <w:t xml:space="preserve">100–300</w:t>
                  </w:r>
                </w:p>
              </w:tc>
              <w:tc>
                <w:tcPr/>
                <w:p>
                  <w:pPr>
                    <w:pStyle w:val="Compact"/>
                    <w:jc w:val="center"/>
                  </w:pPr>
                  <w:r>
                    <w:t xml:space="preserve">100–300</w:t>
                  </w:r>
                </w:p>
              </w:tc>
              <w:tc>
                <w:tcPr/>
                <w:p>
                  <w:pPr>
                    <w:pStyle w:val="Compact"/>
                    <w:jc w:val="center"/>
                  </w:pPr>
                  <w:r>
                    <w:t xml:space="preserve">100–300</w:t>
                  </w:r>
                </w:p>
              </w:tc>
              <w:tc>
                <w:tcPr/>
                <w:p>
                  <w:pPr>
                    <w:pStyle w:val="Compact"/>
                    <w:jc w:val="center"/>
                  </w:pPr>
                  <w:r>
                    <w:t xml:space="preserve">100–300</w:t>
                  </w:r>
                </w:p>
              </w:tc>
              <w:tc>
                <w:tcPr/>
                <w:p>
                  <w:pPr>
                    <w:pStyle w:val="Compact"/>
                    <w:jc w:val="center"/>
                  </w:pPr>
                  <w:r>
                    <w:t xml:space="preserve">100–300</w:t>
                  </w:r>
                </w:p>
              </w:tc>
              <w:tc>
                <w:tcPr/>
                <w:p>
                  <w:pPr>
                    <w:pStyle w:val="Compact"/>
                    <w:jc w:val="center"/>
                  </w:pPr>
                  <w:r>
                    <w:t xml:space="preserve">100–300</w:t>
                  </w:r>
                </w:p>
              </w:tc>
            </w:tr>
            <w:tr>
              <w:tc>
                <w:tcPr/>
                <w:p>
                  <w:pPr>
                    <w:pStyle w:val="Compact"/>
                    <w:jc w:val="center"/>
                  </w:pPr>
                  <w:r>
                    <w:t xml:space="preserve">End of pool collect (CV)</w:t>
                  </w:r>
                </w:p>
              </w:tc>
              <w:tc>
                <w:tcPr/>
                <w:p>
                  <w:pPr>
                    <w:pStyle w:val="Compact"/>
                    <w:jc w:val="center"/>
                  </w:pPr>
                  <w:r>
                    <w:t xml:space="preserve">2–3.2</w:t>
                  </w:r>
                </w:p>
              </w:tc>
              <w:tc>
                <w:tcPr/>
                <w:p>
                  <w:pPr>
                    <w:pStyle w:val="Compact"/>
                    <w:jc w:val="center"/>
                  </w:pPr>
                  <w:r>
                    <w:t xml:space="preserve">2–3.2</w:t>
                  </w:r>
                </w:p>
              </w:tc>
              <w:tc>
                <w:tcPr/>
                <w:p>
                  <w:pPr>
                    <w:pStyle w:val="Compact"/>
                    <w:jc w:val="center"/>
                  </w:pPr>
                  <w:r>
                    <w:t xml:space="preserve">2–3.2</w:t>
                  </w:r>
                </w:p>
              </w:tc>
              <w:tc>
                <w:tcPr/>
                <w:p>
                  <w:pPr>
                    <w:pStyle w:val="Compact"/>
                    <w:jc w:val="center"/>
                  </w:pPr>
                  <w:r>
                    <w:t xml:space="preserve">2–3.2</w:t>
                  </w:r>
                </w:p>
              </w:tc>
              <w:tc>
                <w:tcPr/>
                <w:p>
                  <w:pPr>
                    <w:pStyle w:val="Compact"/>
                    <w:jc w:val="center"/>
                  </w:pPr>
                  <w:r>
                    <w:t xml:space="preserve">2–3.2</w:t>
                  </w:r>
                </w:p>
              </w:tc>
              <w:tc>
                <w:tcPr/>
                <w:p>
                  <w:pPr>
                    <w:pStyle w:val="Compact"/>
                    <w:jc w:val="center"/>
                  </w:pPr>
                  <w:r>
                    <w:t xml:space="preserve">2–3.2</w:t>
                  </w:r>
                </w:p>
              </w:tc>
              <w:tc>
                <w:tcPr/>
                <w:p>
                  <w:pPr>
                    <w:pStyle w:val="Compact"/>
                    <w:jc w:val="center"/>
                  </w:pPr>
                  <w:r>
                    <w:t xml:space="preserve">2–3.2</w:t>
                  </w:r>
                </w:p>
              </w:tc>
            </w:tr>
            <w:tr>
              <w:tc>
                <w:tcPr>
                  <w:gridSpan w:val="8"/>
                </w:tcPr>
                <w:p>
                  <w:pPr>
                    <w:pStyle w:val="Compact"/>
                    <w:jc w:val="center"/>
                  </w:pPr>
                  <w:r>
                    <w:t xml:space="preserve">Univ., the univariate PAR, with the other parameters at their set-points, judged on the median prediction for pool HCP and on the mean prediction for the other outputs. NOR-prop., the NOR-propagated PAR, a multivariate PAR with the other parameters varied within their NORs, judged on the upper end of the 95 % prediction interval of a single run. Each PAR is judged on the selected model of the output. Pool HCP and LPA are judged at manufacturing scale and fragments in the scale-down model, which carries no offset for them. HCP, pool host cell protein. LPA, leached Protein A.</w:t>
                  </w:r>
                </w:p>
              </w:tc>
            </w:tr>
          </w:tbl>
          <w:bookmarkEnd w:id="104"/>
          <w:p/>
        </w:tc>
      </w:tr>
    </w:tbl>
    <w:p>
      <w:pPr>
        <w:pStyle w:val="BodyText"/>
      </w:pPr>
      <w:r>
        <w:t xml:space="preserve">A PAR that reaches the edge of the range studied is reported as reaching it, and no claim is made beyond it (PCMP-001 §7.6). Each NOR-propagated PAR holds while the other parameters stay within their NORs. It does not cover two parameters at the edges of their ranges together. Towards the corner of high protein load and low elution buffer pH, beyond the NOR of at least one of the two, the upper prediction limit of pool host cell protein exceeds its criterion even with load flow rate and end of pool collect at their set-points (</w:t>
      </w:r>
      <w:hyperlink w:anchor="sec-ds">
        <w:r>
          <w:rPr>
            <w:rStyle w:val="Hyperlink"/>
          </w:rPr>
          <w:t xml:space="preserve">Section 6</w:t>
        </w:r>
      </w:hyperlink>
      <w:r>
        <w:t xml:space="preserve">).</w:t>
      </w:r>
    </w:p>
    <w:p>
      <w:pPr>
        <w:pStyle w:val="BodyText"/>
      </w:pPr>
      <w:hyperlink w:anchor="fig-par-hcp">
        <w:r>
          <w:rPr>
            <w:rStyle w:val="Hyperlink"/>
          </w:rPr>
          <w:t xml:space="preserve">Figure 4</w:t>
        </w:r>
      </w:hyperlink>
      <w:r>
        <w:t xml:space="preserve"> </w:t>
      </w:r>
      <w:r>
        <w:t xml:space="preserve">shows the PAR of elution buffer pH for pool host cell protein, the parameter with the largest main effect on it, and</w:t>
      </w:r>
      <w:r>
        <w:t xml:space="preserve"> </w:t>
      </w:r>
      <w:hyperlink w:anchor="fig-par-frag">
        <w:r>
          <w:rPr>
            <w:rStyle w:val="Hyperlink"/>
          </w:rPr>
          <w:t xml:space="preserve">Figure 5</w:t>
        </w:r>
      </w:hyperlink>
      <w:r>
        <w:t xml:space="preserve"> </w:t>
      </w:r>
      <w:r>
        <w:t xml:space="preserve">the PAR of elution buffer pH for fragments. In each figure the left panel shows the univariate analysis and the right panel the NOR-propagated analysis, with the acceptable region shaded green. Pool host cell protein is shown at manufacturing scale and fragments in the scale-down model. No PAR figure is shown for leached Protein A, because its selected model has no term and therefore no parameter with a largest effect.</w:t>
      </w:r>
    </w:p>
    <w:tbl>
      <w:tblPr>
        <w:tblStyle w:val="Table"/>
        <w:tblW w:type="pct" w:w="5000"/>
        <w:tblLayout w:type="fixed"/>
        <w:tblLook w:firstRow="0" w:lastRow="0" w:firstColumn="0" w:lastColumn="0" w:noHBand="0" w:noVBand="0" w:val="0000"/>
      </w:tblPr>
      <w:tblGrid>
        <w:gridCol w:w="7920"/>
      </w:tblGrid>
      <w:tr>
        <w:tc>
          <w:tcPr/>
          <w:bookmarkStart w:id="108" w:name="fig-par-hcp"/>
          <w:p>
            <w:pPr>
              <w:pStyle w:val="Compact"/>
              <w:jc w:val="center"/>
            </w:pPr>
            <w:r>
              <w:drawing>
                <wp:inline>
                  <wp:extent cx="5334000" cy="1845992"/>
                  <wp:effectExtent b="0" l="0" r="0" t="0"/>
                  <wp:docPr descr="" title="" id="106" name="Picture"/>
                  <a:graphic>
                    <a:graphicData uri="http://schemas.openxmlformats.org/drawingml/2006/picture">
                      <pic:pic>
                        <pic:nvPicPr>
                          <pic:cNvPr descr="PCR-005_protein_a_files/figure-docx/fig-par-hcp-output-1.png" id="107" name="Picture"/>
                          <pic:cNvPicPr>
                            <a:picLocks noChangeArrowheads="1" noChangeAspect="1"/>
                          </pic:cNvPicPr>
                        </pic:nvPicPr>
                        <pic:blipFill>
                          <a:blip r:embed="rId105"/>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PAR of elution buffer pH for pool HCP (ng/mg), at manufacturing scale. Left, univariate analysis. Right, NOR-propagated analysis (95 % prediction interval of a single run). Green, the region that meets the criterion.</w:t>
            </w:r>
          </w:p>
          <w:bookmarkEnd w:id="108"/>
        </w:tc>
      </w:tr>
    </w:tbl>
    <w:tbl>
      <w:tblPr>
        <w:tblStyle w:val="Table"/>
        <w:tblW w:type="pct" w:w="5000"/>
        <w:tblLayout w:type="fixed"/>
        <w:tblLook w:firstRow="0" w:lastRow="0" w:firstColumn="0" w:lastColumn="0" w:noHBand="0" w:noVBand="0" w:val="0000"/>
      </w:tblPr>
      <w:tblGrid>
        <w:gridCol w:w="7920"/>
      </w:tblGrid>
      <w:tr>
        <w:tc>
          <w:tcPr/>
          <w:bookmarkStart w:id="112" w:name="fig-par-frag"/>
          <w:p>
            <w:pPr>
              <w:pStyle w:val="Compact"/>
              <w:jc w:val="center"/>
            </w:pPr>
            <w:r>
              <w:drawing>
                <wp:inline>
                  <wp:extent cx="5334000" cy="1845992"/>
                  <wp:effectExtent b="0" l="0" r="0" t="0"/>
                  <wp:docPr descr="" title="" id="110" name="Picture"/>
                  <a:graphic>
                    <a:graphicData uri="http://schemas.openxmlformats.org/drawingml/2006/picture">
                      <pic:pic>
                        <pic:nvPicPr>
                          <pic:cNvPr descr="PCR-005_protein_a_files/figure-docx/fig-par-frag-output-1.png" id="111" name="Picture"/>
                          <pic:cNvPicPr>
                            <a:picLocks noChangeArrowheads="1" noChangeAspect="1"/>
                          </pic:cNvPicPr>
                        </pic:nvPicPr>
                        <pic:blipFill>
                          <a:blip r:embed="rId109"/>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PAR of elution buffer pH for fragments by nrCE-SDS (%), in the scale-down model. Left, univariate analysis. Right, NOR-propagated analysis (95 % prediction interval of a single run). Green, the region that meets the criterion.</w:t>
            </w:r>
          </w:p>
          <w:bookmarkEnd w:id="112"/>
        </w:tc>
      </w:tr>
    </w:tbl>
    <w:p>
      <w:pPr>
        <w:pStyle w:val="BodyText"/>
      </w:pPr>
      <w:r>
        <w:t xml:space="preserve">Operating temperature and bed height have no model-based PAR. For pool host cell protein, step yield and leached Protein A their ranges rest on the measured responses at each end of the range studied, with the other parameters at their set-points (</w:t>
      </w:r>
      <w:hyperlink w:anchor="sec-uni">
        <w:r>
          <w:rPr>
            <w:rStyle w:val="Hyperlink"/>
          </w:rPr>
          <w:t xml:space="preserve">Section 5.6</w:t>
        </w:r>
      </w:hyperlink>
      <w:r>
        <w:t xml:space="preserve">).</w:t>
      </w:r>
    </w:p>
    <w:bookmarkEnd w:id="113"/>
    <w:bookmarkEnd w:id="114"/>
    <w:bookmarkStart w:id="116" w:name="sec-cap"/>
    <w:p>
      <w:pPr>
        <w:pStyle w:val="Heading1"/>
      </w:pPr>
      <w:r>
        <w:t xml:space="preserve">8. Process capability and robustness</w:t>
      </w:r>
    </w:p>
    <w:p>
      <w:pPr>
        <w:pStyle w:val="FirstParagraph"/>
      </w:pPr>
      <w:hyperlink w:anchor="tbl-cap">
        <w:r>
          <w:rPr>
            <w:rStyle w:val="Hyperlink"/>
          </w:rPr>
          <w:t xml:space="preserve">Table 30</w:t>
        </w:r>
      </w:hyperlink>
      <w:r>
        <w:t xml:space="preserve"> </w:t>
      </w:r>
      <w:r>
        <w:t xml:space="preserve">gives the capability at commercial scale, from the integrated process model of the train (</w:t>
      </w:r>
      <w:hyperlink w:anchor="sec-stats">
        <w:r>
          <w:rPr>
            <w:rStyle w:val="Hyperlink"/>
          </w:rPr>
          <w:t xml:space="preserve">Section 3.5</w:t>
        </w:r>
      </w:hyperlink>
      <w:r>
        <w:t xml:space="preserve">), of the drug substance attributes to which this step contributes.</w:t>
      </w:r>
    </w:p>
    <w:tbl>
      <w:tblPr>
        <w:tblStyle w:val="Table"/>
        <w:tblW w:type="pct" w:w="5000"/>
        <w:tblLayout w:type="fixed"/>
        <w:tblLook w:firstRow="0" w:lastRow="0" w:firstColumn="0" w:lastColumn="0" w:noHBand="0" w:noVBand="0" w:val="0000"/>
      </w:tblPr>
      <w:tblGrid>
        <w:gridCol w:w="7920"/>
      </w:tblGrid>
      <w:tr>
        <w:tc>
          <w:tcPr/>
          <w:bookmarkStart w:id="115" w:name="tbl-cap"/>
          <w:p>
            <w:pPr>
              <w:jc w:val="center"/>
            </w:pPr>
            <w:pPr>
              <w:jc w:val="start"/>
              <w:spacing w:before="200"/>
              <w:pStyle w:val="ImageCaption"/>
            </w:pPr>
            <w:r>
              <w:t xml:space="preserve">Table 30: Commercial-scale capability of the drug substance attributes to which the Protein A step contributes.</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CQA</w:t>
                  </w:r>
                </w:p>
              </w:tc>
              <w:tc>
                <w:tcPr/>
                <w:p>
                  <w:pPr>
                    <w:pStyle w:val="Compact"/>
                    <w:jc w:val="center"/>
                  </w:pPr>
                  <w:r>
                    <w:t xml:space="preserve">Crit.</w:t>
                  </w:r>
                </w:p>
              </w:tc>
              <w:tc>
                <w:tcPr/>
                <w:p>
                  <w:pPr>
                    <w:pStyle w:val="Compact"/>
                    <w:jc w:val="center"/>
                  </w:pPr>
                  <w:r>
                    <w:t xml:space="preserve">Criterion</w:t>
                  </w:r>
                </w:p>
              </w:tc>
              <w:tc>
                <w:tcPr/>
                <w:p>
                  <w:pPr>
                    <w:pStyle w:val="Compact"/>
                    <w:jc w:val="center"/>
                  </w:pPr>
                  <w:r>
                    <w:t xml:space="preserve">Mean</w:t>
                  </w:r>
                </w:p>
              </w:tc>
              <w:tc>
                <w:tcPr/>
                <w:p>
                  <w:pPr>
                    <w:pStyle w:val="Compact"/>
                    <w:jc w:val="center"/>
                  </w:pPr>
                  <w:r>
                    <w:t xml:space="preserve">Range</w:t>
                  </w:r>
                </w:p>
              </w:tc>
              <w:tc>
                <w:tcPr/>
                <w:p>
                  <w:pPr>
                    <w:pStyle w:val="Compact"/>
                    <w:jc w:val="center"/>
                  </w:pPr>
                  <w:r>
                    <w:t xml:space="preserve">Limiting</w:t>
                  </w:r>
                  <w:r>
                    <w:br/>
                  </w:r>
                  <w:r>
                    <w:t xml:space="preserve">side</w:t>
                  </w:r>
                </w:p>
              </w:tc>
              <w:tc>
                <w:tcPr/>
                <w:p>
                  <w:pPr>
                    <w:pStyle w:val="Compact"/>
                    <w:jc w:val="center"/>
                  </w:pPr>
                  <w:r>
                    <w:t xml:space="preserve">Cpk</w:t>
                  </w:r>
                </w:p>
              </w:tc>
            </w:tr>
            <w:tr>
              <w:tc>
                <w:tcPr/>
                <w:p>
                  <w:pPr>
                    <w:pStyle w:val="Compact"/>
                    <w:jc w:val="center"/>
                  </w:pPr>
                  <w:r>
                    <w:t xml:space="preserve">Host Cell Protein (HCP)</w:t>
                  </w:r>
                </w:p>
              </w:tc>
              <w:tc>
                <w:tcPr/>
                <w:p>
                  <w:pPr>
                    <w:pStyle w:val="Compact"/>
                    <w:jc w:val="center"/>
                  </w:pPr>
                  <w:r>
                    <w:t xml:space="preserve">M-H</w:t>
                  </w:r>
                </w:p>
              </w:tc>
              <w:tc>
                <w:tcPr/>
                <w:p>
                  <w:pPr>
                    <w:pStyle w:val="Compact"/>
                    <w:jc w:val="center"/>
                  </w:pPr>
                  <w:r>
                    <w:t xml:space="preserve">≤ 100 ng/mg</w:t>
                  </w:r>
                </w:p>
              </w:tc>
              <w:tc>
                <w:tcPr/>
                <w:p>
                  <w:pPr>
                    <w:pStyle w:val="Compact"/>
                    <w:jc w:val="center"/>
                  </w:pPr>
                  <w:r>
                    <w:t xml:space="preserve">15.2</w:t>
                  </w:r>
                </w:p>
              </w:tc>
              <w:tc>
                <w:tcPr/>
                <w:p>
                  <w:pPr>
                    <w:pStyle w:val="Compact"/>
                    <w:jc w:val="center"/>
                  </w:pPr>
                  <w:r>
                    <w:t xml:space="preserve">5.56–42</w:t>
                  </w:r>
                </w:p>
              </w:tc>
              <w:tc>
                <w:tcPr/>
                <w:p>
                  <w:pPr>
                    <w:pStyle w:val="Compact"/>
                    <w:jc w:val="center"/>
                  </w:pPr>
                  <w:r>
                    <w:t xml:space="preserve">upper</w:t>
                  </w:r>
                </w:p>
              </w:tc>
              <w:tc>
                <w:tcPr/>
                <w:p>
                  <w:pPr>
                    <w:pStyle w:val="Compact"/>
                    <w:jc w:val="center"/>
                  </w:pPr>
                  <w:r>
                    <w:t xml:space="preserve">6.17</w:t>
                  </w:r>
                </w:p>
              </w:tc>
            </w:tr>
            <w:tr>
              <w:tc>
                <w:tcPr/>
                <w:p>
                  <w:pPr>
                    <w:pStyle w:val="Compact"/>
                    <w:jc w:val="center"/>
                  </w:pPr>
                  <w:r>
                    <w:t xml:space="preserve">Leached Protein A</w:t>
                  </w:r>
                </w:p>
              </w:tc>
              <w:tc>
                <w:tcPr/>
                <w:p>
                  <w:pPr>
                    <w:pStyle w:val="Compact"/>
                    <w:jc w:val="center"/>
                  </w:pPr>
                  <w:r>
                    <w:t xml:space="preserve">L-M</w:t>
                  </w:r>
                </w:p>
              </w:tc>
              <w:tc>
                <w:tcPr/>
                <w:p>
                  <w:pPr>
                    <w:pStyle w:val="Compact"/>
                    <w:jc w:val="center"/>
                  </w:pPr>
                  <w:r>
                    <w:t xml:space="preserve">≤ 5 ppm</w:t>
                  </w:r>
                </w:p>
              </w:tc>
              <w:tc>
                <w:tcPr/>
                <w:p>
                  <w:pPr>
                    <w:pStyle w:val="Compact"/>
                    <w:jc w:val="center"/>
                  </w:pPr>
                  <w:r>
                    <w:t xml:space="preserve">&lt; LOQ</w:t>
                  </w:r>
                  <w:r>
                    <w:rPr>
                      <w:vertAlign w:val="superscript"/>
                    </w:rPr>
                    <w:t xml:space="preserve">a)</w:t>
                  </w:r>
                </w:p>
              </w:tc>
              <w:tc>
                <w:tcPr/>
                <w:p>
                  <w:pPr>
                    <w:pStyle w:val="Compact"/>
                    <w:jc w:val="center"/>
                  </w:pPr>
                  <w:r>
                    <w:t xml:space="preserve">&lt; LOQ</w:t>
                  </w:r>
                  <w:r>
                    <w:rPr>
                      <w:vertAlign w:val="superscript"/>
                    </w:rPr>
                    <w:t xml:space="preserve">a)</w:t>
                  </w:r>
                </w:p>
              </w:tc>
              <w:tc>
                <w:tcPr/>
                <w:p>
                  <w:pPr>
                    <w:pStyle w:val="Compact"/>
                    <w:jc w:val="center"/>
                  </w:pPr>
                  <w:r>
                    <w:t xml:space="preserve">upper</w:t>
                  </w:r>
                </w:p>
              </w:tc>
              <w:tc>
                <w:tcPr/>
                <w:p>
                  <w:pPr>
                    <w:pStyle w:val="Compact"/>
                    <w:jc w:val="center"/>
                  </w:pPr>
                  <w:r>
                    <w:t xml:space="preserve">n.m.</w:t>
                  </w:r>
                  <w:r>
                    <w:rPr>
                      <w:vertAlign w:val="superscript"/>
                    </w:rPr>
                    <w:t xml:space="preserve">b)</w:t>
                  </w:r>
                </w:p>
              </w:tc>
            </w:tr>
            <w:tr>
              <w:tc>
                <w:tcPr/>
                <w:p>
                  <w:pPr>
                    <w:pStyle w:val="Compact"/>
                    <w:jc w:val="center"/>
                  </w:pPr>
                  <w:r>
                    <w:t xml:space="preserve">Fragments (LMW, clipped species)</w:t>
                  </w:r>
                </w:p>
              </w:tc>
              <w:tc>
                <w:tcPr/>
                <w:p>
                  <w:pPr>
                    <w:pStyle w:val="Compact"/>
                    <w:jc w:val="center"/>
                  </w:pPr>
                  <w:r>
                    <w:t xml:space="preserve">L</w:t>
                  </w:r>
                </w:p>
              </w:tc>
              <w:tc>
                <w:tcPr/>
                <w:p>
                  <w:pPr>
                    <w:pStyle w:val="Compact"/>
                    <w:jc w:val="center"/>
                  </w:pPr>
                  <w:r>
                    <w:t xml:space="preserve">≤ 2 %</w:t>
                  </w:r>
                </w:p>
              </w:tc>
              <w:tc>
                <w:tcPr/>
                <w:p>
                  <w:pPr>
                    <w:pStyle w:val="Compact"/>
                    <w:jc w:val="center"/>
                  </w:pPr>
                  <w:r>
                    <w:t xml:space="preserve">0.643</w:t>
                  </w:r>
                </w:p>
              </w:tc>
              <w:tc>
                <w:tcPr/>
                <w:p>
                  <w:pPr>
                    <w:pStyle w:val="Compact"/>
                    <w:jc w:val="center"/>
                  </w:pPr>
                  <w:r>
                    <w:t xml:space="preserve">0.512–0.824</w:t>
                  </w:r>
                </w:p>
              </w:tc>
              <w:tc>
                <w:tcPr/>
                <w:p>
                  <w:pPr>
                    <w:pStyle w:val="Compact"/>
                    <w:jc w:val="center"/>
                  </w:pPr>
                  <w:r>
                    <w:t xml:space="preserve">upper</w:t>
                  </w:r>
                </w:p>
              </w:tc>
              <w:tc>
                <w:tcPr/>
                <w:p>
                  <w:pPr>
                    <w:pStyle w:val="Compact"/>
                    <w:jc w:val="center"/>
                  </w:pPr>
                  <w:r>
                    <w:t xml:space="preserve">10.62</w:t>
                  </w:r>
                </w:p>
              </w:tc>
            </w:tr>
            <w:tr>
              <w:tc>
                <w:tcPr/>
                <w:p>
                  <w:pPr>
                    <w:pStyle w:val="Compact"/>
                    <w:jc w:val="center"/>
                  </w:pPr>
                  <w:r>
                    <w:t xml:space="preserve">Residual DNA</w:t>
                  </w:r>
                </w:p>
              </w:tc>
              <w:tc>
                <w:tcPr/>
                <w:p>
                  <w:pPr>
                    <w:pStyle w:val="Compact"/>
                    <w:jc w:val="center"/>
                  </w:pPr>
                  <w:r>
                    <w:t xml:space="preserve">VL</w:t>
                  </w:r>
                </w:p>
              </w:tc>
              <w:tc>
                <w:tcPr/>
                <w:p>
                  <w:pPr>
                    <w:pStyle w:val="Compact"/>
                    <w:jc w:val="center"/>
                  </w:pPr>
                  <w:r>
                    <w:t xml:space="preserve">≤ 0.001 ng/dose</w:t>
                  </w:r>
                </w:p>
              </w:tc>
              <w:tc>
                <w:tcPr/>
                <w:p>
                  <w:pPr>
                    <w:pStyle w:val="Compact"/>
                    <w:jc w:val="center"/>
                  </w:pPr>
                  <w:r>
                    <w:t xml:space="preserve">0.0002</w:t>
                  </w:r>
                </w:p>
              </w:tc>
              <w:tc>
                <w:tcPr/>
                <w:p>
                  <w:pPr>
                    <w:pStyle w:val="Compact"/>
                    <w:jc w:val="center"/>
                  </w:pPr>
                  <w:r>
                    <w:t xml:space="preserve">0.0001–0.0004</w:t>
                  </w:r>
                </w:p>
              </w:tc>
              <w:tc>
                <w:tcPr/>
                <w:p>
                  <w:pPr>
                    <w:pStyle w:val="Compact"/>
                    <w:jc w:val="center"/>
                  </w:pPr>
                  <w:r>
                    <w:t xml:space="preserve">upper</w:t>
                  </w:r>
                </w:p>
              </w:tc>
              <w:tc>
                <w:tcPr/>
                <w:p>
                  <w:pPr>
                    <w:pStyle w:val="Compact"/>
                    <w:jc w:val="center"/>
                  </w:pPr>
                  <w:r>
                    <w:t xml:space="preserve">7.30</w:t>
                  </w:r>
                </w:p>
              </w:tc>
            </w:tr>
            <w:tr>
              <w:tc>
                <w:tcPr/>
                <w:p>
                  <w:pPr>
                    <w:pStyle w:val="Compact"/>
                    <w:jc w:val="center"/>
                  </w:pPr>
                  <w:r>
                    <w:t xml:space="preserve">Acidic charge variants (deamidation)</w:t>
                  </w:r>
                </w:p>
              </w:tc>
              <w:tc>
                <w:tcPr/>
                <w:p>
                  <w:pPr>
                    <w:pStyle w:val="Compact"/>
                    <w:jc w:val="center"/>
                  </w:pPr>
                  <w:r>
                    <w:t xml:space="preserve">VL</w:t>
                  </w:r>
                </w:p>
              </w:tc>
              <w:tc>
                <w:tcPr/>
                <w:p>
                  <w:pPr>
                    <w:pStyle w:val="Compact"/>
                    <w:jc w:val="center"/>
                  </w:pPr>
                  <w:r>
                    <w:t xml:space="preserve">18–40 %</w:t>
                  </w:r>
                </w:p>
              </w:tc>
              <w:tc>
                <w:tcPr/>
                <w:p>
                  <w:pPr>
                    <w:pStyle w:val="Compact"/>
                    <w:jc w:val="center"/>
                  </w:pPr>
                  <w:r>
                    <w:t xml:space="preserve">22.4</w:t>
                  </w:r>
                </w:p>
              </w:tc>
              <w:tc>
                <w:tcPr/>
                <w:p>
                  <w:pPr>
                    <w:pStyle w:val="Compact"/>
                    <w:jc w:val="center"/>
                  </w:pPr>
                  <w:r>
                    <w:t xml:space="preserve">17.3–27.3</w:t>
                  </w:r>
                </w:p>
              </w:tc>
              <w:tc>
                <w:tcPr/>
                <w:p>
                  <w:pPr>
                    <w:pStyle w:val="Compact"/>
                    <w:jc w:val="center"/>
                  </w:pPr>
                  <w:r>
                    <w:t xml:space="preserve">lower</w:t>
                  </w:r>
                </w:p>
              </w:tc>
              <w:tc>
                <w:tcPr/>
                <w:p>
                  <w:pPr>
                    <w:pStyle w:val="Compact"/>
                    <w:jc w:val="center"/>
                  </w:pPr>
                  <w:r>
                    <w:t xml:space="preserve">1.05</w:t>
                  </w:r>
                </w:p>
              </w:tc>
            </w:tr>
            <w:tr>
              <w:tc>
                <w:tcPr>
                  <w:gridSpan w:val="7"/>
                </w:tcPr>
                <w:p>
                  <w:pPr>
                    <w:pStyle w:val="Compact"/>
                    <w:jc w:val="center"/>
                  </w:pPr>
                  <w:r>
                    <w:rPr>
                      <w:vertAlign w:val="superscript"/>
                    </w:rPr>
                    <w:t xml:space="preserve">a)</w:t>
                  </w:r>
                  <w:r>
                    <w:t xml:space="preserve"> </w:t>
                  </w:r>
                  <w:r>
                    <w:t xml:space="preserve">Below the limit of quantitation (LOQ) of the ELISA, 0.25 ppm (AMV-3016).</w:t>
                  </w:r>
                  <w:r>
                    <w:t xml:space="preserve"> </w:t>
                  </w:r>
                  <w:r>
                    <w:rPr>
                      <w:vertAlign w:val="superscript"/>
                    </w:rPr>
                    <w:t xml:space="preserve">b)</w:t>
                  </w:r>
                  <w:r>
                    <w:t xml:space="preserve"> </w:t>
                  </w:r>
                  <w:r>
                    <w:t xml:space="preserve">Not meaningful, because the simulated values lie below the LOQ and cannot be measured. Crit., criticality. Mean and range of the 2,000 simulated batches. Limiting side, the limit of the criterion nearer to the simulated batches.</w:t>
                  </w:r>
                </w:p>
              </w:tc>
            </w:tr>
          </w:tbl>
          <w:bookmarkEnd w:id="115"/>
          <w:p/>
        </w:tc>
      </w:tr>
    </w:tbl>
    <w:p>
      <w:pPr>
        <w:pStyle w:val="BodyText"/>
      </w:pPr>
      <w:r>
        <w:t xml:space="preserve">Host cell protein and fragments have Cpk values of 6.17 and 10.62, above the target of 1.33 of PCMP-001 §7.9.</w:t>
      </w:r>
    </w:p>
    <w:p>
      <w:pPr>
        <w:pStyle w:val="BodyText"/>
      </w:pPr>
      <w:r>
        <w:t xml:space="preserve">Residual DNA has no intermediate acceptance criterion. It is carried through the train in pg per mg of antibody and judged in the drug substance in ng per dose. The dose is the 10 mg/kg of the A-Mab case study</w:t>
      </w:r>
      <w:r>
        <w:t xml:space="preserve"> </w:t>
      </w:r>
      <w:r>
        <w:t xml:space="preserve">(CMC Biotech Working Group 2009)</w:t>
      </w:r>
      <w:r>
        <w:t xml:space="preserve"> </w:t>
      </w:r>
      <w:r>
        <w:t xml:space="preserve">for an adult of 70 kg, 700 mg of antibody. The body weight is an assumption of this report. In the simulation the drug substance carries at most 0.0004 ng per dose against the criterion of ≤ 0.001 ng per dose, a Cpk of 7.30. The integrated process model carries a nominal DNA reduction for each chromatography step, 2.5 log10 at Protein A, 1.5 at cation exchange and 5 at anion exchange. The platform history gives no worst-case DNA clearance for these steps (</w:t>
      </w:r>
      <w:hyperlink w:anchor="sec-prior">
        <w:r>
          <w:rPr>
            <w:rStyle w:val="Hyperlink"/>
          </w:rPr>
          <w:t xml:space="preserve">Section 2</w:t>
        </w:r>
      </w:hyperlink>
      <w:r>
        <w:t xml:space="preserve">), so the Cpk of residual DNA rests on these nominal values. At this step the reduction measured at the centre points, 2.2 to 2.5 log10, is at or below the nominal value. At anion exchange every pool of the response-surface design was below the limit of quantitation of the qPCR, 1 pg/mg (AMV-3014), so the reduction there is not measured. Each run shows only that it exceeds the DNA in its load over that limit, between 1.2 and 1.5 log10 (PCR-008). The Cpk of residual DNA therefore rests on a nominal anion exchange reduction that the data of this campaign do not measure.</w:t>
      </w:r>
    </w:p>
    <w:p>
      <w:pPr>
        <w:pStyle w:val="BodyText"/>
      </w:pPr>
      <w:r>
        <w:t xml:space="preserve">No simulated batch of 2,000 fell outside the drug substance criterion for host cell protein, leached Protein A, fragments or residual DNA. With none of 2,000 outside, the probability of an out-of-specification batch in the simulation is below 0.15 % at 95 % confidence. The bound does not include the uncertainty of the integrated process model itself.</w:t>
      </w:r>
    </w:p>
    <w:p>
      <w:pPr>
        <w:pStyle w:val="BodyText"/>
      </w:pPr>
      <w:r>
        <w:t xml:space="preserve">The Cpk of leached Protein A is not meaningful. The simulated drug substance values average 0.003 ppm, below the limit of quantitation of the ELISA (0.25 ppm, AMV-3016). They cannot be measured, and their spread is that of the model, not of a result. Leached Protein A is judged instead against its criteria in the pool (</w:t>
      </w:r>
      <w:hyperlink w:anchor="sec-par">
        <w:r>
          <w:rPr>
            <w:rStyle w:val="Hyperlink"/>
          </w:rPr>
          <w:t xml:space="preserve">Section 7</w:t>
        </w:r>
      </w:hyperlink>
      <w:r>
        <w:t xml:space="preserve">) and in the drug substance.</w:t>
      </w:r>
    </w:p>
    <w:p>
      <w:pPr>
        <w:pStyle w:val="BodyText"/>
      </w:pPr>
      <w:r>
        <w:t xml:space="preserve">Acidic variants have the lowest Cpk of the drug substance, 1.05, set by the lower limit of 18 %. This is below the target of 1.33 and above the minimum of 1.00 of PCMP-001 §7.9, which asks PCMR-001 to state the parameters that drive it. In the simulation 1 batch of 2,000 fell outside the criterion, and the normal tail probability is 821 per million. The Protein A step does not separate charge variants. The hold of the eluate does not lower acidic variants (</w:t>
      </w:r>
      <w:hyperlink w:anchor="sec-hold">
        <w:r>
          <w:rPr>
            <w:rStyle w:val="Hyperlink"/>
          </w:rPr>
          <w:t xml:space="preserve">Section 5.7</w:t>
        </w:r>
      </w:hyperlink>
      <w:r>
        <w:t xml:space="preserve">), so it does not move them towards the lower limit that sets the Cpk.</w:t>
      </w:r>
    </w:p>
    <w:bookmarkEnd w:id="116"/>
    <w:bookmarkStart w:id="117" w:name="sec-class"/>
    <w:p>
      <w:pPr>
        <w:pStyle w:val="Heading1"/>
      </w:pPr>
      <w:r>
        <w:t xml:space="preserve">9. Parameter classification</w:t>
      </w:r>
    </w:p>
    <w:p>
      <w:pPr>
        <w:pStyle w:val="FirstParagraph"/>
      </w:pPr>
      <w:r>
        <w:t xml:space="preserve">Parameters were classified under SOP-4001 by the decision logic of PCMP-001 §7.7, as PCP-005 §7 applies it (criterion 7). An attribute is affected by a parameter when a term of the selected model that contains the parameter is significant at α = 0.05 (PCMP-001 §6.2). A parameter whose effect on a CQA is significant and practically relevant is critical. A critical parameter is a WC-CPP when it has a low risk of leaving its acceptable range in operation, because it is readily controlled and its PAR is wide against its NOR, and a CPP otherwise. A KPP affects process performance and has no relevant effect on a CQA, and a GPP has no relevant effect on either. A significant effect that is too small to move the attribute appreciably within the PAR does not by itself make a parameter critical. Neither PCMP-001 nor SOP-4001 sets a numerical threshold for a practically relevant effect or for a low risk. Each class below is therefore argued from the size of each effect across the PAR, stated beside its significance, and from the margin of the PAR to the NOR. The effect on pool host cell protein is given at manufacturing scale with the other parameters at their set-points, and as a share of its criterion of ≤ 17,069 ng/mg.</w:t>
      </w:r>
    </w:p>
    <w:p>
      <w:pPr>
        <w:pStyle w:val="Compact"/>
        <w:numPr>
          <w:ilvl w:val="0"/>
          <w:numId w:val="1007"/>
        </w:numPr>
      </w:pPr>
      <w:r>
        <w:t xml:space="preserve">Protein load was classified as a WC-CPP. Its terms are significant for pool host cell protein, A (p &lt; 0.001), and for step yield, A (p &lt; 0.001) and AC (p = 0.027), but not for fragments (p = 0.079). Across its PAR for pool host cell protein, which is its range studied of 10–50 g/L resin, pool host cell protein rises from 4,590 to 11,137 ng/mg, a change of 38 % of the criterion. Together with elution buffer pH it takes pool host cell protein above its criterion within the range studied, and 7 results of the designs at the corner of high load and low pH exceeded the criterion (</w:t>
      </w:r>
      <w:hyperlink w:anchor="sec-rsm-hcp">
        <w:r>
          <w:rPr>
            <w:rStyle w:val="Hyperlink"/>
          </w:rPr>
          <w:t xml:space="preserve">Section 5.3.1</w:t>
        </w:r>
      </w:hyperlink>
      <w:r>
        <w:t xml:space="preserve">). The effect is therefore practically relevant, and protein load is critical. The load is set from the load volume and the titre of the clarified harvest by Protein A affinity HPLC (AMV-3021), so it is readily controlled, and its PAR extends 10 g/L resin below and 11 g/L resin above its NOR of 20–39 g/L resin. The NOR in force was narrowed in this revision from 20–40 g/L resin, the NOR as characterized, because over that NOR the scale-down model is not qualified for pool host cell protein (</w:t>
      </w:r>
      <w:hyperlink w:anchor="sec-sdm">
        <w:r>
          <w:rPr>
            <w:rStyle w:val="Hyperlink"/>
          </w:rPr>
          <w:t xml:space="preserve">Section 3.1</w:t>
        </w:r>
      </w:hyperlink>
      <w:r>
        <w:t xml:space="preserve">).</w:t>
      </w:r>
    </w:p>
    <w:p>
      <w:pPr>
        <w:pStyle w:val="Compact"/>
        <w:numPr>
          <w:ilvl w:val="0"/>
          <w:numId w:val="1007"/>
        </w:numPr>
      </w:pPr>
      <w:r>
        <w:t xml:space="preserve">Elution buffer pH was classified as a WC-CPP. Its terms are significant for pool host cell protein, B (p &lt; 0.001), and for fragments, B (p = 0.001), and step yield has no term in it. Across its PAR for pool host cell protein, 3.21–3.9, pool host cell protein falls from 12,787 to 3,939 ng/mg as the pH rises, a change of 52 % of the criterion. Fragments fall by 0.11 percentage points across their PAR, the range studied, 4 % of their criterion. The effect on pool host cell protein is practically relevant, and with protein load it bounds the design space. Buffer pH is controlled at preparation and verified at release, and the PAR for pool host cell protein extends 0.19 pH units below and 0.20 above the NOR of 3.4–3.7. The deviation DEV-005-01 showed that a buffer below the NOR can pass release when the pH meter is incorrectly calibrated (</w:t>
      </w:r>
      <w:hyperlink w:anchor="sec-dev01">
        <w:r>
          <w:rPr>
            <w:rStyle w:val="Hyperlink"/>
          </w:rPr>
          <w:t xml:space="preserve">Section 13.1</w:t>
        </w:r>
      </w:hyperlink>
      <w:r>
        <w:t xml:space="preserve">). The buffer of that deviation, at pH 3.38, lay below the NOR and inside the PAR.</w:t>
      </w:r>
    </w:p>
    <w:p>
      <w:pPr>
        <w:pStyle w:val="Compact"/>
        <w:numPr>
          <w:ilvl w:val="0"/>
          <w:numId w:val="1007"/>
        </w:numPr>
      </w:pPr>
      <w:r>
        <w:t xml:space="preserve">Load flow rate was classified as a KPP. Its terms are significant for step yield, C (p = 0.023) and AC (p = 0.027), and for pool host cell protein, C² (p = 0.025). It costs step yield at high load, up to 3.6 percentage points across its range studied at 50 g/L resin, because a faster load shortens the residence time and lowers the dynamic binding capacity. Its effect on pool host cell protein is the curvature, a change of at most 979 ng/mg across its PAR, the range studied of 100–300 cm/hr, or 6 % of the criterion, and of at most 4 % within the NOR. That effect is significant but too small to move pool host cell protein appreciably within the PAR, so it does not make load flow rate critical. The PAR extends 50 cm/hr below and 50 cm/hr above the NOR of 150–250 cm/hr. No effect of load flow rate on leached Protein A or fragments was detected within the range studied.</w:t>
      </w:r>
    </w:p>
    <w:p>
      <w:pPr>
        <w:pStyle w:val="Compact"/>
        <w:numPr>
          <w:ilvl w:val="0"/>
          <w:numId w:val="1007"/>
        </w:numPr>
      </w:pPr>
      <w:r>
        <w:t xml:space="preserve">End of pool collect was classified as a KPP. Its terms are significant for step yield, D (p &lt; 0.001) and D² (p = 0.035), and for pool host cell protein, D (p = 0.003). It has the largest effect on step yield, a gain of 7.3 percentage points across its range studied. Across its PAR for pool host cell protein, the range studied of 2–3.2 CV, it lowers pool host cell protein from 7,761 to 6,587 ng/mg, a change of 7 % of the criterion, and the sign of that effect differs between the designs (finding F11). That effect is significant but too small to move pool host cell protein appreciably within the PAR, so it does not make end of pool collect critical. The PAR extends 0.3 CV below and 0.3 CV above the NOR of 2.3–2.9 CV. The class would be revisited if a later study confirmed the screening sign.</w:t>
      </w:r>
    </w:p>
    <w:p>
      <w:pPr>
        <w:pStyle w:val="Compact"/>
        <w:numPr>
          <w:ilvl w:val="0"/>
          <w:numId w:val="1007"/>
        </w:numPr>
      </w:pPr>
      <w:r>
        <w:t xml:space="preserve">Operating temperature was classified as a GPP. No difference from the set-point runs was detected in pool host cell protein, step yield or leached Protein A at either end of its range. The intervals allow a rise in pool host cell protein of up to 4,291 ng/mg. Such a rise would still leave pool host cell protein within its criterion at manufacturing scale, and every individual result met its criterion (</w:t>
      </w:r>
      <w:hyperlink w:anchor="sec-uni">
        <w:r>
          <w:rPr>
            <w:rStyle w:val="Hyperlink"/>
          </w:rPr>
          <w:t xml:space="preserve">Section 5.6</w:t>
        </w:r>
      </w:hyperlink>
      <w:r>
        <w:t xml:space="preserve">). The range studied of 15–30 °C, which these results support, extends 3 °C below and 4 °C above the NOR of 18–26 °C. The class rests on the attributes measured. Fragments were not measured by nrCE-SDS in the univariate study (</w:t>
      </w:r>
      <w:hyperlink w:anchor="sec-uni">
        <w:r>
          <w:rPr>
            <w:rStyle w:val="Hyperlink"/>
          </w:rPr>
          <w:t xml:space="preserve">Section 5.6</w:t>
        </w:r>
      </w:hyperlink>
      <w:r>
        <w:t xml:space="preserve">), so for fragments the class rests on the mechanism and on the response-surface model. A higher temperature is expected to speed acid-catalysed hinge hydrolysis during elution. In the response-surface design fragments changed by 0.11 percentage points across the whole range of elution buffer pH, the condition that drives that hydrolysis (</w:t>
      </w:r>
      <w:hyperlink w:anchor="sec-rsm-frag">
        <w:r>
          <w:rPr>
            <w:rStyle w:val="Hyperlink"/>
          </w:rPr>
          <w:t xml:space="preserve">Section 5.3.4</w:t>
        </w:r>
      </w:hyperlink>
      <w:r>
        <w:t xml:space="preserve">). Their upper prediction limit over the NOR lies 1.36 points below the criterion. The class assumes that a change of temperature within its range studied does not use up that margin, and this was not tested.</w:t>
      </w:r>
    </w:p>
    <w:p>
      <w:pPr>
        <w:pStyle w:val="Compact"/>
        <w:numPr>
          <w:ilvl w:val="0"/>
          <w:numId w:val="1007"/>
        </w:numPr>
      </w:pPr>
      <w:r>
        <w:t xml:space="preserve">Bed height was classified as a GPP. No difference from the set-point runs was detected in pool host cell protein, step yield or leached Protein A at either end of its range. The intervals allow a rise in pool host cell protein of up to 2,815 ng/mg, and every individual result met its criterion (</w:t>
      </w:r>
      <w:hyperlink w:anchor="sec-uni">
        <w:r>
          <w:rPr>
            <w:rStyle w:val="Hyperlink"/>
          </w:rPr>
          <w:t xml:space="preserve">Section 5.6</w:t>
        </w:r>
      </w:hyperlink>
      <w:r>
        <w:t xml:space="preserve">). The range studied of 10–30 cm, which these results support, extends 5 cm below and 5 cm above the NOR of 15–25 cm. Bed height is fixed by the packing specification of the commercial column and does not vary in operation. A short bed at the upper end of the load range was not characterized, and no claim is made for it. The class rests on the attributes measured. Fragments were not measured by nrCE-SDS in the univariate study (</w:t>
      </w:r>
      <w:hyperlink w:anchor="sec-uni">
        <w:r>
          <w:rPr>
            <w:rStyle w:val="Hyperlink"/>
          </w:rPr>
          <w:t xml:space="preserve">Section 5.6</w:t>
        </w:r>
      </w:hyperlink>
      <w:r>
        <w:t xml:space="preserve">), so for fragments the class rests on the mechanism and on the response-surface model. A fragment that carries Fc binds the ligand as the intact antibody does, so a shorter residence time is expected to lower the capture of both alike. In the response-surface design no effect of load flow rate on fragments was detected over residence times from 4 to 12 min, at the set-point bed height (</w:t>
      </w:r>
      <w:hyperlink w:anchor="sec-rsm-frag">
        <w:r>
          <w:rPr>
            <w:rStyle w:val="Hyperlink"/>
          </w:rPr>
          <w:t xml:space="preserve">Section 5.3.4</w:t>
        </w:r>
      </w:hyperlink>
      <w:r>
        <w:t xml:space="preserve">). The shortest bed gives 3 min, below that span, and no fragment result supports the class there.</w:t>
      </w:r>
    </w:p>
    <w:p>
      <w:pPr>
        <w:pStyle w:val="FirstParagraph"/>
      </w:pPr>
      <w:r>
        <w:t xml:space="preserve">In summary the step has 2 WC-CPPs, 2 KPPs and 2 GPPs. No parameter is in the class CPP. The two WC-CPPs are critical parameters that are well controlled. The classes of protein load and elution buffer pH rest on the size of their effects on pool host cell protein within the PAR and on the corner where the two together take it above its criterion. Both effects agree in direction with the A-Mab case study. Load flow rate and end of pool collect also have significant effects on pool host cell protein, each too small to make the parameter critical. The KPP classes rest on the model for step yield, on the direction of the yield effects in both designs, and on the mechanism of breakthrough and of peak collection.</w:t>
      </w:r>
    </w:p>
    <w:bookmarkEnd w:id="117"/>
    <w:bookmarkStart w:id="118" w:name="sec-cs"/>
    <w:p>
      <w:pPr>
        <w:pStyle w:val="Heading1"/>
      </w:pPr>
      <w:r>
        <w:t xml:space="preserve">10. Contribution to the control strategy</w:t>
      </w:r>
    </w:p>
    <w:p>
      <w:pPr>
        <w:pStyle w:val="FirstParagraph"/>
      </w:pPr>
      <w:r>
        <w:t xml:space="preserve">The Protein A step contributes to the control strategy in the following ways.</w:t>
      </w:r>
    </w:p>
    <w:p>
      <w:pPr>
        <w:pStyle w:val="Compact"/>
        <w:numPr>
          <w:ilvl w:val="0"/>
          <w:numId w:val="1008"/>
        </w:numPr>
      </w:pPr>
      <w:r>
        <w:t xml:space="preserve">Process parameters. Protein load and elution buffer pH are controlled within their NORs as WC-CPPs, and load flow rate and end of pool collect within their NORs as KPPs. The NORs are those of PCP-005, except that of protein load, which this revision narrowed to 20–39 g/L resin (</w:t>
      </w:r>
      <w:hyperlink w:anchor="sec-sdm">
        <w:r>
          <w:rPr>
            <w:rStyle w:val="Hyperlink"/>
          </w:rPr>
          <w:t xml:space="preserve">Section 3.1</w:t>
        </w:r>
      </w:hyperlink>
      <w:r>
        <w:t xml:space="preserve">). Movement outside the NOR and within the PARs of</w:t>
      </w:r>
      <w:r>
        <w:t xml:space="preserve"> </w:t>
      </w:r>
      <w:hyperlink w:anchor="sec-par">
        <w:r>
          <w:rPr>
            <w:rStyle w:val="Hyperlink"/>
          </w:rPr>
          <w:t xml:space="preserve">Section 7</w:t>
        </w:r>
      </w:hyperlink>
      <w:r>
        <w:t xml:space="preserve"> </w:t>
      </w:r>
      <w:r>
        <w:t xml:space="preserve">is assessed under change control.</w:t>
      </w:r>
    </w:p>
    <w:p>
      <w:pPr>
        <w:pStyle w:val="Compact"/>
        <w:numPr>
          <w:ilvl w:val="0"/>
          <w:numId w:val="1008"/>
        </w:numPr>
      </w:pPr>
      <w:r>
        <w:t xml:space="preserve">Material controls. Elution buffer is released against its pH specification, on a calibrated pH meter (DEV-005-01).</w:t>
      </w:r>
    </w:p>
    <w:p>
      <w:pPr>
        <w:pStyle w:val="Compact"/>
        <w:numPr>
          <w:ilvl w:val="0"/>
          <w:numId w:val="1008"/>
        </w:numPr>
      </w:pPr>
      <w:r>
        <w:t xml:space="preserve">Resin and load. The protein load is set from the titre of the clarified harvest by Protein A affinity HPLC (AMV-3021). Leached Protein A is highest on new resin and is expected to rise with the protease activity of the load. Resin use, cleaning and sanitization are controlled by SOP-2008. The hold of the clarified harvest before capture, the expected cause of the offset of leached Protein A between the scales, is characterized in PCR-004.</w:t>
      </w:r>
    </w:p>
    <w:p>
      <w:pPr>
        <w:pStyle w:val="Compact"/>
        <w:numPr>
          <w:ilvl w:val="0"/>
          <w:numId w:val="1008"/>
        </w:numPr>
      </w:pPr>
      <w:r>
        <w:t xml:space="preserve">Hold. An eluate made at set-point may be held at elution pH for up to 7 days at 2-8 °C or 21 °C before viral inactivation. An eluate made at other settings within the NOR was not held (</w:t>
      </w:r>
      <w:hyperlink w:anchor="sec-hold">
        <w:r>
          <w:rPr>
            <w:rStyle w:val="Hyperlink"/>
          </w:rPr>
          <w:t xml:space="preserve">Section 5.7</w:t>
        </w:r>
      </w:hyperlink>
      <w:r>
        <w:t xml:space="preserve">).</w:t>
      </w:r>
    </w:p>
    <w:p>
      <w:pPr>
        <w:pStyle w:val="Compact"/>
        <w:numPr>
          <w:ilvl w:val="0"/>
          <w:numId w:val="1008"/>
        </w:numPr>
      </w:pPr>
      <w:r>
        <w:t xml:space="preserve">Downstream clearance. Host cell protein, leached Protein A and fragments are further cleared by cation exchange (PCR-007) and anion exchange (PCR-008). The criterion for pool host cell protein relies on cation exchange clearing host cell protein at least 40-fold, its platform worst case, and anion exchange at least 4.27-fold, its single-batch bound, while both run within their NORs (</w:t>
      </w:r>
      <w:hyperlink w:anchor="sec-par">
        <w:r>
          <w:rPr>
            <w:rStyle w:val="Hyperlink"/>
          </w:rPr>
          <w:t xml:space="preserve">Section 7</w:t>
        </w:r>
      </w:hyperlink>
      <w:r>
        <w:t xml:space="preserve">). Host cell protein is tested at release of the drug substance. Viral clearance is claimed at low-pH viral inactivation (PCR-006), anion exchange and virus filtration (PCR-009), and not at this step.</w:t>
      </w:r>
    </w:p>
    <w:p>
      <w:pPr>
        <w:pStyle w:val="FirstParagraph"/>
      </w:pPr>
      <w:r>
        <w:t xml:space="preserve">The control strategy of the whole train is consolidated in PCMR-001.</w:t>
      </w:r>
    </w:p>
    <w:bookmarkEnd w:id="118"/>
    <w:bookmarkStart w:id="119" w:name="discussion"/>
    <w:p>
      <w:pPr>
        <w:pStyle w:val="Heading1"/>
      </w:pPr>
      <w:r>
        <w:t xml:space="preserve">11. Discussion</w:t>
      </w:r>
    </w:p>
    <w:p>
      <w:pPr>
        <w:pStyle w:val="FirstParagraph"/>
      </w:pPr>
      <w:r>
        <w:t xml:space="preserve">The characterization confirms the main effects expected for this step. Elution buffer pH and protein load have the largest effects on pool host cell protein, and on the log scale their effects multiply. Whether a further interaction of the two exists the data do not decide (</w:t>
      </w:r>
      <w:hyperlink w:anchor="sec-rsm-hcp">
        <w:r>
          <w:rPr>
            <w:rStyle w:val="Hyperlink"/>
          </w:rPr>
          <w:t xml:space="preserve">Section 5.3.1</w:t>
        </w:r>
      </w:hyperlink>
      <w:r>
        <w:t xml:space="preserve">). End of pool collect, protein load and load flow rate have the largest effects on step yield. Leached Protein A shows no dependence on the parameters within the range studied, and fragments depend only slightly on elution buffer pH. End of pool collect lowers pool host cell protein in the response-surface design but raised it, not significantly, in the screening design, for a reason that was not identified.</w:t>
      </w:r>
    </w:p>
    <w:p>
      <w:pPr>
        <w:pStyle w:val="BodyText"/>
      </w:pPr>
      <w:r>
        <w:t xml:space="preserve">Model selection gave leached Protein A and fragments models that meet the adequacy criteria on lack of fit and predictive power, which their full quadratic models do not. The choice of model is a discrepancy from the plan, so its effect on the conclusions was examined. The conclusion over the NOR is the same with each of the 9 models within 2 AICc units of the selected model of pool host cell protein, and with run 23 analysed in each of three ways.</w:t>
      </w:r>
    </w:p>
    <w:p>
      <w:pPr>
        <w:pStyle w:val="BodyText"/>
      </w:pPr>
      <w:r>
        <w:t xml:space="preserve">The qualification of the scale-down model for pool host cell protein holds over the NOR in force and not over the protein load NOR as characterized. It rests on the widened criterion and on the 6 set-point runs added after the planned runs had been analysed (</w:t>
      </w:r>
      <w:hyperlink w:anchor="sec-sdm">
        <w:r>
          <w:rPr>
            <w:rStyle w:val="Hyperlink"/>
          </w:rPr>
          <w:t xml:space="preserve">Section 3.1</w:t>
        </w:r>
      </w:hyperlink>
      <w:r>
        <w:t xml:space="preserve">). The selected model decides it (</w:t>
      </w:r>
      <w:hyperlink w:anchor="sec-rsm-hcp">
        <w:r>
          <w:rPr>
            <w:rStyle w:val="Hyperlink"/>
          </w:rPr>
          <w:t xml:space="preserve">Section 5.3.1</w:t>
        </w:r>
      </w:hyperlink>
      <w:r>
        <w:t xml:space="preserve">). The offsets were estimated at set-point only. The report therefore assumes that the ratio for pool host cell protein and the difference for leached Protein A are the same across the ranges studied, and this assumption is not tested. Fragments have no measured offset. Their conclusions assume no difference between the scales, on the mechanism of capture and on the bound from the hold study of the clarified harvest (</w:t>
      </w:r>
      <w:hyperlink w:anchor="sec-sdm">
        <w:r>
          <w:rPr>
            <w:rStyle w:val="Hyperlink"/>
          </w:rPr>
          <w:t xml:space="preserve">Section 3.1</w:t>
        </w:r>
      </w:hyperlink>
      <w:r>
        <w:t xml:space="preserve">).</w:t>
      </w:r>
    </w:p>
    <w:p>
      <w:pPr>
        <w:pStyle w:val="BodyText"/>
      </w:pPr>
      <w:r>
        <w:t xml:space="preserve">The criterion for pool host cell protein links this step to the two later steps. It credits cation exchange with its platform worst case of 40-fold, above the single-batch bound of 36.7-fold of its A-Mab model, and anion exchange with its single-batch bound of 4.27-fold. The control of this step therefore depends on the control of those steps (PCR-007, PCR-008), and an excursion would be detected at release of the drug substance (</w:t>
      </w:r>
      <w:hyperlink w:anchor="sec-par">
        <w:r>
          <w:rPr>
            <w:rStyle w:val="Hyperlink"/>
          </w:rPr>
          <w:t xml:space="preserve">Section 7</w:t>
        </w:r>
      </w:hyperlink>
      <w:r>
        <w:t xml:space="preserve">).</w:t>
      </w:r>
    </w:p>
    <w:p>
      <w:pPr>
        <w:pStyle w:val="BodyText"/>
      </w:pPr>
      <w:r>
        <w:t xml:space="preserve">The models of leached Protein A and fragments fail criterion 5 on a residual trend, and their conclusions rest on its size (PD-005-02). The re-assay of run 11 decides whether leached Protein A depends on end of pool collect, but not its judgement against the criterion (</w:t>
      </w:r>
      <w:hyperlink w:anchor="sec-dev02">
        <w:r>
          <w:rPr>
            <w:rStyle w:val="Hyperlink"/>
          </w:rPr>
          <w:t xml:space="preserve">Section 13.2</w:t>
        </w:r>
      </w:hyperlink>
      <w:r>
        <w:t xml:space="preserve">). Each design used one feed, so the effect of feed quality was not estimated. The univariate study cannot detect interactions, has 2 runs at each end and no centre run (DEV-005-03), and did not measure fragments by nrCE-SDS. The hold study held one eluate, made at set-point.</w:t>
      </w:r>
    </w:p>
    <w:bookmarkEnd w:id="119"/>
    <w:bookmarkStart w:id="120" w:name="conclusions"/>
    <w:p>
      <w:pPr>
        <w:pStyle w:val="Heading1"/>
      </w:pPr>
      <w:r>
        <w:t xml:space="preserve">12. Conclusions</w:t>
      </w:r>
    </w:p>
    <w:p>
      <w:pPr>
        <w:pStyle w:val="Compact"/>
        <w:numPr>
          <w:ilvl w:val="0"/>
          <w:numId w:val="1009"/>
        </w:numPr>
      </w:pPr>
      <w:r>
        <w:t xml:space="preserve">The step was characterized under PCP-005 in a screening design, a response-surface design and a univariate study.</w:t>
      </w:r>
    </w:p>
    <w:p>
      <w:pPr>
        <w:pStyle w:val="Compact"/>
        <w:numPr>
          <w:ilvl w:val="0"/>
          <w:numId w:val="1009"/>
        </w:numPr>
      </w:pPr>
      <w:r>
        <w:t xml:space="preserve">The scale-down model is qualified by its offset for leached Protein A and, over the NOR in force, for pool host cell protein. Over the protein load NOR as characterized, 20–40 g/L resin, it is not qualified for pool host cell protein, and the NOR of protein load in force was narrowed to 20–39 g/L resin. The qualification for pool host cell protein also rests on the widened criterion and on all 9 set-point runs. It is decided on the selected model (</w:t>
      </w:r>
      <w:hyperlink w:anchor="sec-rsm-hcp">
        <w:r>
          <w:rPr>
            <w:rStyle w:val="Hyperlink"/>
          </w:rPr>
          <w:t xml:space="preserve">Section 5.3.1</w:t>
        </w:r>
      </w:hyperlink>
      <w:r>
        <w:t xml:space="preserve">).</w:t>
      </w:r>
    </w:p>
    <w:p>
      <w:pPr>
        <w:pStyle w:val="Compact"/>
        <w:numPr>
          <w:ilvl w:val="0"/>
          <w:numId w:val="1009"/>
        </w:numPr>
      </w:pPr>
      <w:r>
        <w:t xml:space="preserve">Each selected model of the response-surface outputs meets the adequacy criteria on lack of fit and predictive power, and each model with a term is significant. Criterion 5 is met except for leached Protein A and fragments, whose residual trends are small against their criteria (PD-005-02).</w:t>
      </w:r>
    </w:p>
    <w:p>
      <w:pPr>
        <w:pStyle w:val="Compact"/>
        <w:numPr>
          <w:ilvl w:val="0"/>
          <w:numId w:val="1009"/>
        </w:numPr>
      </w:pPr>
      <w:r>
        <w:t xml:space="preserve">Elution buffer pH and protein load have the largest effects on pool host cell protein, and their main effects multiply. Leached Protein A shows no dependence on the parameters within the range studied, on the re-assay of run 11, and fragments fall slightly as elution buffer pH rises.</w:t>
      </w:r>
    </w:p>
    <w:p>
      <w:pPr>
        <w:pStyle w:val="Compact"/>
        <w:numPr>
          <w:ilvl w:val="0"/>
          <w:numId w:val="1009"/>
        </w:numPr>
      </w:pPr>
      <w:r>
        <w:t xml:space="preserve">The criterion for pool host cell protein, ≤ 17,069 ng/mg, is widened by the single-batch bound of anion exchange. The widening is the producer’s risk, and an excursion would be detected at release of the drug substance.</w:t>
      </w:r>
    </w:p>
    <w:p>
      <w:pPr>
        <w:pStyle w:val="Compact"/>
        <w:numPr>
          <w:ilvl w:val="0"/>
          <w:numId w:val="1009"/>
        </w:numPr>
      </w:pPr>
      <w:r>
        <w:t xml:space="preserve">Each output with a criterion met it across the NOR in force. Every NOR-propagated PAR spans the range studied of its parameter, except that of elution buffer pH for pool host cell protein, 3.21–3.9. The design space, drawn on the upper prediction limit of a single run, covers 90.2 % of the range studied and excludes no point with every parameter inside its NOR.</w:t>
      </w:r>
    </w:p>
    <w:p>
      <w:pPr>
        <w:pStyle w:val="Compact"/>
        <w:numPr>
          <w:ilvl w:val="0"/>
          <w:numId w:val="1009"/>
        </w:numPr>
      </w:pPr>
      <w:r>
        <w:t xml:space="preserve">Protein load and elution buffer pH are WC-CPPs, load flow rate and end of pool collect are KPPs, and operating temperature and bed height are GPPs. No parameter is in the class CPP.</w:t>
      </w:r>
    </w:p>
    <w:p>
      <w:pPr>
        <w:pStyle w:val="Compact"/>
        <w:numPr>
          <w:ilvl w:val="0"/>
          <w:numId w:val="1009"/>
        </w:numPr>
      </w:pPr>
      <w:r>
        <w:t xml:space="preserve">The ranges studied of operating temperature and bed height are supported for pool host cell protein, step yield and leached Protein A, with the other parameters at their set-points.</w:t>
      </w:r>
    </w:p>
    <w:p>
      <w:pPr>
        <w:pStyle w:val="Compact"/>
        <w:numPr>
          <w:ilvl w:val="0"/>
          <w:numId w:val="1009"/>
        </w:numPr>
      </w:pPr>
      <w:r>
        <w:t xml:space="preserve">In a hold study of the Version 2.0 re-analysis, what a 7-day hold at elution pH at 2-8 °C or 21 °C added to an eluate made at set-point kept aggregate, acidic variants and fragments within the upper limits of the low-pH inactivation load. The hold did not lower acidic variants, which can enter it below their lower limit (PCR-003).</w:t>
      </w:r>
    </w:p>
    <w:p>
      <w:pPr>
        <w:pStyle w:val="Compact"/>
        <w:numPr>
          <w:ilvl w:val="0"/>
          <w:numId w:val="1009"/>
        </w:numPr>
      </w:pPr>
      <w:r>
        <w:t xml:space="preserve">At commercial scale the Cpk of host cell protein and of fragments exceeds the target of 1.33.</w:t>
      </w:r>
    </w:p>
    <w:p>
      <w:pPr>
        <w:pStyle w:val="Compact"/>
        <w:numPr>
          <w:ilvl w:val="0"/>
          <w:numId w:val="1009"/>
        </w:numPr>
      </w:pPr>
      <w:r>
        <w:t xml:space="preserve">None of the 5 deviations changes the judgement of an output against its criterion. The results roll up into PCMR-001.</w:t>
      </w:r>
    </w:p>
    <w:bookmarkEnd w:id="120"/>
    <w:bookmarkStart w:id="133" w:name="sec-dev"/>
    <w:p>
      <w:pPr>
        <w:pStyle w:val="Heading1"/>
      </w:pPr>
      <w:r>
        <w:t xml:space="preserve">13. Deviations and discrepancies from the plan</w:t>
      </w:r>
    </w:p>
    <w:p>
      <w:pPr>
        <w:pStyle w:val="FirstParagraph"/>
      </w:pPr>
      <w:r>
        <w:t xml:space="preserve">A deviation is a departure from the approved plan, from an approved procedure or from a GMP requirement, or an unplanned event during execution. A discrepancy from the plan is work that the approved plan did not foresee and that was done under approved procedures, such as further runs or a further analysis. The deviation register lists 5 deviations for the studies of the step (</w:t>
      </w:r>
      <w:hyperlink w:anchor="tbl-dev">
        <w:r>
          <w:rPr>
            <w:rStyle w:val="Hyperlink"/>
          </w:rPr>
          <w:t xml:space="preserve">Table 31</w:t>
        </w:r>
      </w:hyperlink>
      <w:r>
        <w:t xml:space="preserve">). The runs that DEV-005-01, DEV-005-02, DEV-005-03 and DEV-005-05 concern were retained. DEV-005-04 concerns the qualification of the scale-down model, and the output it concerns is judged through its offset (</w:t>
      </w:r>
      <w:hyperlink w:anchor="sec-dev04">
        <w:r>
          <w:rPr>
            <w:rStyle w:val="Hyperlink"/>
          </w:rPr>
          <w:t xml:space="preserve">Section 13.4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1" w:name="tbl-dev"/>
          <w:p>
            <w:pPr>
              <w:jc w:val="center"/>
            </w:pPr>
            <w:pPr>
              <w:jc w:val="start"/>
              <w:spacing w:before="200"/>
              <w:pStyle w:val="ImageCaption"/>
            </w:pPr>
            <w:r>
              <w:t xml:space="preserve">Table 31: Deviations recorded for the studies of the Protein A step.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Deviation</w:t>
                  </w:r>
                </w:p>
              </w:tc>
              <w:tc>
                <w:tcPr/>
                <w:p>
                  <w:pPr>
                    <w:pStyle w:val="Compact"/>
                    <w:jc w:val="center"/>
                  </w:pPr>
                  <w:r>
                    <w:t xml:space="preserve">Summary</w:t>
                  </w:r>
                </w:p>
              </w:tc>
              <w:tc>
                <w:tcPr/>
                <w:p>
                  <w:pPr>
                    <w:pStyle w:val="Compact"/>
                    <w:jc w:val="center"/>
                  </w:pPr>
                  <w:r>
                    <w:t xml:space="preserve">Detected during</w:t>
                  </w:r>
                </w:p>
              </w:tc>
              <w:tc>
                <w:tcPr/>
                <w:p>
                  <w:pPr>
                    <w:pStyle w:val="Compact"/>
                    <w:jc w:val="center"/>
                  </w:pPr>
                  <w:r>
                    <w:t xml:space="preserve">Disposition</w:t>
                  </w:r>
                </w:p>
              </w:tc>
            </w:tr>
            <w:tr>
              <w:tc>
                <w:tcPr/>
                <w:p>
                  <w:pPr>
                    <w:pStyle w:val="Compact"/>
                    <w:jc w:val="center"/>
                  </w:pPr>
                  <w:r>
                    <w:t xml:space="preserve">DEV-005-01</w:t>
                  </w:r>
                </w:p>
              </w:tc>
              <w:tc>
                <w:tcPr/>
                <w:p>
                  <w:pPr>
                    <w:pStyle w:val="Compact"/>
                    <w:jc w:val="center"/>
                  </w:pPr>
                  <w:r>
                    <w:t xml:space="preserve">Elution-buffer pH prepared below target on an RSM run</w:t>
                  </w:r>
                </w:p>
              </w:tc>
              <w:tc>
                <w:tcPr/>
                <w:p>
                  <w:pPr>
                    <w:pStyle w:val="Compact"/>
                    <w:jc w:val="center"/>
                  </w:pPr>
                  <w:r>
                    <w:t xml:space="preserve">post-run review of the buffer preparation record (the buffer had passed release on an incorrectly calibrated pH meter)</w:t>
                  </w:r>
                </w:p>
              </w:tc>
              <w:tc>
                <w:tcPr/>
                <w:p>
                  <w:pPr>
                    <w:pStyle w:val="Compact"/>
                    <w:jc w:val="center"/>
                  </w:pPr>
                  <w:r>
                    <w:t xml:space="preserve">retained</w:t>
                  </w:r>
                </w:p>
              </w:tc>
            </w:tr>
            <w:tr>
              <w:tc>
                <w:tcPr/>
                <w:p>
                  <w:pPr>
                    <w:pStyle w:val="Compact"/>
                    <w:jc w:val="center"/>
                  </w:pPr>
                  <w:r>
                    <w:t xml:space="preserve">DEV-005-02</w:t>
                  </w:r>
                </w:p>
              </w:tc>
              <w:tc>
                <w:tcPr/>
                <w:p>
                  <w:pPr>
                    <w:pStyle w:val="Compact"/>
                    <w:jc w:val="center"/>
                  </w:pPr>
                  <w:r>
                    <w:t xml:space="preserve">Leached Protein A result of RSM run 11 initially out of trend; re-assayed</w:t>
                  </w:r>
                </w:p>
              </w:tc>
              <w:tc>
                <w:tcPr/>
                <w:p>
                  <w:pPr>
                    <w:pStyle w:val="Compact"/>
                    <w:jc w:val="center"/>
                  </w:pPr>
                  <w:r>
                    <w:t xml:space="preserve">analytical review</w:t>
                  </w:r>
                </w:p>
              </w:tc>
              <w:tc>
                <w:tcPr/>
                <w:p>
                  <w:pPr>
                    <w:pStyle w:val="Compact"/>
                    <w:jc w:val="center"/>
                  </w:pPr>
                  <w:r>
                    <w:t xml:space="preserve">retained</w:t>
                  </w:r>
                </w:p>
              </w:tc>
            </w:tr>
            <w:tr>
              <w:tc>
                <w:tcPr/>
                <w:p>
                  <w:pPr>
                    <w:pStyle w:val="Compact"/>
                    <w:jc w:val="center"/>
                  </w:pPr>
                  <w:r>
                    <w:t xml:space="preserve">DEV-005-03</w:t>
                  </w:r>
                </w:p>
              </w:tc>
              <w:tc>
                <w:tcPr/>
                <w:p>
                  <w:pPr>
                    <w:pStyle w:val="Compact"/>
                    <w:jc w:val="center"/>
                  </w:pPr>
                  <w:r>
                    <w:t xml:space="preserve">Univariate study run in duplicate at both ends of each range, without the runs at the centre that PCP-005 requires</w:t>
                  </w:r>
                </w:p>
              </w:tc>
              <w:tc>
                <w:tcPr/>
                <w:p>
                  <w:pPr>
                    <w:pStyle w:val="Compact"/>
                    <w:jc w:val="center"/>
                  </w:pPr>
                  <w:r>
                    <w:t xml:space="preserve">Version 2.0 review of the study record against PCP-005</w:t>
                  </w:r>
                </w:p>
              </w:tc>
              <w:tc>
                <w:tcPr/>
                <w:p>
                  <w:pPr>
                    <w:pStyle w:val="Compact"/>
                    <w:jc w:val="center"/>
                  </w:pPr>
                  <w:r>
                    <w:t xml:space="preserve">retained</w:t>
                  </w:r>
                </w:p>
              </w:tc>
            </w:tr>
            <w:tr>
              <w:tc>
                <w:tcPr/>
                <w:p>
                  <w:pPr>
                    <w:pStyle w:val="Compact"/>
                    <w:jc w:val="center"/>
                  </w:pPr>
                  <w:r>
                    <w:t xml:space="preserve">DEV-005-04</w:t>
                  </w:r>
                </w:p>
              </w:tc>
              <w:tc>
                <w:tcPr/>
                <w:p>
                  <w:pPr>
                    <w:pStyle w:val="Compact"/>
                    <w:jc w:val="center"/>
                  </w:pPr>
                  <w:r>
                    <w:t xml:space="preserve">Leached Protein A differed between the scales in the qualification, and the investigation PCP-005 requires was not made</w:t>
                  </w:r>
                </w:p>
              </w:tc>
              <w:tc>
                <w:tcPr/>
                <w:p>
                  <w:pPr>
                    <w:pStyle w:val="Compact"/>
                    <w:jc w:val="center"/>
                  </w:pPr>
                  <w:r>
                    <w:t xml:space="preserve">Version 2.0 re-analysis of the qualification against the Version 1.0 rule</w:t>
                  </w:r>
                </w:p>
              </w:tc>
              <w:tc>
                <w:tcPr/>
                <w:p>
                  <w:pPr>
                    <w:pStyle w:val="Compact"/>
                    <w:jc w:val="center"/>
                  </w:pPr>
                  <w:r>
                    <w:t xml:space="preserve">judged through its offset under the offset rule of PCMP-001 Version 2.0</w:t>
                  </w:r>
                </w:p>
              </w:tc>
            </w:tr>
            <w:tr>
              <w:tc>
                <w:tcPr/>
                <w:p>
                  <w:pPr>
                    <w:pStyle w:val="Compact"/>
                    <w:jc w:val="center"/>
                  </w:pPr>
                  <w:r>
                    <w:t xml:space="preserve">DEV-005-05</w:t>
                  </w:r>
                </w:p>
              </w:tc>
              <w:tc>
                <w:tcPr/>
                <w:p>
                  <w:pPr>
                    <w:pStyle w:val="Compact"/>
                    <w:jc w:val="center"/>
                  </w:pPr>
                  <w:r>
                    <w:t xml:space="preserve">Univariate study made before the response-surface design, against the sequence of PCP-005</w:t>
                  </w:r>
                </w:p>
              </w:tc>
              <w:tc>
                <w:tcPr/>
                <w:p>
                  <w:pPr>
                    <w:pStyle w:val="Compact"/>
                    <w:jc w:val="center"/>
                  </w:pPr>
                  <w:r>
                    <w:t xml:space="preserve">Version 2.0 review of the execution dates (INV-001 finding 5)</w:t>
                  </w:r>
                </w:p>
              </w:tc>
              <w:tc>
                <w:tcPr/>
                <w:p>
                  <w:pPr>
                    <w:pStyle w:val="Compact"/>
                    <w:jc w:val="center"/>
                  </w:pPr>
                  <w:r>
                    <w:t xml:space="preserve">retained</w:t>
                  </w:r>
                </w:p>
              </w:tc>
            </w:tr>
          </w:tbl>
          <w:bookmarkEnd w:id="121"/>
          <w:p/>
        </w:tc>
      </w:tr>
    </w:tbl>
    <w:bookmarkStart w:id="123" w:name="sec-dev01"/>
    <w:p>
      <w:pPr>
        <w:pStyle w:val="Heading2"/>
      </w:pPr>
      <w:r>
        <w:t xml:space="preserve">13.1 DEV-005-01. Elution buffer pH below target on a response-surface run</w:t>
      </w:r>
    </w:p>
    <w:p>
      <w:pPr>
        <w:pStyle w:val="FirstParagraph"/>
      </w:pPr>
      <w:r>
        <w:t xml:space="preserve">The elution buffer of lot LOT-BUF-5290 was used on run 23 of the response-surface design, whose design setting for elution buffer pH was 3.55. During preparation the titration of the buffer overshot its end point, and the buffer was at pH 3.38, 0.17 pH units below its target. It passed release because the pH meter used for release was incorrectly calibrated and read it within its specification. The recorded pH is below the NOR of 3.4–3.7 and inside the range studied of 3.2–3.9.</w:t>
      </w:r>
    </w:p>
    <w:p>
      <w:pPr>
        <w:pStyle w:val="BodyText"/>
      </w:pPr>
      <w:r>
        <w:t xml:space="preserve">Run 23 is analysed at its recorded pH, the setting at which it was made. PCP-005 planned every run at its design setting, so this is the discrepancy from the plan PD-005-03 (</w:t>
      </w:r>
      <w:hyperlink w:anchor="sec-dev">
        <w:r>
          <w:rPr>
            <w:rStyle w:val="Hyperlink"/>
          </w:rPr>
          <w:t xml:space="preserve">Section 13</w:t>
        </w:r>
      </w:hyperlink>
      <w:r>
        <w:t xml:space="preserve">). The run gave a pool host cell protein of 8,390 ng/mg at manufacturing scale, below the criterion of ≤ 17,069 ng/mg. On the selected model its residual is −0.21 on the natural log scale. The result is therefore 19 % below the median predicted at pH 3.38, 10,368 ng/mg, which is 2.0 residual standard deviations. Its Cook’s distance, 0.16, is above the limit of 4/n. At the design pH of 3.55 the same model predicts 7,761 ng/mg, closer to the result. The result does not show the full rise in pool host cell protein that a buffer at the recorded pH would be expected to cause. The data do not establish why.</w:t>
      </w:r>
    </w:p>
    <w:p>
      <w:pPr>
        <w:pStyle w:val="BodyText"/>
      </w:pPr>
      <w:hyperlink w:anchor="tbl-dev01">
        <w:r>
          <w:rPr>
            <w:rStyle w:val="Hyperlink"/>
          </w:rPr>
          <w:t xml:space="preserve">Table 32</w:t>
        </w:r>
      </w:hyperlink>
      <w:r>
        <w:t xml:space="preserve"> </w:t>
      </w:r>
      <w:r>
        <w:t xml:space="preserve">gives the conclusion for pool host cell protein with run 23 analysed in three ways, each with the model selection repeated.</w:t>
      </w:r>
    </w:p>
    <w:tbl>
      <w:tblPr>
        <w:tblStyle w:val="Table"/>
        <w:tblW w:type="pct" w:w="5000"/>
        <w:tblLayout w:type="fixed"/>
        <w:tblLook w:firstRow="0" w:lastRow="0" w:firstColumn="0" w:lastColumn="0" w:noHBand="0" w:noVBand="0" w:val="0000"/>
      </w:tblPr>
      <w:tblGrid>
        <w:gridCol w:w="7920"/>
      </w:tblGrid>
      <w:tr>
        <w:tc>
          <w:tcPr/>
          <w:bookmarkStart w:id="122" w:name="tbl-dev01"/>
          <w:p>
            <w:pPr>
              <w:jc w:val="center"/>
            </w:pPr>
            <w:pPr>
              <w:jc w:val="start"/>
              <w:spacing w:before="200"/>
              <w:pStyle w:val="ImageCaption"/>
            </w:pPr>
            <w:r>
              <w:t xml:space="preserve">Table 32: Selected model of pool HCP and its upper prediction limit over the NOR (ng/mg, manufacturing scale) with run 23 analysed in three ways.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Run 23</w:t>
                  </w:r>
                </w:p>
              </w:tc>
              <w:tc>
                <w:tcPr/>
                <w:p>
                  <w:pPr>
                    <w:pStyle w:val="Compact"/>
                    <w:jc w:val="center"/>
                  </w:pPr>
                  <w:r>
                    <w:t xml:space="preserve">Scale</w:t>
                  </w:r>
                </w:p>
              </w:tc>
              <w:tc>
                <w:tcPr/>
                <w:p>
                  <w:pPr>
                    <w:pStyle w:val="Compact"/>
                    <w:jc w:val="center"/>
                  </w:pPr>
                  <w:r>
                    <w:t xml:space="preserve">Terms</w:t>
                  </w:r>
                </w:p>
              </w:tc>
              <w:tc>
                <w:tcPr/>
                <w:p>
                  <w:pPr>
                    <w:pStyle w:val="Compact"/>
                    <w:jc w:val="center"/>
                  </w:pPr>
                  <w:r>
                    <w:t xml:space="preserve">At the</w:t>
                  </w:r>
                  <w:r>
                    <w:br/>
                  </w:r>
                  <w:r>
                    <w:t xml:space="preserve">estimate</w:t>
                  </w:r>
                </w:p>
              </w:tc>
              <w:tc>
                <w:tcPr/>
                <w:p>
                  <w:pPr>
                    <w:pStyle w:val="Compact"/>
                    <w:jc w:val="center"/>
                  </w:pPr>
                  <w:r>
                    <w:t xml:space="preserve">At the</w:t>
                  </w:r>
                  <w:r>
                    <w:br/>
                  </w:r>
                  <w:r>
                    <w:t xml:space="preserve">low end</w:t>
                  </w:r>
                </w:p>
              </w:tc>
              <w:tc>
                <w:tcPr/>
                <w:p>
                  <w:pPr>
                    <w:pStyle w:val="Compact"/>
                    <w:jc w:val="center"/>
                  </w:pPr>
                  <w:r>
                    <w:t xml:space="preserve">Met</w:t>
                  </w:r>
                </w:p>
              </w:tc>
            </w:tr>
            <w:tr>
              <w:tc>
                <w:tcPr/>
                <w:p>
                  <w:pPr>
                    <w:pStyle w:val="Compact"/>
                    <w:jc w:val="center"/>
                  </w:pPr>
                  <w:r>
                    <w:t xml:space="preserve">At its recorded pH of 3.38 (used)</w:t>
                  </w:r>
                </w:p>
              </w:tc>
              <w:tc>
                <w:tcPr/>
                <w:p>
                  <w:pPr>
                    <w:pStyle w:val="Compact"/>
                    <w:jc w:val="center"/>
                  </w:pPr>
                  <w:r>
                    <w:t xml:space="preserve">log</w:t>
                  </w:r>
                </w:p>
              </w:tc>
              <w:tc>
                <w:tcPr/>
                <w:p>
                  <w:pPr>
                    <w:pStyle w:val="Compact"/>
                    <w:jc w:val="center"/>
                  </w:pPr>
                  <w:r>
                    <w:t xml:space="preserve">A, B, C, D, C²</w:t>
                  </w:r>
                </w:p>
              </w:tc>
              <w:tc>
                <w:tcPr/>
                <w:p>
                  <w:pPr>
                    <w:pStyle w:val="Compact"/>
                    <w:jc w:val="center"/>
                  </w:pPr>
                  <w:r>
                    <w:t xml:space="preserve">15,349</w:t>
                  </w:r>
                </w:p>
              </w:tc>
              <w:tc>
                <w:tcPr/>
                <w:p>
                  <w:pPr>
                    <w:pStyle w:val="Compact"/>
                    <w:jc w:val="center"/>
                  </w:pPr>
                  <w:r>
                    <w:t xml:space="preserve">16,763</w:t>
                  </w:r>
                </w:p>
              </w:tc>
              <w:tc>
                <w:tcPr/>
                <w:p>
                  <w:pPr>
                    <w:pStyle w:val="Compact"/>
                    <w:jc w:val="center"/>
                  </w:pPr>
                  <w:r>
                    <w:t xml:space="preserve">Yes</w:t>
                  </w:r>
                </w:p>
              </w:tc>
            </w:tr>
            <w:tr>
              <w:tc>
                <w:tcPr/>
                <w:p>
                  <w:pPr>
                    <w:pStyle w:val="Compact"/>
                    <w:jc w:val="center"/>
                  </w:pPr>
                  <w:r>
                    <w:t xml:space="preserve">At its design pH of 3.55</w:t>
                  </w:r>
                </w:p>
              </w:tc>
              <w:tc>
                <w:tcPr/>
                <w:p>
                  <w:pPr>
                    <w:pStyle w:val="Compact"/>
                    <w:jc w:val="center"/>
                  </w:pPr>
                  <w:r>
                    <w:t xml:space="preserve">log</w:t>
                  </w:r>
                </w:p>
              </w:tc>
              <w:tc>
                <w:tcPr/>
                <w:p>
                  <w:pPr>
                    <w:pStyle w:val="Compact"/>
                    <w:jc w:val="center"/>
                  </w:pPr>
                  <w:r>
                    <w:t xml:space="preserve">A, B, C, D, AB, A², C²</w:t>
                  </w:r>
                </w:p>
              </w:tc>
              <w:tc>
                <w:tcPr/>
                <w:p>
                  <w:pPr>
                    <w:pStyle w:val="Compact"/>
                    <w:jc w:val="center"/>
                  </w:pPr>
                  <w:r>
                    <w:t xml:space="preserve">15,179</w:t>
                  </w:r>
                </w:p>
              </w:tc>
              <w:tc>
                <w:tcPr/>
                <w:p>
                  <w:pPr>
                    <w:pStyle w:val="Compact"/>
                    <w:jc w:val="center"/>
                  </w:pPr>
                  <w:r>
                    <w:t xml:space="preserve">16,577</w:t>
                  </w:r>
                </w:p>
              </w:tc>
              <w:tc>
                <w:tcPr/>
                <w:p>
                  <w:pPr>
                    <w:pStyle w:val="Compact"/>
                    <w:jc w:val="center"/>
                  </w:pPr>
                  <w:r>
                    <w:t xml:space="preserve">Yes</w:t>
                  </w:r>
                </w:p>
              </w:tc>
            </w:tr>
            <w:tr>
              <w:tc>
                <w:tcPr/>
                <w:p>
                  <w:pPr>
                    <w:pStyle w:val="Compact"/>
                    <w:jc w:val="center"/>
                  </w:pPr>
                  <w:r>
                    <w:t xml:space="preserve">Excluded</w:t>
                  </w:r>
                </w:p>
              </w:tc>
              <w:tc>
                <w:tcPr/>
                <w:p>
                  <w:pPr>
                    <w:pStyle w:val="Compact"/>
                    <w:jc w:val="center"/>
                  </w:pPr>
                  <w:r>
                    <w:t xml:space="preserve">log</w:t>
                  </w:r>
                </w:p>
              </w:tc>
              <w:tc>
                <w:tcPr/>
                <w:p>
                  <w:pPr>
                    <w:pStyle w:val="Compact"/>
                    <w:jc w:val="center"/>
                  </w:pPr>
                  <w:r>
                    <w:t xml:space="preserve">A, B, C, D, AB, A², C²</w:t>
                  </w:r>
                </w:p>
              </w:tc>
              <w:tc>
                <w:tcPr/>
                <w:p>
                  <w:pPr>
                    <w:pStyle w:val="Compact"/>
                    <w:jc w:val="center"/>
                  </w:pPr>
                  <w:r>
                    <w:t xml:space="preserve">15,252</w:t>
                  </w:r>
                </w:p>
              </w:tc>
              <w:tc>
                <w:tcPr/>
                <w:p>
                  <w:pPr>
                    <w:pStyle w:val="Compact"/>
                    <w:jc w:val="center"/>
                  </w:pPr>
                  <w:r>
                    <w:t xml:space="preserve">16,657</w:t>
                  </w:r>
                </w:p>
              </w:tc>
              <w:tc>
                <w:tcPr/>
                <w:p>
                  <w:pPr>
                    <w:pStyle w:val="Compact"/>
                    <w:jc w:val="center"/>
                  </w:pPr>
                  <w:r>
                    <w:t xml:space="preserve">Yes</w:t>
                  </w:r>
                </w:p>
              </w:tc>
            </w:tr>
            <w:tr>
              <w:tc>
                <w:tcPr>
                  <w:gridSpan w:val="6"/>
                </w:tcPr>
                <w:p>
                  <w:pPr>
                    <w:pStyle w:val="Compact"/>
                    <w:jc w:val="center"/>
                  </w:pPr>
                  <w:r>
                    <w:t xml:space="preserve">Terms of the selected model besides the intercept, coded as in the factor legend. AB, the interaction of A with B. A², C², the squares of A and C. At the estimate and at the low end, the upper prediction limit with the offset ratio at its estimate and at the low end of its interval. Met, both limits within the criterion of ≤ 17,069 ng/mg.</w:t>
                  </w:r>
                </w:p>
              </w:tc>
            </w:tr>
          </w:tbl>
          <w:bookmarkEnd w:id="122"/>
          <w:p/>
        </w:tc>
      </w:tr>
    </w:tbl>
    <w:p>
      <w:pPr>
        <w:pStyle w:val="BodyText"/>
      </w:pPr>
      <w:r>
        <w:t xml:space="preserve">With run 23 at its design pH, or excluded, the log scale is chosen again, and the selection adds the interaction of protein load with elution buffer pH and the square of protein load. The interaction is not significant in the full quadratic model on the log scale in any of the three analyses (p = 0.156, 0.069 and 0.081). Nor is it significant in the two selected models that contain it (p = 0.064 and 0.071). In the selected model with the run at its design pH the square of protein load is negative (p = 0.018), so in that analysis the rise of pool host cell protein with load levels off at high load. In all three analyses pool host cell protein meets its criterion of ≤ 17,069 ng/mg at every combination of the NOR, with the offset ratio at its estimate and at the unfavourable end of its interval. The qualification of the scale-down model is therefore the same however run 23 is analysed. The analysis at the recorded pH gives the highest upper prediction limit of the three. The run was retained, and it carries a footnote in Appendix B.</w:t>
      </w:r>
    </w:p>
    <w:bookmarkEnd w:id="123"/>
    <w:bookmarkStart w:id="124" w:name="sec-dev02"/>
    <w:p>
      <w:pPr>
        <w:pStyle w:val="Heading2"/>
      </w:pPr>
      <w:r>
        <w:t xml:space="preserve">13.2 DEV-005-02. Leached Protein A result of run 11 initially out of trend</w:t>
      </w:r>
    </w:p>
    <w:p>
      <w:pPr>
        <w:pStyle w:val="FirstParagraph"/>
      </w:pPr>
      <w:r>
        <w:t xml:space="preserve">The leached Protein A result of run 11 of the response-surface design was out of trend at analytical review. By the rule in the deviation record, a result is out of trend when it lies outside the two-sided 99 % prediction interval of a single result from the full quadratic model of the response-surface design, fitted to the other runs of the design without the result under review, at the settings of the run. The review was made when the design ran, before model selection was adopted on 2026-09-15, so it used the model that PCP-005 specifies. For run 11 the interval, from the other 27 runs with 12 residual degrees of freedom, runs from −1.46 to 5.38 ppm in the scale-down model. Its lower end lies below zero, so at this run only a high result could be out of trend. The first result, 6.37 ppm (7.55 ppm at manufacturing scale), lay above the interval and above every other result of the two designs. The sample was re-assayed under AMV-3016. The re-assay, 2.12 ppm (3.30 ppm at manufacturing scale), lay inside the interval and inside the range of the other runs of the response-surface design, 1.70 to 4.61 ppm. The first result was 3 times the re-assay. The investigation suspected carryover in the ELISA, which would add analyte from a preceding sample, and did not confirm it. The re-assay result is the one reported in Appendix B and used in the analysis, because the investigation attributed the first result to that suspected cause. The first result was kept in the record with its status marked. Both results are far below the criterion of ≤ 158 ppm.</w:t>
      </w:r>
    </w:p>
    <w:p>
      <w:pPr>
        <w:pStyle w:val="BodyText"/>
      </w:pPr>
      <w:r>
        <w:t xml:space="preserve">With the first result in place of the re-assay, the analysis changes. The model selection then puts leached Protein A on the log scale and keeps end of pool collect, and that model meets criteria 2 to 4. Its F-test is significant (p = 0.0495), its lack of fit test is not (p = 0.894), and its predicted R² falls short of R² by 0.137. On that model leached Protein A would fall by 22 % across the range of end of pool collect. Its upper prediction limit over the NOR would be 6.60 ppm at manufacturing scale, against 5.52 ppm with the re-assay, and every PAR would still span the range studied of its parameter. The trend of the residuals on run order would not be significant (p = 0.198). The judgement of leached Protein A against its criterion is therefore the same with either result. The class of end of pool collect would not change, because that effect, 0.74 ppm across its range against the criterion of ≤ 158 ppm, is too small to move leached Protein A appreciably (</w:t>
      </w:r>
      <w:hyperlink w:anchor="sec-class">
        <w:r>
          <w:rPr>
            <w:rStyle w:val="Hyperlink"/>
          </w:rPr>
          <w:t xml:space="preserve">Section 9</w:t>
        </w:r>
      </w:hyperlink>
      <w:r>
        <w:t xml:space="preserve">). Whether leached Protein A depends on end of pool collect, and whether its residuals drift with run order, depends on which result is used.</w:t>
      </w:r>
    </w:p>
    <w:bookmarkEnd w:id="124"/>
    <w:bookmarkStart w:id="125" w:name="sec-dev03"/>
    <w:p>
      <w:pPr>
        <w:pStyle w:val="Heading2"/>
      </w:pPr>
      <w:r>
        <w:t xml:space="preserve">13.3 DEV-005-03. Univariate study without its centre runs</w:t>
      </w:r>
    </w:p>
    <w:p>
      <w:pPr>
        <w:pStyle w:val="FirstParagraph"/>
      </w:pPr>
      <w:r>
        <w:t xml:space="preserve">PCP-005 §6.4 requires each parameter of the univariate study to be run at the low edge, the centre and the high edge of its range studied, with the same responses as in the multivariate designs. Study S-PA-UNI (2025-12-08 to 2025-12-12) ran each end of each range 2 times and made no run at the centre. The 3 set-point runs of the qualification study S-PA-SDM (2025-11-05 to 2025-11-14) served as the reference instead. The departure was found in the Version 2.0 review of the study record against PCP-005, and the runs were retained. Without the centre runs the study has no set-point reference of its own. A difference from the reference therefore combines the effect of the parameter with any difference between the two studies. Step yield was higher than the reference at every end of both ranges (</w:t>
      </w:r>
      <w:hyperlink w:anchor="sec-uni">
        <w:r>
          <w:rPr>
            <w:rStyle w:val="Hyperlink"/>
          </w:rPr>
          <w:t xml:space="preserve">Section 5.6</w:t>
        </w:r>
      </w:hyperlink>
      <w:r>
        <w:t xml:space="preserve">), which is consistent with such a difference. The judgement of pool host cell protein and leached Protein A rests on the individual results at both ends, each against its criterion, and does not depend on the reference.</w:t>
      </w:r>
    </w:p>
    <w:bookmarkEnd w:id="125"/>
    <w:bookmarkStart w:id="126" w:name="sec-dev04"/>
    <w:p>
      <w:pPr>
        <w:pStyle w:val="Heading2"/>
      </w:pPr>
      <w:r>
        <w:t xml:space="preserve">13.4 DEV-005-04. Difference between the scales in leached Protein A not investigated</w:t>
      </w:r>
    </w:p>
    <w:p>
      <w:pPr>
        <w:pStyle w:val="FirstParagraph"/>
      </w:pPr>
      <w:r>
        <w:t xml:space="preserve">PCP-005 Version 1.0 accepted the scale-down model for an output only where the qualification showed no difference between the scales significant at α = 0.05, and it required any difference to be investigated. On the 3 scale-down runs of study S-PA-SDM against the 5 manufacturing-scale batches, leached Protein A differs between the scales (p = 0.037, two-sided Student t test with pooled variance). No other output that the qualification compared differs at that level. No investigation is recorded, and Version 1.0 of this report called the scale-down model qualified. The departure was found in the Version 2.0 re-analysis of the qualification against the Version 1.0 rule. PCMP-001 Version 2.0 qualifies a scale-down model by the offset between the scales and not by a test of equivalence (PCMP-001 §7.1). Under that rule leached Protein A is judged through its offset, and the model is qualified for it on the planned runs and on all runs (</w:t>
      </w:r>
      <w:hyperlink w:anchor="sec-sdm">
        <w:r>
          <w:rPr>
            <w:rStyle w:val="Hyperlink"/>
          </w:rPr>
          <w:t xml:space="preserve">Section 3.1</w:t>
        </w:r>
      </w:hyperlink>
      <w:r>
        <w:t xml:space="preserve">,</w:t>
      </w:r>
      <w:r>
        <w:t xml:space="preserve"> </w:t>
      </w:r>
      <w:hyperlink w:anchor="sec-pd01">
        <w:r>
          <w:rPr>
            <w:rStyle w:val="Hyperlink"/>
          </w:rPr>
          <w:t xml:space="preserve">Section 13.6.1</w:t>
        </w:r>
      </w:hyperlink>
      <w:r>
        <w:t xml:space="preserve">). The expected cause of the difference, the longer hold of the load at manufacturing scale, is stated in</w:t>
      </w:r>
      <w:r>
        <w:t xml:space="preserve"> </w:t>
      </w:r>
      <w:hyperlink w:anchor="sec-sdm">
        <w:r>
          <w:rPr>
            <w:rStyle w:val="Hyperlink"/>
          </w:rPr>
          <w:t xml:space="preserve">Section 3.1</w:t>
        </w:r>
      </w:hyperlink>
      <w:r>
        <w:t xml:space="preserve"> </w:t>
      </w:r>
      <w:r>
        <w:t xml:space="preserve">and was not tested.</w:t>
      </w:r>
    </w:p>
    <w:bookmarkEnd w:id="126"/>
    <w:bookmarkStart w:id="127" w:name="sec-dev05"/>
    <w:p>
      <w:pPr>
        <w:pStyle w:val="Heading2"/>
      </w:pPr>
      <w:r>
        <w:t xml:space="preserve">13.5 DEV-005-05. Univariate study made before the response-surface design</w:t>
      </w:r>
    </w:p>
    <w:p>
      <w:pPr>
        <w:pStyle w:val="FirstParagraph"/>
      </w:pPr>
      <w:r>
        <w:t xml:space="preserve">PCP-005 §11 sets the order of the work. The qualification runs come first, the screening design second and the response-surface design third, and the univariate assessments come fourth and may run in parallel with the response-surface design. Study S-PA-UNI ran from 2025-12-08 to 2025-12-12, after the screening design ended on 2025-12-05 and before the response-surface design began on 2026-01-12 (</w:t>
      </w:r>
      <w:hyperlink w:anchor="tbl-chronology">
        <w:r>
          <w:rPr>
            <w:rStyle w:val="Hyperlink"/>
          </w:rPr>
          <w:t xml:space="preserve">Table 8</w:t>
        </w:r>
      </w:hyperlink>
      <w:r>
        <w:t xml:space="preserve">). The departure was found in the Version 2.0 review of the execution dates (INV-001 finding 5), and the runs were retained. The univariate study is judged on its own runs and on the set-point runs of the qualification study, and no result of the response-surface design depends on it, so the order changes no conclusion of this report.</w:t>
      </w:r>
    </w:p>
    <w:bookmarkEnd w:id="127"/>
    <w:bookmarkStart w:id="132" w:name="discrepancies-from-the-plan"/>
    <w:p>
      <w:pPr>
        <w:pStyle w:val="Heading2"/>
      </w:pPr>
      <w:r>
        <w:t xml:space="preserve">13.6 Discrepancies from the plan</w:t>
      </w:r>
    </w:p>
    <w:p>
      <w:pPr>
        <w:pStyle w:val="FirstParagraph"/>
      </w:pPr>
      <w:r>
        <w:t xml:space="preserve">The report records 6 discrepancies from the plan, which</w:t>
      </w:r>
      <w:r>
        <w:t xml:space="preserve"> </w:t>
      </w:r>
      <w:hyperlink w:anchor="tbl-pd">
        <w:r>
          <w:rPr>
            <w:rStyle w:val="Hyperlink"/>
          </w:rPr>
          <w:t xml:space="preserve">Table 34</w:t>
        </w:r>
      </w:hyperlink>
      <w:r>
        <w:t xml:space="preserve"> </w:t>
      </w:r>
      <w:r>
        <w:t xml:space="preserve">lists with what PCP-005 planned, what was done and why. They are judged against PCP-005 Version 2.0, the plan this report is written against. That version includes the retest of retained samples, S-PA-RET, made under the method decision AMD-001, so S-PA-RET is not a discrepancy. Four discrepancies change how the runs are analysed or measured and are described where their results are reported. They are the use for the ranges and the design space of the models of leached Protein A and fragments, which do not meet criterion 5 (PD-005-02,</w:t>
      </w:r>
      <w:r>
        <w:t xml:space="preserve"> </w:t>
      </w:r>
      <w:hyperlink w:anchor="sec-resid">
        <w:r>
          <w:rPr>
            <w:rStyle w:val="Hyperlink"/>
          </w:rPr>
          <w:t xml:space="preserve">Section 5.5</w:t>
        </w:r>
      </w:hyperlink>
      <w:r>
        <w:t xml:space="preserve">), run 23 analysed at its recorded elution buffer pH (PD-005-03,</w:t>
      </w:r>
      <w:r>
        <w:t xml:space="preserve"> </w:t>
      </w:r>
      <w:hyperlink w:anchor="sec-dev01">
        <w:r>
          <w:rPr>
            <w:rStyle w:val="Hyperlink"/>
          </w:rPr>
          <w:t xml:space="preserve">Section 13.1</w:t>
        </w:r>
      </w:hyperlink>
      <w:r>
        <w:t xml:space="preserve">), the model selection in place of the full quadratic model of PCP-005 §5.5 (PD-005-04,</w:t>
      </w:r>
      <w:r>
        <w:t xml:space="preserve"> </w:t>
      </w:r>
      <w:hyperlink w:anchor="sec-stats">
        <w:r>
          <w:rPr>
            <w:rStyle w:val="Hyperlink"/>
          </w:rPr>
          <w:t xml:space="preserve">Section 3.5</w:t>
        </w:r>
      </w:hyperlink>
      <w:r>
        <w:t xml:space="preserve">), and the loaded antibody mass of step yield taken from the titre by Protein A affinity HPLC in place of absorbance at 280 nm, because absorbance measures every protein in a clarified harvest and not the antibody alone (PD-005-06,</w:t>
      </w:r>
      <w:r>
        <w:t xml:space="preserve"> </w:t>
      </w:r>
      <w:hyperlink w:anchor="sec-methods">
        <w:r>
          <w:rPr>
            <w:rStyle w:val="Hyperlink"/>
          </w:rPr>
          <w:t xml:space="preserve">Section 3.3</w:t>
        </w:r>
      </w:hyperlink>
      <w:r>
        <w:t xml:space="preserve">). The other two are further studies, described below.</w:t>
      </w:r>
    </w:p>
    <w:bookmarkStart w:id="129" w:name="sec-pd01"/>
    <w:p>
      <w:pPr>
        <w:pStyle w:val="Heading3"/>
      </w:pPr>
      <w:r>
        <w:t xml:space="preserve">13.6.1 PD-005-01. Supplementary set-point runs in the scale-down model qualification</w:t>
      </w:r>
    </w:p>
    <w:p>
      <w:pPr>
        <w:pStyle w:val="FirstParagraph"/>
      </w:pPr>
      <w:r>
        <w:t xml:space="preserve">PCP-005 planned 3 set-point runs of the scale-down model in the qualification study S-PA-SDM, compared with 5 manufacturing-scale batches. During the Version 2.0 re-analysis, while INV-001 was open, a further 6 set-point runs were made in study S-PA-SDM2 (2026-09-07 to 2026-09-11).</w:t>
      </w:r>
      <w:r>
        <w:t xml:space="preserve"> </w:t>
      </w:r>
      <w:hyperlink w:anchor="tbl-sdm-offsets-planned">
        <w:r>
          <w:rPr>
            <w:rStyle w:val="Hyperlink"/>
          </w:rPr>
          <w:t xml:space="preserve">Table 33</w:t>
        </w:r>
      </w:hyperlink>
      <w:r>
        <w:t xml:space="preserve"> </w:t>
      </w:r>
      <w:r>
        <w:t xml:space="preserve">gives the qualification on the 3 planned runs alone.</w:t>
      </w:r>
    </w:p>
    <w:p>
      <w:pPr>
        <w:pStyle w:val="BodyText"/>
      </w:pPr>
      <w:r>
        <w:t xml:space="preserve">On the planned runs alone the scale-down model is not qualified for pool host cell protein, even over the NOR in force. The ratio is 0.935 (0.795 to 1.100) on the planned runs and 0.973 (0.891 to 1.063) on all runs. With the ratio at the low end of the wider interval, the upper prediction limit over the NOR is 18,786 ng/mg, above the criterion of ≤ 17,069 ng/mg, while at the estimate of the ratio the criterion is met. The further runs narrowed the half-width of the interval on the log scale by 46 %, and this made the qualification possible. For leached Protein A the model is qualified on the planned runs as well, with the scale-down model 1.60 ppm lower (0.43 to 2.76 ppm lower).</w:t>
      </w:r>
    </w:p>
    <w:tbl>
      <w:tblPr>
        <w:tblStyle w:val="Table"/>
        <w:tblW w:type="pct" w:w="5000"/>
        <w:tblLayout w:type="fixed"/>
        <w:tblLook w:firstRow="0" w:lastRow="0" w:firstColumn="0" w:lastColumn="0" w:noHBand="0" w:noVBand="0" w:val="0000"/>
      </w:tblPr>
      <w:tblGrid>
        <w:gridCol w:w="7920"/>
      </w:tblGrid>
      <w:tr>
        <w:tc>
          <w:tcPr/>
          <w:bookmarkStart w:id="128" w:name="tbl-sdm-offsets-planned"/>
          <w:p>
            <w:pPr>
              <w:jc w:val="center"/>
            </w:pPr>
            <w:pPr>
              <w:jc w:val="start"/>
              <w:spacing w:before="200"/>
              <w:pStyle w:val="ImageCaption"/>
            </w:pPr>
            <w:r>
              <w:t xml:space="preserve">Table 33: Offsets of the scale-down models (scale-down minus manufacturing scale) and the qualification of each model for each output, Protein A, planned runs only.</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Output</w:t>
                  </w:r>
                </w:p>
              </w:tc>
              <w:tc>
                <w:tcPr>
                  <w:gridSpan w:val="2"/>
                </w:tcPr>
                <w:p>
                  <w:pPr>
                    <w:pStyle w:val="Compact"/>
                    <w:jc w:val="center"/>
                  </w:pPr>
                  <w:r>
                    <w:t xml:space="preserve">Runs</w:t>
                  </w:r>
                </w:p>
              </w:tc>
              <w:tc>
                <w:tcPr>
                  <w:gridSpan w:val="2"/>
                </w:tcPr>
                <w:p>
                  <w:pPr>
                    <w:pStyle w:val="Compact"/>
                    <w:jc w:val="center"/>
                  </w:pPr>
                  <w:r>
                    <w:t xml:space="preserve">Mean</w:t>
                  </w:r>
                </w:p>
              </w:tc>
              <w:tc>
                <w:tcPr>
                  <w:gridSpan w:val="2"/>
                </w:tcPr>
                <w:p>
                  <w:pPr>
                    <w:pStyle w:val="Compact"/>
                    <w:jc w:val="center"/>
                  </w:pPr>
                  <w:r>
                    <w:t xml:space="preserve">Offset</w:t>
                  </w:r>
                </w:p>
              </w:tc>
              <w:tc>
                <w:tcPr>
                  <w:vMerge w:val="restart"/>
                </w:tcPr>
                <w:p>
                  <w:pPr>
                    <w:pStyle w:val="Compact"/>
                    <w:jc w:val="center"/>
                  </w:pPr>
                  <w:r>
                    <w:t xml:space="preserve">Met over NOR</w:t>
                  </w:r>
                  <w:r>
                    <w:br/>
                  </w:r>
                  <w:r>
                    <w:t xml:space="preserve">(low/est./high)</w:t>
                  </w:r>
                </w:p>
              </w:tc>
              <w:tc>
                <w:tcPr>
                  <w:vMerge w:val="restart"/>
                </w:tcPr>
                <w:p>
                  <w:pPr>
                    <w:pStyle w:val="Compact"/>
                    <w:jc w:val="center"/>
                  </w:pPr>
                  <w:r>
                    <w:t xml:space="preserve">Qualified</w:t>
                  </w:r>
                </w:p>
              </w:tc>
            </w:tr>
            <w:tr>
              <w:trPr>
                <w:tblHeader w:val="on"/>
              </w:trPr>
              <w:tc>
                <w:tcPr>
                  <w:gridSpan w:val="1"/>
                  <w:vMerge w:val="continue"/>
                </w:tcPr>
                <w:p>
                  <w:pP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Estimate</w:t>
                  </w:r>
                </w:p>
              </w:tc>
              <w:tc>
                <w:tcPr/>
                <w:p>
                  <w:pPr>
                    <w:pStyle w:val="Compact"/>
                    <w:jc w:val="center"/>
                  </w:pPr>
                  <w:r>
                    <w:t xml:space="preserve">90 % CI</w:t>
                  </w:r>
                </w:p>
              </w:tc>
              <w:tc>
                <w:tcPr>
                  <w:gridSpan w:val="1"/>
                  <w:vMerge w:val="continue"/>
                </w:tcPr>
                <w:p>
                  <w:pPr/>
                </w:p>
              </w:tc>
              <w:tc>
                <w:tcPr>
                  <w:gridSpan w:val="1"/>
                  <w:vMerge w:val="continue"/>
                </w:tcPr>
                <w:p>
                  <w:pPr/>
                </w:p>
              </w:tc>
            </w:tr>
            <w:tr>
              <w:tc>
                <w:tcPr/>
                <w:p>
                  <w:pPr>
                    <w:pStyle w:val="Compact"/>
                    <w:jc w:val="center"/>
                  </w:pPr>
                  <w:r>
                    <w:t xml:space="preserve">Host cell protein (ng/mg)</w:t>
                  </w:r>
                </w:p>
              </w:tc>
              <w:tc>
                <w:tcPr>
                  <w:vMerge w:val="restart"/>
                </w:tcPr>
                <w:p>
                  <w:pPr>
                    <w:pStyle w:val="Compact"/>
                    <w:jc w:val="center"/>
                  </w:pPr>
                  <w:r>
                    <w:t xml:space="preserve">3</w:t>
                  </w:r>
                </w:p>
              </w:tc>
              <w:tc>
                <w:tcPr>
                  <w:vMerge w:val="restart"/>
                </w:tcPr>
                <w:p>
                  <w:pPr>
                    <w:pStyle w:val="Compact"/>
                    <w:jc w:val="center"/>
                  </w:pPr>
                  <w:r>
                    <w:t xml:space="preserve">5</w:t>
                  </w:r>
                </w:p>
              </w:tc>
              <w:tc>
                <w:tcPr/>
                <w:p>
                  <w:pPr>
                    <w:pStyle w:val="Compact"/>
                    <w:jc w:val="center"/>
                  </w:pPr>
                  <w:r>
                    <w:t xml:space="preserve">7,400</w:t>
                  </w:r>
                  <w:r>
                    <w:rPr>
                      <w:vertAlign w:val="superscript"/>
                    </w:rPr>
                    <w:t xml:space="preserve">a)</w:t>
                  </w:r>
                </w:p>
              </w:tc>
              <w:tc>
                <w:tcPr/>
                <w:p>
                  <w:pPr>
                    <w:pStyle w:val="Compact"/>
                    <w:jc w:val="center"/>
                  </w:pPr>
                  <w:r>
                    <w:t xml:space="preserve">7,911</w:t>
                  </w:r>
                  <w:r>
                    <w:rPr>
                      <w:vertAlign w:val="superscript"/>
                    </w:rPr>
                    <w:t xml:space="preserve">a)</w:t>
                  </w:r>
                </w:p>
              </w:tc>
              <w:tc>
                <w:tcPr/>
                <w:p>
                  <w:pPr>
                    <w:pStyle w:val="Compact"/>
                    <w:jc w:val="center"/>
                  </w:pPr>
                  <w:r>
                    <w:t xml:space="preserve">×0.935</w:t>
                  </w:r>
                  <w:r>
                    <w:rPr>
                      <w:vertAlign w:val="superscript"/>
                    </w:rPr>
                    <w:t xml:space="preserve">a)</w:t>
                  </w:r>
                </w:p>
              </w:tc>
              <w:tc>
                <w:tcPr/>
                <w:p>
                  <w:pPr>
                    <w:pStyle w:val="Compact"/>
                    <w:jc w:val="center"/>
                  </w:pPr>
                  <w:r>
                    <w:t xml:space="preserve">×0.795 to ×1.100</w:t>
                  </w:r>
                </w:p>
              </w:tc>
              <w:tc>
                <w:tcPr/>
                <w:p>
                  <w:pPr>
                    <w:pStyle w:val="Compact"/>
                    <w:jc w:val="center"/>
                  </w:pPr>
                  <w:r>
                    <w:t xml:space="preserve">No / Yes / Yes</w:t>
                  </w:r>
                </w:p>
              </w:tc>
              <w:tc>
                <w:tcPr/>
                <w:p>
                  <w:pPr>
                    <w:pStyle w:val="Compact"/>
                    <w:jc w:val="center"/>
                  </w:pPr>
                  <w:r>
                    <w:t xml:space="preserve">No</w:t>
                  </w:r>
                </w:p>
              </w:tc>
            </w:tr>
            <w:tr>
              <w:tc>
                <w:tcPr/>
                <w:p>
                  <w:pPr>
                    <w:pStyle w:val="Compact"/>
                    <w:jc w:val="center"/>
                  </w:pPr>
                  <w:r>
                    <w:t xml:space="preserve">Leached Protein A (ppm)</w:t>
                  </w:r>
                </w:p>
              </w:tc>
              <w:tc>
                <w:tcPr>
                  <w:gridSpan w:val="1"/>
                  <w:vMerge w:val="continue"/>
                </w:tcPr>
                <w:p>
                  <w:pPr/>
                </w:p>
              </w:tc>
              <w:tc>
                <w:tcPr>
                  <w:gridSpan w:val="1"/>
                  <w:vMerge w:val="continue"/>
                </w:tcPr>
                <w:p>
                  <w:pPr/>
                </w:p>
              </w:tc>
              <w:tc>
                <w:tcPr/>
                <w:p>
                  <w:pPr>
                    <w:pStyle w:val="Compact"/>
                    <w:jc w:val="center"/>
                  </w:pPr>
                  <w:r>
                    <w:t xml:space="preserve">2.10</w:t>
                  </w:r>
                </w:p>
              </w:tc>
              <w:tc>
                <w:tcPr/>
                <w:p>
                  <w:pPr>
                    <w:pStyle w:val="Compact"/>
                    <w:jc w:val="center"/>
                  </w:pPr>
                  <w:r>
                    <w:t xml:space="preserve">3.70</w:t>
                  </w:r>
                </w:p>
              </w:tc>
              <w:tc>
                <w:tcPr/>
                <w:p>
                  <w:pPr>
                    <w:pStyle w:val="Compact"/>
                    <w:jc w:val="center"/>
                  </w:pPr>
                  <w:r>
                    <w:t xml:space="preserve">−1.60</w:t>
                  </w:r>
                </w:p>
              </w:tc>
              <w:tc>
                <w:tcPr/>
                <w:p>
                  <w:pPr>
                    <w:pStyle w:val="Compact"/>
                    <w:jc w:val="center"/>
                  </w:pPr>
                  <w:r>
                    <w:t xml:space="preserve">−2.76 to −0.43</w:t>
                  </w:r>
                </w:p>
              </w:tc>
              <w:tc>
                <w:tcPr/>
                <w:p>
                  <w:pPr>
                    <w:pStyle w:val="Compact"/>
                    <w:jc w:val="center"/>
                  </w:pPr>
                  <w:r>
                    <w:t xml:space="preserve">Yes / Yes / Yes</w:t>
                  </w:r>
                </w:p>
              </w:tc>
              <w:tc>
                <w:tcPr/>
                <w:p>
                  <w:pPr>
                    <w:pStyle w:val="Compact"/>
                    <w:jc w:val="center"/>
                  </w:pPr>
                  <w:r>
                    <w:t xml:space="preserve">Yes</w:t>
                  </w:r>
                </w:p>
              </w:tc>
            </w:tr>
            <w:tr>
              <w:tc>
                <w:tcPr/>
                <w:p>
                  <w:pPr>
                    <w:pStyle w:val="Compact"/>
                    <w:jc w:val="center"/>
                  </w:pPr>
                  <w:r>
                    <w:t xml:space="preserve">Step yield (%)</w:t>
                  </w:r>
                </w:p>
              </w:tc>
              <w:tc>
                <w:tcPr>
                  <w:gridSpan w:val="1"/>
                  <w:vMerge w:val="continue"/>
                </w:tcPr>
                <w:p>
                  <w:pPr/>
                </w:p>
              </w:tc>
              <w:tc>
                <w:tcPr>
                  <w:gridSpan w:val="1"/>
                  <w:vMerge w:val="continue"/>
                </w:tcPr>
                <w:p>
                  <w:pPr/>
                </w:p>
              </w:tc>
              <w:tc>
                <w:tcPr/>
                <w:p>
                  <w:pPr>
                    <w:pStyle w:val="Compact"/>
                    <w:jc w:val="center"/>
                  </w:pPr>
                  <w:r>
                    <w:t xml:space="preserve">93.6</w:t>
                  </w:r>
                </w:p>
              </w:tc>
              <w:tc>
                <w:tcPr/>
                <w:p>
                  <w:pPr>
                    <w:pStyle w:val="Compact"/>
                    <w:jc w:val="center"/>
                  </w:pPr>
                  <w:r>
                    <w:t xml:space="preserve">94.4</w:t>
                  </w:r>
                </w:p>
              </w:tc>
              <w:tc>
                <w:tcPr/>
                <w:p>
                  <w:pPr>
                    <w:pStyle w:val="Compact"/>
                    <w:jc w:val="center"/>
                  </w:pPr>
                  <w:r>
                    <w:t xml:space="preserve">−0.8</w:t>
                  </w:r>
                </w:p>
              </w:tc>
              <w:tc>
                <w:tcPr/>
                <w:p>
                  <w:pPr>
                    <w:pStyle w:val="Compact"/>
                    <w:jc w:val="center"/>
                  </w:pPr>
                  <w:r>
                    <w:t xml:space="preserve">−4.5 to 2.9</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p>
                  <w:pPr>
                    <w:pStyle w:val="Compact"/>
                    <w:jc w:val="center"/>
                  </w:pPr>
                  <w:r>
                    <w:t xml:space="preserve">Column efficiency (plates/m)</w:t>
                  </w:r>
                </w:p>
              </w:tc>
              <w:tc>
                <w:tcPr>
                  <w:gridSpan w:val="1"/>
                  <w:vMerge w:val="continue"/>
                </w:tcPr>
                <w:p>
                  <w:pPr/>
                </w:p>
              </w:tc>
              <w:tc>
                <w:tcPr>
                  <w:gridSpan w:val="1"/>
                  <w:vMerge w:val="continue"/>
                </w:tcPr>
                <w:p>
                  <w:pPr/>
                </w:p>
              </w:tc>
              <w:tc>
                <w:tcPr/>
                <w:p>
                  <w:pPr>
                    <w:pStyle w:val="Compact"/>
                    <w:jc w:val="center"/>
                  </w:pPr>
                  <w:r>
                    <w:t xml:space="preserve">2,460</w:t>
                  </w:r>
                </w:p>
              </w:tc>
              <w:tc>
                <w:tcPr/>
                <w:p>
                  <w:pPr>
                    <w:pStyle w:val="Compact"/>
                    <w:jc w:val="center"/>
                  </w:pPr>
                  <w:r>
                    <w:t xml:space="preserve">2,649</w:t>
                  </w:r>
                </w:p>
              </w:tc>
              <w:tc>
                <w:tcPr/>
                <w:p>
                  <w:pPr>
                    <w:pStyle w:val="Compact"/>
                    <w:jc w:val="center"/>
                  </w:pPr>
                  <w:r>
                    <w:t xml:space="preserve">−188</w:t>
                  </w:r>
                </w:p>
              </w:tc>
              <w:tc>
                <w:tcPr/>
                <w:p>
                  <w:pPr>
                    <w:pStyle w:val="Compact"/>
                    <w:jc w:val="center"/>
                  </w:pPr>
                  <w:r>
                    <w:t xml:space="preserve">−390 to 13</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p>
                  <w:pPr>
                    <w:pStyle w:val="Compact"/>
                    <w:jc w:val="center"/>
                  </w:pPr>
                  <w:r>
                    <w:t xml:space="preserve">Peak asymmetry</w:t>
                  </w:r>
                </w:p>
              </w:tc>
              <w:tc>
                <w:tcPr>
                  <w:gridSpan w:val="1"/>
                  <w:vMerge w:val="continue"/>
                </w:tcPr>
                <w:p>
                  <w:pPr/>
                </w:p>
              </w:tc>
              <w:tc>
                <w:tcPr>
                  <w:gridSpan w:val="1"/>
                  <w:vMerge w:val="continue"/>
                </w:tcPr>
                <w:p>
                  <w:pPr/>
                </w:p>
              </w:tc>
              <w:tc>
                <w:tcPr/>
                <w:p>
                  <w:pPr>
                    <w:pStyle w:val="Compact"/>
                    <w:jc w:val="center"/>
                  </w:pPr>
                  <w:r>
                    <w:t xml:space="preserve">1.22</w:t>
                  </w:r>
                </w:p>
              </w:tc>
              <w:tc>
                <w:tcPr/>
                <w:p>
                  <w:pPr>
                    <w:pStyle w:val="Compact"/>
                    <w:jc w:val="center"/>
                  </w:pPr>
                  <w:r>
                    <w:t xml:space="preserve">1.22</w:t>
                  </w:r>
                </w:p>
              </w:tc>
              <w:tc>
                <w:tcPr/>
                <w:p>
                  <w:pPr>
                    <w:pStyle w:val="Compact"/>
                    <w:jc w:val="center"/>
                  </w:pPr>
                  <w:r>
                    <w:t xml:space="preserve">0.00</w:t>
                  </w:r>
                </w:p>
              </w:tc>
              <w:tc>
                <w:tcPr/>
                <w:p>
                  <w:pPr>
                    <w:pStyle w:val="Compact"/>
                    <w:jc w:val="center"/>
                  </w:pPr>
                  <w:r>
                    <w:t xml:space="preserve">−0.11 to 0.11</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gridSpan w:val="9"/>
                </w:tcPr>
                <w:p>
                  <w:pPr>
                    <w:pStyle w:val="Compact"/>
                    <w:jc w:val="center"/>
                  </w:pPr>
                  <w:r>
                    <w:rPr>
                      <w:vertAlign w:val="superscript"/>
                    </w:rPr>
                    <w:t xml:space="preserve">a)</w:t>
                  </w:r>
                  <w:r>
                    <w:t xml:space="preserve"> </w:t>
                  </w:r>
                  <w:r>
                    <w:t xml:space="preserve">Modelled on the log scale: geometric means, and the offset as the ratio of the scale-down to the manufacturing geometric mean. The manufacturing-scale value is the scale-down value divided by the ratio.</w:t>
                  </w:r>
                </w:p>
              </w:tc>
            </w:tr>
            <w:tr>
              <w:tc>
                <w:tcPr>
                  <w:gridSpan w:val="9"/>
                </w:tcPr>
                <w:p>
                  <w:pPr>
                    <w:pStyle w:val="Compact"/>
                    <w:jc w:val="center"/>
                  </w:pPr>
                  <w:r>
                    <w:rPr>
                      <w:vertAlign w:val="superscript"/>
                    </w:rPr>
                    <w:t xml:space="preserve">b)</w:t>
                  </w:r>
                  <w:r>
                    <w:t xml:space="preserve"> </w:t>
                  </w:r>
                  <w:r>
                    <w:t xml:space="preserve">The output has no acceptance criterion at this step, so no conclusion depends on its offset and qualification does not apply. The offset is recorded.</w:t>
                  </w:r>
                </w:p>
              </w:tc>
            </w:tr>
            <w:tr>
              <w:tc>
                <w:tcPr>
                  <w:gridSpan w:val="9"/>
                </w:tcPr>
                <w:p>
                  <w:pPr>
                    <w:pStyle w:val="Compact"/>
                    <w:jc w:val="center"/>
                  </w:pPr>
                  <w:r>
                    <w:t xml:space="preserve">SDM, scale-down model. Mfg, manufacturing scale. Offset, scale-down mean minus manufacturing mean. Met over NOR: the criterion is met at every combination of NOR low, set-point and NOR high (the NOR in force), with the offset at the low end of its interval, at its estimate (est.) and at the high end.</w:t>
                  </w:r>
                </w:p>
              </w:tc>
            </w:tr>
          </w:tbl>
          <w:bookmarkEnd w:id="128"/>
          <w:p/>
        </w:tc>
      </w:tr>
    </w:tbl>
    <w:p>
      <w:pPr>
        <w:pStyle w:val="BodyText"/>
      </w:pPr>
      <w:r>
        <w:t xml:space="preserve">The decision to make the runs was taken during the re-analysis, after the result on the planned runs was known. The qualification for pool host cell protein therefore rests on runs added after a result was seen. Runs added until a test passes raise the chance that it passes, and this is a limitation of that qualification. The rule of qualification and the criterion were not changed because of the further runs. Only the number of runs grew. The centre points of the designs are also set-point runs of the scale-down model. They were not added to the offset, because PCP-005 §5.1 defines the qualification on the runs of the qualification study.</w:t>
      </w:r>
    </w:p>
    <w:bookmarkEnd w:id="129"/>
    <w:bookmarkStart w:id="131" w:name="sec-pd05"/>
    <w:p>
      <w:pPr>
        <w:pStyle w:val="Heading3"/>
      </w:pPr>
      <w:r>
        <w:t xml:space="preserve">13.6.2 PD-005-05. Hold study of the Protein A eluate</w:t>
      </w:r>
    </w:p>
    <w:p>
      <w:pPr>
        <w:pStyle w:val="FirstParagraph"/>
      </w:pPr>
      <w:r>
        <w:t xml:space="preserve">PCP-005 planned no hold study, and Version 1.0 reported no hold result. During the Version 2.0 re-analysis, after INV-001 closed, the eluate was held in study S-PA-HLD (2026-09-19 to 2026-09-28), because Version 2.0 judges a held intermediate against its intermediate acceptance criteria. The plan set no hold criterion, because it foresaw no hold study, so the rule that judges the held eluate against the criteria of the low-pH inactivation load is part of this discrepancy. The study and the rule are described in</w:t>
      </w:r>
      <w:r>
        <w:t xml:space="preserve"> </w:t>
      </w:r>
      <w:hyperlink w:anchor="sec-holddesign">
        <w:r>
          <w:rPr>
            <w:rStyle w:val="Hyperlink"/>
          </w:rPr>
          <w:t xml:space="preserve">Section 4.5</w:t>
        </w:r>
      </w:hyperlink>
      <w:r>
        <w:t xml:space="preserve"> </w:t>
      </w:r>
      <w:r>
        <w:t xml:space="preserve">and the results in</w:t>
      </w:r>
      <w:r>
        <w:t xml:space="preserve"> </w:t>
      </w:r>
      <w:hyperlink w:anchor="sec-hold">
        <w:r>
          <w:rPr>
            <w:rStyle w:val="Hyperlink"/>
          </w:rPr>
          <w:t xml:space="preserve">Section 5.7</w:t>
        </w:r>
      </w:hyperlink>
      <w:r>
        <w:t xml:space="preserve">. They support a hold of 7 days at 2-8 °C or 21 °C for an eluate made at set-point.</w:t>
      </w:r>
    </w:p>
    <w:tbl>
      <w:tblPr>
        <w:tblStyle w:val="Table"/>
        <w:tblW w:type="pct" w:w="5000"/>
        <w:tblLayout w:type="fixed"/>
        <w:tblLook w:firstRow="0" w:lastRow="0" w:firstColumn="0" w:lastColumn="0" w:noHBand="0" w:noVBand="0" w:val="0000"/>
      </w:tblPr>
      <w:tblGrid>
        <w:gridCol w:w="7920"/>
      </w:tblGrid>
      <w:tr>
        <w:tc>
          <w:tcPr/>
          <w:bookmarkStart w:id="130" w:name="tbl-pd"/>
          <w:p>
            <w:pPr>
              <w:jc w:val="center"/>
            </w:pPr>
            <w:pPr>
              <w:jc w:val="start"/>
              <w:spacing w:before="200"/>
              <w:pStyle w:val="ImageCaption"/>
            </w:pPr>
            <w:r>
              <w:t xml:space="preserve">Table 34: Discrepancies of this report from its plan PCP-005.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Discrepancy</w:t>
                  </w:r>
                </w:p>
              </w:tc>
              <w:tc>
                <w:tcPr/>
                <w:p>
                  <w:pPr>
                    <w:pStyle w:val="Compact"/>
                    <w:jc w:val="center"/>
                  </w:pPr>
                  <w:r>
                    <w:t xml:space="preserve">Subject</w:t>
                  </w:r>
                </w:p>
              </w:tc>
              <w:tc>
                <w:tcPr/>
                <w:p>
                  <w:pPr>
                    <w:pStyle w:val="Compact"/>
                    <w:jc w:val="center"/>
                  </w:pPr>
                  <w:r>
                    <w:t xml:space="preserve">Planned</w:t>
                  </w:r>
                </w:p>
              </w:tc>
              <w:tc>
                <w:tcPr/>
                <w:p>
                  <w:pPr>
                    <w:pStyle w:val="Compact"/>
                    <w:jc w:val="center"/>
                  </w:pPr>
                  <w:r>
                    <w:t xml:space="preserve">Done</w:t>
                  </w:r>
                </w:p>
              </w:tc>
              <w:tc>
                <w:tcPr/>
                <w:p>
                  <w:pPr>
                    <w:pStyle w:val="Compact"/>
                    <w:jc w:val="center"/>
                  </w:pPr>
                  <w:r>
                    <w:t xml:space="preserve">Reason</w:t>
                  </w:r>
                </w:p>
              </w:tc>
            </w:tr>
            <w:tr>
              <w:tc>
                <w:tcPr/>
                <w:p>
                  <w:pPr>
                    <w:pStyle w:val="Compact"/>
                    <w:jc w:val="center"/>
                  </w:pPr>
                  <w:r>
                    <w:t xml:space="preserve">PD-005-01</w:t>
                  </w:r>
                </w:p>
              </w:tc>
              <w:tc>
                <w:tcPr/>
                <w:p>
                  <w:pPr>
                    <w:pStyle w:val="Compact"/>
                    <w:jc w:val="center"/>
                  </w:pPr>
                  <w:r>
                    <w:t xml:space="preserve">Supplementary set-point runs in the scale-down model qualification</w:t>
                  </w:r>
                </w:p>
              </w:tc>
              <w:tc>
                <w:tcPr/>
                <w:p>
                  <w:pPr>
                    <w:pStyle w:val="Compact"/>
                    <w:jc w:val="center"/>
                  </w:pPr>
                  <w:r>
                    <w:t xml:space="preserve">PCP-005: set-point runs of the scale-down model in study S-PA-SDM</w:t>
                  </w:r>
                </w:p>
              </w:tc>
              <w:tc>
                <w:tcPr/>
                <w:p>
                  <w:pPr>
                    <w:pStyle w:val="Compact"/>
                    <w:jc w:val="center"/>
                  </w:pPr>
                  <w:r>
                    <w:t xml:space="preserve">further set-point runs in study S-PA-SDM2, made during the Version 2.0 re-analysis</w:t>
                  </w:r>
                </w:p>
              </w:tc>
              <w:tc>
                <w:tcPr/>
                <w:p>
                  <w:pPr>
                    <w:pStyle w:val="Compact"/>
                    <w:jc w:val="center"/>
                  </w:pPr>
                  <w:r>
                    <w:t xml:space="preserve">to narrow the confidence interval of the offset for pool host cell protein, the output that sets the ranges of the step</w:t>
                  </w:r>
                </w:p>
              </w:tc>
            </w:tr>
            <w:tr>
              <w:tc>
                <w:tcPr/>
                <w:p>
                  <w:pPr>
                    <w:pStyle w:val="Compact"/>
                    <w:jc w:val="center"/>
                  </w:pPr>
                  <w:r>
                    <w:t xml:space="preserve">PD-005-02</w:t>
                  </w:r>
                </w:p>
              </w:tc>
              <w:tc>
                <w:tcPr/>
                <w:p>
                  <w:pPr>
                    <w:pStyle w:val="Compact"/>
                    <w:jc w:val="center"/>
                  </w:pPr>
                  <w:r>
                    <w:t xml:space="preserve">Conclusions resting on models that do not meet the criterion on residuals and influential runs</w:t>
                  </w:r>
                </w:p>
              </w:tc>
              <w:tc>
                <w:tcPr/>
                <w:p>
                  <w:pPr>
                    <w:pStyle w:val="Compact"/>
                    <w:jc w:val="center"/>
                  </w:pPr>
                  <w:r>
                    <w:t xml:space="preserve">PCP-005: response-surface models meeting every model-adequacy criterion of the plan (criterion 5), used for the ranges and the design space, and each run with a Cook's distance above 4/n examined by deleting it and repeating the judgement</w:t>
                  </w:r>
                </w:p>
              </w:tc>
              <w:tc>
                <w:tcPr/>
                <w:p>
                  <w:pPr>
                    <w:pStyle w:val="Compact"/>
                    <w:jc w:val="center"/>
                  </w:pPr>
                  <w:r>
                    <w:t xml:space="preserve">the models of the outputs that do not meet the criterion on residual patterns and influential runs (a residual trend at the level of the residual tests, or a run with a Cook's distance above the median of F(p, n - p)) used for the ranges and the design space, with the size of each trend stated against the criterion of its output and each run above the limit deleted in turn, the model selection repeated and the output judged over the NOR again</w:t>
                  </w:r>
                </w:p>
              </w:tc>
              <w:tc>
                <w:tcPr/>
                <w:p>
                  <w:pPr>
                    <w:pStyle w:val="Compact"/>
                    <w:jc w:val="center"/>
                  </w:pPr>
                  <w:r>
                    <w:t xml:space="preserve">selected models of this step do not meet the criterion of PCMP-001 §7.2 on residual patterns and influential runs (doe_report.residual_influence); whether a conclusion depends on the trend or on the run is shown by the size of the trend and by the deletion</w:t>
                  </w:r>
                </w:p>
              </w:tc>
            </w:tr>
            <w:tr>
              <w:tc>
                <w:tcPr/>
                <w:p>
                  <w:pPr>
                    <w:pStyle w:val="Compact"/>
                    <w:jc w:val="center"/>
                  </w:pPr>
                  <w:r>
                    <w:t xml:space="preserve">PD-005-03</w:t>
                  </w:r>
                </w:p>
              </w:tc>
              <w:tc>
                <w:tcPr/>
                <w:p>
                  <w:pPr>
                    <w:pStyle w:val="Compact"/>
                    <w:jc w:val="center"/>
                  </w:pPr>
                  <w:r>
                    <w:t xml:space="preserve">Response-surface run 23 analysed at its recorded elution buffer pH</w:t>
                  </w:r>
                </w:p>
              </w:tc>
              <w:tc>
                <w:tcPr/>
                <w:p>
                  <w:pPr>
                    <w:pStyle w:val="Compact"/>
                    <w:jc w:val="center"/>
                  </w:pPr>
                  <w:r>
                    <w:t xml:space="preserve">PCP-005: every run analysed at its design setting</w:t>
                  </w:r>
                </w:p>
              </w:tc>
              <w:tc>
                <w:tcPr/>
                <w:p>
                  <w:pPr>
                    <w:pStyle w:val="Compact"/>
                    <w:jc w:val="center"/>
                  </w:pPr>
                  <w:r>
                    <w:t xml:space="preserve">run 23 analysed at the elution buffer pH recorded under DEV-005-01, the setting the run was made at</w:t>
                  </w:r>
                </w:p>
              </w:tc>
              <w:tc>
                <w:tcPr/>
                <w:p>
                  <w:pPr>
                    <w:pStyle w:val="Compact"/>
                    <w:jc w:val="center"/>
                  </w:pPr>
                  <w:r>
                    <w:t xml:space="preserve">the deviation record shows the buffer below its target pH; analysing the run at the recorded setting is the conservative reading</w:t>
                  </w:r>
                </w:p>
              </w:tc>
            </w:tr>
            <w:tr>
              <w:tc>
                <w:tcPr/>
                <w:p>
                  <w:pPr>
                    <w:pStyle w:val="Compact"/>
                    <w:jc w:val="center"/>
                  </w:pPr>
                  <w:r>
                    <w:t xml:space="preserve">PD-005-04</w:t>
                  </w:r>
                </w:p>
              </w:tc>
              <w:tc>
                <w:tcPr/>
                <w:p>
                  <w:pPr>
                    <w:pStyle w:val="Compact"/>
                    <w:jc w:val="center"/>
                  </w:pPr>
                  <w:r>
                    <w:t xml:space="preserve">Model selection for the response-surface outputs</w:t>
                  </w:r>
                </w:p>
              </w:tc>
              <w:tc>
                <w:tcPr/>
                <w:p>
                  <w:pPr>
                    <w:pStyle w:val="Compact"/>
                    <w:jc w:val="center"/>
                  </w:pPr>
                  <w:r>
                    <w:t xml:space="preserve">PCP-005: the full quadratic model of each output (PCMP-001 §6 and §7.2)</w:t>
                  </w:r>
                </w:p>
              </w:tc>
              <w:tc>
                <w:tcPr/>
                <w:p>
                  <w:pPr>
                    <w:pStyle w:val="Compact"/>
                    <w:jc w:val="center"/>
                  </w:pPr>
                  <w:r>
                    <w:t xml:space="preserve">for each output the scale chosen by the Box-Cox profile (the log scale where its 95 % interval contains 0 and excludes 1), the model with the lowest AICc among all hierarchical submodels of the full quadratic, a block term kept, and that model judged against PCMP-001 §7.2; a scale-down offset taken on the scale of the model</w:t>
                  </w:r>
                </w:p>
              </w:tc>
              <w:tc>
                <w:tcPr/>
                <w:p>
                  <w:pPr>
                    <w:pStyle w:val="Compact"/>
                    <w:jc w:val="center"/>
                  </w:pPr>
                  <w:r>
                    <w:t xml:space="preserve">the full quadratic carries terms the data do not support; selecting the model is standard practice, and INV-002 corrective action CA3 applies it to every report</w:t>
                  </w:r>
                </w:p>
              </w:tc>
            </w:tr>
            <w:tr>
              <w:tc>
                <w:tcPr/>
                <w:p>
                  <w:pPr>
                    <w:pStyle w:val="Compact"/>
                    <w:jc w:val="center"/>
                  </w:pPr>
                  <w:r>
                    <w:t xml:space="preserve">PD-005-05</w:t>
                  </w:r>
                </w:p>
              </w:tc>
              <w:tc>
                <w:tcPr/>
                <w:p>
                  <w:pPr>
                    <w:pStyle w:val="Compact"/>
                    <w:jc w:val="center"/>
                  </w:pPr>
                  <w:r>
                    <w:t xml:space="preserve">Hold study of the Protein A eluate, made during the Version 2.0 re-analysis</w:t>
                  </w:r>
                </w:p>
              </w:tc>
              <w:tc>
                <w:tcPr/>
                <w:p>
                  <w:pPr>
                    <w:pStyle w:val="Compact"/>
                    <w:jc w:val="center"/>
                  </w:pPr>
                  <w:r>
                    <w:t xml:space="preserve">PCP-005: no hold study; Version 1.0 of the plan did not foresee one</w:t>
                  </w:r>
                </w:p>
              </w:tc>
              <w:tc>
                <w:tcPr/>
                <w:p>
                  <w:pPr>
                    <w:pStyle w:val="Compact"/>
                    <w:jc w:val="center"/>
                  </w:pPr>
                  <w:r>
                    <w:t xml:space="preserve">the Protein A eluate held at two temperatures for seven days, aggregate by SEC, acidic variants by icIEF and fragments by nrCE-SDS at every time point (study S-PA-HLD)</w:t>
                  </w:r>
                </w:p>
              </w:tc>
              <w:tc>
                <w:tcPr/>
                <w:p>
                  <w:pPr>
                    <w:pStyle w:val="Compact"/>
                    <w:jc w:val="center"/>
                  </w:pPr>
                  <w:r>
                    <w:t xml:space="preserve">Version 2.0 judges a held intermediate against its intermediate acceptance criteria, and Version 1.0 had no hold result to judge</w:t>
                  </w:r>
                </w:p>
              </w:tc>
            </w:tr>
            <w:tr>
              <w:tc>
                <w:tcPr/>
                <w:p>
                  <w:pPr>
                    <w:pStyle w:val="Compact"/>
                    <w:jc w:val="center"/>
                  </w:pPr>
                  <w:r>
                    <w:t xml:space="preserve">PD-005-06</w:t>
                  </w:r>
                </w:p>
              </w:tc>
              <w:tc>
                <w:tcPr/>
                <w:p>
                  <w:pPr>
                    <w:pStyle w:val="Compact"/>
                    <w:jc w:val="center"/>
                  </w:pPr>
                  <w:r>
                    <w:t xml:space="preserve">Loaded antibody mass from the titre assay</w:t>
                  </w:r>
                </w:p>
              </w:tc>
              <w:tc>
                <w:tcPr/>
                <w:p>
                  <w:pPr>
                    <w:pStyle w:val="Compact"/>
                    <w:jc w:val="center"/>
                  </w:pPr>
                  <w:r>
                    <w:t xml:space="preserve">PCP-005: step yield from the antibody mass in the load and in the pool, both by absorbance at 280 nm</w:t>
                  </w:r>
                </w:p>
              </w:tc>
              <w:tc>
                <w:tcPr/>
                <w:p>
                  <w:pPr>
                    <w:pStyle w:val="Compact"/>
                    <w:jc w:val="center"/>
                  </w:pPr>
                  <w:r>
                    <w:t xml:space="preserve">the load mass from the product titre by Protein A affinity HPLC (SOP-3016), the pool mass by absorbance at 280 nm</w:t>
                  </w:r>
                </w:p>
              </w:tc>
              <w:tc>
                <w:tcPr/>
                <w:p>
                  <w:pPr>
                    <w:pStyle w:val="Compact"/>
                    <w:jc w:val="center"/>
                  </w:pPr>
                  <w:r>
                    <w:t xml:space="preserve">absorbance at 280 nm measures every protein in a clarified harvest, not the antibody alone; the titre assay measures the antibody</w:t>
                  </w:r>
                </w:p>
              </w:tc>
            </w:tr>
          </w:tbl>
          <w:bookmarkEnd w:id="130"/>
          <w:p/>
        </w:tc>
      </w:tr>
    </w:tbl>
    <w:bookmarkEnd w:id="131"/>
    <w:bookmarkEnd w:id="132"/>
    <w:bookmarkEnd w:id="133"/>
    <w:bookmarkStart w:id="144" w:name="appendices"/>
    <w:p>
      <w:pPr>
        <w:pStyle w:val="Heading1"/>
      </w:pPr>
      <w:r>
        <w:t xml:space="preserve">Appendices</w:t>
      </w:r>
    </w:p>
    <w:bookmarkStart w:id="136" w:name="X3eb0dc32945a2e53c94598b2756dbf9ce86c7a7"/>
    <w:p>
      <w:pPr>
        <w:pStyle w:val="Heading2"/>
      </w:pPr>
      <w:r>
        <w:t xml:space="preserve">Appendix A. Screening design matrix and responses</w:t>
      </w:r>
    </w:p>
    <w:p>
      <w:pPr>
        <w:pStyle w:val="FirstParagraph"/>
      </w:pPr>
      <w:hyperlink w:anchor="tbl-doe-protein-a-screening">
        <w:r>
          <w:rPr>
            <w:rStyle w:val="Hyperlink"/>
          </w:rPr>
          <w:t xml:space="preserve">Table 35</w:t>
        </w:r>
      </w:hyperlink>
      <w:r>
        <w:t xml:space="preserve"> </w:t>
      </w:r>
      <w:r>
        <w:t xml:space="preserve">gives the screening design (study S-PA-SCR) in natural units, with the results as measured in the scale-down model.</w:t>
      </w:r>
      <w:r>
        <w:t xml:space="preserve"> </w:t>
      </w:r>
      <w:hyperlink w:anchor="tbl-app-scr-info">
        <w:r>
          <w:rPr>
            <w:rStyle w:val="Hyperlink"/>
          </w:rPr>
          <w:t xml:space="preserve">Table 36</w:t>
        </w:r>
      </w:hyperlink>
      <w:r>
        <w:t xml:space="preserve"> </w:t>
      </w:r>
      <w:r>
        <w:t xml:space="preserve">gives the run order of execution and the results measured for information.</w:t>
      </w:r>
    </w:p>
    <w:tbl>
      <w:tblPr>
        <w:tblStyle w:val="Table"/>
        <w:tblW w:type="pct" w:w="5000"/>
        <w:tblLayout w:type="fixed"/>
        <w:tblLook w:firstRow="0" w:lastRow="0" w:firstColumn="0" w:lastColumn="0" w:noHBand="0" w:noVBand="0" w:val="0000"/>
      </w:tblPr>
      <w:tblGrid>
        <w:gridCol w:w="7920"/>
      </w:tblGrid>
      <w:tr>
        <w:tc>
          <w:tcPr/>
          <w:bookmarkStart w:id="134" w:name="tbl-doe-protein-a-screening"/>
          <w:p>
            <w:pPr>
              <w:jc w:val="center"/>
            </w:pPr>
            <w:pPr>
              <w:jc w:val="start"/>
              <w:spacing w:before="200"/>
              <w:pStyle w:val="ImageCaption"/>
            </w:pPr>
            <w:r>
              <w:t xml:space="preserve">Table 35: Protein A screening design, settings and results.</w:t>
            </w:r>
          </w:p>
          <w:tbl>
            <w:tblPr>
              <w:tblStyle w:val="Table"/>
              <w:tblW w:type="auto" w:w="0"/>
              <w:tblLook w:firstRow="1" w:lastRow="1" w:firstColumn="0" w:lastColumn="0" w:noHBand="0" w:noVBand="0" w:val="0020"/>
            </w:tblPr>
            <w:tblGrid>
              <w:gridCol w:w="792"/>
              <w:gridCol w:w="792"/>
              <w:gridCol w:w="792"/>
              <w:gridCol w:w="792"/>
              <w:gridCol w:w="792"/>
              <w:gridCol w:w="792"/>
              <w:gridCol w:w="792"/>
              <w:gridCol w:w="792"/>
              <w:gridCol w:w="792"/>
              <w:gridCol w:w="792"/>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4"/>
                </w:tcPr>
                <w:p>
                  <w:pPr>
                    <w:pStyle w:val="Compact"/>
                    <w:jc w:val="center"/>
                  </w:pPr>
                  <w:r>
                    <w:t xml:space="preserve">Factor settings</w:t>
                  </w:r>
                </w:p>
              </w:tc>
              <w:tc>
                <w:tcPr>
                  <w:gridSpan w:val="3"/>
                </w:tcPr>
                <w:p>
                  <w:pPr>
                    <w:pStyle w:val="Compact"/>
                    <w:jc w:val="center"/>
                  </w:pPr>
                  <w:r>
                    <w:t xml:space="preserve">Responses</w:t>
                  </w:r>
                </w:p>
              </w:tc>
              <w:tc>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HCP</w:t>
                  </w:r>
                </w:p>
              </w:tc>
              <w:tc>
                <w:tcPr/>
                <w:p>
                  <w:pPr>
                    <w:pStyle w:val="Compact"/>
                    <w:jc w:val="center"/>
                  </w:pPr>
                  <w:r>
                    <w:t xml:space="preserve">Yield</w:t>
                  </w:r>
                </w:p>
              </w:tc>
              <w:tc>
                <w:tcPr/>
                <w:p>
                  <w:pPr>
                    <w:pStyle w:val="Compact"/>
                    <w:jc w:val="center"/>
                  </w:pPr>
                  <w:r>
                    <w:t xml:space="preserve">LPA</w:t>
                  </w:r>
                </w:p>
              </w:tc>
              <w:tc>
                <w:tcPr/>
                <w:p>
                  <w:pPr>
                    <w:pStyle w:val="Compact"/>
                    <w:jc w:val="center"/>
                  </w:pPr>
                  <w:r>
                    <w:t xml:space="preserve">SEC</w:t>
                  </w:r>
                </w:p>
              </w:tc>
            </w:tr>
            <w:tr>
              <w:trPr>
                <w:tblHeader w:val="on"/>
              </w:trPr>
              <w:tc>
                <w:tcPr>
                  <w:gridSpan w:val="1"/>
                  <w:vMerge w:val="continue"/>
                </w:tcPr>
                <w:p>
                  <w:pPr/>
                </w:p>
              </w:tc>
              <w:tc>
                <w:tcPr>
                  <w:gridSpan w:val="1"/>
                  <w:vMerge w:val="continue"/>
                </w:tcPr>
                <w:p>
                  <w:pPr/>
                </w:p>
              </w:tc>
              <w:tc>
                <w:tcPr/>
                <w:p>
                  <w:pPr>
                    <w:pStyle w:val="Compact"/>
                    <w:jc w:val="center"/>
                  </w:pPr>
                  <w:r>
                    <w:t xml:space="preserve">g/L resin</w:t>
                  </w:r>
                </w:p>
              </w:tc>
              <w:tc>
                <w:tcPr/>
                <w:p>
                  <w:pPr>
                    <w:pStyle w:val="Compact"/>
                    <w:jc w:val="center"/>
                  </w:pPr>
                  <w:r>
                    <w:t xml:space="preserve">pH</w:t>
                  </w:r>
                </w:p>
              </w:tc>
              <w:tc>
                <w:tcPr/>
                <w:p>
                  <w:pPr>
                    <w:pStyle w:val="Compact"/>
                    <w:jc w:val="center"/>
                  </w:pPr>
                  <w:r>
                    <w:t xml:space="preserve">cm/hr</w:t>
                  </w:r>
                </w:p>
              </w:tc>
              <w:tc>
                <w:tcPr/>
                <w:p>
                  <w:pPr>
                    <w:pStyle w:val="Compact"/>
                    <w:jc w:val="center"/>
                  </w:pPr>
                  <w:r>
                    <w:t xml:space="preserve">CV</w:t>
                  </w:r>
                </w:p>
              </w:tc>
              <w:tc>
                <w:tcPr/>
                <w:p>
                  <w:pPr>
                    <w:pStyle w:val="Compact"/>
                    <w:jc w:val="center"/>
                  </w:pPr>
                  <w:r>
                    <w:t xml:space="preserve">ng/mg</w:t>
                  </w:r>
                </w:p>
              </w:tc>
              <w:tc>
                <w:tcPr/>
                <w:p>
                  <w:pPr>
                    <w:pStyle w:val="Compact"/>
                    <w:jc w:val="center"/>
                  </w:pPr>
                  <w:r>
                    <w:t xml:space="preserve">%</w:t>
                  </w:r>
                </w:p>
              </w:tc>
              <w:tc>
                <w:tcPr/>
                <w:p>
                  <w:pPr>
                    <w:pStyle w:val="Compact"/>
                    <w:jc w:val="center"/>
                  </w:pPr>
                  <w:r>
                    <w:t xml:space="preserve">ppm</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10</w:t>
                  </w:r>
                </w:p>
              </w:tc>
              <w:tc>
                <w:tcPr/>
                <w:p>
                  <w:pPr>
                    <w:pStyle w:val="Compact"/>
                    <w:jc w:val="center"/>
                  </w:pPr>
                  <w:r>
                    <w:t xml:space="preserve">3.2</w:t>
                  </w:r>
                </w:p>
              </w:tc>
              <w:tc>
                <w:tcPr/>
                <w:p>
                  <w:pPr>
                    <w:pStyle w:val="Compact"/>
                    <w:jc w:val="center"/>
                  </w:pPr>
                  <w:r>
                    <w:t xml:space="preserve">100</w:t>
                  </w:r>
                </w:p>
              </w:tc>
              <w:tc>
                <w:tcPr/>
                <w:p>
                  <w:pPr>
                    <w:pStyle w:val="Compact"/>
                    <w:jc w:val="center"/>
                  </w:pPr>
                  <w:r>
                    <w:t xml:space="preserve">2</w:t>
                  </w:r>
                </w:p>
              </w:tc>
              <w:tc>
                <w:tcPr/>
                <w:p>
                  <w:pPr>
                    <w:pStyle w:val="Compact"/>
                    <w:jc w:val="center"/>
                  </w:pPr>
                  <w:r>
                    <w:t xml:space="preserve">9,966</w:t>
                  </w:r>
                </w:p>
              </w:tc>
              <w:tc>
                <w:tcPr/>
                <w:p>
                  <w:pPr>
                    <w:pStyle w:val="Compact"/>
                    <w:jc w:val="center"/>
                  </w:pPr>
                  <w:r>
                    <w:t xml:space="preserve">91.8</w:t>
                  </w:r>
                </w:p>
              </w:tc>
              <w:tc>
                <w:tcPr/>
                <w:p>
                  <w:pPr>
                    <w:pStyle w:val="Compact"/>
                    <w:jc w:val="center"/>
                  </w:pPr>
                  <w:r>
                    <w:t xml:space="preserve">2.64</w:t>
                  </w:r>
                </w:p>
              </w:tc>
              <w:tc>
                <w:tcPr/>
                <w:p>
                  <w:pPr>
                    <w:pStyle w:val="Compact"/>
                    <w:jc w:val="center"/>
                  </w:pPr>
                  <w:r>
                    <w:t xml:space="preserve">1.41</w:t>
                  </w:r>
                </w:p>
              </w:tc>
            </w:tr>
            <w:tr>
              <w:tc>
                <w:tcPr/>
                <w:p>
                  <w:pPr>
                    <w:pStyle w:val="Compact"/>
                    <w:jc w:val="center"/>
                  </w:pPr>
                  <w:r>
                    <w:t xml:space="preserve">2</w:t>
                  </w:r>
                </w:p>
              </w:tc>
              <w:tc>
                <w:tcPr>
                  <w:gridSpan w:val="1"/>
                  <w:vMerge w:val="continue"/>
                </w:tcPr>
                <w:p>
                  <w:pPr/>
                </w:p>
              </w:tc>
              <w:tc>
                <w:tcPr/>
                <w:p>
                  <w:pPr>
                    <w:pStyle w:val="Compact"/>
                    <w:jc w:val="center"/>
                  </w:pPr>
                  <w:r>
                    <w:t xml:space="preserve">10</w:t>
                  </w:r>
                </w:p>
              </w:tc>
              <w:tc>
                <w:tcPr/>
                <w:p>
                  <w:pPr>
                    <w:pStyle w:val="Compact"/>
                    <w:jc w:val="center"/>
                  </w:pPr>
                  <w:r>
                    <w:t xml:space="preserve">3.2</w:t>
                  </w:r>
                </w:p>
              </w:tc>
              <w:tc>
                <w:tcPr/>
                <w:p>
                  <w:pPr>
                    <w:pStyle w:val="Compact"/>
                    <w:jc w:val="center"/>
                  </w:pPr>
                  <w:r>
                    <w:t xml:space="preserve">100</w:t>
                  </w:r>
                </w:p>
              </w:tc>
              <w:tc>
                <w:tcPr/>
                <w:p>
                  <w:pPr>
                    <w:pStyle w:val="Compact"/>
                    <w:jc w:val="center"/>
                  </w:pPr>
                  <w:r>
                    <w:t xml:space="preserve">3.2</w:t>
                  </w:r>
                </w:p>
              </w:tc>
              <w:tc>
                <w:tcPr/>
                <w:p>
                  <w:pPr>
                    <w:pStyle w:val="Compact"/>
                    <w:jc w:val="center"/>
                  </w:pPr>
                  <w:r>
                    <w:t xml:space="preserve">9,515</w:t>
                  </w:r>
                </w:p>
              </w:tc>
              <w:tc>
                <w:tcPr/>
                <w:p>
                  <w:pPr>
                    <w:pStyle w:val="Compact"/>
                    <w:jc w:val="center"/>
                  </w:pPr>
                  <w:r>
                    <w:t xml:space="preserve">99.0</w:t>
                  </w:r>
                </w:p>
              </w:tc>
              <w:tc>
                <w:tcPr/>
                <w:p>
                  <w:pPr>
                    <w:pStyle w:val="Compact"/>
                    <w:jc w:val="center"/>
                  </w:pPr>
                  <w:r>
                    <w:t xml:space="preserve">3.00</w:t>
                  </w:r>
                </w:p>
              </w:tc>
              <w:tc>
                <w:tcPr/>
                <w:p>
                  <w:pPr>
                    <w:pStyle w:val="Compact"/>
                    <w:jc w:val="center"/>
                  </w:pPr>
                  <w:r>
                    <w:t xml:space="preserve">1.46</w:t>
                  </w:r>
                </w:p>
              </w:tc>
            </w:tr>
            <w:tr>
              <w:tc>
                <w:tcPr/>
                <w:p>
                  <w:pPr>
                    <w:pStyle w:val="Compact"/>
                    <w:jc w:val="center"/>
                  </w:pPr>
                  <w:r>
                    <w:t xml:space="preserve">3</w:t>
                  </w:r>
                </w:p>
              </w:tc>
              <w:tc>
                <w:tcPr>
                  <w:gridSpan w:val="1"/>
                  <w:vMerge w:val="continue"/>
                </w:tcPr>
                <w:p>
                  <w:pPr/>
                </w:p>
              </w:tc>
              <w:tc>
                <w:tcPr/>
                <w:p>
                  <w:pPr>
                    <w:pStyle w:val="Compact"/>
                    <w:jc w:val="center"/>
                  </w:pPr>
                  <w:r>
                    <w:t xml:space="preserve">10</w:t>
                  </w:r>
                </w:p>
              </w:tc>
              <w:tc>
                <w:tcPr/>
                <w:p>
                  <w:pPr>
                    <w:pStyle w:val="Compact"/>
                    <w:jc w:val="center"/>
                  </w:pPr>
                  <w:r>
                    <w:t xml:space="preserve">3.2</w:t>
                  </w:r>
                </w:p>
              </w:tc>
              <w:tc>
                <w:tcPr/>
                <w:p>
                  <w:pPr>
                    <w:pStyle w:val="Compact"/>
                    <w:jc w:val="center"/>
                  </w:pPr>
                  <w:r>
                    <w:t xml:space="preserve">300</w:t>
                  </w:r>
                </w:p>
              </w:tc>
              <w:tc>
                <w:tcPr/>
                <w:p>
                  <w:pPr>
                    <w:pStyle w:val="Compact"/>
                    <w:jc w:val="center"/>
                  </w:pPr>
                  <w:r>
                    <w:t xml:space="preserve">2</w:t>
                  </w:r>
                </w:p>
              </w:tc>
              <w:tc>
                <w:tcPr/>
                <w:p>
                  <w:pPr>
                    <w:pStyle w:val="Compact"/>
                    <w:jc w:val="center"/>
                  </w:pPr>
                  <w:r>
                    <w:t xml:space="preserve">9,023</w:t>
                  </w:r>
                </w:p>
              </w:tc>
              <w:tc>
                <w:tcPr/>
                <w:p>
                  <w:pPr>
                    <w:pStyle w:val="Compact"/>
                    <w:jc w:val="center"/>
                  </w:pPr>
                  <w:r>
                    <w:t xml:space="preserve">92.8</w:t>
                  </w:r>
                </w:p>
              </w:tc>
              <w:tc>
                <w:tcPr/>
                <w:p>
                  <w:pPr>
                    <w:pStyle w:val="Compact"/>
                    <w:jc w:val="center"/>
                  </w:pPr>
                  <w:r>
                    <w:t xml:space="preserve">3.03</w:t>
                  </w:r>
                </w:p>
              </w:tc>
              <w:tc>
                <w:tcPr/>
                <w:p>
                  <w:pPr>
                    <w:pStyle w:val="Compact"/>
                    <w:jc w:val="center"/>
                  </w:pPr>
                  <w:r>
                    <w:t xml:space="preserve">1.42</w:t>
                  </w:r>
                </w:p>
              </w:tc>
            </w:tr>
            <w:tr>
              <w:tc>
                <w:tcPr/>
                <w:p>
                  <w:pPr>
                    <w:pStyle w:val="Compact"/>
                    <w:jc w:val="center"/>
                  </w:pPr>
                  <w:r>
                    <w:t xml:space="preserve">4</w:t>
                  </w:r>
                </w:p>
              </w:tc>
              <w:tc>
                <w:tcPr>
                  <w:gridSpan w:val="1"/>
                  <w:vMerge w:val="continue"/>
                </w:tcPr>
                <w:p>
                  <w:pPr/>
                </w:p>
              </w:tc>
              <w:tc>
                <w:tcPr/>
                <w:p>
                  <w:pPr>
                    <w:pStyle w:val="Compact"/>
                    <w:jc w:val="center"/>
                  </w:pPr>
                  <w:r>
                    <w:t xml:space="preserve">10</w:t>
                  </w:r>
                </w:p>
              </w:tc>
              <w:tc>
                <w:tcPr/>
                <w:p>
                  <w:pPr>
                    <w:pStyle w:val="Compact"/>
                    <w:jc w:val="center"/>
                  </w:pPr>
                  <w:r>
                    <w:t xml:space="preserve">3.2</w:t>
                  </w:r>
                </w:p>
              </w:tc>
              <w:tc>
                <w:tcPr/>
                <w:p>
                  <w:pPr>
                    <w:pStyle w:val="Compact"/>
                    <w:jc w:val="center"/>
                  </w:pPr>
                  <w:r>
                    <w:t xml:space="preserve">300</w:t>
                  </w:r>
                </w:p>
              </w:tc>
              <w:tc>
                <w:tcPr/>
                <w:p>
                  <w:pPr>
                    <w:pStyle w:val="Compact"/>
                    <w:jc w:val="center"/>
                  </w:pPr>
                  <w:r>
                    <w:t xml:space="preserve">3.2</w:t>
                  </w:r>
                </w:p>
              </w:tc>
              <w:tc>
                <w:tcPr/>
                <w:p>
                  <w:pPr>
                    <w:pStyle w:val="Compact"/>
                    <w:jc w:val="center"/>
                  </w:pPr>
                  <w:r>
                    <w:t xml:space="preserve">7,894</w:t>
                  </w:r>
                </w:p>
              </w:tc>
              <w:tc>
                <w:tcPr/>
                <w:p>
                  <w:pPr>
                    <w:pStyle w:val="Compact"/>
                    <w:jc w:val="center"/>
                  </w:pPr>
                  <w:r>
                    <w:t xml:space="preserve">98.0</w:t>
                  </w:r>
                </w:p>
              </w:tc>
              <w:tc>
                <w:tcPr/>
                <w:p>
                  <w:pPr>
                    <w:pStyle w:val="Compact"/>
                    <w:jc w:val="center"/>
                  </w:pPr>
                  <w:r>
                    <w:t xml:space="preserve">2.98</w:t>
                  </w:r>
                </w:p>
              </w:tc>
              <w:tc>
                <w:tcPr/>
                <w:p>
                  <w:pPr>
                    <w:pStyle w:val="Compact"/>
                    <w:jc w:val="center"/>
                  </w:pPr>
                  <w:r>
                    <w:t xml:space="preserve">1.47</w:t>
                  </w:r>
                </w:p>
              </w:tc>
            </w:tr>
            <w:tr>
              <w:tc>
                <w:tcPr/>
                <w:p>
                  <w:pPr>
                    <w:pStyle w:val="Compact"/>
                    <w:jc w:val="center"/>
                  </w:pPr>
                  <w:r>
                    <w:t xml:space="preserve">5</w:t>
                  </w:r>
                </w:p>
              </w:tc>
              <w:tc>
                <w:tcPr>
                  <w:gridSpan w:val="1"/>
                  <w:vMerge w:val="continue"/>
                </w:tcPr>
                <w:p>
                  <w:pPr/>
                </w:p>
              </w:tc>
              <w:tc>
                <w:tcPr/>
                <w:p>
                  <w:pPr>
                    <w:pStyle w:val="Compact"/>
                    <w:jc w:val="center"/>
                  </w:pPr>
                  <w:r>
                    <w:t xml:space="preserve">10</w:t>
                  </w:r>
                </w:p>
              </w:tc>
              <w:tc>
                <w:tcPr/>
                <w:p>
                  <w:pPr>
                    <w:pStyle w:val="Compact"/>
                    <w:jc w:val="center"/>
                  </w:pPr>
                  <w:r>
                    <w:t xml:space="preserve">3.9</w:t>
                  </w:r>
                </w:p>
              </w:tc>
              <w:tc>
                <w:tcPr/>
                <w:p>
                  <w:pPr>
                    <w:pStyle w:val="Compact"/>
                    <w:jc w:val="center"/>
                  </w:pPr>
                  <w:r>
                    <w:t xml:space="preserve">100</w:t>
                  </w:r>
                </w:p>
              </w:tc>
              <w:tc>
                <w:tcPr/>
                <w:p>
                  <w:pPr>
                    <w:pStyle w:val="Compact"/>
                    <w:jc w:val="center"/>
                  </w:pPr>
                  <w:r>
                    <w:t xml:space="preserve">2</w:t>
                  </w:r>
                </w:p>
              </w:tc>
              <w:tc>
                <w:tcPr/>
                <w:p>
                  <w:pPr>
                    <w:pStyle w:val="Compact"/>
                    <w:jc w:val="center"/>
                  </w:pPr>
                  <w:r>
                    <w:t xml:space="preserve">3,212</w:t>
                  </w:r>
                </w:p>
              </w:tc>
              <w:tc>
                <w:tcPr/>
                <w:p>
                  <w:pPr>
                    <w:pStyle w:val="Compact"/>
                    <w:jc w:val="center"/>
                  </w:pPr>
                  <w:r>
                    <w:t xml:space="preserve">91.5</w:t>
                  </w:r>
                </w:p>
              </w:tc>
              <w:tc>
                <w:tcPr/>
                <w:p>
                  <w:pPr>
                    <w:pStyle w:val="Compact"/>
                    <w:jc w:val="center"/>
                  </w:pPr>
                  <w:r>
                    <w:t xml:space="preserve">2.88</w:t>
                  </w:r>
                </w:p>
              </w:tc>
              <w:tc>
                <w:tcPr/>
                <w:p>
                  <w:pPr>
                    <w:pStyle w:val="Compact"/>
                    <w:jc w:val="center"/>
                  </w:pPr>
                  <w:r>
                    <w:t xml:space="preserve">1.03</w:t>
                  </w:r>
                </w:p>
              </w:tc>
            </w:tr>
            <w:tr>
              <w:tc>
                <w:tcPr/>
                <w:p>
                  <w:pPr>
                    <w:pStyle w:val="Compact"/>
                    <w:jc w:val="center"/>
                  </w:pPr>
                  <w:r>
                    <w:t xml:space="preserve">6</w:t>
                  </w:r>
                </w:p>
              </w:tc>
              <w:tc>
                <w:tcPr>
                  <w:gridSpan w:val="1"/>
                  <w:vMerge w:val="continue"/>
                </w:tcPr>
                <w:p>
                  <w:pPr/>
                </w:p>
              </w:tc>
              <w:tc>
                <w:tcPr/>
                <w:p>
                  <w:pPr>
                    <w:pStyle w:val="Compact"/>
                    <w:jc w:val="center"/>
                  </w:pPr>
                  <w:r>
                    <w:t xml:space="preserve">10</w:t>
                  </w:r>
                </w:p>
              </w:tc>
              <w:tc>
                <w:tcPr/>
                <w:p>
                  <w:pPr>
                    <w:pStyle w:val="Compact"/>
                    <w:jc w:val="center"/>
                  </w:pPr>
                  <w:r>
                    <w:t xml:space="preserve">3.9</w:t>
                  </w:r>
                </w:p>
              </w:tc>
              <w:tc>
                <w:tcPr/>
                <w:p>
                  <w:pPr>
                    <w:pStyle w:val="Compact"/>
                    <w:jc w:val="center"/>
                  </w:pPr>
                  <w:r>
                    <w:t xml:space="preserve">100</w:t>
                  </w:r>
                </w:p>
              </w:tc>
              <w:tc>
                <w:tcPr/>
                <w:p>
                  <w:pPr>
                    <w:pStyle w:val="Compact"/>
                    <w:jc w:val="center"/>
                  </w:pPr>
                  <w:r>
                    <w:t xml:space="preserve">3.2</w:t>
                  </w:r>
                </w:p>
              </w:tc>
              <w:tc>
                <w:tcPr/>
                <w:p>
                  <w:pPr>
                    <w:pStyle w:val="Compact"/>
                    <w:jc w:val="center"/>
                  </w:pPr>
                  <w:r>
                    <w:t xml:space="preserve">2,523</w:t>
                  </w:r>
                </w:p>
              </w:tc>
              <w:tc>
                <w:tcPr/>
                <w:p>
                  <w:pPr>
                    <w:pStyle w:val="Compact"/>
                    <w:jc w:val="center"/>
                  </w:pPr>
                  <w:r>
                    <w:t xml:space="preserve">98.6</w:t>
                  </w:r>
                </w:p>
              </w:tc>
              <w:tc>
                <w:tcPr/>
                <w:p>
                  <w:pPr>
                    <w:pStyle w:val="Compact"/>
                    <w:jc w:val="center"/>
                  </w:pPr>
                  <w:r>
                    <w:t xml:space="preserve">3.82</w:t>
                  </w:r>
                </w:p>
              </w:tc>
              <w:tc>
                <w:tcPr/>
                <w:p>
                  <w:pPr>
                    <w:pStyle w:val="Compact"/>
                    <w:jc w:val="center"/>
                  </w:pPr>
                  <w:r>
                    <w:t xml:space="preserve">1.03</w:t>
                  </w:r>
                </w:p>
              </w:tc>
            </w:tr>
            <w:tr>
              <w:tc>
                <w:tcPr/>
                <w:p>
                  <w:pPr>
                    <w:pStyle w:val="Compact"/>
                    <w:jc w:val="center"/>
                  </w:pPr>
                  <w:r>
                    <w:t xml:space="preserve">7</w:t>
                  </w:r>
                </w:p>
              </w:tc>
              <w:tc>
                <w:tcPr>
                  <w:gridSpan w:val="1"/>
                  <w:vMerge w:val="continue"/>
                </w:tcPr>
                <w:p>
                  <w:pPr/>
                </w:p>
              </w:tc>
              <w:tc>
                <w:tcPr/>
                <w:p>
                  <w:pPr>
                    <w:pStyle w:val="Compact"/>
                    <w:jc w:val="center"/>
                  </w:pPr>
                  <w:r>
                    <w:t xml:space="preserve">10</w:t>
                  </w:r>
                </w:p>
              </w:tc>
              <w:tc>
                <w:tcPr/>
                <w:p>
                  <w:pPr>
                    <w:pStyle w:val="Compact"/>
                    <w:jc w:val="center"/>
                  </w:pPr>
                  <w:r>
                    <w:t xml:space="preserve">3.9</w:t>
                  </w:r>
                </w:p>
              </w:tc>
              <w:tc>
                <w:tcPr/>
                <w:p>
                  <w:pPr>
                    <w:pStyle w:val="Compact"/>
                    <w:jc w:val="center"/>
                  </w:pPr>
                  <w:r>
                    <w:t xml:space="preserve">300</w:t>
                  </w:r>
                </w:p>
              </w:tc>
              <w:tc>
                <w:tcPr/>
                <w:p>
                  <w:pPr>
                    <w:pStyle w:val="Compact"/>
                    <w:jc w:val="center"/>
                  </w:pPr>
                  <w:r>
                    <w:t xml:space="preserve">2</w:t>
                  </w:r>
                </w:p>
              </w:tc>
              <w:tc>
                <w:tcPr/>
                <w:p>
                  <w:pPr>
                    <w:pStyle w:val="Compact"/>
                    <w:jc w:val="center"/>
                  </w:pPr>
                  <w:r>
                    <w:t xml:space="preserve">2,540</w:t>
                  </w:r>
                </w:p>
              </w:tc>
              <w:tc>
                <w:tcPr/>
                <w:p>
                  <w:pPr>
                    <w:pStyle w:val="Compact"/>
                    <w:jc w:val="center"/>
                  </w:pPr>
                  <w:r>
                    <w:t xml:space="preserve">92.9</w:t>
                  </w:r>
                </w:p>
              </w:tc>
              <w:tc>
                <w:tcPr/>
                <w:p>
                  <w:pPr>
                    <w:pStyle w:val="Compact"/>
                    <w:jc w:val="center"/>
                  </w:pPr>
                  <w:r>
                    <w:t xml:space="preserve">3.30</w:t>
                  </w:r>
                </w:p>
              </w:tc>
              <w:tc>
                <w:tcPr/>
                <w:p>
                  <w:pPr>
                    <w:pStyle w:val="Compact"/>
                    <w:jc w:val="center"/>
                  </w:pPr>
                  <w:r>
                    <w:t xml:space="preserve">0.91</w:t>
                  </w:r>
                </w:p>
              </w:tc>
            </w:tr>
            <w:tr>
              <w:tc>
                <w:tcPr/>
                <w:p>
                  <w:pPr>
                    <w:pStyle w:val="Compact"/>
                    <w:jc w:val="center"/>
                  </w:pPr>
                  <w:r>
                    <w:t xml:space="preserve">8</w:t>
                  </w:r>
                </w:p>
              </w:tc>
              <w:tc>
                <w:tcPr>
                  <w:gridSpan w:val="1"/>
                  <w:vMerge w:val="continue"/>
                </w:tcPr>
                <w:p>
                  <w:pPr/>
                </w:p>
              </w:tc>
              <w:tc>
                <w:tcPr/>
                <w:p>
                  <w:pPr>
                    <w:pStyle w:val="Compact"/>
                    <w:jc w:val="center"/>
                  </w:pPr>
                  <w:r>
                    <w:t xml:space="preserve">10</w:t>
                  </w:r>
                </w:p>
              </w:tc>
              <w:tc>
                <w:tcPr/>
                <w:p>
                  <w:pPr>
                    <w:pStyle w:val="Compact"/>
                    <w:jc w:val="center"/>
                  </w:pPr>
                  <w:r>
                    <w:t xml:space="preserve">3.9</w:t>
                  </w:r>
                </w:p>
              </w:tc>
              <w:tc>
                <w:tcPr/>
                <w:p>
                  <w:pPr>
                    <w:pStyle w:val="Compact"/>
                    <w:jc w:val="center"/>
                  </w:pPr>
                  <w:r>
                    <w:t xml:space="preserve">300</w:t>
                  </w:r>
                </w:p>
              </w:tc>
              <w:tc>
                <w:tcPr/>
                <w:p>
                  <w:pPr>
                    <w:pStyle w:val="Compact"/>
                    <w:jc w:val="center"/>
                  </w:pPr>
                  <w:r>
                    <w:t xml:space="preserve">3.2</w:t>
                  </w:r>
                </w:p>
              </w:tc>
              <w:tc>
                <w:tcPr/>
                <w:p>
                  <w:pPr>
                    <w:pStyle w:val="Compact"/>
                    <w:jc w:val="center"/>
                  </w:pPr>
                  <w:r>
                    <w:t xml:space="preserve">3,108</w:t>
                  </w:r>
                </w:p>
              </w:tc>
              <w:tc>
                <w:tcPr/>
                <w:p>
                  <w:pPr>
                    <w:pStyle w:val="Compact"/>
                    <w:jc w:val="center"/>
                  </w:pPr>
                  <w:r>
                    <w:t xml:space="preserve">96.0</w:t>
                  </w:r>
                </w:p>
              </w:tc>
              <w:tc>
                <w:tcPr/>
                <w:p>
                  <w:pPr>
                    <w:pStyle w:val="Compact"/>
                    <w:jc w:val="center"/>
                  </w:pPr>
                  <w:r>
                    <w:t xml:space="preserve">2.43</w:t>
                  </w:r>
                </w:p>
              </w:tc>
              <w:tc>
                <w:tcPr/>
                <w:p>
                  <w:pPr>
                    <w:pStyle w:val="Compact"/>
                    <w:jc w:val="center"/>
                  </w:pPr>
                  <w:r>
                    <w:t xml:space="preserve">0.97</w:t>
                  </w:r>
                </w:p>
              </w:tc>
            </w:tr>
            <w:tr>
              <w:tc>
                <w:tcPr/>
                <w:p>
                  <w:pPr>
                    <w:pStyle w:val="Compact"/>
                    <w:jc w:val="center"/>
                  </w:pPr>
                  <w:r>
                    <w:t xml:space="preserve">9</w:t>
                  </w:r>
                </w:p>
              </w:tc>
              <w:tc>
                <w:tcPr>
                  <w:gridSpan w:val="1"/>
                  <w:vMerge w:val="continue"/>
                </w:tcPr>
                <w:p>
                  <w:pPr/>
                </w:p>
              </w:tc>
              <w:tc>
                <w:tcPr/>
                <w:p>
                  <w:pPr>
                    <w:pStyle w:val="Compact"/>
                    <w:jc w:val="center"/>
                  </w:pPr>
                  <w:r>
                    <w:t xml:space="preserve">50</w:t>
                  </w:r>
                </w:p>
              </w:tc>
              <w:tc>
                <w:tcPr/>
                <w:p>
                  <w:pPr>
                    <w:pStyle w:val="Compact"/>
                    <w:jc w:val="center"/>
                  </w:pPr>
                  <w:r>
                    <w:t xml:space="preserve">3.2</w:t>
                  </w:r>
                </w:p>
              </w:tc>
              <w:tc>
                <w:tcPr/>
                <w:p>
                  <w:pPr>
                    <w:pStyle w:val="Compact"/>
                    <w:jc w:val="center"/>
                  </w:pPr>
                  <w:r>
                    <w:t xml:space="preserve">100</w:t>
                  </w:r>
                </w:p>
              </w:tc>
              <w:tc>
                <w:tcPr/>
                <w:p>
                  <w:pPr>
                    <w:pStyle w:val="Compact"/>
                    <w:jc w:val="center"/>
                  </w:pPr>
                  <w:r>
                    <w:t xml:space="preserve">2</w:t>
                  </w:r>
                </w:p>
              </w:tc>
              <w:tc>
                <w:tcPr/>
                <w:p>
                  <w:pPr>
                    <w:pStyle w:val="Compact"/>
                    <w:jc w:val="center"/>
                  </w:pPr>
                  <w:r>
                    <w:t xml:space="preserve">16,568</w:t>
                  </w:r>
                </w:p>
              </w:tc>
              <w:tc>
                <w:tcPr/>
                <w:p>
                  <w:pPr>
                    <w:pStyle w:val="Compact"/>
                    <w:jc w:val="center"/>
                  </w:pPr>
                  <w:r>
                    <w:t xml:space="preserve">91.3</w:t>
                  </w:r>
                </w:p>
              </w:tc>
              <w:tc>
                <w:tcPr/>
                <w:p>
                  <w:pPr>
                    <w:pStyle w:val="Compact"/>
                    <w:jc w:val="center"/>
                  </w:pPr>
                  <w:r>
                    <w:t xml:space="preserve">2.47</w:t>
                  </w:r>
                </w:p>
              </w:tc>
              <w:tc>
                <w:tcPr/>
                <w:p>
                  <w:pPr>
                    <w:pStyle w:val="Compact"/>
                    <w:jc w:val="center"/>
                  </w:pPr>
                  <w:r>
                    <w:t xml:space="preserve">1.76</w:t>
                  </w:r>
                </w:p>
              </w:tc>
            </w:tr>
            <w:tr>
              <w:tc>
                <w:tcPr/>
                <w:p>
                  <w:pPr>
                    <w:pStyle w:val="Compact"/>
                    <w:jc w:val="center"/>
                  </w:pPr>
                  <w:r>
                    <w:t xml:space="preserve">10</w:t>
                  </w:r>
                </w:p>
              </w:tc>
              <w:tc>
                <w:tcPr>
                  <w:gridSpan w:val="1"/>
                  <w:vMerge w:val="continue"/>
                </w:tcPr>
                <w:p>
                  <w:pPr/>
                </w:p>
              </w:tc>
              <w:tc>
                <w:tcPr/>
                <w:p>
                  <w:pPr>
                    <w:pStyle w:val="Compact"/>
                    <w:jc w:val="center"/>
                  </w:pPr>
                  <w:r>
                    <w:t xml:space="preserve">50</w:t>
                  </w:r>
                </w:p>
              </w:tc>
              <w:tc>
                <w:tcPr/>
                <w:p>
                  <w:pPr>
                    <w:pStyle w:val="Compact"/>
                    <w:jc w:val="center"/>
                  </w:pPr>
                  <w:r>
                    <w:t xml:space="preserve">3.2</w:t>
                  </w:r>
                </w:p>
              </w:tc>
              <w:tc>
                <w:tcPr/>
                <w:p>
                  <w:pPr>
                    <w:pStyle w:val="Compact"/>
                    <w:jc w:val="center"/>
                  </w:pPr>
                  <w:r>
                    <w:t xml:space="preserve">100</w:t>
                  </w:r>
                </w:p>
              </w:tc>
              <w:tc>
                <w:tcPr/>
                <w:p>
                  <w:pPr>
                    <w:pStyle w:val="Compact"/>
                    <w:jc w:val="center"/>
                  </w:pPr>
                  <w:r>
                    <w:t xml:space="preserve">3.2</w:t>
                  </w:r>
                </w:p>
              </w:tc>
              <w:tc>
                <w:tcPr/>
                <w:p>
                  <w:pPr>
                    <w:pStyle w:val="Compact"/>
                    <w:jc w:val="center"/>
                  </w:pPr>
                  <w:r>
                    <w:t xml:space="preserve">19,738</w:t>
                  </w:r>
                </w:p>
              </w:tc>
              <w:tc>
                <w:tcPr/>
                <w:p>
                  <w:pPr>
                    <w:pStyle w:val="Compact"/>
                    <w:jc w:val="center"/>
                  </w:pPr>
                  <w:r>
                    <w:t xml:space="preserve">99.0</w:t>
                  </w:r>
                </w:p>
              </w:tc>
              <w:tc>
                <w:tcPr/>
                <w:p>
                  <w:pPr>
                    <w:pStyle w:val="Compact"/>
                    <w:jc w:val="center"/>
                  </w:pPr>
                  <w:r>
                    <w:t xml:space="preserve">2.66</w:t>
                  </w:r>
                </w:p>
              </w:tc>
              <w:tc>
                <w:tcPr/>
                <w:p>
                  <w:pPr>
                    <w:pStyle w:val="Compact"/>
                    <w:jc w:val="center"/>
                  </w:pPr>
                  <w:r>
                    <w:t xml:space="preserve">1.97</w:t>
                  </w:r>
                </w:p>
              </w:tc>
            </w:tr>
            <w:tr>
              <w:tc>
                <w:tcPr/>
                <w:p>
                  <w:pPr>
                    <w:pStyle w:val="Compact"/>
                    <w:jc w:val="center"/>
                  </w:pPr>
                  <w:r>
                    <w:t xml:space="preserve">11</w:t>
                  </w:r>
                </w:p>
              </w:tc>
              <w:tc>
                <w:tcPr>
                  <w:gridSpan w:val="1"/>
                  <w:vMerge w:val="continue"/>
                </w:tcPr>
                <w:p>
                  <w:pPr/>
                </w:p>
              </w:tc>
              <w:tc>
                <w:tcPr/>
                <w:p>
                  <w:pPr>
                    <w:pStyle w:val="Compact"/>
                    <w:jc w:val="center"/>
                  </w:pPr>
                  <w:r>
                    <w:t xml:space="preserve">50</w:t>
                  </w:r>
                </w:p>
              </w:tc>
              <w:tc>
                <w:tcPr/>
                <w:p>
                  <w:pPr>
                    <w:pStyle w:val="Compact"/>
                    <w:jc w:val="center"/>
                  </w:pPr>
                  <w:r>
                    <w:t xml:space="preserve">3.2</w:t>
                  </w:r>
                </w:p>
              </w:tc>
              <w:tc>
                <w:tcPr/>
                <w:p>
                  <w:pPr>
                    <w:pStyle w:val="Compact"/>
                    <w:jc w:val="center"/>
                  </w:pPr>
                  <w:r>
                    <w:t xml:space="preserve">300</w:t>
                  </w:r>
                </w:p>
              </w:tc>
              <w:tc>
                <w:tcPr/>
                <w:p>
                  <w:pPr>
                    <w:pStyle w:val="Compact"/>
                    <w:jc w:val="center"/>
                  </w:pPr>
                  <w:r>
                    <w:t xml:space="preserve">2</w:t>
                  </w:r>
                </w:p>
              </w:tc>
              <w:tc>
                <w:tcPr/>
                <w:p>
                  <w:pPr>
                    <w:pStyle w:val="Compact"/>
                    <w:jc w:val="center"/>
                  </w:pPr>
                  <w:r>
                    <w:t xml:space="preserve">18,271</w:t>
                  </w:r>
                </w:p>
              </w:tc>
              <w:tc>
                <w:tcPr/>
                <w:p>
                  <w:pPr>
                    <w:pStyle w:val="Compact"/>
                    <w:jc w:val="center"/>
                  </w:pPr>
                  <w:r>
                    <w:t xml:space="preserve">85.7</w:t>
                  </w:r>
                </w:p>
              </w:tc>
              <w:tc>
                <w:tcPr/>
                <w:p>
                  <w:pPr>
                    <w:pStyle w:val="Compact"/>
                    <w:jc w:val="center"/>
                  </w:pPr>
                  <w:r>
                    <w:t xml:space="preserve">2.67</w:t>
                  </w:r>
                </w:p>
              </w:tc>
              <w:tc>
                <w:tcPr/>
                <w:p>
                  <w:pPr>
                    <w:pStyle w:val="Compact"/>
                    <w:jc w:val="center"/>
                  </w:pPr>
                  <w:r>
                    <w:t xml:space="preserve">1.87</w:t>
                  </w:r>
                </w:p>
              </w:tc>
            </w:tr>
            <w:tr>
              <w:tc>
                <w:tcPr/>
                <w:p>
                  <w:pPr>
                    <w:pStyle w:val="Compact"/>
                    <w:jc w:val="center"/>
                  </w:pPr>
                  <w:r>
                    <w:t xml:space="preserve">12</w:t>
                  </w:r>
                </w:p>
              </w:tc>
              <w:tc>
                <w:tcPr>
                  <w:gridSpan w:val="1"/>
                  <w:vMerge w:val="continue"/>
                </w:tcPr>
                <w:p>
                  <w:pPr/>
                </w:p>
              </w:tc>
              <w:tc>
                <w:tcPr/>
                <w:p>
                  <w:pPr>
                    <w:pStyle w:val="Compact"/>
                    <w:jc w:val="center"/>
                  </w:pPr>
                  <w:r>
                    <w:t xml:space="preserve">50</w:t>
                  </w:r>
                </w:p>
              </w:tc>
              <w:tc>
                <w:tcPr/>
                <w:p>
                  <w:pPr>
                    <w:pStyle w:val="Compact"/>
                    <w:jc w:val="center"/>
                  </w:pPr>
                  <w:r>
                    <w:t xml:space="preserve">3.2</w:t>
                  </w:r>
                </w:p>
              </w:tc>
              <w:tc>
                <w:tcPr/>
                <w:p>
                  <w:pPr>
                    <w:pStyle w:val="Compact"/>
                    <w:jc w:val="center"/>
                  </w:pPr>
                  <w:r>
                    <w:t xml:space="preserve">300</w:t>
                  </w:r>
                </w:p>
              </w:tc>
              <w:tc>
                <w:tcPr/>
                <w:p>
                  <w:pPr>
                    <w:pStyle w:val="Compact"/>
                    <w:jc w:val="center"/>
                  </w:pPr>
                  <w:r>
                    <w:t xml:space="preserve">3.2</w:t>
                  </w:r>
                </w:p>
              </w:tc>
              <w:tc>
                <w:tcPr/>
                <w:p>
                  <w:pPr>
                    <w:pStyle w:val="Compact"/>
                    <w:jc w:val="center"/>
                  </w:pPr>
                  <w:r>
                    <w:t xml:space="preserve">21,245</w:t>
                  </w:r>
                </w:p>
              </w:tc>
              <w:tc>
                <w:tcPr/>
                <w:p>
                  <w:pPr>
                    <w:pStyle w:val="Compact"/>
                    <w:jc w:val="center"/>
                  </w:pPr>
                  <w:r>
                    <w:t xml:space="preserve">93.6</w:t>
                  </w:r>
                </w:p>
              </w:tc>
              <w:tc>
                <w:tcPr/>
                <w:p>
                  <w:pPr>
                    <w:pStyle w:val="Compact"/>
                    <w:jc w:val="center"/>
                  </w:pPr>
                  <w:r>
                    <w:t xml:space="preserve">3.54</w:t>
                  </w:r>
                </w:p>
              </w:tc>
              <w:tc>
                <w:tcPr/>
                <w:p>
                  <w:pPr>
                    <w:pStyle w:val="Compact"/>
                    <w:jc w:val="center"/>
                  </w:pPr>
                  <w:r>
                    <w:t xml:space="preserve">1.98</w:t>
                  </w:r>
                </w:p>
              </w:tc>
            </w:tr>
            <w:tr>
              <w:tc>
                <w:tcPr/>
                <w:p>
                  <w:pPr>
                    <w:pStyle w:val="Compact"/>
                    <w:jc w:val="center"/>
                  </w:pPr>
                  <w:r>
                    <w:t xml:space="preserve">13</w:t>
                  </w:r>
                </w:p>
              </w:tc>
              <w:tc>
                <w:tcPr>
                  <w:gridSpan w:val="1"/>
                  <w:vMerge w:val="continue"/>
                </w:tcPr>
                <w:p>
                  <w:pPr/>
                </w:p>
              </w:tc>
              <w:tc>
                <w:tcPr/>
                <w:p>
                  <w:pPr>
                    <w:pStyle w:val="Compact"/>
                    <w:jc w:val="center"/>
                  </w:pPr>
                  <w:r>
                    <w:t xml:space="preserve">50</w:t>
                  </w:r>
                </w:p>
              </w:tc>
              <w:tc>
                <w:tcPr/>
                <w:p>
                  <w:pPr>
                    <w:pStyle w:val="Compact"/>
                    <w:jc w:val="center"/>
                  </w:pPr>
                  <w:r>
                    <w:t xml:space="preserve">3.9</w:t>
                  </w:r>
                </w:p>
              </w:tc>
              <w:tc>
                <w:tcPr/>
                <w:p>
                  <w:pPr>
                    <w:pStyle w:val="Compact"/>
                    <w:jc w:val="center"/>
                  </w:pPr>
                  <w:r>
                    <w:t xml:space="preserve">100</w:t>
                  </w:r>
                </w:p>
              </w:tc>
              <w:tc>
                <w:tcPr/>
                <w:p>
                  <w:pPr>
                    <w:pStyle w:val="Compact"/>
                    <w:jc w:val="center"/>
                  </w:pPr>
                  <w:r>
                    <w:t xml:space="preserve">2</w:t>
                  </w:r>
                </w:p>
              </w:tc>
              <w:tc>
                <w:tcPr/>
                <w:p>
                  <w:pPr>
                    <w:pStyle w:val="Compact"/>
                    <w:jc w:val="center"/>
                  </w:pPr>
                  <w:r>
                    <w:t xml:space="preserve">6,792</w:t>
                  </w:r>
                </w:p>
              </w:tc>
              <w:tc>
                <w:tcPr/>
                <w:p>
                  <w:pPr>
                    <w:pStyle w:val="Compact"/>
                    <w:jc w:val="center"/>
                  </w:pPr>
                  <w:r>
                    <w:t xml:space="preserve">91.1</w:t>
                  </w:r>
                </w:p>
              </w:tc>
              <w:tc>
                <w:tcPr/>
                <w:p>
                  <w:pPr>
                    <w:pStyle w:val="Compact"/>
                    <w:jc w:val="center"/>
                  </w:pPr>
                  <w:r>
                    <w:t xml:space="preserve">2.77</w:t>
                  </w:r>
                </w:p>
              </w:tc>
              <w:tc>
                <w:tcPr/>
                <w:p>
                  <w:pPr>
                    <w:pStyle w:val="Compact"/>
                    <w:jc w:val="center"/>
                  </w:pPr>
                  <w:r>
                    <w:t xml:space="preserve">1.23</w:t>
                  </w:r>
                </w:p>
              </w:tc>
            </w:tr>
            <w:tr>
              <w:tc>
                <w:tcPr/>
                <w:p>
                  <w:pPr>
                    <w:pStyle w:val="Compact"/>
                    <w:jc w:val="center"/>
                  </w:pPr>
                  <w:r>
                    <w:t xml:space="preserve">14</w:t>
                  </w:r>
                </w:p>
              </w:tc>
              <w:tc>
                <w:tcPr>
                  <w:gridSpan w:val="1"/>
                  <w:vMerge w:val="continue"/>
                </w:tcPr>
                <w:p>
                  <w:pPr/>
                </w:p>
              </w:tc>
              <w:tc>
                <w:tcPr/>
                <w:p>
                  <w:pPr>
                    <w:pStyle w:val="Compact"/>
                    <w:jc w:val="center"/>
                  </w:pPr>
                  <w:r>
                    <w:t xml:space="preserve">50</w:t>
                  </w:r>
                </w:p>
              </w:tc>
              <w:tc>
                <w:tcPr/>
                <w:p>
                  <w:pPr>
                    <w:pStyle w:val="Compact"/>
                    <w:jc w:val="center"/>
                  </w:pPr>
                  <w:r>
                    <w:t xml:space="preserve">3.9</w:t>
                  </w:r>
                </w:p>
              </w:tc>
              <w:tc>
                <w:tcPr/>
                <w:p>
                  <w:pPr>
                    <w:pStyle w:val="Compact"/>
                    <w:jc w:val="center"/>
                  </w:pPr>
                  <w:r>
                    <w:t xml:space="preserve">100</w:t>
                  </w:r>
                </w:p>
              </w:tc>
              <w:tc>
                <w:tcPr/>
                <w:p>
                  <w:pPr>
                    <w:pStyle w:val="Compact"/>
                    <w:jc w:val="center"/>
                  </w:pPr>
                  <w:r>
                    <w:t xml:space="preserve">3.2</w:t>
                  </w:r>
                </w:p>
              </w:tc>
              <w:tc>
                <w:tcPr/>
                <w:p>
                  <w:pPr>
                    <w:pStyle w:val="Compact"/>
                    <w:jc w:val="center"/>
                  </w:pPr>
                  <w:r>
                    <w:t xml:space="preserve">7,875</w:t>
                  </w:r>
                </w:p>
              </w:tc>
              <w:tc>
                <w:tcPr/>
                <w:p>
                  <w:pPr>
                    <w:pStyle w:val="Compact"/>
                    <w:jc w:val="center"/>
                  </w:pPr>
                  <w:r>
                    <w:t xml:space="preserve">97.6</w:t>
                  </w:r>
                </w:p>
              </w:tc>
              <w:tc>
                <w:tcPr/>
                <w:p>
                  <w:pPr>
                    <w:pStyle w:val="Compact"/>
                    <w:jc w:val="center"/>
                  </w:pPr>
                  <w:r>
                    <w:t xml:space="preserve">2.29</w:t>
                  </w:r>
                </w:p>
              </w:tc>
              <w:tc>
                <w:tcPr/>
                <w:p>
                  <w:pPr>
                    <w:pStyle w:val="Compact"/>
                    <w:jc w:val="center"/>
                  </w:pPr>
                  <w:r>
                    <w:t xml:space="preserve">1.22</w:t>
                  </w:r>
                </w:p>
              </w:tc>
            </w:tr>
            <w:tr>
              <w:tc>
                <w:tcPr/>
                <w:p>
                  <w:pPr>
                    <w:pStyle w:val="Compact"/>
                    <w:jc w:val="center"/>
                  </w:pPr>
                  <w:r>
                    <w:t xml:space="preserve">15</w:t>
                  </w:r>
                </w:p>
              </w:tc>
              <w:tc>
                <w:tcPr>
                  <w:gridSpan w:val="1"/>
                  <w:vMerge w:val="continue"/>
                </w:tcPr>
                <w:p>
                  <w:pPr/>
                </w:p>
              </w:tc>
              <w:tc>
                <w:tcPr/>
                <w:p>
                  <w:pPr>
                    <w:pStyle w:val="Compact"/>
                    <w:jc w:val="center"/>
                  </w:pPr>
                  <w:r>
                    <w:t xml:space="preserve">50</w:t>
                  </w:r>
                </w:p>
              </w:tc>
              <w:tc>
                <w:tcPr/>
                <w:p>
                  <w:pPr>
                    <w:pStyle w:val="Compact"/>
                    <w:jc w:val="center"/>
                  </w:pPr>
                  <w:r>
                    <w:t xml:space="preserve">3.9</w:t>
                  </w:r>
                </w:p>
              </w:tc>
              <w:tc>
                <w:tcPr/>
                <w:p>
                  <w:pPr>
                    <w:pStyle w:val="Compact"/>
                    <w:jc w:val="center"/>
                  </w:pPr>
                  <w:r>
                    <w:t xml:space="preserve">300</w:t>
                  </w:r>
                </w:p>
              </w:tc>
              <w:tc>
                <w:tcPr/>
                <w:p>
                  <w:pPr>
                    <w:pStyle w:val="Compact"/>
                    <w:jc w:val="center"/>
                  </w:pPr>
                  <w:r>
                    <w:t xml:space="preserve">2</w:t>
                  </w:r>
                </w:p>
              </w:tc>
              <w:tc>
                <w:tcPr/>
                <w:p>
                  <w:pPr>
                    <w:pStyle w:val="Compact"/>
                    <w:jc w:val="center"/>
                  </w:pPr>
                  <w:r>
                    <w:t xml:space="preserve">7,655</w:t>
                  </w:r>
                </w:p>
              </w:tc>
              <w:tc>
                <w:tcPr/>
                <w:p>
                  <w:pPr>
                    <w:pStyle w:val="Compact"/>
                    <w:jc w:val="center"/>
                  </w:pPr>
                  <w:r>
                    <w:t xml:space="preserve">89.1</w:t>
                  </w:r>
                </w:p>
              </w:tc>
              <w:tc>
                <w:tcPr/>
                <w:p>
                  <w:pPr>
                    <w:pStyle w:val="Compact"/>
                    <w:jc w:val="center"/>
                  </w:pPr>
                  <w:r>
                    <w:t xml:space="preserve">2.88</w:t>
                  </w:r>
                </w:p>
              </w:tc>
              <w:tc>
                <w:tcPr/>
                <w:p>
                  <w:pPr>
                    <w:pStyle w:val="Compact"/>
                    <w:jc w:val="center"/>
                  </w:pPr>
                  <w:r>
                    <w:t xml:space="preserve">1.21</w:t>
                  </w:r>
                </w:p>
              </w:tc>
            </w:tr>
            <w:tr>
              <w:tc>
                <w:tcPr/>
                <w:p>
                  <w:pPr>
                    <w:pStyle w:val="Compact"/>
                    <w:jc w:val="center"/>
                  </w:pPr>
                  <w:r>
                    <w:t xml:space="preserve">16</w:t>
                  </w:r>
                </w:p>
              </w:tc>
              <w:tc>
                <w:tcPr>
                  <w:gridSpan w:val="1"/>
                  <w:vMerge w:val="continue"/>
                </w:tcPr>
                <w:p>
                  <w:pPr/>
                </w:p>
              </w:tc>
              <w:tc>
                <w:tcPr/>
                <w:p>
                  <w:pPr>
                    <w:pStyle w:val="Compact"/>
                    <w:jc w:val="center"/>
                  </w:pPr>
                  <w:r>
                    <w:t xml:space="preserve">50</w:t>
                  </w:r>
                </w:p>
              </w:tc>
              <w:tc>
                <w:tcPr/>
                <w:p>
                  <w:pPr>
                    <w:pStyle w:val="Compact"/>
                    <w:jc w:val="center"/>
                  </w:pPr>
                  <w:r>
                    <w:t xml:space="preserve">3.9</w:t>
                  </w:r>
                </w:p>
              </w:tc>
              <w:tc>
                <w:tcPr/>
                <w:p>
                  <w:pPr>
                    <w:pStyle w:val="Compact"/>
                    <w:jc w:val="center"/>
                  </w:pPr>
                  <w:r>
                    <w:t xml:space="preserve">300</w:t>
                  </w:r>
                </w:p>
              </w:tc>
              <w:tc>
                <w:tcPr/>
                <w:p>
                  <w:pPr>
                    <w:pStyle w:val="Compact"/>
                    <w:jc w:val="center"/>
                  </w:pPr>
                  <w:r>
                    <w:t xml:space="preserve">3.2</w:t>
                  </w:r>
                </w:p>
              </w:tc>
              <w:tc>
                <w:tcPr/>
                <w:p>
                  <w:pPr>
                    <w:pStyle w:val="Compact"/>
                    <w:jc w:val="center"/>
                  </w:pPr>
                  <w:r>
                    <w:t xml:space="preserve">7,792</w:t>
                  </w:r>
                </w:p>
              </w:tc>
              <w:tc>
                <w:tcPr/>
                <w:p>
                  <w:pPr>
                    <w:pStyle w:val="Compact"/>
                    <w:jc w:val="center"/>
                  </w:pPr>
                  <w:r>
                    <w:t xml:space="preserve">92.7</w:t>
                  </w:r>
                </w:p>
              </w:tc>
              <w:tc>
                <w:tcPr/>
                <w:p>
                  <w:pPr>
                    <w:pStyle w:val="Compact"/>
                    <w:jc w:val="center"/>
                  </w:pPr>
                  <w:r>
                    <w:t xml:space="preserve">3.14</w:t>
                  </w:r>
                </w:p>
              </w:tc>
              <w:tc>
                <w:tcPr/>
                <w:p>
                  <w:pPr>
                    <w:pStyle w:val="Compact"/>
                    <w:jc w:val="center"/>
                  </w:pPr>
                  <w:r>
                    <w:t xml:space="preserve">1.23</w:t>
                  </w:r>
                </w:p>
              </w:tc>
            </w:tr>
            <w:tr>
              <w:tc>
                <w:tcPr/>
                <w:p>
                  <w:pPr>
                    <w:pStyle w:val="Compact"/>
                    <w:jc w:val="center"/>
                  </w:pPr>
                  <w:r>
                    <w:t xml:space="preserve">17</w:t>
                  </w:r>
                </w:p>
              </w:tc>
              <w:tc>
                <w:tcPr>
                  <w:vMerge w:val="restart"/>
                </w:tcPr>
                <w:p>
                  <w:pPr>
                    <w:pStyle w:val="Compact"/>
                    <w:jc w:val="center"/>
                  </w:pPr>
                  <w:r>
                    <w:t xml:space="preserve">center</w:t>
                  </w:r>
                </w:p>
              </w:tc>
              <w:tc>
                <w:tcPr/>
                <w:p>
                  <w:pPr>
                    <w:pStyle w:val="Compact"/>
                    <w:jc w:val="center"/>
                  </w:pPr>
                  <w:r>
                    <w:t xml:space="preserve">30</w:t>
                  </w:r>
                </w:p>
              </w:tc>
              <w:tc>
                <w:tcPr/>
                <w:p>
                  <w:pPr>
                    <w:pStyle w:val="Compact"/>
                    <w:jc w:val="center"/>
                  </w:pPr>
                  <w:r>
                    <w:t xml:space="preserve">3.55</w:t>
                  </w:r>
                </w:p>
              </w:tc>
              <w:tc>
                <w:tcPr/>
                <w:p>
                  <w:pPr>
                    <w:pStyle w:val="Compact"/>
                    <w:jc w:val="center"/>
                  </w:pPr>
                  <w:r>
                    <w:t xml:space="preserve">200</w:t>
                  </w:r>
                </w:p>
              </w:tc>
              <w:tc>
                <w:tcPr/>
                <w:p>
                  <w:pPr>
                    <w:pStyle w:val="Compact"/>
                    <w:jc w:val="center"/>
                  </w:pPr>
                  <w:r>
                    <w:t xml:space="preserve">2.6</w:t>
                  </w:r>
                </w:p>
              </w:tc>
              <w:tc>
                <w:tcPr/>
                <w:p>
                  <w:pPr>
                    <w:pStyle w:val="Compact"/>
                    <w:jc w:val="center"/>
                  </w:pPr>
                  <w:r>
                    <w:t xml:space="preserve">6,436</w:t>
                  </w:r>
                </w:p>
              </w:tc>
              <w:tc>
                <w:tcPr/>
                <w:p>
                  <w:pPr>
                    <w:pStyle w:val="Compact"/>
                    <w:jc w:val="center"/>
                  </w:pPr>
                  <w:r>
                    <w:t xml:space="preserve">93.1</w:t>
                  </w:r>
                </w:p>
              </w:tc>
              <w:tc>
                <w:tcPr/>
                <w:p>
                  <w:pPr>
                    <w:pStyle w:val="Compact"/>
                    <w:jc w:val="center"/>
                  </w:pPr>
                  <w:r>
                    <w:t xml:space="preserve">2.91</w:t>
                  </w:r>
                </w:p>
              </w:tc>
              <w:tc>
                <w:tcPr/>
                <w:p>
                  <w:pPr>
                    <w:pStyle w:val="Compact"/>
                    <w:jc w:val="center"/>
                  </w:pPr>
                  <w:r>
                    <w:t xml:space="preserve">1.23</w:t>
                  </w:r>
                </w:p>
              </w:tc>
            </w:tr>
            <w:tr>
              <w:tc>
                <w:tcPr/>
                <w:p>
                  <w:pPr>
                    <w:pStyle w:val="Compact"/>
                    <w:jc w:val="center"/>
                  </w:pPr>
                  <w:r>
                    <w:t xml:space="preserve">18</w:t>
                  </w:r>
                </w:p>
              </w:tc>
              <w:tc>
                <w:tcPr>
                  <w:gridSpan w:val="1"/>
                  <w:vMerge w:val="continue"/>
                </w:tcPr>
                <w:p>
                  <w:pPr/>
                </w:p>
              </w:tc>
              <w:tc>
                <w:tcPr/>
                <w:p>
                  <w:pPr>
                    <w:pStyle w:val="Compact"/>
                    <w:jc w:val="center"/>
                  </w:pPr>
                  <w:r>
                    <w:t xml:space="preserve">30</w:t>
                  </w:r>
                </w:p>
              </w:tc>
              <w:tc>
                <w:tcPr/>
                <w:p>
                  <w:pPr>
                    <w:pStyle w:val="Compact"/>
                    <w:jc w:val="center"/>
                  </w:pPr>
                  <w:r>
                    <w:t xml:space="preserve">3.55</w:t>
                  </w:r>
                </w:p>
              </w:tc>
              <w:tc>
                <w:tcPr/>
                <w:p>
                  <w:pPr>
                    <w:pStyle w:val="Compact"/>
                    <w:jc w:val="center"/>
                  </w:pPr>
                  <w:r>
                    <w:t xml:space="preserve">200</w:t>
                  </w:r>
                </w:p>
              </w:tc>
              <w:tc>
                <w:tcPr/>
                <w:p>
                  <w:pPr>
                    <w:pStyle w:val="Compact"/>
                    <w:jc w:val="center"/>
                  </w:pPr>
                  <w:r>
                    <w:t xml:space="preserve">2.6</w:t>
                  </w:r>
                </w:p>
              </w:tc>
              <w:tc>
                <w:tcPr/>
                <w:p>
                  <w:pPr>
                    <w:pStyle w:val="Compact"/>
                    <w:jc w:val="center"/>
                  </w:pPr>
                  <w:r>
                    <w:t xml:space="preserve">9,652</w:t>
                  </w:r>
                </w:p>
              </w:tc>
              <w:tc>
                <w:tcPr/>
                <w:p>
                  <w:pPr>
                    <w:pStyle w:val="Compact"/>
                    <w:jc w:val="center"/>
                  </w:pPr>
                  <w:r>
                    <w:t xml:space="preserve">93.3</w:t>
                  </w:r>
                </w:p>
              </w:tc>
              <w:tc>
                <w:tcPr/>
                <w:p>
                  <w:pPr>
                    <w:pStyle w:val="Compact"/>
                    <w:jc w:val="center"/>
                  </w:pPr>
                  <w:r>
                    <w:t xml:space="preserve">3.07</w:t>
                  </w:r>
                </w:p>
              </w:tc>
              <w:tc>
                <w:tcPr/>
                <w:p>
                  <w:pPr>
                    <w:pStyle w:val="Compact"/>
                    <w:jc w:val="center"/>
                  </w:pPr>
                  <w:r>
                    <w:t xml:space="preserve">1.36</w:t>
                  </w:r>
                </w:p>
              </w:tc>
            </w:tr>
            <w:tr>
              <w:tc>
                <w:tcPr/>
                <w:p>
                  <w:pPr>
                    <w:pStyle w:val="Compact"/>
                    <w:jc w:val="center"/>
                  </w:pPr>
                  <w:r>
                    <w:t xml:space="preserve">19</w:t>
                  </w:r>
                </w:p>
              </w:tc>
              <w:tc>
                <w:tcPr>
                  <w:gridSpan w:val="1"/>
                  <w:vMerge w:val="continue"/>
                </w:tcPr>
                <w:p>
                  <w:pPr/>
                </w:p>
              </w:tc>
              <w:tc>
                <w:tcPr/>
                <w:p>
                  <w:pPr>
                    <w:pStyle w:val="Compact"/>
                    <w:jc w:val="center"/>
                  </w:pPr>
                  <w:r>
                    <w:t xml:space="preserve">30</w:t>
                  </w:r>
                </w:p>
              </w:tc>
              <w:tc>
                <w:tcPr/>
                <w:p>
                  <w:pPr>
                    <w:pStyle w:val="Compact"/>
                    <w:jc w:val="center"/>
                  </w:pPr>
                  <w:r>
                    <w:t xml:space="preserve">3.55</w:t>
                  </w:r>
                </w:p>
              </w:tc>
              <w:tc>
                <w:tcPr/>
                <w:p>
                  <w:pPr>
                    <w:pStyle w:val="Compact"/>
                    <w:jc w:val="center"/>
                  </w:pPr>
                  <w:r>
                    <w:t xml:space="preserve">200</w:t>
                  </w:r>
                </w:p>
              </w:tc>
              <w:tc>
                <w:tcPr/>
                <w:p>
                  <w:pPr>
                    <w:pStyle w:val="Compact"/>
                    <w:jc w:val="center"/>
                  </w:pPr>
                  <w:r>
                    <w:t xml:space="preserve">2.6</w:t>
                  </w:r>
                </w:p>
              </w:tc>
              <w:tc>
                <w:tcPr/>
                <w:p>
                  <w:pPr>
                    <w:pStyle w:val="Compact"/>
                    <w:jc w:val="center"/>
                  </w:pPr>
                  <w:r>
                    <w:t xml:space="preserve">8,222</w:t>
                  </w:r>
                </w:p>
              </w:tc>
              <w:tc>
                <w:tcPr/>
                <w:p>
                  <w:pPr>
                    <w:pStyle w:val="Compact"/>
                    <w:jc w:val="center"/>
                  </w:pPr>
                  <w:r>
                    <w:t xml:space="preserve">94.2</w:t>
                  </w:r>
                </w:p>
              </w:tc>
              <w:tc>
                <w:tcPr/>
                <w:p>
                  <w:pPr>
                    <w:pStyle w:val="Compact"/>
                    <w:jc w:val="center"/>
                  </w:pPr>
                  <w:r>
                    <w:t xml:space="preserve">3.86</w:t>
                  </w:r>
                </w:p>
              </w:tc>
              <w:tc>
                <w:tcPr/>
                <w:p>
                  <w:pPr>
                    <w:pStyle w:val="Compact"/>
                    <w:jc w:val="center"/>
                  </w:pPr>
                  <w:r>
                    <w:t xml:space="preserve">1.30</w:t>
                  </w:r>
                </w:p>
              </w:tc>
            </w:tr>
            <w:tr>
              <w:tc>
                <w:tcPr>
                  <w:gridSpan w:val="10"/>
                </w:tcPr>
                <w:p>
                  <w:pPr>
                    <w:pStyle w:val="Compact"/>
                    <w:jc w:val="center"/>
                  </w:pPr>
                  <w:r>
                    <w:t xml:space="preserve">Factors: A, protein load. B, elution buffer pH. C, load flow rate. D, end of pool collect.</w:t>
                  </w:r>
                </w:p>
              </w:tc>
            </w:tr>
            <w:tr>
              <w:tc>
                <w:tcPr>
                  <w:gridSpan w:val="10"/>
                </w:tcPr>
                <w:p>
                  <w:pPr>
                    <w:pStyle w:val="Compact"/>
                    <w:jc w:val="center"/>
                  </w:pPr>
                  <w:r>
                    <w:t xml:space="preserve">LPA, leached Protein A.</w:t>
                  </w:r>
                </w:p>
              </w:tc>
            </w:tr>
            <w:tr>
              <w:tc>
                <w:tcPr>
                  <w:gridSpan w:val="10"/>
                </w:tcPr>
                <w:p>
                  <w:pPr>
                    <w:pStyle w:val="Compact"/>
                    <w:jc w:val="center"/>
                  </w:pPr>
                  <w:r>
                    <w:t xml:space="preserve">LMW by SEC is biased in this matrix and is not used for evaluation (AMD-001).</w:t>
                  </w:r>
                </w:p>
              </w:tc>
            </w:tr>
            <w:tr>
              <w:tc>
                <w:tcPr>
                  <w:gridSpan w:val="10"/>
                </w:tcPr>
                <w:p>
                  <w:pPr>
                    <w:pStyle w:val="Compact"/>
                    <w:jc w:val="center"/>
                  </w:pPr>
                  <w:r>
                    <w:t xml:space="preserve">Not tested in this design: LMW by nrCE-SDS.</w:t>
                  </w:r>
                </w:p>
              </w:tc>
            </w:tr>
          </w:tbl>
          <w:bookmarkEnd w:id="1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5" w:name="tbl-app-scr-info"/>
          <w:p>
            <w:pPr>
              <w:jc w:val="center"/>
            </w:pPr>
            <w:pPr>
              <w:jc w:val="start"/>
              <w:spacing w:before="200"/>
              <w:pStyle w:val="ImageCaption"/>
            </w:pPr>
            <w:r>
              <w:t xml:space="preserve">Table 36: Screening design (study S-PA-SCR), run order and results measured for information.</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Run</w:t>
                  </w:r>
                </w:p>
              </w:tc>
              <w:tc>
                <w:tcPr/>
                <w:p>
                  <w:pPr>
                    <w:pStyle w:val="Compact"/>
                    <w:jc w:val="center"/>
                  </w:pPr>
                  <w:r>
                    <w:t xml:space="preserve">Run</w:t>
                  </w:r>
                  <w:r>
                    <w:br/>
                  </w:r>
                  <w:r>
                    <w:t xml:space="preserve">order</w:t>
                  </w:r>
                </w:p>
              </w:tc>
              <w:tc>
                <w:tcPr/>
                <w:p>
                  <w:pPr>
                    <w:pStyle w:val="Compact"/>
                    <w:jc w:val="center"/>
                  </w:pPr>
                  <w:r>
                    <w:t xml:space="preserve">HMW by</w:t>
                  </w:r>
                  <w:r>
                    <w:br/>
                  </w:r>
                  <w:r>
                    <w:t xml:space="preserve">SEC (%)</w:t>
                  </w:r>
                </w:p>
              </w:tc>
              <w:tc>
                <w:tcPr/>
                <w:p>
                  <w:pPr>
                    <w:pStyle w:val="Compact"/>
                    <w:jc w:val="center"/>
                  </w:pPr>
                  <w:r>
                    <w:t xml:space="preserve">DNA, load</w:t>
                  </w:r>
                  <w:r>
                    <w:br/>
                  </w:r>
                  <w:r>
                    <w:t xml:space="preserve">(pg/mg)</w:t>
                  </w:r>
                </w:p>
              </w:tc>
              <w:tc>
                <w:tcPr/>
                <w:p>
                  <w:pPr>
                    <w:pStyle w:val="Compact"/>
                    <w:jc w:val="center"/>
                  </w:pPr>
                  <w:r>
                    <w:t xml:space="preserve">DNA, pool</w:t>
                  </w:r>
                  <w:r>
                    <w:br/>
                  </w:r>
                  <w:r>
                    <w:t xml:space="preserve">(pg/mg)</w:t>
                  </w:r>
                </w:p>
              </w:tc>
            </w:tr>
            <w:tr>
              <w:tc>
                <w:tcPr/>
                <w:p>
                  <w:pPr>
                    <w:pStyle w:val="Compact"/>
                    <w:jc w:val="center"/>
                  </w:pPr>
                  <w:r>
                    <w:t xml:space="preserve">1</w:t>
                  </w:r>
                </w:p>
              </w:tc>
              <w:tc>
                <w:tcPr/>
                <w:p>
                  <w:pPr>
                    <w:pStyle w:val="Compact"/>
                    <w:jc w:val="center"/>
                  </w:pPr>
                  <w:r>
                    <w:t xml:space="preserve">16</w:t>
                  </w:r>
                </w:p>
              </w:tc>
              <w:tc>
                <w:tcPr/>
                <w:p>
                  <w:pPr>
                    <w:pStyle w:val="Compact"/>
                    <w:jc w:val="center"/>
                  </w:pPr>
                  <w:r>
                    <w:t xml:space="preserve">1.65</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2</w:t>
                  </w:r>
                </w:p>
              </w:tc>
              <w:tc>
                <w:tcPr/>
                <w:p>
                  <w:pPr>
                    <w:pStyle w:val="Compact"/>
                    <w:jc w:val="center"/>
                  </w:pPr>
                  <w:r>
                    <w:t xml:space="preserve">19</w:t>
                  </w:r>
                </w:p>
              </w:tc>
              <w:tc>
                <w:tcPr/>
                <w:p>
                  <w:pPr>
                    <w:pStyle w:val="Compact"/>
                    <w:jc w:val="center"/>
                  </w:pPr>
                  <w:r>
                    <w:t xml:space="preserve">1.59</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3</w:t>
                  </w:r>
                </w:p>
              </w:tc>
              <w:tc>
                <w:tcPr/>
                <w:p>
                  <w:pPr>
                    <w:pStyle w:val="Compact"/>
                    <w:jc w:val="center"/>
                  </w:pPr>
                  <w:r>
                    <w:t xml:space="preserve">5</w:t>
                  </w:r>
                </w:p>
              </w:tc>
              <w:tc>
                <w:tcPr/>
                <w:p>
                  <w:pPr>
                    <w:pStyle w:val="Compact"/>
                    <w:jc w:val="center"/>
                  </w:pPr>
                  <w:r>
                    <w:t xml:space="preserve">1.55</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4</w:t>
                  </w:r>
                </w:p>
              </w:tc>
              <w:tc>
                <w:tcPr/>
                <w:p>
                  <w:pPr>
                    <w:pStyle w:val="Compact"/>
                    <w:jc w:val="center"/>
                  </w:pPr>
                  <w:r>
                    <w:t xml:space="preserve">13</w:t>
                  </w:r>
                </w:p>
              </w:tc>
              <w:tc>
                <w:tcPr/>
                <w:p>
                  <w:pPr>
                    <w:pStyle w:val="Compact"/>
                    <w:jc w:val="center"/>
                  </w:pPr>
                  <w:r>
                    <w:t xml:space="preserve">1.57</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5</w:t>
                  </w:r>
                </w:p>
              </w:tc>
              <w:tc>
                <w:tcPr/>
                <w:p>
                  <w:pPr>
                    <w:pStyle w:val="Compact"/>
                    <w:jc w:val="center"/>
                  </w:pPr>
                  <w:r>
                    <w:t xml:space="preserve">6</w:t>
                  </w:r>
                </w:p>
              </w:tc>
              <w:tc>
                <w:tcPr/>
                <w:p>
                  <w:pPr>
                    <w:pStyle w:val="Compact"/>
                    <w:jc w:val="center"/>
                  </w:pPr>
                  <w:r>
                    <w:t xml:space="preserve">1.50</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6</w:t>
                  </w:r>
                </w:p>
              </w:tc>
              <w:tc>
                <w:tcPr/>
                <w:p>
                  <w:pPr>
                    <w:pStyle w:val="Compact"/>
                    <w:jc w:val="center"/>
                  </w:pPr>
                  <w:r>
                    <w:t xml:space="preserve">18</w:t>
                  </w:r>
                </w:p>
              </w:tc>
              <w:tc>
                <w:tcPr/>
                <w:p>
                  <w:pPr>
                    <w:pStyle w:val="Compact"/>
                    <w:jc w:val="center"/>
                  </w:pPr>
                  <w:r>
                    <w:t xml:space="preserve">1.53</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7</w:t>
                  </w:r>
                </w:p>
              </w:tc>
              <w:tc>
                <w:tcPr/>
                <w:p>
                  <w:pPr>
                    <w:pStyle w:val="Compact"/>
                    <w:jc w:val="center"/>
                  </w:pPr>
                  <w:r>
                    <w:t xml:space="preserve">12</w:t>
                  </w:r>
                </w:p>
              </w:tc>
              <w:tc>
                <w:tcPr/>
                <w:p>
                  <w:pPr>
                    <w:pStyle w:val="Compact"/>
                    <w:jc w:val="center"/>
                  </w:pPr>
                  <w:r>
                    <w:t xml:space="preserve">1.40</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8</w:t>
                  </w:r>
                </w:p>
              </w:tc>
              <w:tc>
                <w:tcPr/>
                <w:p>
                  <w:pPr>
                    <w:pStyle w:val="Compact"/>
                    <w:jc w:val="center"/>
                  </w:pPr>
                  <w:r>
                    <w:t xml:space="preserve">3</w:t>
                  </w:r>
                </w:p>
              </w:tc>
              <w:tc>
                <w:tcPr/>
                <w:p>
                  <w:pPr>
                    <w:pStyle w:val="Compact"/>
                    <w:jc w:val="center"/>
                  </w:pPr>
                  <w:r>
                    <w:t xml:space="preserve">1.50</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9</w:t>
                  </w:r>
                </w:p>
              </w:tc>
              <w:tc>
                <w:tcPr/>
                <w:p>
                  <w:pPr>
                    <w:pStyle w:val="Compact"/>
                    <w:jc w:val="center"/>
                  </w:pPr>
                  <w:r>
                    <w:t xml:space="preserve">7</w:t>
                  </w:r>
                </w:p>
              </w:tc>
              <w:tc>
                <w:tcPr/>
                <w:p>
                  <w:pPr>
                    <w:pStyle w:val="Compact"/>
                    <w:jc w:val="center"/>
                  </w:pPr>
                  <w:r>
                    <w:t xml:space="preserve">1.59</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10</w:t>
                  </w:r>
                </w:p>
              </w:tc>
              <w:tc>
                <w:tcPr/>
                <w:p>
                  <w:pPr>
                    <w:pStyle w:val="Compact"/>
                    <w:jc w:val="center"/>
                  </w:pPr>
                  <w:r>
                    <w:t xml:space="preserve">15</w:t>
                  </w:r>
                </w:p>
              </w:tc>
              <w:tc>
                <w:tcPr/>
                <w:p>
                  <w:pPr>
                    <w:pStyle w:val="Compact"/>
                    <w:jc w:val="center"/>
                  </w:pPr>
                  <w:r>
                    <w:t xml:space="preserve">1.66</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11</w:t>
                  </w:r>
                </w:p>
              </w:tc>
              <w:tc>
                <w:tcPr/>
                <w:p>
                  <w:pPr>
                    <w:pStyle w:val="Compact"/>
                    <w:jc w:val="center"/>
                  </w:pPr>
                  <w:r>
                    <w:t xml:space="preserve">2</w:t>
                  </w:r>
                </w:p>
              </w:tc>
              <w:tc>
                <w:tcPr/>
                <w:p>
                  <w:pPr>
                    <w:pStyle w:val="Compact"/>
                    <w:jc w:val="center"/>
                  </w:pPr>
                  <w:r>
                    <w:t xml:space="preserve">1.59</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12</w:t>
                  </w:r>
                </w:p>
              </w:tc>
              <w:tc>
                <w:tcPr/>
                <w:p>
                  <w:pPr>
                    <w:pStyle w:val="Compact"/>
                    <w:jc w:val="center"/>
                  </w:pPr>
                  <w:r>
                    <w:t xml:space="preserve">10</w:t>
                  </w:r>
                </w:p>
              </w:tc>
              <w:tc>
                <w:tcPr/>
                <w:p>
                  <w:pPr>
                    <w:pStyle w:val="Compact"/>
                    <w:jc w:val="center"/>
                  </w:pPr>
                  <w:r>
                    <w:t xml:space="preserve">1.66</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13</w:t>
                  </w:r>
                </w:p>
              </w:tc>
              <w:tc>
                <w:tcPr/>
                <w:p>
                  <w:pPr>
                    <w:pStyle w:val="Compact"/>
                    <w:jc w:val="center"/>
                  </w:pPr>
                  <w:r>
                    <w:t xml:space="preserve">1</w:t>
                  </w:r>
                </w:p>
              </w:tc>
              <w:tc>
                <w:tcPr/>
                <w:p>
                  <w:pPr>
                    <w:pStyle w:val="Compact"/>
                    <w:jc w:val="center"/>
                  </w:pPr>
                  <w:r>
                    <w:t xml:space="preserve">1.48</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14</w:t>
                  </w:r>
                </w:p>
              </w:tc>
              <w:tc>
                <w:tcPr/>
                <w:p>
                  <w:pPr>
                    <w:pStyle w:val="Compact"/>
                    <w:jc w:val="center"/>
                  </w:pPr>
                  <w:r>
                    <w:t xml:space="preserve">8</w:t>
                  </w:r>
                </w:p>
              </w:tc>
              <w:tc>
                <w:tcPr/>
                <w:p>
                  <w:pPr>
                    <w:pStyle w:val="Compact"/>
                    <w:jc w:val="center"/>
                  </w:pPr>
                  <w:r>
                    <w:t xml:space="preserve">1.54</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15</w:t>
                  </w:r>
                </w:p>
              </w:tc>
              <w:tc>
                <w:tcPr/>
                <w:p>
                  <w:pPr>
                    <w:pStyle w:val="Compact"/>
                    <w:jc w:val="center"/>
                  </w:pPr>
                  <w:r>
                    <w:t xml:space="preserve">14</w:t>
                  </w:r>
                </w:p>
              </w:tc>
              <w:tc>
                <w:tcPr/>
                <w:p>
                  <w:pPr>
                    <w:pStyle w:val="Compact"/>
                    <w:jc w:val="center"/>
                  </w:pPr>
                  <w:r>
                    <w:t xml:space="preserve">1.52</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16</w:t>
                  </w:r>
                </w:p>
              </w:tc>
              <w:tc>
                <w:tcPr/>
                <w:p>
                  <w:pPr>
                    <w:pStyle w:val="Compact"/>
                    <w:jc w:val="center"/>
                  </w:pPr>
                  <w:r>
                    <w:t xml:space="preserve">9</w:t>
                  </w:r>
                </w:p>
              </w:tc>
              <w:tc>
                <w:tcPr/>
                <w:p>
                  <w:pPr>
                    <w:pStyle w:val="Compact"/>
                    <w:jc w:val="center"/>
                  </w:pPr>
                  <w:r>
                    <w:t xml:space="preserve">1.47</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17</w:t>
                  </w:r>
                </w:p>
              </w:tc>
              <w:tc>
                <w:tcPr/>
                <w:p>
                  <w:pPr>
                    <w:pStyle w:val="Compact"/>
                    <w:jc w:val="center"/>
                  </w:pPr>
                  <w:r>
                    <w:t xml:space="preserve">17</w:t>
                  </w:r>
                </w:p>
              </w:tc>
              <w:tc>
                <w:tcPr/>
                <w:p>
                  <w:pPr>
                    <w:pStyle w:val="Compact"/>
                    <w:jc w:val="center"/>
                  </w:pPr>
                  <w:r>
                    <w:t xml:space="preserve">1.49</w:t>
                  </w:r>
                </w:p>
              </w:tc>
              <w:tc>
                <w:tcPr/>
                <w:p>
                  <w:pPr>
                    <w:pStyle w:val="Compact"/>
                    <w:jc w:val="center"/>
                  </w:pPr>
                  <w:r>
                    <w:t xml:space="preserve">220,796</w:t>
                  </w:r>
                </w:p>
              </w:tc>
              <w:tc>
                <w:tcPr/>
                <w:p>
                  <w:pPr>
                    <w:pStyle w:val="Compact"/>
                    <w:jc w:val="center"/>
                  </w:pPr>
                  <w:r>
                    <w:t xml:space="preserve">1,372</w:t>
                  </w:r>
                </w:p>
              </w:tc>
            </w:tr>
            <w:tr>
              <w:tc>
                <w:tcPr/>
                <w:p>
                  <w:pPr>
                    <w:pStyle w:val="Compact"/>
                    <w:jc w:val="center"/>
                  </w:pPr>
                  <w:r>
                    <w:t xml:space="preserve">18</w:t>
                  </w:r>
                </w:p>
              </w:tc>
              <w:tc>
                <w:tcPr/>
                <w:p>
                  <w:pPr>
                    <w:pStyle w:val="Compact"/>
                    <w:jc w:val="center"/>
                  </w:pPr>
                  <w:r>
                    <w:t xml:space="preserve">4</w:t>
                  </w:r>
                </w:p>
              </w:tc>
              <w:tc>
                <w:tcPr/>
                <w:p>
                  <w:pPr>
                    <w:pStyle w:val="Compact"/>
                    <w:jc w:val="center"/>
                  </w:pPr>
                  <w:r>
                    <w:t xml:space="preserve">1.47</w:t>
                  </w:r>
                </w:p>
              </w:tc>
              <w:tc>
                <w:tcPr/>
                <w:p>
                  <w:pPr>
                    <w:pStyle w:val="Compact"/>
                    <w:jc w:val="center"/>
                  </w:pPr>
                  <w:r>
                    <w:t xml:space="preserve">183,600</w:t>
                  </w:r>
                </w:p>
              </w:tc>
              <w:tc>
                <w:tcPr/>
                <w:p>
                  <w:pPr>
                    <w:pStyle w:val="Compact"/>
                    <w:jc w:val="center"/>
                  </w:pPr>
                  <w:r>
                    <w:t xml:space="preserve">1,068</w:t>
                  </w:r>
                </w:p>
              </w:tc>
            </w:tr>
            <w:tr>
              <w:tc>
                <w:tcPr/>
                <w:p>
                  <w:pPr>
                    <w:pStyle w:val="Compact"/>
                    <w:jc w:val="center"/>
                  </w:pPr>
                  <w:r>
                    <w:t xml:space="preserve">19</w:t>
                  </w:r>
                </w:p>
              </w:tc>
              <w:tc>
                <w:tcPr/>
                <w:p>
                  <w:pPr>
                    <w:pStyle w:val="Compact"/>
                    <w:jc w:val="center"/>
                  </w:pPr>
                  <w:r>
                    <w:t xml:space="preserve">11</w:t>
                  </w:r>
                </w:p>
              </w:tc>
              <w:tc>
                <w:tcPr/>
                <w:p>
                  <w:pPr>
                    <w:pStyle w:val="Compact"/>
                    <w:jc w:val="center"/>
                  </w:pPr>
                  <w:r>
                    <w:t xml:space="preserve">1.51</w:t>
                  </w:r>
                </w:p>
              </w:tc>
              <w:tc>
                <w:tcPr/>
                <w:p>
                  <w:pPr>
                    <w:pStyle w:val="Compact"/>
                    <w:jc w:val="center"/>
                  </w:pPr>
                  <w:r>
                    <w:t xml:space="preserve">184,942</w:t>
                  </w:r>
                </w:p>
              </w:tc>
              <w:tc>
                <w:tcPr/>
                <w:p>
                  <w:pPr>
                    <w:pStyle w:val="Compact"/>
                    <w:jc w:val="center"/>
                  </w:pPr>
                  <w:r>
                    <w:t xml:space="preserve">941</w:t>
                  </w:r>
                </w:p>
              </w:tc>
            </w:tr>
            <w:tr>
              <w:tc>
                <w:tcPr>
                  <w:gridSpan w:val="5"/>
                </w:tcPr>
                <w:p>
                  <w:pPr>
                    <w:pStyle w:val="Compact"/>
                    <w:jc w:val="center"/>
                  </w:pPr>
                  <w:r>
                    <w:t xml:space="preserve">Run order, the order of execution. HMW, aggregate by SEC. DNA, residual DNA by qPCR in pg per mg antibody, measured on the centre points only. n.t., not tested.</w:t>
                  </w:r>
                </w:p>
              </w:tc>
            </w:tr>
          </w:tbl>
          <w:bookmarkEnd w:id="135"/>
          <w:p/>
        </w:tc>
      </w:tr>
    </w:tbl>
    <w:bookmarkEnd w:id="136"/>
    <w:bookmarkStart w:id="139" w:name="X4125de861a1edaf509f699b4c84c2434921439f"/>
    <w:p>
      <w:pPr>
        <w:pStyle w:val="Heading2"/>
      </w:pPr>
      <w:r>
        <w:t xml:space="preserve">Appendix B. Response-surface design matrix and responses</w:t>
      </w:r>
    </w:p>
    <w:p>
      <w:pPr>
        <w:pStyle w:val="FirstParagraph"/>
      </w:pPr>
      <w:hyperlink w:anchor="tbl-doe-protein-a-rsm">
        <w:r>
          <w:rPr>
            <w:rStyle w:val="Hyperlink"/>
          </w:rPr>
          <w:t xml:space="preserve">Table 37</w:t>
        </w:r>
      </w:hyperlink>
      <w:r>
        <w:t xml:space="preserve"> </w:t>
      </w:r>
      <w:r>
        <w:t xml:space="preserve">gives the response-surface design (study S-PA-RSM) in natural units, with the results as measured in the scale-down model and the fragment results of study S-PA-RET.</w:t>
      </w:r>
      <w:r>
        <w:t xml:space="preserve"> </w:t>
      </w:r>
      <w:hyperlink w:anchor="tbl-app-rsm-info">
        <w:r>
          <w:rPr>
            <w:rStyle w:val="Hyperlink"/>
          </w:rPr>
          <w:t xml:space="preserve">Table 38</w:t>
        </w:r>
      </w:hyperlink>
      <w:r>
        <w:t xml:space="preserve"> </w:t>
      </w:r>
      <w:r>
        <w:t xml:space="preserve">gives the run order of execution, which the trend test of criterion 5 uses, the elution buffer pH at which each run is analysed, and the results measured for information. Run 23 is analysed at its recorded pH (DEV-005-01).</w:t>
      </w:r>
    </w:p>
    <w:tbl>
      <w:tblPr>
        <w:tblStyle w:val="Table"/>
        <w:tblW w:type="pct" w:w="5000"/>
        <w:tblLayout w:type="fixed"/>
        <w:tblLook w:firstRow="0" w:lastRow="0" w:firstColumn="0" w:lastColumn="0" w:noHBand="0" w:noVBand="0" w:val="0000"/>
      </w:tblPr>
      <w:tblGrid>
        <w:gridCol w:w="7920"/>
      </w:tblGrid>
      <w:tr>
        <w:tc>
          <w:tcPr/>
          <w:bookmarkStart w:id="137" w:name="tbl-doe-protein-a-rsm"/>
          <w:p>
            <w:pPr>
              <w:jc w:val="center"/>
            </w:pPr>
            <w:pPr>
              <w:jc w:val="start"/>
              <w:spacing w:before="200"/>
              <w:pStyle w:val="ImageCaption"/>
            </w:pPr>
            <w:r>
              <w:t xml:space="preserve">Table 37: Protein A response-surface design, settings and results.</w:t>
            </w:r>
          </w:p>
          <w:tbl>
            <w:tblPr>
              <w:tblStyle w:val="Table"/>
              <w:tblW w:type="auto" w:w="0"/>
              <w:tblLook w:firstRow="1" w:lastRow="1"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4"/>
                </w:tcPr>
                <w:p>
                  <w:pPr>
                    <w:pStyle w:val="Compact"/>
                    <w:jc w:val="center"/>
                  </w:pPr>
                  <w:r>
                    <w:t xml:space="preserve">Factor settings</w:t>
                  </w:r>
                </w:p>
              </w:tc>
              <w:tc>
                <w:tcPr>
                  <w:gridSpan w:val="3"/>
                </w:tcPr>
                <w:p>
                  <w:pPr>
                    <w:pStyle w:val="Compact"/>
                    <w:jc w:val="center"/>
                  </w:pPr>
                  <w:r>
                    <w:t xml:space="preserve">Responses</w:t>
                  </w:r>
                </w:p>
              </w:tc>
              <w:tc>
                <w:tcPr>
                  <w:gridSpan w:val="2"/>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HCP</w:t>
                  </w:r>
                </w:p>
              </w:tc>
              <w:tc>
                <w:tcPr/>
                <w:p>
                  <w:pPr>
                    <w:pStyle w:val="Compact"/>
                    <w:jc w:val="center"/>
                  </w:pPr>
                  <w:r>
                    <w:t xml:space="preserve">Yield</w:t>
                  </w:r>
                </w:p>
              </w:tc>
              <w:tc>
                <w:tcPr/>
                <w:p>
                  <w:pPr>
                    <w:pStyle w:val="Compact"/>
                    <w:jc w:val="center"/>
                  </w:pPr>
                  <w:r>
                    <w:t xml:space="preserve">LPA</w:t>
                  </w:r>
                </w:p>
              </w:tc>
              <w:tc>
                <w:tcPr/>
                <w:p>
                  <w:pPr>
                    <w:pStyle w:val="Compact"/>
                    <w:jc w:val="center"/>
                  </w:pPr>
                  <w:r>
                    <w:t xml:space="preserve">SEC</w:t>
                  </w:r>
                </w:p>
              </w:tc>
              <w:tc>
                <w:tcPr/>
                <w:p>
                  <w:pPr>
                    <w:pStyle w:val="Compact"/>
                    <w:jc w:val="center"/>
                  </w:pPr>
                  <w:r>
                    <w:t xml:space="preserve">nrCE-SDS</w:t>
                  </w:r>
                </w:p>
              </w:tc>
            </w:tr>
            <w:tr>
              <w:trPr>
                <w:tblHeader w:val="on"/>
              </w:trPr>
              <w:tc>
                <w:tcPr>
                  <w:gridSpan w:val="1"/>
                  <w:vMerge w:val="continue"/>
                </w:tcPr>
                <w:p>
                  <w:pPr/>
                </w:p>
              </w:tc>
              <w:tc>
                <w:tcPr>
                  <w:gridSpan w:val="1"/>
                  <w:vMerge w:val="continue"/>
                </w:tcPr>
                <w:p>
                  <w:pPr/>
                </w:p>
              </w:tc>
              <w:tc>
                <w:tcPr/>
                <w:p>
                  <w:pPr>
                    <w:pStyle w:val="Compact"/>
                    <w:jc w:val="center"/>
                  </w:pPr>
                  <w:r>
                    <w:t xml:space="preserve">g/L resin</w:t>
                  </w:r>
                </w:p>
              </w:tc>
              <w:tc>
                <w:tcPr/>
                <w:p>
                  <w:pPr>
                    <w:pStyle w:val="Compact"/>
                    <w:jc w:val="center"/>
                  </w:pPr>
                  <w:r>
                    <w:t xml:space="preserve">pH</w:t>
                  </w:r>
                </w:p>
              </w:tc>
              <w:tc>
                <w:tcPr/>
                <w:p>
                  <w:pPr>
                    <w:pStyle w:val="Compact"/>
                    <w:jc w:val="center"/>
                  </w:pPr>
                  <w:r>
                    <w:t xml:space="preserve">cm/hr</w:t>
                  </w:r>
                </w:p>
              </w:tc>
              <w:tc>
                <w:tcPr/>
                <w:p>
                  <w:pPr>
                    <w:pStyle w:val="Compact"/>
                    <w:jc w:val="center"/>
                  </w:pPr>
                  <w:r>
                    <w:t xml:space="preserve">CV</w:t>
                  </w:r>
                </w:p>
              </w:tc>
              <w:tc>
                <w:tcPr/>
                <w:p>
                  <w:pPr>
                    <w:pStyle w:val="Compact"/>
                    <w:jc w:val="center"/>
                  </w:pPr>
                  <w:r>
                    <w:t xml:space="preserve">ng/mg</w:t>
                  </w:r>
                </w:p>
              </w:tc>
              <w:tc>
                <w:tcPr/>
                <w:p>
                  <w:pPr>
                    <w:pStyle w:val="Compact"/>
                    <w:jc w:val="center"/>
                  </w:pPr>
                  <w:r>
                    <w:t xml:space="preserve">%</w:t>
                  </w:r>
                </w:p>
              </w:tc>
              <w:tc>
                <w:tcPr/>
                <w:p>
                  <w:pPr>
                    <w:pStyle w:val="Compact"/>
                    <w:jc w:val="center"/>
                  </w:pPr>
                  <w:r>
                    <w:t xml:space="preserve">ppm</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10</w:t>
                  </w:r>
                </w:p>
              </w:tc>
              <w:tc>
                <w:tcPr/>
                <w:p>
                  <w:pPr>
                    <w:pStyle w:val="Compact"/>
                    <w:jc w:val="center"/>
                  </w:pPr>
                  <w:r>
                    <w:t xml:space="preserve">3.2</w:t>
                  </w:r>
                </w:p>
              </w:tc>
              <w:tc>
                <w:tcPr/>
                <w:p>
                  <w:pPr>
                    <w:pStyle w:val="Compact"/>
                    <w:jc w:val="center"/>
                  </w:pPr>
                  <w:r>
                    <w:t xml:space="preserve">100</w:t>
                  </w:r>
                </w:p>
              </w:tc>
              <w:tc>
                <w:tcPr/>
                <w:p>
                  <w:pPr>
                    <w:pStyle w:val="Compact"/>
                    <w:jc w:val="center"/>
                  </w:pPr>
                  <w:r>
                    <w:t xml:space="preserve">2</w:t>
                  </w:r>
                </w:p>
              </w:tc>
              <w:tc>
                <w:tcPr/>
                <w:p>
                  <w:pPr>
                    <w:pStyle w:val="Compact"/>
                    <w:jc w:val="center"/>
                  </w:pPr>
                  <w:r>
                    <w:t xml:space="preserve">10,011</w:t>
                  </w:r>
                </w:p>
              </w:tc>
              <w:tc>
                <w:tcPr/>
                <w:p>
                  <w:pPr>
                    <w:pStyle w:val="Compact"/>
                    <w:jc w:val="center"/>
                  </w:pPr>
                  <w:r>
                    <w:t xml:space="preserve">93.0</w:t>
                  </w:r>
                </w:p>
              </w:tc>
              <w:tc>
                <w:tcPr/>
                <w:p>
                  <w:pPr>
                    <w:pStyle w:val="Compact"/>
                    <w:jc w:val="center"/>
                  </w:pPr>
                  <w:r>
                    <w:t xml:space="preserve">3.42</w:t>
                  </w:r>
                </w:p>
              </w:tc>
              <w:tc>
                <w:tcPr/>
                <w:p>
                  <w:pPr>
                    <w:pStyle w:val="Compact"/>
                    <w:jc w:val="center"/>
                  </w:pPr>
                  <w:r>
                    <w:t xml:space="preserve">1.41</w:t>
                  </w:r>
                </w:p>
              </w:tc>
              <w:tc>
                <w:tcPr/>
                <w:p>
                  <w:pPr>
                    <w:pStyle w:val="Compact"/>
                    <w:jc w:val="center"/>
                  </w:pPr>
                  <w:r>
                    <w:t xml:space="preserve">0.90</w:t>
                  </w:r>
                </w:p>
              </w:tc>
            </w:tr>
            <w:tr>
              <w:tc>
                <w:tcPr/>
                <w:p>
                  <w:pPr>
                    <w:pStyle w:val="Compact"/>
                    <w:jc w:val="center"/>
                  </w:pPr>
                  <w:r>
                    <w:t xml:space="preserve">2</w:t>
                  </w:r>
                </w:p>
              </w:tc>
              <w:tc>
                <w:tcPr>
                  <w:gridSpan w:val="1"/>
                  <w:vMerge w:val="continue"/>
                </w:tcPr>
                <w:p>
                  <w:pPr/>
                </w:p>
              </w:tc>
              <w:tc>
                <w:tcPr/>
                <w:p>
                  <w:pPr>
                    <w:pStyle w:val="Compact"/>
                    <w:jc w:val="center"/>
                  </w:pPr>
                  <w:r>
                    <w:t xml:space="preserve">10</w:t>
                  </w:r>
                </w:p>
              </w:tc>
              <w:tc>
                <w:tcPr/>
                <w:p>
                  <w:pPr>
                    <w:pStyle w:val="Compact"/>
                    <w:jc w:val="center"/>
                  </w:pPr>
                  <w:r>
                    <w:t xml:space="preserve">3.2</w:t>
                  </w:r>
                </w:p>
              </w:tc>
              <w:tc>
                <w:tcPr/>
                <w:p>
                  <w:pPr>
                    <w:pStyle w:val="Compact"/>
                    <w:jc w:val="center"/>
                  </w:pPr>
                  <w:r>
                    <w:t xml:space="preserve">100</w:t>
                  </w:r>
                </w:p>
              </w:tc>
              <w:tc>
                <w:tcPr/>
                <w:p>
                  <w:pPr>
                    <w:pStyle w:val="Compact"/>
                    <w:jc w:val="center"/>
                  </w:pPr>
                  <w:r>
                    <w:t xml:space="preserve">3.2</w:t>
                  </w:r>
                </w:p>
              </w:tc>
              <w:tc>
                <w:tcPr/>
                <w:p>
                  <w:pPr>
                    <w:pStyle w:val="Compact"/>
                    <w:jc w:val="center"/>
                  </w:pPr>
                  <w:r>
                    <w:t xml:space="preserve">9,269</w:t>
                  </w:r>
                </w:p>
              </w:tc>
              <w:tc>
                <w:tcPr/>
                <w:p>
                  <w:pPr>
                    <w:pStyle w:val="Compact"/>
                    <w:jc w:val="center"/>
                  </w:pPr>
                  <w:r>
                    <w:t xml:space="preserve">99.0</w:t>
                  </w:r>
                </w:p>
              </w:tc>
              <w:tc>
                <w:tcPr/>
                <w:p>
                  <w:pPr>
                    <w:pStyle w:val="Compact"/>
                    <w:jc w:val="center"/>
                  </w:pPr>
                  <w:r>
                    <w:t xml:space="preserve">3.06</w:t>
                  </w:r>
                </w:p>
              </w:tc>
              <w:tc>
                <w:tcPr/>
                <w:p>
                  <w:pPr>
                    <w:pStyle w:val="Compact"/>
                    <w:jc w:val="center"/>
                  </w:pPr>
                  <w:r>
                    <w:t xml:space="preserve">1.43</w:t>
                  </w:r>
                </w:p>
              </w:tc>
              <w:tc>
                <w:tcPr/>
                <w:p>
                  <w:pPr>
                    <w:pStyle w:val="Compact"/>
                    <w:jc w:val="center"/>
                  </w:pPr>
                  <w:r>
                    <w:t xml:space="preserve">1.08</w:t>
                  </w:r>
                </w:p>
              </w:tc>
            </w:tr>
            <w:tr>
              <w:tc>
                <w:tcPr/>
                <w:p>
                  <w:pPr>
                    <w:pStyle w:val="Compact"/>
                    <w:jc w:val="center"/>
                  </w:pPr>
                  <w:r>
                    <w:t xml:space="preserve">3</w:t>
                  </w:r>
                </w:p>
              </w:tc>
              <w:tc>
                <w:tcPr>
                  <w:gridSpan w:val="1"/>
                  <w:vMerge w:val="continue"/>
                </w:tcPr>
                <w:p>
                  <w:pPr/>
                </w:p>
              </w:tc>
              <w:tc>
                <w:tcPr/>
                <w:p>
                  <w:pPr>
                    <w:pStyle w:val="Compact"/>
                    <w:jc w:val="center"/>
                  </w:pPr>
                  <w:r>
                    <w:t xml:space="preserve">10</w:t>
                  </w:r>
                </w:p>
              </w:tc>
              <w:tc>
                <w:tcPr/>
                <w:p>
                  <w:pPr>
                    <w:pStyle w:val="Compact"/>
                    <w:jc w:val="center"/>
                  </w:pPr>
                  <w:r>
                    <w:t xml:space="preserve">3.2</w:t>
                  </w:r>
                </w:p>
              </w:tc>
              <w:tc>
                <w:tcPr/>
                <w:p>
                  <w:pPr>
                    <w:pStyle w:val="Compact"/>
                    <w:jc w:val="center"/>
                  </w:pPr>
                  <w:r>
                    <w:t xml:space="preserve">300</w:t>
                  </w:r>
                </w:p>
              </w:tc>
              <w:tc>
                <w:tcPr/>
                <w:p>
                  <w:pPr>
                    <w:pStyle w:val="Compact"/>
                    <w:jc w:val="center"/>
                  </w:pPr>
                  <w:r>
                    <w:t xml:space="preserve">2</w:t>
                  </w:r>
                </w:p>
              </w:tc>
              <w:tc>
                <w:tcPr/>
                <w:p>
                  <w:pPr>
                    <w:pStyle w:val="Compact"/>
                    <w:jc w:val="center"/>
                  </w:pPr>
                  <w:r>
                    <w:t xml:space="preserve">10,651</w:t>
                  </w:r>
                </w:p>
              </w:tc>
              <w:tc>
                <w:tcPr/>
                <w:p>
                  <w:pPr>
                    <w:pStyle w:val="Compact"/>
                    <w:jc w:val="center"/>
                  </w:pPr>
                  <w:r>
                    <w:t xml:space="preserve">92.8</w:t>
                  </w:r>
                </w:p>
              </w:tc>
              <w:tc>
                <w:tcPr/>
                <w:p>
                  <w:pPr>
                    <w:pStyle w:val="Compact"/>
                    <w:jc w:val="center"/>
                  </w:pPr>
                  <w:r>
                    <w:t xml:space="preserve">2.53</w:t>
                  </w:r>
                </w:p>
              </w:tc>
              <w:tc>
                <w:tcPr/>
                <w:p>
                  <w:pPr>
                    <w:pStyle w:val="Compact"/>
                    <w:jc w:val="center"/>
                  </w:pPr>
                  <w:r>
                    <w:t xml:space="preserve">1.45</w:t>
                  </w:r>
                </w:p>
              </w:tc>
              <w:tc>
                <w:tcPr/>
                <w:p>
                  <w:pPr>
                    <w:pStyle w:val="Compact"/>
                    <w:jc w:val="center"/>
                  </w:pPr>
                  <w:r>
                    <w:t xml:space="preserve">1.09</w:t>
                  </w:r>
                </w:p>
              </w:tc>
            </w:tr>
            <w:tr>
              <w:tc>
                <w:tcPr/>
                <w:p>
                  <w:pPr>
                    <w:pStyle w:val="Compact"/>
                    <w:jc w:val="center"/>
                  </w:pPr>
                  <w:r>
                    <w:t xml:space="preserve">4</w:t>
                  </w:r>
                </w:p>
              </w:tc>
              <w:tc>
                <w:tcPr>
                  <w:gridSpan w:val="1"/>
                  <w:vMerge w:val="continue"/>
                </w:tcPr>
                <w:p>
                  <w:pPr/>
                </w:p>
              </w:tc>
              <w:tc>
                <w:tcPr/>
                <w:p>
                  <w:pPr>
                    <w:pStyle w:val="Compact"/>
                    <w:jc w:val="center"/>
                  </w:pPr>
                  <w:r>
                    <w:t xml:space="preserve">10</w:t>
                  </w:r>
                </w:p>
              </w:tc>
              <w:tc>
                <w:tcPr/>
                <w:p>
                  <w:pPr>
                    <w:pStyle w:val="Compact"/>
                    <w:jc w:val="center"/>
                  </w:pPr>
                  <w:r>
                    <w:t xml:space="preserve">3.2</w:t>
                  </w:r>
                </w:p>
              </w:tc>
              <w:tc>
                <w:tcPr/>
                <w:p>
                  <w:pPr>
                    <w:pStyle w:val="Compact"/>
                    <w:jc w:val="center"/>
                  </w:pPr>
                  <w:r>
                    <w:t xml:space="preserve">300</w:t>
                  </w:r>
                </w:p>
              </w:tc>
              <w:tc>
                <w:tcPr/>
                <w:p>
                  <w:pPr>
                    <w:pStyle w:val="Compact"/>
                    <w:jc w:val="center"/>
                  </w:pPr>
                  <w:r>
                    <w:t xml:space="preserve">3.2</w:t>
                  </w:r>
                </w:p>
              </w:tc>
              <w:tc>
                <w:tcPr/>
                <w:p>
                  <w:pPr>
                    <w:pStyle w:val="Compact"/>
                    <w:jc w:val="center"/>
                  </w:pPr>
                  <w:r>
                    <w:t xml:space="preserve">7,715</w:t>
                  </w:r>
                </w:p>
              </w:tc>
              <w:tc>
                <w:tcPr/>
                <w:p>
                  <w:pPr>
                    <w:pStyle w:val="Compact"/>
                    <w:jc w:val="center"/>
                  </w:pPr>
                  <w:r>
                    <w:t xml:space="preserve">98.8</w:t>
                  </w:r>
                </w:p>
              </w:tc>
              <w:tc>
                <w:tcPr/>
                <w:p>
                  <w:pPr>
                    <w:pStyle w:val="Compact"/>
                    <w:jc w:val="center"/>
                  </w:pPr>
                  <w:r>
                    <w:t xml:space="preserve">2.48</w:t>
                  </w:r>
                </w:p>
              </w:tc>
              <w:tc>
                <w:tcPr/>
                <w:p>
                  <w:pPr>
                    <w:pStyle w:val="Compact"/>
                    <w:jc w:val="center"/>
                  </w:pPr>
                  <w:r>
                    <w:t xml:space="preserve">1.36</w:t>
                  </w:r>
                </w:p>
              </w:tc>
              <w:tc>
                <w:tcPr/>
                <w:p>
                  <w:pPr>
                    <w:pStyle w:val="Compact"/>
                    <w:jc w:val="center"/>
                  </w:pPr>
                  <w:r>
                    <w:t xml:space="preserve">0.94</w:t>
                  </w:r>
                </w:p>
              </w:tc>
            </w:tr>
            <w:tr>
              <w:tc>
                <w:tcPr/>
                <w:p>
                  <w:pPr>
                    <w:pStyle w:val="Compact"/>
                    <w:jc w:val="center"/>
                  </w:pPr>
                  <w:r>
                    <w:t xml:space="preserve">5</w:t>
                  </w:r>
                </w:p>
              </w:tc>
              <w:tc>
                <w:tcPr>
                  <w:gridSpan w:val="1"/>
                  <w:vMerge w:val="continue"/>
                </w:tcPr>
                <w:p>
                  <w:pPr/>
                </w:p>
              </w:tc>
              <w:tc>
                <w:tcPr/>
                <w:p>
                  <w:pPr>
                    <w:pStyle w:val="Compact"/>
                    <w:jc w:val="center"/>
                  </w:pPr>
                  <w:r>
                    <w:t xml:space="preserve">10</w:t>
                  </w:r>
                </w:p>
              </w:tc>
              <w:tc>
                <w:tcPr/>
                <w:p>
                  <w:pPr>
                    <w:pStyle w:val="Compact"/>
                    <w:jc w:val="center"/>
                  </w:pPr>
                  <w:r>
                    <w:t xml:space="preserve">3.9</w:t>
                  </w:r>
                </w:p>
              </w:tc>
              <w:tc>
                <w:tcPr/>
                <w:p>
                  <w:pPr>
                    <w:pStyle w:val="Compact"/>
                    <w:jc w:val="center"/>
                  </w:pPr>
                  <w:r>
                    <w:t xml:space="preserve">100</w:t>
                  </w:r>
                </w:p>
              </w:tc>
              <w:tc>
                <w:tcPr/>
                <w:p>
                  <w:pPr>
                    <w:pStyle w:val="Compact"/>
                    <w:jc w:val="center"/>
                  </w:pPr>
                  <w:r>
                    <w:t xml:space="preserve">2</w:t>
                  </w:r>
                </w:p>
              </w:tc>
              <w:tc>
                <w:tcPr/>
                <w:p>
                  <w:pPr>
                    <w:pStyle w:val="Compact"/>
                    <w:jc w:val="center"/>
                  </w:pPr>
                  <w:r>
                    <w:t xml:space="preserve">2,993</w:t>
                  </w:r>
                </w:p>
              </w:tc>
              <w:tc>
                <w:tcPr/>
                <w:p>
                  <w:pPr>
                    <w:pStyle w:val="Compact"/>
                    <w:jc w:val="center"/>
                  </w:pPr>
                  <w:r>
                    <w:t xml:space="preserve">92.3</w:t>
                  </w:r>
                </w:p>
              </w:tc>
              <w:tc>
                <w:tcPr/>
                <w:p>
                  <w:pPr>
                    <w:pStyle w:val="Compact"/>
                    <w:jc w:val="center"/>
                  </w:pPr>
                  <w:r>
                    <w:t xml:space="preserve">3.27</w:t>
                  </w:r>
                </w:p>
              </w:tc>
              <w:tc>
                <w:tcPr/>
                <w:p>
                  <w:pPr>
                    <w:pStyle w:val="Compact"/>
                    <w:jc w:val="center"/>
                  </w:pPr>
                  <w:r>
                    <w:t xml:space="preserve">1.05</w:t>
                  </w:r>
                </w:p>
              </w:tc>
              <w:tc>
                <w:tcPr/>
                <w:p>
                  <w:pPr>
                    <w:pStyle w:val="Compact"/>
                    <w:jc w:val="center"/>
                  </w:pPr>
                  <w:r>
                    <w:t xml:space="preserve">0.93</w:t>
                  </w:r>
                </w:p>
              </w:tc>
            </w:tr>
            <w:tr>
              <w:tc>
                <w:tcPr/>
                <w:p>
                  <w:pPr>
                    <w:pStyle w:val="Compact"/>
                    <w:jc w:val="center"/>
                  </w:pPr>
                  <w:r>
                    <w:t xml:space="preserve">6</w:t>
                  </w:r>
                </w:p>
              </w:tc>
              <w:tc>
                <w:tcPr>
                  <w:gridSpan w:val="1"/>
                  <w:vMerge w:val="continue"/>
                </w:tcPr>
                <w:p>
                  <w:pPr/>
                </w:p>
              </w:tc>
              <w:tc>
                <w:tcPr/>
                <w:p>
                  <w:pPr>
                    <w:pStyle w:val="Compact"/>
                    <w:jc w:val="center"/>
                  </w:pPr>
                  <w:r>
                    <w:t xml:space="preserve">10</w:t>
                  </w:r>
                </w:p>
              </w:tc>
              <w:tc>
                <w:tcPr/>
                <w:p>
                  <w:pPr>
                    <w:pStyle w:val="Compact"/>
                    <w:jc w:val="center"/>
                  </w:pPr>
                  <w:r>
                    <w:t xml:space="preserve">3.9</w:t>
                  </w:r>
                </w:p>
              </w:tc>
              <w:tc>
                <w:tcPr/>
                <w:p>
                  <w:pPr>
                    <w:pStyle w:val="Compact"/>
                    <w:jc w:val="center"/>
                  </w:pPr>
                  <w:r>
                    <w:t xml:space="preserve">100</w:t>
                  </w:r>
                </w:p>
              </w:tc>
              <w:tc>
                <w:tcPr/>
                <w:p>
                  <w:pPr>
                    <w:pStyle w:val="Compact"/>
                    <w:jc w:val="center"/>
                  </w:pPr>
                  <w:r>
                    <w:t xml:space="preserve">3.2</w:t>
                  </w:r>
                </w:p>
              </w:tc>
              <w:tc>
                <w:tcPr/>
                <w:p>
                  <w:pPr>
                    <w:pStyle w:val="Compact"/>
                    <w:jc w:val="center"/>
                  </w:pPr>
                  <w:r>
                    <w:t xml:space="preserve">2,149</w:t>
                  </w:r>
                </w:p>
              </w:tc>
              <w:tc>
                <w:tcPr/>
                <w:p>
                  <w:pPr>
                    <w:pStyle w:val="Compact"/>
                    <w:jc w:val="center"/>
                  </w:pPr>
                  <w:r>
                    <w:t xml:space="preserve">97.7</w:t>
                  </w:r>
                </w:p>
              </w:tc>
              <w:tc>
                <w:tcPr/>
                <w:p>
                  <w:pPr>
                    <w:pStyle w:val="Compact"/>
                    <w:jc w:val="center"/>
                  </w:pPr>
                  <w:r>
                    <w:t xml:space="preserve">1.89</w:t>
                  </w:r>
                </w:p>
              </w:tc>
              <w:tc>
                <w:tcPr/>
                <w:p>
                  <w:pPr>
                    <w:pStyle w:val="Compact"/>
                    <w:jc w:val="center"/>
                  </w:pPr>
                  <w:r>
                    <w:t xml:space="preserve">0.95</w:t>
                  </w:r>
                </w:p>
              </w:tc>
              <w:tc>
                <w:tcPr/>
                <w:p>
                  <w:pPr>
                    <w:pStyle w:val="Compact"/>
                    <w:jc w:val="center"/>
                  </w:pPr>
                  <w:r>
                    <w:t xml:space="preserve">0.83</w:t>
                  </w:r>
                </w:p>
              </w:tc>
            </w:tr>
            <w:tr>
              <w:tc>
                <w:tcPr/>
                <w:p>
                  <w:pPr>
                    <w:pStyle w:val="Compact"/>
                    <w:jc w:val="center"/>
                  </w:pPr>
                  <w:r>
                    <w:t xml:space="preserve">7</w:t>
                  </w:r>
                </w:p>
              </w:tc>
              <w:tc>
                <w:tcPr>
                  <w:gridSpan w:val="1"/>
                  <w:vMerge w:val="continue"/>
                </w:tcPr>
                <w:p>
                  <w:pPr/>
                </w:p>
              </w:tc>
              <w:tc>
                <w:tcPr/>
                <w:p>
                  <w:pPr>
                    <w:pStyle w:val="Compact"/>
                    <w:jc w:val="center"/>
                  </w:pPr>
                  <w:r>
                    <w:t xml:space="preserve">10</w:t>
                  </w:r>
                </w:p>
              </w:tc>
              <w:tc>
                <w:tcPr/>
                <w:p>
                  <w:pPr>
                    <w:pStyle w:val="Compact"/>
                    <w:jc w:val="center"/>
                  </w:pPr>
                  <w:r>
                    <w:t xml:space="preserve">3.9</w:t>
                  </w:r>
                </w:p>
              </w:tc>
              <w:tc>
                <w:tcPr/>
                <w:p>
                  <w:pPr>
                    <w:pStyle w:val="Compact"/>
                    <w:jc w:val="center"/>
                  </w:pPr>
                  <w:r>
                    <w:t xml:space="preserve">300</w:t>
                  </w:r>
                </w:p>
              </w:tc>
              <w:tc>
                <w:tcPr/>
                <w:p>
                  <w:pPr>
                    <w:pStyle w:val="Compact"/>
                    <w:jc w:val="center"/>
                  </w:pPr>
                  <w:r>
                    <w:t xml:space="preserve">2</w:t>
                  </w:r>
                </w:p>
              </w:tc>
              <w:tc>
                <w:tcPr/>
                <w:p>
                  <w:pPr>
                    <w:pStyle w:val="Compact"/>
                    <w:jc w:val="center"/>
                  </w:pPr>
                  <w:r>
                    <w:t xml:space="preserve">2,643</w:t>
                  </w:r>
                </w:p>
              </w:tc>
              <w:tc>
                <w:tcPr/>
                <w:p>
                  <w:pPr>
                    <w:pStyle w:val="Compact"/>
                    <w:jc w:val="center"/>
                  </w:pPr>
                  <w:r>
                    <w:t xml:space="preserve">90.8</w:t>
                  </w:r>
                </w:p>
              </w:tc>
              <w:tc>
                <w:tcPr/>
                <w:p>
                  <w:pPr>
                    <w:pStyle w:val="Compact"/>
                    <w:jc w:val="center"/>
                  </w:pPr>
                  <w:r>
                    <w:t xml:space="preserve">4.61</w:t>
                  </w:r>
                </w:p>
              </w:tc>
              <w:tc>
                <w:tcPr/>
                <w:p>
                  <w:pPr>
                    <w:pStyle w:val="Compact"/>
                    <w:jc w:val="center"/>
                  </w:pPr>
                  <w:r>
                    <w:t xml:space="preserve">1.04</w:t>
                  </w:r>
                </w:p>
              </w:tc>
              <w:tc>
                <w:tcPr/>
                <w:p>
                  <w:pPr>
                    <w:pStyle w:val="Compact"/>
                    <w:jc w:val="center"/>
                  </w:pPr>
                  <w:r>
                    <w:t xml:space="preserve">0.91</w:t>
                  </w:r>
                </w:p>
              </w:tc>
            </w:tr>
            <w:tr>
              <w:tc>
                <w:tcPr/>
                <w:p>
                  <w:pPr>
                    <w:pStyle w:val="Compact"/>
                    <w:jc w:val="center"/>
                  </w:pPr>
                  <w:r>
                    <w:t xml:space="preserve">8</w:t>
                  </w:r>
                </w:p>
              </w:tc>
              <w:tc>
                <w:tcPr>
                  <w:gridSpan w:val="1"/>
                  <w:vMerge w:val="continue"/>
                </w:tcPr>
                <w:p>
                  <w:pPr/>
                </w:p>
              </w:tc>
              <w:tc>
                <w:tcPr/>
                <w:p>
                  <w:pPr>
                    <w:pStyle w:val="Compact"/>
                    <w:jc w:val="center"/>
                  </w:pPr>
                  <w:r>
                    <w:t xml:space="preserve">10</w:t>
                  </w:r>
                </w:p>
              </w:tc>
              <w:tc>
                <w:tcPr/>
                <w:p>
                  <w:pPr>
                    <w:pStyle w:val="Compact"/>
                    <w:jc w:val="center"/>
                  </w:pPr>
                  <w:r>
                    <w:t xml:space="preserve">3.9</w:t>
                  </w:r>
                </w:p>
              </w:tc>
              <w:tc>
                <w:tcPr/>
                <w:p>
                  <w:pPr>
                    <w:pStyle w:val="Compact"/>
                    <w:jc w:val="center"/>
                  </w:pPr>
                  <w:r>
                    <w:t xml:space="preserve">300</w:t>
                  </w:r>
                </w:p>
              </w:tc>
              <w:tc>
                <w:tcPr/>
                <w:p>
                  <w:pPr>
                    <w:pStyle w:val="Compact"/>
                    <w:jc w:val="center"/>
                  </w:pPr>
                  <w:r>
                    <w:t xml:space="preserve">3.2</w:t>
                  </w:r>
                </w:p>
              </w:tc>
              <w:tc>
                <w:tcPr/>
                <w:p>
                  <w:pPr>
                    <w:pStyle w:val="Compact"/>
                    <w:jc w:val="center"/>
                  </w:pPr>
                  <w:r>
                    <w:t xml:space="preserve">2,663</w:t>
                  </w:r>
                </w:p>
              </w:tc>
              <w:tc>
                <w:tcPr/>
                <w:p>
                  <w:pPr>
                    <w:pStyle w:val="Compact"/>
                    <w:jc w:val="center"/>
                  </w:pPr>
                  <w:r>
                    <w:t xml:space="preserve">99.0</w:t>
                  </w:r>
                </w:p>
              </w:tc>
              <w:tc>
                <w:tcPr/>
                <w:p>
                  <w:pPr>
                    <w:pStyle w:val="Compact"/>
                    <w:jc w:val="center"/>
                  </w:pPr>
                  <w:r>
                    <w:t xml:space="preserve">3.13</w:t>
                  </w:r>
                </w:p>
              </w:tc>
              <w:tc>
                <w:tcPr/>
                <w:p>
                  <w:pPr>
                    <w:pStyle w:val="Compact"/>
                    <w:jc w:val="center"/>
                  </w:pPr>
                  <w:r>
                    <w:t xml:space="preserve">1.07</w:t>
                  </w:r>
                </w:p>
              </w:tc>
              <w:tc>
                <w:tcPr/>
                <w:p>
                  <w:pPr>
                    <w:pStyle w:val="Compact"/>
                    <w:jc w:val="center"/>
                  </w:pPr>
                  <w:r>
                    <w:t xml:space="preserve">0.93</w:t>
                  </w:r>
                </w:p>
              </w:tc>
            </w:tr>
            <w:tr>
              <w:tc>
                <w:tcPr/>
                <w:p>
                  <w:pPr>
                    <w:pStyle w:val="Compact"/>
                    <w:jc w:val="center"/>
                  </w:pPr>
                  <w:r>
                    <w:t xml:space="preserve">9</w:t>
                  </w:r>
                </w:p>
              </w:tc>
              <w:tc>
                <w:tcPr>
                  <w:gridSpan w:val="1"/>
                  <w:vMerge w:val="continue"/>
                </w:tcPr>
                <w:p>
                  <w:pPr/>
                </w:p>
              </w:tc>
              <w:tc>
                <w:tcPr/>
                <w:p>
                  <w:pPr>
                    <w:pStyle w:val="Compact"/>
                    <w:jc w:val="center"/>
                  </w:pPr>
                  <w:r>
                    <w:t xml:space="preserve">50</w:t>
                  </w:r>
                </w:p>
              </w:tc>
              <w:tc>
                <w:tcPr/>
                <w:p>
                  <w:pPr>
                    <w:pStyle w:val="Compact"/>
                    <w:jc w:val="center"/>
                  </w:pPr>
                  <w:r>
                    <w:t xml:space="preserve">3.2</w:t>
                  </w:r>
                </w:p>
              </w:tc>
              <w:tc>
                <w:tcPr/>
                <w:p>
                  <w:pPr>
                    <w:pStyle w:val="Compact"/>
                    <w:jc w:val="center"/>
                  </w:pPr>
                  <w:r>
                    <w:t xml:space="preserve">100</w:t>
                  </w:r>
                </w:p>
              </w:tc>
              <w:tc>
                <w:tcPr/>
                <w:p>
                  <w:pPr>
                    <w:pStyle w:val="Compact"/>
                    <w:jc w:val="center"/>
                  </w:pPr>
                  <w:r>
                    <w:t xml:space="preserve">2</w:t>
                  </w:r>
                </w:p>
              </w:tc>
              <w:tc>
                <w:tcPr/>
                <w:p>
                  <w:pPr>
                    <w:pStyle w:val="Compact"/>
                    <w:jc w:val="center"/>
                  </w:pPr>
                  <w:r>
                    <w:t xml:space="preserve">25,114</w:t>
                  </w:r>
                </w:p>
              </w:tc>
              <w:tc>
                <w:tcPr/>
                <w:p>
                  <w:pPr>
                    <w:pStyle w:val="Compact"/>
                    <w:jc w:val="center"/>
                  </w:pPr>
                  <w:r>
                    <w:t xml:space="preserve">89.0</w:t>
                  </w:r>
                </w:p>
              </w:tc>
              <w:tc>
                <w:tcPr/>
                <w:p>
                  <w:pPr>
                    <w:pStyle w:val="Compact"/>
                    <w:jc w:val="center"/>
                  </w:pPr>
                  <w:r>
                    <w:t xml:space="preserve">3.38</w:t>
                  </w:r>
                </w:p>
              </w:tc>
              <w:tc>
                <w:tcPr/>
                <w:p>
                  <w:pPr>
                    <w:pStyle w:val="Compact"/>
                    <w:jc w:val="center"/>
                  </w:pPr>
                  <w:r>
                    <w:t xml:space="preserve">2.28</w:t>
                  </w:r>
                </w:p>
              </w:tc>
              <w:tc>
                <w:tcPr/>
                <w:p>
                  <w:pPr>
                    <w:pStyle w:val="Compact"/>
                    <w:jc w:val="center"/>
                  </w:pPr>
                  <w:r>
                    <w:t xml:space="preserve">0.90</w:t>
                  </w:r>
                </w:p>
              </w:tc>
            </w:tr>
            <w:tr>
              <w:tc>
                <w:tcPr/>
                <w:p>
                  <w:pPr>
                    <w:pStyle w:val="Compact"/>
                    <w:jc w:val="center"/>
                  </w:pPr>
                  <w:r>
                    <w:t xml:space="preserve">10</w:t>
                  </w:r>
                </w:p>
              </w:tc>
              <w:tc>
                <w:tcPr>
                  <w:gridSpan w:val="1"/>
                  <w:vMerge w:val="continue"/>
                </w:tcPr>
                <w:p>
                  <w:pPr/>
                </w:p>
              </w:tc>
              <w:tc>
                <w:tcPr/>
                <w:p>
                  <w:pPr>
                    <w:pStyle w:val="Compact"/>
                    <w:jc w:val="center"/>
                  </w:pPr>
                  <w:r>
                    <w:t xml:space="preserve">50</w:t>
                  </w:r>
                </w:p>
              </w:tc>
              <w:tc>
                <w:tcPr/>
                <w:p>
                  <w:pPr>
                    <w:pStyle w:val="Compact"/>
                    <w:jc w:val="center"/>
                  </w:pPr>
                  <w:r>
                    <w:t xml:space="preserve">3.2</w:t>
                  </w:r>
                </w:p>
              </w:tc>
              <w:tc>
                <w:tcPr/>
                <w:p>
                  <w:pPr>
                    <w:pStyle w:val="Compact"/>
                    <w:jc w:val="center"/>
                  </w:pPr>
                  <w:r>
                    <w:t xml:space="preserve">100</w:t>
                  </w:r>
                </w:p>
              </w:tc>
              <w:tc>
                <w:tcPr/>
                <w:p>
                  <w:pPr>
                    <w:pStyle w:val="Compact"/>
                    <w:jc w:val="center"/>
                  </w:pPr>
                  <w:r>
                    <w:t xml:space="preserve">3.2</w:t>
                  </w:r>
                </w:p>
              </w:tc>
              <w:tc>
                <w:tcPr/>
                <w:p>
                  <w:pPr>
                    <w:pStyle w:val="Compact"/>
                    <w:jc w:val="center"/>
                  </w:pPr>
                  <w:r>
                    <w:t xml:space="preserve">20,388</w:t>
                  </w:r>
                </w:p>
              </w:tc>
              <w:tc>
                <w:tcPr/>
                <w:p>
                  <w:pPr>
                    <w:pStyle w:val="Compact"/>
                    <w:jc w:val="center"/>
                  </w:pPr>
                  <w:r>
                    <w:t xml:space="preserve">99.0</w:t>
                  </w:r>
                </w:p>
              </w:tc>
              <w:tc>
                <w:tcPr/>
                <w:p>
                  <w:pPr>
                    <w:pStyle w:val="Compact"/>
                    <w:jc w:val="center"/>
                  </w:pPr>
                  <w:r>
                    <w:t xml:space="preserve">2.49</w:t>
                  </w:r>
                </w:p>
              </w:tc>
              <w:tc>
                <w:tcPr/>
                <w:p>
                  <w:pPr>
                    <w:pStyle w:val="Compact"/>
                    <w:jc w:val="center"/>
                  </w:pPr>
                  <w:r>
                    <w:t xml:space="preserve">1.95</w:t>
                  </w:r>
                </w:p>
              </w:tc>
              <w:tc>
                <w:tcPr/>
                <w:p>
                  <w:pPr>
                    <w:pStyle w:val="Compact"/>
                    <w:jc w:val="center"/>
                  </w:pPr>
                  <w:r>
                    <w:t xml:space="preserve">1.01</w:t>
                  </w:r>
                </w:p>
              </w:tc>
            </w:tr>
            <w:tr>
              <w:tc>
                <w:tcPr/>
                <w:p>
                  <w:pPr>
                    <w:pStyle w:val="Compact"/>
                    <w:jc w:val="center"/>
                  </w:pPr>
                  <w:r>
                    <w:t xml:space="preserve">11</w:t>
                  </w:r>
                  <w:r>
                    <w:rPr>
                      <w:vertAlign w:val="superscript"/>
                    </w:rPr>
                    <w:t xml:space="preserve">a)</w:t>
                  </w:r>
                </w:p>
              </w:tc>
              <w:tc>
                <w:tcPr>
                  <w:gridSpan w:val="1"/>
                  <w:vMerge w:val="continue"/>
                </w:tcPr>
                <w:p>
                  <w:pPr/>
                </w:p>
              </w:tc>
              <w:tc>
                <w:tcPr/>
                <w:p>
                  <w:pPr>
                    <w:pStyle w:val="Compact"/>
                    <w:jc w:val="center"/>
                  </w:pPr>
                  <w:r>
                    <w:t xml:space="preserve">50</w:t>
                  </w:r>
                </w:p>
              </w:tc>
              <w:tc>
                <w:tcPr/>
                <w:p>
                  <w:pPr>
                    <w:pStyle w:val="Compact"/>
                    <w:jc w:val="center"/>
                  </w:pPr>
                  <w:r>
                    <w:t xml:space="preserve">3.2</w:t>
                  </w:r>
                </w:p>
              </w:tc>
              <w:tc>
                <w:tcPr/>
                <w:p>
                  <w:pPr>
                    <w:pStyle w:val="Compact"/>
                    <w:jc w:val="center"/>
                  </w:pPr>
                  <w:r>
                    <w:t xml:space="preserve">300</w:t>
                  </w:r>
                </w:p>
              </w:tc>
              <w:tc>
                <w:tcPr/>
                <w:p>
                  <w:pPr>
                    <w:pStyle w:val="Compact"/>
                    <w:jc w:val="center"/>
                  </w:pPr>
                  <w:r>
                    <w:t xml:space="preserve">2</w:t>
                  </w:r>
                </w:p>
              </w:tc>
              <w:tc>
                <w:tcPr/>
                <w:p>
                  <w:pPr>
                    <w:pStyle w:val="Compact"/>
                    <w:jc w:val="center"/>
                  </w:pPr>
                  <w:r>
                    <w:t xml:space="preserve">22,756</w:t>
                  </w:r>
                </w:p>
              </w:tc>
              <w:tc>
                <w:tcPr/>
                <w:p>
                  <w:pPr>
                    <w:pStyle w:val="Compact"/>
                    <w:jc w:val="center"/>
                  </w:pPr>
                  <w:r>
                    <w:t xml:space="preserve">86.1</w:t>
                  </w:r>
                </w:p>
              </w:tc>
              <w:tc>
                <w:tcPr/>
                <w:p>
                  <w:pPr>
                    <w:pStyle w:val="Compact"/>
                    <w:jc w:val="center"/>
                  </w:pPr>
                  <w:r>
                    <w:t xml:space="preserve">2.12</w:t>
                  </w:r>
                </w:p>
              </w:tc>
              <w:tc>
                <w:tcPr/>
                <w:p>
                  <w:pPr>
                    <w:pStyle w:val="Compact"/>
                    <w:jc w:val="center"/>
                  </w:pPr>
                  <w:r>
                    <w:t xml:space="preserve">2.14</w:t>
                  </w:r>
                </w:p>
              </w:tc>
              <w:tc>
                <w:tcPr/>
                <w:p>
                  <w:pPr>
                    <w:pStyle w:val="Compact"/>
                    <w:jc w:val="center"/>
                  </w:pPr>
                  <w:r>
                    <w:t xml:space="preserve">1.04</w:t>
                  </w:r>
                </w:p>
              </w:tc>
            </w:tr>
            <w:tr>
              <w:tc>
                <w:tcPr/>
                <w:p>
                  <w:pPr>
                    <w:pStyle w:val="Compact"/>
                    <w:jc w:val="center"/>
                  </w:pPr>
                  <w:r>
                    <w:t xml:space="preserve">12</w:t>
                  </w:r>
                </w:p>
              </w:tc>
              <w:tc>
                <w:tcPr>
                  <w:gridSpan w:val="1"/>
                  <w:vMerge w:val="continue"/>
                </w:tcPr>
                <w:p>
                  <w:pPr/>
                </w:p>
              </w:tc>
              <w:tc>
                <w:tcPr/>
                <w:p>
                  <w:pPr>
                    <w:pStyle w:val="Compact"/>
                    <w:jc w:val="center"/>
                  </w:pPr>
                  <w:r>
                    <w:t xml:space="preserve">50</w:t>
                  </w:r>
                </w:p>
              </w:tc>
              <w:tc>
                <w:tcPr/>
                <w:p>
                  <w:pPr>
                    <w:pStyle w:val="Compact"/>
                    <w:jc w:val="center"/>
                  </w:pPr>
                  <w:r>
                    <w:t xml:space="preserve">3.2</w:t>
                  </w:r>
                </w:p>
              </w:tc>
              <w:tc>
                <w:tcPr/>
                <w:p>
                  <w:pPr>
                    <w:pStyle w:val="Compact"/>
                    <w:jc w:val="center"/>
                  </w:pPr>
                  <w:r>
                    <w:t xml:space="preserve">300</w:t>
                  </w:r>
                </w:p>
              </w:tc>
              <w:tc>
                <w:tcPr/>
                <w:p>
                  <w:pPr>
                    <w:pStyle w:val="Compact"/>
                    <w:jc w:val="center"/>
                  </w:pPr>
                  <w:r>
                    <w:t xml:space="preserve">3.2</w:t>
                  </w:r>
                </w:p>
              </w:tc>
              <w:tc>
                <w:tcPr/>
                <w:p>
                  <w:pPr>
                    <w:pStyle w:val="Compact"/>
                    <w:jc w:val="center"/>
                  </w:pPr>
                  <w:r>
                    <w:t xml:space="preserve">16,694</w:t>
                  </w:r>
                </w:p>
              </w:tc>
              <w:tc>
                <w:tcPr/>
                <w:p>
                  <w:pPr>
                    <w:pStyle w:val="Compact"/>
                    <w:jc w:val="center"/>
                  </w:pPr>
                  <w:r>
                    <w:t xml:space="preserve">92.4</w:t>
                  </w:r>
                </w:p>
              </w:tc>
              <w:tc>
                <w:tcPr/>
                <w:p>
                  <w:pPr>
                    <w:pStyle w:val="Compact"/>
                    <w:jc w:val="center"/>
                  </w:pPr>
                  <w:r>
                    <w:t xml:space="preserve">3.03</w:t>
                  </w:r>
                </w:p>
              </w:tc>
              <w:tc>
                <w:tcPr/>
                <w:p>
                  <w:pPr>
                    <w:pStyle w:val="Compact"/>
                    <w:jc w:val="center"/>
                  </w:pPr>
                  <w:r>
                    <w:t xml:space="preserve">1.84</w:t>
                  </w:r>
                </w:p>
              </w:tc>
              <w:tc>
                <w:tcPr/>
                <w:p>
                  <w:pPr>
                    <w:pStyle w:val="Compact"/>
                    <w:jc w:val="center"/>
                  </w:pPr>
                  <w:r>
                    <w:t xml:space="preserve">0.90</w:t>
                  </w:r>
                </w:p>
              </w:tc>
            </w:tr>
            <w:tr>
              <w:tc>
                <w:tcPr/>
                <w:p>
                  <w:pPr>
                    <w:pStyle w:val="Compact"/>
                    <w:jc w:val="center"/>
                  </w:pPr>
                  <w:r>
                    <w:t xml:space="preserve">13</w:t>
                  </w:r>
                </w:p>
              </w:tc>
              <w:tc>
                <w:tcPr>
                  <w:gridSpan w:val="1"/>
                  <w:vMerge w:val="continue"/>
                </w:tcPr>
                <w:p>
                  <w:pPr/>
                </w:p>
              </w:tc>
              <w:tc>
                <w:tcPr/>
                <w:p>
                  <w:pPr>
                    <w:pStyle w:val="Compact"/>
                    <w:jc w:val="center"/>
                  </w:pPr>
                  <w:r>
                    <w:t xml:space="preserve">50</w:t>
                  </w:r>
                </w:p>
              </w:tc>
              <w:tc>
                <w:tcPr/>
                <w:p>
                  <w:pPr>
                    <w:pStyle w:val="Compact"/>
                    <w:jc w:val="center"/>
                  </w:pPr>
                  <w:r>
                    <w:t xml:space="preserve">3.9</w:t>
                  </w:r>
                </w:p>
              </w:tc>
              <w:tc>
                <w:tcPr/>
                <w:p>
                  <w:pPr>
                    <w:pStyle w:val="Compact"/>
                    <w:jc w:val="center"/>
                  </w:pPr>
                  <w:r>
                    <w:t xml:space="preserve">100</w:t>
                  </w:r>
                </w:p>
              </w:tc>
              <w:tc>
                <w:tcPr/>
                <w:p>
                  <w:pPr>
                    <w:pStyle w:val="Compact"/>
                    <w:jc w:val="center"/>
                  </w:pPr>
                  <w:r>
                    <w:t xml:space="preserve">2</w:t>
                  </w:r>
                </w:p>
              </w:tc>
              <w:tc>
                <w:tcPr/>
                <w:p>
                  <w:pPr>
                    <w:pStyle w:val="Compact"/>
                    <w:jc w:val="center"/>
                  </w:pPr>
                  <w:r>
                    <w:t xml:space="preserve">7,882</w:t>
                  </w:r>
                </w:p>
              </w:tc>
              <w:tc>
                <w:tcPr/>
                <w:p>
                  <w:pPr>
                    <w:pStyle w:val="Compact"/>
                    <w:jc w:val="center"/>
                  </w:pPr>
                  <w:r>
                    <w:t xml:space="preserve">89.5</w:t>
                  </w:r>
                </w:p>
              </w:tc>
              <w:tc>
                <w:tcPr/>
                <w:p>
                  <w:pPr>
                    <w:pStyle w:val="Compact"/>
                    <w:jc w:val="center"/>
                  </w:pPr>
                  <w:r>
                    <w:t xml:space="preserve">3.63</w:t>
                  </w:r>
                </w:p>
              </w:tc>
              <w:tc>
                <w:tcPr/>
                <w:p>
                  <w:pPr>
                    <w:pStyle w:val="Compact"/>
                    <w:jc w:val="center"/>
                  </w:pPr>
                  <w:r>
                    <w:t xml:space="preserve">1.24</w:t>
                  </w:r>
                </w:p>
              </w:tc>
              <w:tc>
                <w:tcPr/>
                <w:p>
                  <w:pPr>
                    <w:pStyle w:val="Compact"/>
                    <w:jc w:val="center"/>
                  </w:pPr>
                  <w:r>
                    <w:t xml:space="preserve">0.77</w:t>
                  </w:r>
                </w:p>
              </w:tc>
            </w:tr>
            <w:tr>
              <w:tc>
                <w:tcPr/>
                <w:p>
                  <w:pPr>
                    <w:pStyle w:val="Compact"/>
                    <w:jc w:val="center"/>
                  </w:pPr>
                  <w:r>
                    <w:t xml:space="preserve">14</w:t>
                  </w:r>
                </w:p>
              </w:tc>
              <w:tc>
                <w:tcPr>
                  <w:gridSpan w:val="1"/>
                  <w:vMerge w:val="continue"/>
                </w:tcPr>
                <w:p>
                  <w:pPr/>
                </w:p>
              </w:tc>
              <w:tc>
                <w:tcPr/>
                <w:p>
                  <w:pPr>
                    <w:pStyle w:val="Compact"/>
                    <w:jc w:val="center"/>
                  </w:pPr>
                  <w:r>
                    <w:t xml:space="preserve">50</w:t>
                  </w:r>
                </w:p>
              </w:tc>
              <w:tc>
                <w:tcPr/>
                <w:p>
                  <w:pPr>
                    <w:pStyle w:val="Compact"/>
                    <w:jc w:val="center"/>
                  </w:pPr>
                  <w:r>
                    <w:t xml:space="preserve">3.9</w:t>
                  </w:r>
                </w:p>
              </w:tc>
              <w:tc>
                <w:tcPr/>
                <w:p>
                  <w:pPr>
                    <w:pStyle w:val="Compact"/>
                    <w:jc w:val="center"/>
                  </w:pPr>
                  <w:r>
                    <w:t xml:space="preserve">100</w:t>
                  </w:r>
                </w:p>
              </w:tc>
              <w:tc>
                <w:tcPr/>
                <w:p>
                  <w:pPr>
                    <w:pStyle w:val="Compact"/>
                    <w:jc w:val="center"/>
                  </w:pPr>
                  <w:r>
                    <w:t xml:space="preserve">3.2</w:t>
                  </w:r>
                </w:p>
              </w:tc>
              <w:tc>
                <w:tcPr/>
                <w:p>
                  <w:pPr>
                    <w:pStyle w:val="Compact"/>
                    <w:jc w:val="center"/>
                  </w:pPr>
                  <w:r>
                    <w:t xml:space="preserve">6,578</w:t>
                  </w:r>
                </w:p>
              </w:tc>
              <w:tc>
                <w:tcPr/>
                <w:p>
                  <w:pPr>
                    <w:pStyle w:val="Compact"/>
                    <w:jc w:val="center"/>
                  </w:pPr>
                  <w:r>
                    <w:t xml:space="preserve">97.0</w:t>
                  </w:r>
                </w:p>
              </w:tc>
              <w:tc>
                <w:tcPr/>
                <w:p>
                  <w:pPr>
                    <w:pStyle w:val="Compact"/>
                    <w:jc w:val="center"/>
                  </w:pPr>
                  <w:r>
                    <w:t xml:space="preserve">2.72</w:t>
                  </w:r>
                </w:p>
              </w:tc>
              <w:tc>
                <w:tcPr/>
                <w:p>
                  <w:pPr>
                    <w:pStyle w:val="Compact"/>
                    <w:jc w:val="center"/>
                  </w:pPr>
                  <w:r>
                    <w:t xml:space="preserve">1.17</w:t>
                  </w:r>
                </w:p>
              </w:tc>
              <w:tc>
                <w:tcPr/>
                <w:p>
                  <w:pPr>
                    <w:pStyle w:val="Compact"/>
                    <w:jc w:val="center"/>
                  </w:pPr>
                  <w:r>
                    <w:t xml:space="preserve">0.91</w:t>
                  </w:r>
                </w:p>
              </w:tc>
            </w:tr>
            <w:tr>
              <w:tc>
                <w:tcPr/>
                <w:p>
                  <w:pPr>
                    <w:pStyle w:val="Compact"/>
                    <w:jc w:val="center"/>
                  </w:pPr>
                  <w:r>
                    <w:t xml:space="preserve">15</w:t>
                  </w:r>
                </w:p>
              </w:tc>
              <w:tc>
                <w:tcPr>
                  <w:gridSpan w:val="1"/>
                  <w:vMerge w:val="continue"/>
                </w:tcPr>
                <w:p>
                  <w:pPr/>
                </w:p>
              </w:tc>
              <w:tc>
                <w:tcPr/>
                <w:p>
                  <w:pPr>
                    <w:pStyle w:val="Compact"/>
                    <w:jc w:val="center"/>
                  </w:pPr>
                  <w:r>
                    <w:t xml:space="preserve">50</w:t>
                  </w:r>
                </w:p>
              </w:tc>
              <w:tc>
                <w:tcPr/>
                <w:p>
                  <w:pPr>
                    <w:pStyle w:val="Compact"/>
                    <w:jc w:val="center"/>
                  </w:pPr>
                  <w:r>
                    <w:t xml:space="preserve">3.9</w:t>
                  </w:r>
                </w:p>
              </w:tc>
              <w:tc>
                <w:tcPr/>
                <w:p>
                  <w:pPr>
                    <w:pStyle w:val="Compact"/>
                    <w:jc w:val="center"/>
                  </w:pPr>
                  <w:r>
                    <w:t xml:space="preserve">300</w:t>
                  </w:r>
                </w:p>
              </w:tc>
              <w:tc>
                <w:tcPr/>
                <w:p>
                  <w:pPr>
                    <w:pStyle w:val="Compact"/>
                    <w:jc w:val="center"/>
                  </w:pPr>
                  <w:r>
                    <w:t xml:space="preserve">2</w:t>
                  </w:r>
                </w:p>
              </w:tc>
              <w:tc>
                <w:tcPr/>
                <w:p>
                  <w:pPr>
                    <w:pStyle w:val="Compact"/>
                    <w:jc w:val="center"/>
                  </w:pPr>
                  <w:r>
                    <w:t xml:space="preserve">6,799</w:t>
                  </w:r>
                </w:p>
              </w:tc>
              <w:tc>
                <w:tcPr/>
                <w:p>
                  <w:pPr>
                    <w:pStyle w:val="Compact"/>
                    <w:jc w:val="center"/>
                  </w:pPr>
                  <w:r>
                    <w:t xml:space="preserve">84.4</w:t>
                  </w:r>
                </w:p>
              </w:tc>
              <w:tc>
                <w:tcPr/>
                <w:p>
                  <w:pPr>
                    <w:pStyle w:val="Compact"/>
                    <w:jc w:val="center"/>
                  </w:pPr>
                  <w:r>
                    <w:t xml:space="preserve">3.06</w:t>
                  </w:r>
                </w:p>
              </w:tc>
              <w:tc>
                <w:tcPr/>
                <w:p>
                  <w:pPr>
                    <w:pStyle w:val="Compact"/>
                    <w:jc w:val="center"/>
                  </w:pPr>
                  <w:r>
                    <w:t xml:space="preserve">1.17</w:t>
                  </w:r>
                </w:p>
              </w:tc>
              <w:tc>
                <w:tcPr/>
                <w:p>
                  <w:pPr>
                    <w:pStyle w:val="Compact"/>
                    <w:jc w:val="center"/>
                  </w:pPr>
                  <w:r>
                    <w:t xml:space="preserve">0.82</w:t>
                  </w:r>
                </w:p>
              </w:tc>
            </w:tr>
            <w:tr>
              <w:tc>
                <w:tcPr/>
                <w:p>
                  <w:pPr>
                    <w:pStyle w:val="Compact"/>
                    <w:jc w:val="center"/>
                  </w:pPr>
                  <w:r>
                    <w:t xml:space="preserve">16</w:t>
                  </w:r>
                </w:p>
              </w:tc>
              <w:tc>
                <w:tcPr>
                  <w:gridSpan w:val="1"/>
                  <w:vMerge w:val="continue"/>
                </w:tcPr>
                <w:p>
                  <w:pPr/>
                </w:p>
              </w:tc>
              <w:tc>
                <w:tcPr/>
                <w:p>
                  <w:pPr>
                    <w:pStyle w:val="Compact"/>
                    <w:jc w:val="center"/>
                  </w:pPr>
                  <w:r>
                    <w:t xml:space="preserve">50</w:t>
                  </w:r>
                </w:p>
              </w:tc>
              <w:tc>
                <w:tcPr/>
                <w:p>
                  <w:pPr>
                    <w:pStyle w:val="Compact"/>
                    <w:jc w:val="center"/>
                  </w:pPr>
                  <w:r>
                    <w:t xml:space="preserve">3.9</w:t>
                  </w:r>
                </w:p>
              </w:tc>
              <w:tc>
                <w:tcPr/>
                <w:p>
                  <w:pPr>
                    <w:pStyle w:val="Compact"/>
                    <w:jc w:val="center"/>
                  </w:pPr>
                  <w:r>
                    <w:t xml:space="preserve">300</w:t>
                  </w:r>
                </w:p>
              </w:tc>
              <w:tc>
                <w:tcPr/>
                <w:p>
                  <w:pPr>
                    <w:pStyle w:val="Compact"/>
                    <w:jc w:val="center"/>
                  </w:pPr>
                  <w:r>
                    <w:t xml:space="preserve">3.2</w:t>
                  </w:r>
                </w:p>
              </w:tc>
              <w:tc>
                <w:tcPr/>
                <w:p>
                  <w:pPr>
                    <w:pStyle w:val="Compact"/>
                    <w:jc w:val="center"/>
                  </w:pPr>
                  <w:r>
                    <w:t xml:space="preserve">6,100</w:t>
                  </w:r>
                </w:p>
              </w:tc>
              <w:tc>
                <w:tcPr/>
                <w:p>
                  <w:pPr>
                    <w:pStyle w:val="Compact"/>
                    <w:jc w:val="center"/>
                  </w:pPr>
                  <w:r>
                    <w:t xml:space="preserve">96.2</w:t>
                  </w:r>
                </w:p>
              </w:tc>
              <w:tc>
                <w:tcPr/>
                <w:p>
                  <w:pPr>
                    <w:pStyle w:val="Compact"/>
                    <w:jc w:val="center"/>
                  </w:pPr>
                  <w:r>
                    <w:t xml:space="preserve">2.82</w:t>
                  </w:r>
                </w:p>
              </w:tc>
              <w:tc>
                <w:tcPr/>
                <w:p>
                  <w:pPr>
                    <w:pStyle w:val="Compact"/>
                    <w:jc w:val="center"/>
                  </w:pPr>
                  <w:r>
                    <w:t xml:space="preserve">1.20</w:t>
                  </w:r>
                </w:p>
              </w:tc>
              <w:tc>
                <w:tcPr/>
                <w:p>
                  <w:pPr>
                    <w:pStyle w:val="Compact"/>
                    <w:jc w:val="center"/>
                  </w:pPr>
                  <w:r>
                    <w:t xml:space="preserve">0.89</w:t>
                  </w:r>
                </w:p>
              </w:tc>
            </w:tr>
            <w:tr>
              <w:tc>
                <w:tcPr/>
                <w:p>
                  <w:pPr>
                    <w:pStyle w:val="Compact"/>
                    <w:jc w:val="center"/>
                  </w:pPr>
                  <w:r>
                    <w:t xml:space="preserve">17</w:t>
                  </w:r>
                </w:p>
              </w:tc>
              <w:tc>
                <w:tcPr>
                  <w:vMerge w:val="restart"/>
                </w:tcPr>
                <w:p>
                  <w:pPr>
                    <w:pStyle w:val="Compact"/>
                    <w:jc w:val="center"/>
                  </w:pPr>
                  <w:r>
                    <w:t xml:space="preserve">axial</w:t>
                  </w:r>
                </w:p>
              </w:tc>
              <w:tc>
                <w:tcPr/>
                <w:p>
                  <w:pPr>
                    <w:pStyle w:val="Compact"/>
                    <w:jc w:val="center"/>
                  </w:pPr>
                  <w:r>
                    <w:t xml:space="preserve">10</w:t>
                  </w:r>
                </w:p>
              </w:tc>
              <w:tc>
                <w:tcPr/>
                <w:p>
                  <w:pPr>
                    <w:pStyle w:val="Compact"/>
                    <w:jc w:val="center"/>
                  </w:pPr>
                  <w:r>
                    <w:t xml:space="preserve">3.55</w:t>
                  </w:r>
                </w:p>
              </w:tc>
              <w:tc>
                <w:tcPr/>
                <w:p>
                  <w:pPr>
                    <w:pStyle w:val="Compact"/>
                    <w:jc w:val="center"/>
                  </w:pPr>
                  <w:r>
                    <w:t xml:space="preserve">200</w:t>
                  </w:r>
                </w:p>
              </w:tc>
              <w:tc>
                <w:tcPr/>
                <w:p>
                  <w:pPr>
                    <w:pStyle w:val="Compact"/>
                    <w:jc w:val="center"/>
                  </w:pPr>
                  <w:r>
                    <w:t xml:space="preserve">2.6</w:t>
                  </w:r>
                </w:p>
              </w:tc>
              <w:tc>
                <w:tcPr/>
                <w:p>
                  <w:pPr>
                    <w:pStyle w:val="Compact"/>
                    <w:jc w:val="center"/>
                  </w:pPr>
                  <w:r>
                    <w:t xml:space="preserve">3,900</w:t>
                  </w:r>
                </w:p>
              </w:tc>
              <w:tc>
                <w:tcPr/>
                <w:p>
                  <w:pPr>
                    <w:pStyle w:val="Compact"/>
                    <w:jc w:val="center"/>
                  </w:pPr>
                  <w:r>
                    <w:t xml:space="preserve">93.5</w:t>
                  </w:r>
                </w:p>
              </w:tc>
              <w:tc>
                <w:tcPr/>
                <w:p>
                  <w:pPr>
                    <w:pStyle w:val="Compact"/>
                    <w:jc w:val="center"/>
                  </w:pPr>
                  <w:r>
                    <w:t xml:space="preserve">2.71</w:t>
                  </w:r>
                </w:p>
              </w:tc>
              <w:tc>
                <w:tcPr/>
                <w:p>
                  <w:pPr>
                    <w:pStyle w:val="Compact"/>
                    <w:jc w:val="center"/>
                  </w:pPr>
                  <w:r>
                    <w:t xml:space="preserve">1.14</w:t>
                  </w:r>
                </w:p>
              </w:tc>
              <w:tc>
                <w:tcPr/>
                <w:p>
                  <w:pPr>
                    <w:pStyle w:val="Compact"/>
                    <w:jc w:val="center"/>
                  </w:pPr>
                  <w:r>
                    <w:t xml:space="preserve">1.00</w:t>
                  </w:r>
                </w:p>
              </w:tc>
            </w:tr>
            <w:tr>
              <w:tc>
                <w:tcPr/>
                <w:p>
                  <w:pPr>
                    <w:pStyle w:val="Compact"/>
                    <w:jc w:val="center"/>
                  </w:pPr>
                  <w:r>
                    <w:t xml:space="preserve">18</w:t>
                  </w:r>
                </w:p>
              </w:tc>
              <w:tc>
                <w:tcPr>
                  <w:gridSpan w:val="1"/>
                  <w:vMerge w:val="continue"/>
                </w:tcPr>
                <w:p>
                  <w:pPr/>
                </w:p>
              </w:tc>
              <w:tc>
                <w:tcPr/>
                <w:p>
                  <w:pPr>
                    <w:pStyle w:val="Compact"/>
                    <w:jc w:val="center"/>
                  </w:pPr>
                  <w:r>
                    <w:t xml:space="preserve">50</w:t>
                  </w:r>
                </w:p>
              </w:tc>
              <w:tc>
                <w:tcPr/>
                <w:p>
                  <w:pPr>
                    <w:pStyle w:val="Compact"/>
                    <w:jc w:val="center"/>
                  </w:pPr>
                  <w:r>
                    <w:t xml:space="preserve">3.55</w:t>
                  </w:r>
                </w:p>
              </w:tc>
              <w:tc>
                <w:tcPr/>
                <w:p>
                  <w:pPr>
                    <w:pStyle w:val="Compact"/>
                    <w:jc w:val="center"/>
                  </w:pPr>
                  <w:r>
                    <w:t xml:space="preserve">200</w:t>
                  </w:r>
                </w:p>
              </w:tc>
              <w:tc>
                <w:tcPr/>
                <w:p>
                  <w:pPr>
                    <w:pStyle w:val="Compact"/>
                    <w:jc w:val="center"/>
                  </w:pPr>
                  <w:r>
                    <w:t xml:space="preserve">2.6</w:t>
                  </w:r>
                </w:p>
              </w:tc>
              <w:tc>
                <w:tcPr/>
                <w:p>
                  <w:pPr>
                    <w:pStyle w:val="Compact"/>
                    <w:jc w:val="center"/>
                  </w:pPr>
                  <w:r>
                    <w:t xml:space="preserve">9,377</w:t>
                  </w:r>
                </w:p>
              </w:tc>
              <w:tc>
                <w:tcPr/>
                <w:p>
                  <w:pPr>
                    <w:pStyle w:val="Compact"/>
                    <w:jc w:val="center"/>
                  </w:pPr>
                  <w:r>
                    <w:t xml:space="preserve">93.5</w:t>
                  </w:r>
                </w:p>
              </w:tc>
              <w:tc>
                <w:tcPr/>
                <w:p>
                  <w:pPr>
                    <w:pStyle w:val="Compact"/>
                    <w:jc w:val="center"/>
                  </w:pPr>
                  <w:r>
                    <w:t xml:space="preserve">3.37</w:t>
                  </w:r>
                </w:p>
              </w:tc>
              <w:tc>
                <w:tcPr/>
                <w:p>
                  <w:pPr>
                    <w:pStyle w:val="Compact"/>
                    <w:jc w:val="center"/>
                  </w:pPr>
                  <w:r>
                    <w:t xml:space="preserve">1.36</w:t>
                  </w:r>
                </w:p>
              </w:tc>
              <w:tc>
                <w:tcPr/>
                <w:p>
                  <w:pPr>
                    <w:pStyle w:val="Compact"/>
                    <w:jc w:val="center"/>
                  </w:pPr>
                  <w:r>
                    <w:t xml:space="preserve">0.87</w:t>
                  </w:r>
                </w:p>
              </w:tc>
            </w:tr>
            <w:tr>
              <w:tc>
                <w:tcPr/>
                <w:p>
                  <w:pPr>
                    <w:pStyle w:val="Compact"/>
                    <w:jc w:val="center"/>
                  </w:pPr>
                  <w:r>
                    <w:t xml:space="preserve">19</w:t>
                  </w:r>
                </w:p>
              </w:tc>
              <w:tc>
                <w:tcPr>
                  <w:gridSpan w:val="1"/>
                  <w:vMerge w:val="continue"/>
                </w:tcPr>
                <w:p>
                  <w:pPr/>
                </w:p>
              </w:tc>
              <w:tc>
                <w:tcPr/>
                <w:p>
                  <w:pPr>
                    <w:pStyle w:val="Compact"/>
                    <w:jc w:val="center"/>
                  </w:pPr>
                  <w:r>
                    <w:t xml:space="preserve">30</w:t>
                  </w:r>
                </w:p>
              </w:tc>
              <w:tc>
                <w:tcPr/>
                <w:p>
                  <w:pPr>
                    <w:pStyle w:val="Compact"/>
                    <w:jc w:val="center"/>
                  </w:pPr>
                  <w:r>
                    <w:t xml:space="preserve">3.2</w:t>
                  </w:r>
                </w:p>
              </w:tc>
              <w:tc>
                <w:tcPr/>
                <w:p>
                  <w:pPr>
                    <w:pStyle w:val="Compact"/>
                    <w:jc w:val="center"/>
                  </w:pPr>
                  <w:r>
                    <w:t xml:space="preserve">200</w:t>
                  </w:r>
                </w:p>
              </w:tc>
              <w:tc>
                <w:tcPr/>
                <w:p>
                  <w:pPr>
                    <w:pStyle w:val="Compact"/>
                    <w:jc w:val="center"/>
                  </w:pPr>
                  <w:r>
                    <w:t xml:space="preserve">2.6</w:t>
                  </w:r>
                </w:p>
              </w:tc>
              <w:tc>
                <w:tcPr/>
                <w:p>
                  <w:pPr>
                    <w:pStyle w:val="Compact"/>
                    <w:jc w:val="center"/>
                  </w:pPr>
                  <w:r>
                    <w:t xml:space="preserve">13,732</w:t>
                  </w:r>
                </w:p>
              </w:tc>
              <w:tc>
                <w:tcPr/>
                <w:p>
                  <w:pPr>
                    <w:pStyle w:val="Compact"/>
                    <w:jc w:val="center"/>
                  </w:pPr>
                  <w:r>
                    <w:t xml:space="preserve">96.6</w:t>
                  </w:r>
                </w:p>
              </w:tc>
              <w:tc>
                <w:tcPr/>
                <w:p>
                  <w:pPr>
                    <w:pStyle w:val="Compact"/>
                    <w:jc w:val="center"/>
                  </w:pPr>
                  <w:r>
                    <w:t xml:space="preserve">3.77</w:t>
                  </w:r>
                </w:p>
              </w:tc>
              <w:tc>
                <w:tcPr/>
                <w:p>
                  <w:pPr>
                    <w:pStyle w:val="Compact"/>
                    <w:jc w:val="center"/>
                  </w:pPr>
                  <w:r>
                    <w:t xml:space="preserve">1.64</w:t>
                  </w:r>
                </w:p>
              </w:tc>
              <w:tc>
                <w:tcPr/>
                <w:p>
                  <w:pPr>
                    <w:pStyle w:val="Compact"/>
                    <w:jc w:val="center"/>
                  </w:pPr>
                  <w:r>
                    <w:t xml:space="preserve">0.92</w:t>
                  </w:r>
                </w:p>
              </w:tc>
            </w:tr>
            <w:tr>
              <w:tc>
                <w:tcPr/>
                <w:p>
                  <w:pPr>
                    <w:pStyle w:val="Compact"/>
                    <w:jc w:val="center"/>
                  </w:pPr>
                  <w:r>
                    <w:t xml:space="preserve">20</w:t>
                  </w:r>
                </w:p>
              </w:tc>
              <w:tc>
                <w:tcPr>
                  <w:gridSpan w:val="1"/>
                  <w:vMerge w:val="continue"/>
                </w:tcPr>
                <w:p>
                  <w:pPr/>
                </w:p>
              </w:tc>
              <w:tc>
                <w:tcPr/>
                <w:p>
                  <w:pPr>
                    <w:pStyle w:val="Compact"/>
                    <w:jc w:val="center"/>
                  </w:pPr>
                  <w:r>
                    <w:t xml:space="preserve">30</w:t>
                  </w:r>
                </w:p>
              </w:tc>
              <w:tc>
                <w:tcPr/>
                <w:p>
                  <w:pPr>
                    <w:pStyle w:val="Compact"/>
                    <w:jc w:val="center"/>
                  </w:pPr>
                  <w:r>
                    <w:t xml:space="preserve">3.9</w:t>
                  </w:r>
                </w:p>
              </w:tc>
              <w:tc>
                <w:tcPr/>
                <w:p>
                  <w:pPr>
                    <w:pStyle w:val="Compact"/>
                    <w:jc w:val="center"/>
                  </w:pPr>
                  <w:r>
                    <w:t xml:space="preserve">200</w:t>
                  </w:r>
                </w:p>
              </w:tc>
              <w:tc>
                <w:tcPr/>
                <w:p>
                  <w:pPr>
                    <w:pStyle w:val="Compact"/>
                    <w:jc w:val="center"/>
                  </w:pPr>
                  <w:r>
                    <w:t xml:space="preserve">2.6</w:t>
                  </w:r>
                </w:p>
              </w:tc>
              <w:tc>
                <w:tcPr/>
                <w:p>
                  <w:pPr>
                    <w:pStyle w:val="Compact"/>
                    <w:jc w:val="center"/>
                  </w:pPr>
                  <w:r>
                    <w:t xml:space="preserve">4,122</w:t>
                  </w:r>
                </w:p>
              </w:tc>
              <w:tc>
                <w:tcPr/>
                <w:p>
                  <w:pPr>
                    <w:pStyle w:val="Compact"/>
                    <w:jc w:val="center"/>
                  </w:pPr>
                  <w:r>
                    <w:t xml:space="preserve">95.5</w:t>
                  </w:r>
                </w:p>
              </w:tc>
              <w:tc>
                <w:tcPr/>
                <w:p>
                  <w:pPr>
                    <w:pStyle w:val="Compact"/>
                    <w:jc w:val="center"/>
                  </w:pPr>
                  <w:r>
                    <w:t xml:space="preserve">3.80</w:t>
                  </w:r>
                </w:p>
              </w:tc>
              <w:tc>
                <w:tcPr/>
                <w:p>
                  <w:pPr>
                    <w:pStyle w:val="Compact"/>
                    <w:jc w:val="center"/>
                  </w:pPr>
                  <w:r>
                    <w:t xml:space="preserve">1.08</w:t>
                  </w:r>
                </w:p>
              </w:tc>
              <w:tc>
                <w:tcPr/>
                <w:p>
                  <w:pPr>
                    <w:pStyle w:val="Compact"/>
                    <w:jc w:val="center"/>
                  </w:pPr>
                  <w:r>
                    <w:t xml:space="preserve">0.85</w:t>
                  </w:r>
                </w:p>
              </w:tc>
            </w:tr>
            <w:tr>
              <w:tc>
                <w:tcPr/>
                <w:p>
                  <w:pPr>
                    <w:pStyle w:val="Compact"/>
                    <w:jc w:val="center"/>
                  </w:pPr>
                  <w:r>
                    <w:t xml:space="preserve">21</w:t>
                  </w:r>
                </w:p>
              </w:tc>
              <w:tc>
                <w:tcPr>
                  <w:gridSpan w:val="1"/>
                  <w:vMerge w:val="continue"/>
                </w:tcPr>
                <w:p>
                  <w:pPr/>
                </w:p>
              </w:tc>
              <w:tc>
                <w:tcPr/>
                <w:p>
                  <w:pPr>
                    <w:pStyle w:val="Compact"/>
                    <w:jc w:val="center"/>
                  </w:pPr>
                  <w:r>
                    <w:t xml:space="preserve">30</w:t>
                  </w:r>
                </w:p>
              </w:tc>
              <w:tc>
                <w:tcPr/>
                <w:p>
                  <w:pPr>
                    <w:pStyle w:val="Compact"/>
                    <w:jc w:val="center"/>
                  </w:pPr>
                  <w:r>
                    <w:t xml:space="preserve">3.55</w:t>
                  </w:r>
                </w:p>
              </w:tc>
              <w:tc>
                <w:tcPr/>
                <w:p>
                  <w:pPr>
                    <w:pStyle w:val="Compact"/>
                    <w:jc w:val="center"/>
                  </w:pPr>
                  <w:r>
                    <w:t xml:space="preserve">100</w:t>
                  </w:r>
                </w:p>
              </w:tc>
              <w:tc>
                <w:tcPr/>
                <w:p>
                  <w:pPr>
                    <w:pStyle w:val="Compact"/>
                    <w:jc w:val="center"/>
                  </w:pPr>
                  <w:r>
                    <w:t xml:space="preserve">2.6</w:t>
                  </w:r>
                </w:p>
              </w:tc>
              <w:tc>
                <w:tcPr/>
                <w:p>
                  <w:pPr>
                    <w:pStyle w:val="Compact"/>
                    <w:jc w:val="center"/>
                  </w:pPr>
                  <w:r>
                    <w:t xml:space="preserve">7,571</w:t>
                  </w:r>
                </w:p>
              </w:tc>
              <w:tc>
                <w:tcPr/>
                <w:p>
                  <w:pPr>
                    <w:pStyle w:val="Compact"/>
                    <w:jc w:val="center"/>
                  </w:pPr>
                  <w:r>
                    <w:t xml:space="preserve">95.5</w:t>
                  </w:r>
                </w:p>
              </w:tc>
              <w:tc>
                <w:tcPr/>
                <w:p>
                  <w:pPr>
                    <w:pStyle w:val="Compact"/>
                    <w:jc w:val="center"/>
                  </w:pPr>
                  <w:r>
                    <w:t xml:space="preserve">2.30</w:t>
                  </w:r>
                </w:p>
              </w:tc>
              <w:tc>
                <w:tcPr/>
                <w:p>
                  <w:pPr>
                    <w:pStyle w:val="Compact"/>
                    <w:jc w:val="center"/>
                  </w:pPr>
                  <w:r>
                    <w:t xml:space="preserve">1.32</w:t>
                  </w:r>
                </w:p>
              </w:tc>
              <w:tc>
                <w:tcPr/>
                <w:p>
                  <w:pPr>
                    <w:pStyle w:val="Compact"/>
                    <w:jc w:val="center"/>
                  </w:pPr>
                  <w:r>
                    <w:t xml:space="preserve">0.87</w:t>
                  </w:r>
                </w:p>
              </w:tc>
            </w:tr>
            <w:tr>
              <w:tc>
                <w:tcPr/>
                <w:p>
                  <w:pPr>
                    <w:pStyle w:val="Compact"/>
                    <w:jc w:val="center"/>
                  </w:pPr>
                  <w:r>
                    <w:t xml:space="preserve">22</w:t>
                  </w:r>
                </w:p>
              </w:tc>
              <w:tc>
                <w:tcPr>
                  <w:gridSpan w:val="1"/>
                  <w:vMerge w:val="continue"/>
                </w:tcPr>
                <w:p>
                  <w:pPr/>
                </w:p>
              </w:tc>
              <w:tc>
                <w:tcPr/>
                <w:p>
                  <w:pPr>
                    <w:pStyle w:val="Compact"/>
                    <w:jc w:val="center"/>
                  </w:pPr>
                  <w:r>
                    <w:t xml:space="preserve">30</w:t>
                  </w:r>
                </w:p>
              </w:tc>
              <w:tc>
                <w:tcPr/>
                <w:p>
                  <w:pPr>
                    <w:pStyle w:val="Compact"/>
                    <w:jc w:val="center"/>
                  </w:pPr>
                  <w:r>
                    <w:t xml:space="preserve">3.55</w:t>
                  </w:r>
                </w:p>
              </w:tc>
              <w:tc>
                <w:tcPr/>
                <w:p>
                  <w:pPr>
                    <w:pStyle w:val="Compact"/>
                    <w:jc w:val="center"/>
                  </w:pPr>
                  <w:r>
                    <w:t xml:space="preserve">300</w:t>
                  </w:r>
                </w:p>
              </w:tc>
              <w:tc>
                <w:tcPr/>
                <w:p>
                  <w:pPr>
                    <w:pStyle w:val="Compact"/>
                    <w:jc w:val="center"/>
                  </w:pPr>
                  <w:r>
                    <w:t xml:space="preserve">2.6</w:t>
                  </w:r>
                </w:p>
              </w:tc>
              <w:tc>
                <w:tcPr/>
                <w:p>
                  <w:pPr>
                    <w:pStyle w:val="Compact"/>
                    <w:jc w:val="center"/>
                  </w:pPr>
                  <w:r>
                    <w:t xml:space="preserve">8,098</w:t>
                  </w:r>
                </w:p>
              </w:tc>
              <w:tc>
                <w:tcPr/>
                <w:p>
                  <w:pPr>
                    <w:pStyle w:val="Compact"/>
                    <w:jc w:val="center"/>
                  </w:pPr>
                  <w:r>
                    <w:t xml:space="preserve">95.5</w:t>
                  </w:r>
                </w:p>
              </w:tc>
              <w:tc>
                <w:tcPr/>
                <w:p>
                  <w:pPr>
                    <w:pStyle w:val="Compact"/>
                    <w:jc w:val="center"/>
                  </w:pPr>
                  <w:r>
                    <w:t xml:space="preserve">2.54</w:t>
                  </w:r>
                </w:p>
              </w:tc>
              <w:tc>
                <w:tcPr/>
                <w:p>
                  <w:pPr>
                    <w:pStyle w:val="Compact"/>
                    <w:jc w:val="center"/>
                  </w:pPr>
                  <w:r>
                    <w:t xml:space="preserve">1.29</w:t>
                  </w:r>
                </w:p>
              </w:tc>
              <w:tc>
                <w:tcPr/>
                <w:p>
                  <w:pPr>
                    <w:pStyle w:val="Compact"/>
                    <w:jc w:val="center"/>
                  </w:pPr>
                  <w:r>
                    <w:t xml:space="preserve">0.98</w:t>
                  </w:r>
                </w:p>
              </w:tc>
            </w:tr>
            <w:tr>
              <w:tc>
                <w:tcPr/>
                <w:p>
                  <w:pPr>
                    <w:pStyle w:val="Compact"/>
                    <w:jc w:val="center"/>
                  </w:pPr>
                  <w:r>
                    <w:t xml:space="preserve">23</w:t>
                  </w:r>
                  <w:r>
                    <w:rPr>
                      <w:vertAlign w:val="superscript"/>
                    </w:rPr>
                    <w:t xml:space="preserve">b)</w:t>
                  </w:r>
                </w:p>
              </w:tc>
              <w:tc>
                <w:tcPr>
                  <w:gridSpan w:val="1"/>
                  <w:vMerge w:val="continue"/>
                </w:tcPr>
                <w:p>
                  <w:pPr/>
                </w:p>
              </w:tc>
              <w:tc>
                <w:tcPr/>
                <w:p>
                  <w:pPr>
                    <w:pStyle w:val="Compact"/>
                    <w:jc w:val="center"/>
                  </w:pPr>
                  <w:r>
                    <w:t xml:space="preserve">30</w:t>
                  </w:r>
                </w:p>
              </w:tc>
              <w:tc>
                <w:tcPr/>
                <w:p>
                  <w:pPr>
                    <w:pStyle w:val="Compact"/>
                    <w:jc w:val="center"/>
                  </w:pPr>
                  <w:r>
                    <w:t xml:space="preserve">3.55</w:t>
                  </w:r>
                </w:p>
              </w:tc>
              <w:tc>
                <w:tcPr/>
                <w:p>
                  <w:pPr>
                    <w:pStyle w:val="Compact"/>
                    <w:jc w:val="center"/>
                  </w:pPr>
                  <w:r>
                    <w:t xml:space="preserve">200</w:t>
                  </w:r>
                </w:p>
              </w:tc>
              <w:tc>
                <w:tcPr/>
                <w:p>
                  <w:pPr>
                    <w:pStyle w:val="Compact"/>
                    <w:jc w:val="center"/>
                  </w:pPr>
                  <w:r>
                    <w:t xml:space="preserve">2</w:t>
                  </w:r>
                </w:p>
              </w:tc>
              <w:tc>
                <w:tcPr/>
                <w:p>
                  <w:pPr>
                    <w:pStyle w:val="Compact"/>
                    <w:jc w:val="center"/>
                  </w:pPr>
                  <w:r>
                    <w:t xml:space="preserve">8,167</w:t>
                  </w:r>
                </w:p>
              </w:tc>
              <w:tc>
                <w:tcPr/>
                <w:p>
                  <w:pPr>
                    <w:pStyle w:val="Compact"/>
                    <w:jc w:val="center"/>
                  </w:pPr>
                  <w:r>
                    <w:t xml:space="preserve">90.8</w:t>
                  </w:r>
                </w:p>
              </w:tc>
              <w:tc>
                <w:tcPr/>
                <w:p>
                  <w:pPr>
                    <w:pStyle w:val="Compact"/>
                    <w:jc w:val="center"/>
                  </w:pPr>
                  <w:r>
                    <w:t xml:space="preserve">2.07</w:t>
                  </w:r>
                </w:p>
              </w:tc>
              <w:tc>
                <w:tcPr/>
                <w:p>
                  <w:pPr>
                    <w:pStyle w:val="Compact"/>
                    <w:jc w:val="center"/>
                  </w:pPr>
                  <w:r>
                    <w:t xml:space="preserve">1.36</w:t>
                  </w:r>
                </w:p>
              </w:tc>
              <w:tc>
                <w:tcPr/>
                <w:p>
                  <w:pPr>
                    <w:pStyle w:val="Compact"/>
                    <w:jc w:val="center"/>
                  </w:pPr>
                  <w:r>
                    <w:t xml:space="preserve">1.00</w:t>
                  </w:r>
                </w:p>
              </w:tc>
            </w:tr>
            <w:tr>
              <w:tc>
                <w:tcPr/>
                <w:p>
                  <w:pPr>
                    <w:pStyle w:val="Compact"/>
                    <w:jc w:val="center"/>
                  </w:pPr>
                  <w:r>
                    <w:t xml:space="preserve">24</w:t>
                  </w:r>
                </w:p>
              </w:tc>
              <w:tc>
                <w:tcPr>
                  <w:gridSpan w:val="1"/>
                  <w:vMerge w:val="continue"/>
                </w:tcPr>
                <w:p>
                  <w:pPr/>
                </w:p>
              </w:tc>
              <w:tc>
                <w:tcPr/>
                <w:p>
                  <w:pPr>
                    <w:pStyle w:val="Compact"/>
                    <w:jc w:val="center"/>
                  </w:pPr>
                  <w:r>
                    <w:t xml:space="preserve">30</w:t>
                  </w:r>
                </w:p>
              </w:tc>
              <w:tc>
                <w:tcPr/>
                <w:p>
                  <w:pPr>
                    <w:pStyle w:val="Compact"/>
                    <w:jc w:val="center"/>
                  </w:pPr>
                  <w:r>
                    <w:t xml:space="preserve">3.55</w:t>
                  </w:r>
                </w:p>
              </w:tc>
              <w:tc>
                <w:tcPr/>
                <w:p>
                  <w:pPr>
                    <w:pStyle w:val="Compact"/>
                    <w:jc w:val="center"/>
                  </w:pPr>
                  <w:r>
                    <w:t xml:space="preserve">200</w:t>
                  </w:r>
                </w:p>
              </w:tc>
              <w:tc>
                <w:tcPr/>
                <w:p>
                  <w:pPr>
                    <w:pStyle w:val="Compact"/>
                    <w:jc w:val="center"/>
                  </w:pPr>
                  <w:r>
                    <w:t xml:space="preserve">3.2</w:t>
                  </w:r>
                </w:p>
              </w:tc>
              <w:tc>
                <w:tcPr/>
                <w:p>
                  <w:pPr>
                    <w:pStyle w:val="Compact"/>
                    <w:jc w:val="center"/>
                  </w:pPr>
                  <w:r>
                    <w:t xml:space="preserve">6,461</w:t>
                  </w:r>
                </w:p>
              </w:tc>
              <w:tc>
                <w:tcPr/>
                <w:p>
                  <w:pPr>
                    <w:pStyle w:val="Compact"/>
                    <w:jc w:val="center"/>
                  </w:pPr>
                  <w:r>
                    <w:t xml:space="preserve">95.3</w:t>
                  </w:r>
                </w:p>
              </w:tc>
              <w:tc>
                <w:tcPr/>
                <w:p>
                  <w:pPr>
                    <w:pStyle w:val="Compact"/>
                    <w:jc w:val="center"/>
                  </w:pPr>
                  <w:r>
                    <w:t xml:space="preserve">2.69</w:t>
                  </w:r>
                </w:p>
              </w:tc>
              <w:tc>
                <w:tcPr/>
                <w:p>
                  <w:pPr>
                    <w:pStyle w:val="Compact"/>
                    <w:jc w:val="center"/>
                  </w:pPr>
                  <w:r>
                    <w:t xml:space="preserve">1.22</w:t>
                  </w:r>
                </w:p>
              </w:tc>
              <w:tc>
                <w:tcPr/>
                <w:p>
                  <w:pPr>
                    <w:pStyle w:val="Compact"/>
                    <w:jc w:val="center"/>
                  </w:pPr>
                  <w:r>
                    <w:t xml:space="preserve">0.96</w:t>
                  </w:r>
                </w:p>
              </w:tc>
            </w:tr>
            <w:tr>
              <w:tc>
                <w:tcPr/>
                <w:p>
                  <w:pPr>
                    <w:pStyle w:val="Compact"/>
                    <w:jc w:val="center"/>
                  </w:pPr>
                  <w:r>
                    <w:t xml:space="preserve">25</w:t>
                  </w:r>
                </w:p>
              </w:tc>
              <w:tc>
                <w:tcPr>
                  <w:vMerge w:val="restart"/>
                </w:tcPr>
                <w:p>
                  <w:pPr>
                    <w:pStyle w:val="Compact"/>
                    <w:jc w:val="center"/>
                  </w:pPr>
                  <w:r>
                    <w:t xml:space="preserve">center</w:t>
                  </w:r>
                </w:p>
              </w:tc>
              <w:tc>
                <w:tcPr/>
                <w:p>
                  <w:pPr>
                    <w:pStyle w:val="Compact"/>
                    <w:jc w:val="center"/>
                  </w:pPr>
                  <w:r>
                    <w:t xml:space="preserve">30</w:t>
                  </w:r>
                </w:p>
              </w:tc>
              <w:tc>
                <w:tcPr/>
                <w:p>
                  <w:pPr>
                    <w:pStyle w:val="Compact"/>
                    <w:jc w:val="center"/>
                  </w:pPr>
                  <w:r>
                    <w:t xml:space="preserve">3.55</w:t>
                  </w:r>
                </w:p>
              </w:tc>
              <w:tc>
                <w:tcPr/>
                <w:p>
                  <w:pPr>
                    <w:pStyle w:val="Compact"/>
                    <w:jc w:val="center"/>
                  </w:pPr>
                  <w:r>
                    <w:t xml:space="preserve">200</w:t>
                  </w:r>
                </w:p>
              </w:tc>
              <w:tc>
                <w:tcPr/>
                <w:p>
                  <w:pPr>
                    <w:pStyle w:val="Compact"/>
                    <w:jc w:val="center"/>
                  </w:pPr>
                  <w:r>
                    <w:t xml:space="preserve">2.6</w:t>
                  </w:r>
                </w:p>
              </w:tc>
              <w:tc>
                <w:tcPr/>
                <w:p>
                  <w:pPr>
                    <w:pStyle w:val="Compact"/>
                    <w:jc w:val="center"/>
                  </w:pPr>
                  <w:r>
                    <w:t xml:space="preserve">8,036</w:t>
                  </w:r>
                </w:p>
              </w:tc>
              <w:tc>
                <w:tcPr/>
                <w:p>
                  <w:pPr>
                    <w:pStyle w:val="Compact"/>
                    <w:jc w:val="center"/>
                  </w:pPr>
                  <w:r>
                    <w:t xml:space="preserve">94.0</w:t>
                  </w:r>
                </w:p>
              </w:tc>
              <w:tc>
                <w:tcPr/>
                <w:p>
                  <w:pPr>
                    <w:pStyle w:val="Compact"/>
                    <w:jc w:val="center"/>
                  </w:pPr>
                  <w:r>
                    <w:t xml:space="preserve">2.75</w:t>
                  </w:r>
                </w:p>
              </w:tc>
              <w:tc>
                <w:tcPr/>
                <w:p>
                  <w:pPr>
                    <w:pStyle w:val="Compact"/>
                    <w:jc w:val="center"/>
                  </w:pPr>
                  <w:r>
                    <w:t xml:space="preserve">1.39</w:t>
                  </w:r>
                </w:p>
              </w:tc>
              <w:tc>
                <w:tcPr/>
                <w:p>
                  <w:pPr>
                    <w:pStyle w:val="Compact"/>
                    <w:jc w:val="center"/>
                  </w:pPr>
                  <w:r>
                    <w:t xml:space="preserve">0.97</w:t>
                  </w:r>
                </w:p>
              </w:tc>
            </w:tr>
            <w:tr>
              <w:tc>
                <w:tcPr/>
                <w:p>
                  <w:pPr>
                    <w:pStyle w:val="Compact"/>
                    <w:jc w:val="center"/>
                  </w:pPr>
                  <w:r>
                    <w:t xml:space="preserve">26</w:t>
                  </w:r>
                </w:p>
              </w:tc>
              <w:tc>
                <w:tcPr>
                  <w:gridSpan w:val="1"/>
                  <w:vMerge w:val="continue"/>
                </w:tcPr>
                <w:p>
                  <w:pPr/>
                </w:p>
              </w:tc>
              <w:tc>
                <w:tcPr/>
                <w:p>
                  <w:pPr>
                    <w:pStyle w:val="Compact"/>
                    <w:jc w:val="center"/>
                  </w:pPr>
                  <w:r>
                    <w:t xml:space="preserve">30</w:t>
                  </w:r>
                </w:p>
              </w:tc>
              <w:tc>
                <w:tcPr/>
                <w:p>
                  <w:pPr>
                    <w:pStyle w:val="Compact"/>
                    <w:jc w:val="center"/>
                  </w:pPr>
                  <w:r>
                    <w:t xml:space="preserve">3.55</w:t>
                  </w:r>
                </w:p>
              </w:tc>
              <w:tc>
                <w:tcPr/>
                <w:p>
                  <w:pPr>
                    <w:pStyle w:val="Compact"/>
                    <w:jc w:val="center"/>
                  </w:pPr>
                  <w:r>
                    <w:t xml:space="preserve">200</w:t>
                  </w:r>
                </w:p>
              </w:tc>
              <w:tc>
                <w:tcPr/>
                <w:p>
                  <w:pPr>
                    <w:pStyle w:val="Compact"/>
                    <w:jc w:val="center"/>
                  </w:pPr>
                  <w:r>
                    <w:t xml:space="preserve">2.6</w:t>
                  </w:r>
                </w:p>
              </w:tc>
              <w:tc>
                <w:tcPr/>
                <w:p>
                  <w:pPr>
                    <w:pStyle w:val="Compact"/>
                    <w:jc w:val="center"/>
                  </w:pPr>
                  <w:r>
                    <w:t xml:space="preserve">7,617</w:t>
                  </w:r>
                </w:p>
              </w:tc>
              <w:tc>
                <w:tcPr/>
                <w:p>
                  <w:pPr>
                    <w:pStyle w:val="Compact"/>
                    <w:jc w:val="center"/>
                  </w:pPr>
                  <w:r>
                    <w:t xml:space="preserve">96.7</w:t>
                  </w:r>
                </w:p>
              </w:tc>
              <w:tc>
                <w:tcPr/>
                <w:p>
                  <w:pPr>
                    <w:pStyle w:val="Compact"/>
                    <w:jc w:val="center"/>
                  </w:pPr>
                  <w:r>
                    <w:t xml:space="preserve">1.70</w:t>
                  </w:r>
                </w:p>
              </w:tc>
              <w:tc>
                <w:tcPr/>
                <w:p>
                  <w:pPr>
                    <w:pStyle w:val="Compact"/>
                    <w:jc w:val="center"/>
                  </w:pPr>
                  <w:r>
                    <w:t xml:space="preserve">1.29</w:t>
                  </w:r>
                </w:p>
              </w:tc>
              <w:tc>
                <w:tcPr/>
                <w:p>
                  <w:pPr>
                    <w:pStyle w:val="Compact"/>
                    <w:jc w:val="center"/>
                  </w:pPr>
                  <w:r>
                    <w:t xml:space="preserve">0.85</w:t>
                  </w:r>
                </w:p>
              </w:tc>
            </w:tr>
            <w:tr>
              <w:tc>
                <w:tcPr/>
                <w:p>
                  <w:pPr>
                    <w:pStyle w:val="Compact"/>
                    <w:jc w:val="center"/>
                  </w:pPr>
                  <w:r>
                    <w:t xml:space="preserve">27</w:t>
                  </w:r>
                </w:p>
              </w:tc>
              <w:tc>
                <w:tcPr>
                  <w:gridSpan w:val="1"/>
                  <w:vMerge w:val="continue"/>
                </w:tcPr>
                <w:p>
                  <w:pPr/>
                </w:p>
              </w:tc>
              <w:tc>
                <w:tcPr/>
                <w:p>
                  <w:pPr>
                    <w:pStyle w:val="Compact"/>
                    <w:jc w:val="center"/>
                  </w:pPr>
                  <w:r>
                    <w:t xml:space="preserve">30</w:t>
                  </w:r>
                </w:p>
              </w:tc>
              <w:tc>
                <w:tcPr/>
                <w:p>
                  <w:pPr>
                    <w:pStyle w:val="Compact"/>
                    <w:jc w:val="center"/>
                  </w:pPr>
                  <w:r>
                    <w:t xml:space="preserve">3.55</w:t>
                  </w:r>
                </w:p>
              </w:tc>
              <w:tc>
                <w:tcPr/>
                <w:p>
                  <w:pPr>
                    <w:pStyle w:val="Compact"/>
                    <w:jc w:val="center"/>
                  </w:pPr>
                  <w:r>
                    <w:t xml:space="preserve">200</w:t>
                  </w:r>
                </w:p>
              </w:tc>
              <w:tc>
                <w:tcPr/>
                <w:p>
                  <w:pPr>
                    <w:pStyle w:val="Compact"/>
                    <w:jc w:val="center"/>
                  </w:pPr>
                  <w:r>
                    <w:t xml:space="preserve">2.6</w:t>
                  </w:r>
                </w:p>
              </w:tc>
              <w:tc>
                <w:tcPr/>
                <w:p>
                  <w:pPr>
                    <w:pStyle w:val="Compact"/>
                    <w:jc w:val="center"/>
                  </w:pPr>
                  <w:r>
                    <w:t xml:space="preserve">7,206</w:t>
                  </w:r>
                </w:p>
              </w:tc>
              <w:tc>
                <w:tcPr/>
                <w:p>
                  <w:pPr>
                    <w:pStyle w:val="Compact"/>
                    <w:jc w:val="center"/>
                  </w:pPr>
                  <w:r>
                    <w:t xml:space="preserve">92.4</w:t>
                  </w:r>
                </w:p>
              </w:tc>
              <w:tc>
                <w:tcPr/>
                <w:p>
                  <w:pPr>
                    <w:pStyle w:val="Compact"/>
                    <w:jc w:val="center"/>
                  </w:pPr>
                  <w:r>
                    <w:t xml:space="preserve">4.06</w:t>
                  </w:r>
                </w:p>
              </w:tc>
              <w:tc>
                <w:tcPr/>
                <w:p>
                  <w:pPr>
                    <w:pStyle w:val="Compact"/>
                    <w:jc w:val="center"/>
                  </w:pPr>
                  <w:r>
                    <w:t xml:space="preserve">1.24</w:t>
                  </w:r>
                </w:p>
              </w:tc>
              <w:tc>
                <w:tcPr/>
                <w:p>
                  <w:pPr>
                    <w:pStyle w:val="Compact"/>
                    <w:jc w:val="center"/>
                  </w:pPr>
                  <w:r>
                    <w:t xml:space="preserve">0.93</w:t>
                  </w:r>
                </w:p>
              </w:tc>
            </w:tr>
            <w:tr>
              <w:tc>
                <w:tcPr/>
                <w:p>
                  <w:pPr>
                    <w:pStyle w:val="Compact"/>
                    <w:jc w:val="center"/>
                  </w:pPr>
                  <w:r>
                    <w:t xml:space="preserve">28</w:t>
                  </w:r>
                </w:p>
              </w:tc>
              <w:tc>
                <w:tcPr>
                  <w:gridSpan w:val="1"/>
                  <w:vMerge w:val="continue"/>
                </w:tcPr>
                <w:p>
                  <w:pPr/>
                </w:p>
              </w:tc>
              <w:tc>
                <w:tcPr/>
                <w:p>
                  <w:pPr>
                    <w:pStyle w:val="Compact"/>
                    <w:jc w:val="center"/>
                  </w:pPr>
                  <w:r>
                    <w:t xml:space="preserve">30</w:t>
                  </w:r>
                </w:p>
              </w:tc>
              <w:tc>
                <w:tcPr/>
                <w:p>
                  <w:pPr>
                    <w:pStyle w:val="Compact"/>
                    <w:jc w:val="center"/>
                  </w:pPr>
                  <w:r>
                    <w:t xml:space="preserve">3.55</w:t>
                  </w:r>
                </w:p>
              </w:tc>
              <w:tc>
                <w:tcPr/>
                <w:p>
                  <w:pPr>
                    <w:pStyle w:val="Compact"/>
                    <w:jc w:val="center"/>
                  </w:pPr>
                  <w:r>
                    <w:t xml:space="preserve">200</w:t>
                  </w:r>
                </w:p>
              </w:tc>
              <w:tc>
                <w:tcPr/>
                <w:p>
                  <w:pPr>
                    <w:pStyle w:val="Compact"/>
                    <w:jc w:val="center"/>
                  </w:pPr>
                  <w:r>
                    <w:t xml:space="preserve">2.6</w:t>
                  </w:r>
                </w:p>
              </w:tc>
              <w:tc>
                <w:tcPr/>
                <w:p>
                  <w:pPr>
                    <w:pStyle w:val="Compact"/>
                    <w:jc w:val="center"/>
                  </w:pPr>
                  <w:r>
                    <w:t xml:space="preserve">7,396</w:t>
                  </w:r>
                </w:p>
              </w:tc>
              <w:tc>
                <w:tcPr/>
                <w:p>
                  <w:pPr>
                    <w:pStyle w:val="Compact"/>
                    <w:jc w:val="center"/>
                  </w:pPr>
                  <w:r>
                    <w:t xml:space="preserve">95.4</w:t>
                  </w:r>
                </w:p>
              </w:tc>
              <w:tc>
                <w:tcPr/>
                <w:p>
                  <w:pPr>
                    <w:pStyle w:val="Compact"/>
                    <w:jc w:val="center"/>
                  </w:pPr>
                  <w:r>
                    <w:t xml:space="preserve">2.91</w:t>
                  </w:r>
                </w:p>
              </w:tc>
              <w:tc>
                <w:tcPr/>
                <w:p>
                  <w:pPr>
                    <w:pStyle w:val="Compact"/>
                    <w:jc w:val="center"/>
                  </w:pPr>
                  <w:r>
                    <w:t xml:space="preserve">1.37</w:t>
                  </w:r>
                </w:p>
              </w:tc>
              <w:tc>
                <w:tcPr/>
                <w:p>
                  <w:pPr>
                    <w:pStyle w:val="Compact"/>
                    <w:jc w:val="center"/>
                  </w:pPr>
                  <w:r>
                    <w:t xml:space="preserve">0.80</w:t>
                  </w:r>
                </w:p>
              </w:tc>
            </w:tr>
            <w:tr>
              <w:tc>
                <w:tcPr>
                  <w:gridSpan w:val="11"/>
                </w:tcPr>
                <w:p>
                  <w:pPr>
                    <w:pStyle w:val="Compact"/>
                    <w:jc w:val="center"/>
                  </w:pPr>
                  <w:r>
                    <w:rPr>
                      <w:vertAlign w:val="superscript"/>
                    </w:rPr>
                    <w:t xml:space="preserve">a)</w:t>
                  </w:r>
                  <w:r>
                    <w:t xml:space="preserve"> </w:t>
                  </w:r>
                  <w:r>
                    <w:t xml:space="preserve">DEV-005-02: Leached Protein A result of RSM run 11 initially out of trend; re-assayed. Run retained.</w:t>
                  </w:r>
                </w:p>
              </w:tc>
            </w:tr>
            <w:tr>
              <w:tc>
                <w:tcPr>
                  <w:gridSpan w:val="11"/>
                </w:tcPr>
                <w:p>
                  <w:pPr>
                    <w:pStyle w:val="Compact"/>
                    <w:jc w:val="center"/>
                  </w:pPr>
                  <w:r>
                    <w:rPr>
                      <w:vertAlign w:val="superscript"/>
                    </w:rPr>
                    <w:t xml:space="preserve">b)</w:t>
                  </w:r>
                  <w:r>
                    <w:t xml:space="preserve"> </w:t>
                  </w:r>
                  <w:r>
                    <w:t xml:space="preserve">DEV-005-01: Elution-buffer pH prepared below target on an RSM run. Run retained, and analysed at the recorded elution buffer pH of 3.38 in Version 2.0.</w:t>
                  </w:r>
                </w:p>
              </w:tc>
            </w:tr>
            <w:tr>
              <w:tc>
                <w:tcPr>
                  <w:gridSpan w:val="11"/>
                </w:tcPr>
                <w:p>
                  <w:pPr>
                    <w:pStyle w:val="Compact"/>
                    <w:jc w:val="center"/>
                  </w:pPr>
                  <w:r>
                    <w:t xml:space="preserve">Factors: A, protein load. B, elution buffer pH. C, load flow rate. D, end of pool collect.</w:t>
                  </w:r>
                </w:p>
              </w:tc>
            </w:tr>
            <w:tr>
              <w:tc>
                <w:tcPr>
                  <w:gridSpan w:val="11"/>
                </w:tcPr>
                <w:p>
                  <w:pPr>
                    <w:pStyle w:val="Compact"/>
                    <w:jc w:val="center"/>
                  </w:pPr>
                  <w:r>
                    <w:t xml:space="preserve">LPA, leached Protein A.</w:t>
                  </w:r>
                </w:p>
              </w:tc>
            </w:tr>
            <w:tr>
              <w:tc>
                <w:tcPr>
                  <w:gridSpan w:val="11"/>
                </w:tcPr>
                <w:p>
                  <w:pPr>
                    <w:pStyle w:val="Compact"/>
                    <w:jc w:val="center"/>
                  </w:pPr>
                  <w:r>
                    <w:t xml:space="preserve">LMW by SEC is biased in this matrix and is not used for evaluation (AMD-001).</w:t>
                  </w:r>
                </w:p>
              </w:tc>
            </w:tr>
          </w:tbl>
          <w:bookmarkEnd w:id="1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8" w:name="tbl-app-rsm-info"/>
          <w:p>
            <w:pPr>
              <w:jc w:val="center"/>
            </w:pPr>
            <w:pPr>
              <w:jc w:val="start"/>
              <w:spacing w:before="200"/>
              <w:pStyle w:val="ImageCaption"/>
            </w:pPr>
            <w:r>
              <w:t xml:space="preserve">Table 38: Response-surface design (study S-PA-RSM), run order, elution buffer pH as analysed and results measured for information.</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Run</w:t>
                  </w:r>
                </w:p>
              </w:tc>
              <w:tc>
                <w:tcPr/>
                <w:p>
                  <w:pPr>
                    <w:pStyle w:val="Compact"/>
                    <w:jc w:val="center"/>
                  </w:pPr>
                  <w:r>
                    <w:t xml:space="preserve">Run</w:t>
                  </w:r>
                  <w:r>
                    <w:br/>
                  </w:r>
                  <w:r>
                    <w:t xml:space="preserve">order</w:t>
                  </w:r>
                </w:p>
              </w:tc>
              <w:tc>
                <w:tcPr/>
                <w:p>
                  <w:pPr>
                    <w:pStyle w:val="Compact"/>
                    <w:jc w:val="center"/>
                  </w:pPr>
                  <w:r>
                    <w:t xml:space="preserve">Elution buffer</w:t>
                  </w:r>
                  <w:r>
                    <w:br/>
                  </w:r>
                  <w:r>
                    <w:t xml:space="preserve">pH, as analysed</w:t>
                  </w:r>
                </w:p>
              </w:tc>
              <w:tc>
                <w:tcPr/>
                <w:p>
                  <w:pPr>
                    <w:pStyle w:val="Compact"/>
                    <w:jc w:val="center"/>
                  </w:pPr>
                  <w:r>
                    <w:t xml:space="preserve">HMW by</w:t>
                  </w:r>
                  <w:r>
                    <w:br/>
                  </w:r>
                  <w:r>
                    <w:t xml:space="preserve">SEC (%)</w:t>
                  </w:r>
                </w:p>
              </w:tc>
              <w:tc>
                <w:tcPr/>
                <w:p>
                  <w:pPr>
                    <w:pStyle w:val="Compact"/>
                    <w:jc w:val="center"/>
                  </w:pPr>
                  <w:r>
                    <w:t xml:space="preserve">DNA, load</w:t>
                  </w:r>
                  <w:r>
                    <w:br/>
                  </w:r>
                  <w:r>
                    <w:t xml:space="preserve">(pg/mg)</w:t>
                  </w:r>
                </w:p>
              </w:tc>
              <w:tc>
                <w:tcPr/>
                <w:p>
                  <w:pPr>
                    <w:pStyle w:val="Compact"/>
                    <w:jc w:val="center"/>
                  </w:pPr>
                  <w:r>
                    <w:t xml:space="preserve">DNA, pool</w:t>
                  </w:r>
                  <w:r>
                    <w:br/>
                  </w:r>
                  <w:r>
                    <w:t xml:space="preserve">(pg/mg)</w:t>
                  </w:r>
                </w:p>
              </w:tc>
            </w:tr>
            <w:tr>
              <w:tc>
                <w:tcPr/>
                <w:p>
                  <w:pPr>
                    <w:pStyle w:val="Compact"/>
                    <w:jc w:val="center"/>
                  </w:pPr>
                  <w:r>
                    <w:t xml:space="preserve">1</w:t>
                  </w:r>
                </w:p>
              </w:tc>
              <w:tc>
                <w:tcPr/>
                <w:p>
                  <w:pPr>
                    <w:pStyle w:val="Compact"/>
                    <w:jc w:val="center"/>
                  </w:pPr>
                  <w:r>
                    <w:t xml:space="preserve">18</w:t>
                  </w:r>
                </w:p>
              </w:tc>
              <w:tc>
                <w:tcPr/>
                <w:p>
                  <w:pPr>
                    <w:pStyle w:val="Compact"/>
                    <w:jc w:val="center"/>
                  </w:pPr>
                  <w:r>
                    <w:t xml:space="preserve">3.2</w:t>
                  </w:r>
                </w:p>
              </w:tc>
              <w:tc>
                <w:tcPr/>
                <w:p>
                  <w:pPr>
                    <w:pStyle w:val="Compact"/>
                    <w:jc w:val="center"/>
                  </w:pPr>
                  <w:r>
                    <w:t xml:space="preserve">1.68</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2</w:t>
                  </w:r>
                </w:p>
              </w:tc>
              <w:tc>
                <w:tcPr/>
                <w:p>
                  <w:pPr>
                    <w:pStyle w:val="Compact"/>
                    <w:jc w:val="center"/>
                  </w:pPr>
                  <w:r>
                    <w:t xml:space="preserve">20</w:t>
                  </w:r>
                </w:p>
              </w:tc>
              <w:tc>
                <w:tcPr/>
                <w:p>
                  <w:pPr>
                    <w:pStyle w:val="Compact"/>
                    <w:jc w:val="center"/>
                  </w:pPr>
                  <w:r>
                    <w:t xml:space="preserve">3.2</w:t>
                  </w:r>
                </w:p>
              </w:tc>
              <w:tc>
                <w:tcPr/>
                <w:p>
                  <w:pPr>
                    <w:pStyle w:val="Compact"/>
                    <w:jc w:val="center"/>
                  </w:pPr>
                  <w:r>
                    <w:t xml:space="preserve">1.68</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3</w:t>
                  </w:r>
                </w:p>
              </w:tc>
              <w:tc>
                <w:tcPr/>
                <w:p>
                  <w:pPr>
                    <w:pStyle w:val="Compact"/>
                    <w:jc w:val="center"/>
                  </w:pPr>
                  <w:r>
                    <w:t xml:space="preserve">12</w:t>
                  </w:r>
                </w:p>
              </w:tc>
              <w:tc>
                <w:tcPr/>
                <w:p>
                  <w:pPr>
                    <w:pStyle w:val="Compact"/>
                    <w:jc w:val="center"/>
                  </w:pPr>
                  <w:r>
                    <w:t xml:space="preserve">3.2</w:t>
                  </w:r>
                </w:p>
              </w:tc>
              <w:tc>
                <w:tcPr/>
                <w:p>
                  <w:pPr>
                    <w:pStyle w:val="Compact"/>
                    <w:jc w:val="center"/>
                  </w:pPr>
                  <w:r>
                    <w:t xml:space="preserve">1.59</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4</w:t>
                  </w:r>
                </w:p>
              </w:tc>
              <w:tc>
                <w:tcPr/>
                <w:p>
                  <w:pPr>
                    <w:pStyle w:val="Compact"/>
                    <w:jc w:val="center"/>
                  </w:pPr>
                  <w:r>
                    <w:t xml:space="preserve">8</w:t>
                  </w:r>
                </w:p>
              </w:tc>
              <w:tc>
                <w:tcPr/>
                <w:p>
                  <w:pPr>
                    <w:pStyle w:val="Compact"/>
                    <w:jc w:val="center"/>
                  </w:pPr>
                  <w:r>
                    <w:t xml:space="preserve">3.2</w:t>
                  </w:r>
                </w:p>
              </w:tc>
              <w:tc>
                <w:tcPr/>
                <w:p>
                  <w:pPr>
                    <w:pStyle w:val="Compact"/>
                    <w:jc w:val="center"/>
                  </w:pPr>
                  <w:r>
                    <w:t xml:space="preserve">1.73</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5</w:t>
                  </w:r>
                </w:p>
              </w:tc>
              <w:tc>
                <w:tcPr/>
                <w:p>
                  <w:pPr>
                    <w:pStyle w:val="Compact"/>
                    <w:jc w:val="center"/>
                  </w:pPr>
                  <w:r>
                    <w:t xml:space="preserve">1</w:t>
                  </w:r>
                </w:p>
              </w:tc>
              <w:tc>
                <w:tcPr/>
                <w:p>
                  <w:pPr>
                    <w:pStyle w:val="Compact"/>
                    <w:jc w:val="center"/>
                  </w:pPr>
                  <w:r>
                    <w:t xml:space="preserve">3.9</w:t>
                  </w:r>
                </w:p>
              </w:tc>
              <w:tc>
                <w:tcPr/>
                <w:p>
                  <w:pPr>
                    <w:pStyle w:val="Compact"/>
                    <w:jc w:val="center"/>
                  </w:pPr>
                  <w:r>
                    <w:t xml:space="preserve">1.43</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6</w:t>
                  </w:r>
                </w:p>
              </w:tc>
              <w:tc>
                <w:tcPr/>
                <w:p>
                  <w:pPr>
                    <w:pStyle w:val="Compact"/>
                    <w:jc w:val="center"/>
                  </w:pPr>
                  <w:r>
                    <w:t xml:space="preserve">14</w:t>
                  </w:r>
                </w:p>
              </w:tc>
              <w:tc>
                <w:tcPr/>
                <w:p>
                  <w:pPr>
                    <w:pStyle w:val="Compact"/>
                    <w:jc w:val="center"/>
                  </w:pPr>
                  <w:r>
                    <w:t xml:space="preserve">3.9</w:t>
                  </w:r>
                </w:p>
              </w:tc>
              <w:tc>
                <w:tcPr/>
                <w:p>
                  <w:pPr>
                    <w:pStyle w:val="Compact"/>
                    <w:jc w:val="center"/>
                  </w:pPr>
                  <w:r>
                    <w:t xml:space="preserve">1.51</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7</w:t>
                  </w:r>
                </w:p>
              </w:tc>
              <w:tc>
                <w:tcPr/>
                <w:p>
                  <w:pPr>
                    <w:pStyle w:val="Compact"/>
                    <w:jc w:val="center"/>
                  </w:pPr>
                  <w:r>
                    <w:t xml:space="preserve">28</w:t>
                  </w:r>
                </w:p>
              </w:tc>
              <w:tc>
                <w:tcPr/>
                <w:p>
                  <w:pPr>
                    <w:pStyle w:val="Compact"/>
                    <w:jc w:val="center"/>
                  </w:pPr>
                  <w:r>
                    <w:t xml:space="preserve">3.9</w:t>
                  </w:r>
                </w:p>
              </w:tc>
              <w:tc>
                <w:tcPr/>
                <w:p>
                  <w:pPr>
                    <w:pStyle w:val="Compact"/>
                    <w:jc w:val="center"/>
                  </w:pPr>
                  <w:r>
                    <w:t xml:space="preserve">1.43</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8</w:t>
                  </w:r>
                </w:p>
              </w:tc>
              <w:tc>
                <w:tcPr/>
                <w:p>
                  <w:pPr>
                    <w:pStyle w:val="Compact"/>
                    <w:jc w:val="center"/>
                  </w:pPr>
                  <w:r>
                    <w:t xml:space="preserve">16</w:t>
                  </w:r>
                </w:p>
              </w:tc>
              <w:tc>
                <w:tcPr/>
                <w:p>
                  <w:pPr>
                    <w:pStyle w:val="Compact"/>
                    <w:jc w:val="center"/>
                  </w:pPr>
                  <w:r>
                    <w:t xml:space="preserve">3.9</w:t>
                  </w:r>
                </w:p>
              </w:tc>
              <w:tc>
                <w:tcPr/>
                <w:p>
                  <w:pPr>
                    <w:pStyle w:val="Compact"/>
                    <w:jc w:val="center"/>
                  </w:pPr>
                  <w:r>
                    <w:t xml:space="preserve">1.42</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9</w:t>
                  </w:r>
                </w:p>
              </w:tc>
              <w:tc>
                <w:tcPr/>
                <w:p>
                  <w:pPr>
                    <w:pStyle w:val="Compact"/>
                    <w:jc w:val="center"/>
                  </w:pPr>
                  <w:r>
                    <w:t xml:space="preserve">27</w:t>
                  </w:r>
                </w:p>
              </w:tc>
              <w:tc>
                <w:tcPr/>
                <w:p>
                  <w:pPr>
                    <w:pStyle w:val="Compact"/>
                    <w:jc w:val="center"/>
                  </w:pPr>
                  <w:r>
                    <w:t xml:space="preserve">3.2</w:t>
                  </w:r>
                </w:p>
              </w:tc>
              <w:tc>
                <w:tcPr/>
                <w:p>
                  <w:pPr>
                    <w:pStyle w:val="Compact"/>
                    <w:jc w:val="center"/>
                  </w:pPr>
                  <w:r>
                    <w:t xml:space="preserve">1.64</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10</w:t>
                  </w:r>
                </w:p>
              </w:tc>
              <w:tc>
                <w:tcPr/>
                <w:p>
                  <w:pPr>
                    <w:pStyle w:val="Compact"/>
                    <w:jc w:val="center"/>
                  </w:pPr>
                  <w:r>
                    <w:t xml:space="preserve">26</w:t>
                  </w:r>
                </w:p>
              </w:tc>
              <w:tc>
                <w:tcPr/>
                <w:p>
                  <w:pPr>
                    <w:pStyle w:val="Compact"/>
                    <w:jc w:val="center"/>
                  </w:pPr>
                  <w:r>
                    <w:t xml:space="preserve">3.2</w:t>
                  </w:r>
                </w:p>
              </w:tc>
              <w:tc>
                <w:tcPr/>
                <w:p>
                  <w:pPr>
                    <w:pStyle w:val="Compact"/>
                    <w:jc w:val="center"/>
                  </w:pPr>
                  <w:r>
                    <w:t xml:space="preserve">1.60</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11</w:t>
                  </w:r>
                </w:p>
              </w:tc>
              <w:tc>
                <w:tcPr/>
                <w:p>
                  <w:pPr>
                    <w:pStyle w:val="Compact"/>
                    <w:jc w:val="center"/>
                  </w:pPr>
                  <w:r>
                    <w:t xml:space="preserve">10</w:t>
                  </w:r>
                </w:p>
              </w:tc>
              <w:tc>
                <w:tcPr/>
                <w:p>
                  <w:pPr>
                    <w:pStyle w:val="Compact"/>
                    <w:jc w:val="center"/>
                  </w:pPr>
                  <w:r>
                    <w:t xml:space="preserve">3.2</w:t>
                  </w:r>
                </w:p>
              </w:tc>
              <w:tc>
                <w:tcPr/>
                <w:p>
                  <w:pPr>
                    <w:pStyle w:val="Compact"/>
                    <w:jc w:val="center"/>
                  </w:pPr>
                  <w:r>
                    <w:t xml:space="preserve">1.62</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12</w:t>
                  </w:r>
                </w:p>
              </w:tc>
              <w:tc>
                <w:tcPr/>
                <w:p>
                  <w:pPr>
                    <w:pStyle w:val="Compact"/>
                    <w:jc w:val="center"/>
                  </w:pPr>
                  <w:r>
                    <w:t xml:space="preserve">23</w:t>
                  </w:r>
                </w:p>
              </w:tc>
              <w:tc>
                <w:tcPr/>
                <w:p>
                  <w:pPr>
                    <w:pStyle w:val="Compact"/>
                    <w:jc w:val="center"/>
                  </w:pPr>
                  <w:r>
                    <w:t xml:space="preserve">3.2</w:t>
                  </w:r>
                </w:p>
              </w:tc>
              <w:tc>
                <w:tcPr/>
                <w:p>
                  <w:pPr>
                    <w:pStyle w:val="Compact"/>
                    <w:jc w:val="center"/>
                  </w:pPr>
                  <w:r>
                    <w:t xml:space="preserve">1.58</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13</w:t>
                  </w:r>
                </w:p>
              </w:tc>
              <w:tc>
                <w:tcPr/>
                <w:p>
                  <w:pPr>
                    <w:pStyle w:val="Compact"/>
                    <w:jc w:val="center"/>
                  </w:pPr>
                  <w:r>
                    <w:t xml:space="preserve">24</w:t>
                  </w:r>
                </w:p>
              </w:tc>
              <w:tc>
                <w:tcPr/>
                <w:p>
                  <w:pPr>
                    <w:pStyle w:val="Compact"/>
                    <w:jc w:val="center"/>
                  </w:pPr>
                  <w:r>
                    <w:t xml:space="preserve">3.9</w:t>
                  </w:r>
                </w:p>
              </w:tc>
              <w:tc>
                <w:tcPr/>
                <w:p>
                  <w:pPr>
                    <w:pStyle w:val="Compact"/>
                    <w:jc w:val="center"/>
                  </w:pPr>
                  <w:r>
                    <w:t xml:space="preserve">1.45</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14</w:t>
                  </w:r>
                </w:p>
              </w:tc>
              <w:tc>
                <w:tcPr/>
                <w:p>
                  <w:pPr>
                    <w:pStyle w:val="Compact"/>
                    <w:jc w:val="center"/>
                  </w:pPr>
                  <w:r>
                    <w:t xml:space="preserve">4</w:t>
                  </w:r>
                </w:p>
              </w:tc>
              <w:tc>
                <w:tcPr/>
                <w:p>
                  <w:pPr>
                    <w:pStyle w:val="Compact"/>
                    <w:jc w:val="center"/>
                  </w:pPr>
                  <w:r>
                    <w:t xml:space="preserve">3.9</w:t>
                  </w:r>
                </w:p>
              </w:tc>
              <w:tc>
                <w:tcPr/>
                <w:p>
                  <w:pPr>
                    <w:pStyle w:val="Compact"/>
                    <w:jc w:val="center"/>
                  </w:pPr>
                  <w:r>
                    <w:t xml:space="preserve">1.51</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15</w:t>
                  </w:r>
                </w:p>
              </w:tc>
              <w:tc>
                <w:tcPr/>
                <w:p>
                  <w:pPr>
                    <w:pStyle w:val="Compact"/>
                    <w:jc w:val="center"/>
                  </w:pPr>
                  <w:r>
                    <w:t xml:space="preserve">5</w:t>
                  </w:r>
                </w:p>
              </w:tc>
              <w:tc>
                <w:tcPr/>
                <w:p>
                  <w:pPr>
                    <w:pStyle w:val="Compact"/>
                    <w:jc w:val="center"/>
                  </w:pPr>
                  <w:r>
                    <w:t xml:space="preserve">3.9</w:t>
                  </w:r>
                </w:p>
              </w:tc>
              <w:tc>
                <w:tcPr/>
                <w:p>
                  <w:pPr>
                    <w:pStyle w:val="Compact"/>
                    <w:jc w:val="center"/>
                  </w:pPr>
                  <w:r>
                    <w:t xml:space="preserve">1.52</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16</w:t>
                  </w:r>
                </w:p>
              </w:tc>
              <w:tc>
                <w:tcPr/>
                <w:p>
                  <w:pPr>
                    <w:pStyle w:val="Compact"/>
                    <w:jc w:val="center"/>
                  </w:pPr>
                  <w:r>
                    <w:t xml:space="preserve">15</w:t>
                  </w:r>
                </w:p>
              </w:tc>
              <w:tc>
                <w:tcPr/>
                <w:p>
                  <w:pPr>
                    <w:pStyle w:val="Compact"/>
                    <w:jc w:val="center"/>
                  </w:pPr>
                  <w:r>
                    <w:t xml:space="preserve">3.9</w:t>
                  </w:r>
                </w:p>
              </w:tc>
              <w:tc>
                <w:tcPr/>
                <w:p>
                  <w:pPr>
                    <w:pStyle w:val="Compact"/>
                    <w:jc w:val="center"/>
                  </w:pPr>
                  <w:r>
                    <w:t xml:space="preserve">1.50</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17</w:t>
                  </w:r>
                </w:p>
              </w:tc>
              <w:tc>
                <w:tcPr/>
                <w:p>
                  <w:pPr>
                    <w:pStyle w:val="Compact"/>
                    <w:jc w:val="center"/>
                  </w:pPr>
                  <w:r>
                    <w:t xml:space="preserve">19</w:t>
                  </w:r>
                </w:p>
              </w:tc>
              <w:tc>
                <w:tcPr/>
                <w:p>
                  <w:pPr>
                    <w:pStyle w:val="Compact"/>
                    <w:jc w:val="center"/>
                  </w:pPr>
                  <w:r>
                    <w:t xml:space="preserve">3.55</w:t>
                  </w:r>
                </w:p>
              </w:tc>
              <w:tc>
                <w:tcPr/>
                <w:p>
                  <w:pPr>
                    <w:pStyle w:val="Compact"/>
                    <w:jc w:val="center"/>
                  </w:pPr>
                  <w:r>
                    <w:t xml:space="preserve">1.59</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18</w:t>
                  </w:r>
                </w:p>
              </w:tc>
              <w:tc>
                <w:tcPr/>
                <w:p>
                  <w:pPr>
                    <w:pStyle w:val="Compact"/>
                    <w:jc w:val="center"/>
                  </w:pPr>
                  <w:r>
                    <w:t xml:space="preserve">13</w:t>
                  </w:r>
                </w:p>
              </w:tc>
              <w:tc>
                <w:tcPr/>
                <w:p>
                  <w:pPr>
                    <w:pStyle w:val="Compact"/>
                    <w:jc w:val="center"/>
                  </w:pPr>
                  <w:r>
                    <w:t xml:space="preserve">3.55</w:t>
                  </w:r>
                </w:p>
              </w:tc>
              <w:tc>
                <w:tcPr/>
                <w:p>
                  <w:pPr>
                    <w:pStyle w:val="Compact"/>
                    <w:jc w:val="center"/>
                  </w:pPr>
                  <w:r>
                    <w:t xml:space="preserve">1.54</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19</w:t>
                  </w:r>
                </w:p>
              </w:tc>
              <w:tc>
                <w:tcPr/>
                <w:p>
                  <w:pPr>
                    <w:pStyle w:val="Compact"/>
                    <w:jc w:val="center"/>
                  </w:pPr>
                  <w:r>
                    <w:t xml:space="preserve">7</w:t>
                  </w:r>
                </w:p>
              </w:tc>
              <w:tc>
                <w:tcPr/>
                <w:p>
                  <w:pPr>
                    <w:pStyle w:val="Compact"/>
                    <w:jc w:val="center"/>
                  </w:pPr>
                  <w:r>
                    <w:t xml:space="preserve">3.2</w:t>
                  </w:r>
                </w:p>
              </w:tc>
              <w:tc>
                <w:tcPr/>
                <w:p>
                  <w:pPr>
                    <w:pStyle w:val="Compact"/>
                    <w:jc w:val="center"/>
                  </w:pPr>
                  <w:r>
                    <w:t xml:space="preserve">1.62</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20</w:t>
                  </w:r>
                </w:p>
              </w:tc>
              <w:tc>
                <w:tcPr/>
                <w:p>
                  <w:pPr>
                    <w:pStyle w:val="Compact"/>
                    <w:jc w:val="center"/>
                  </w:pPr>
                  <w:r>
                    <w:t xml:space="preserve">22</w:t>
                  </w:r>
                </w:p>
              </w:tc>
              <w:tc>
                <w:tcPr/>
                <w:p>
                  <w:pPr>
                    <w:pStyle w:val="Compact"/>
                    <w:jc w:val="center"/>
                  </w:pPr>
                  <w:r>
                    <w:t xml:space="preserve">3.9</w:t>
                  </w:r>
                </w:p>
              </w:tc>
              <w:tc>
                <w:tcPr/>
                <w:p>
                  <w:pPr>
                    <w:pStyle w:val="Compact"/>
                    <w:jc w:val="center"/>
                  </w:pPr>
                  <w:r>
                    <w:t xml:space="preserve">1.58</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21</w:t>
                  </w:r>
                </w:p>
              </w:tc>
              <w:tc>
                <w:tcPr/>
                <w:p>
                  <w:pPr>
                    <w:pStyle w:val="Compact"/>
                    <w:jc w:val="center"/>
                  </w:pPr>
                  <w:r>
                    <w:t xml:space="preserve">11</w:t>
                  </w:r>
                </w:p>
              </w:tc>
              <w:tc>
                <w:tcPr/>
                <w:p>
                  <w:pPr>
                    <w:pStyle w:val="Compact"/>
                    <w:jc w:val="center"/>
                  </w:pPr>
                  <w:r>
                    <w:t xml:space="preserve">3.55</w:t>
                  </w:r>
                </w:p>
              </w:tc>
              <w:tc>
                <w:tcPr/>
                <w:p>
                  <w:pPr>
                    <w:pStyle w:val="Compact"/>
                    <w:jc w:val="center"/>
                  </w:pPr>
                  <w:r>
                    <w:t xml:space="preserve">1.63</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22</w:t>
                  </w:r>
                </w:p>
              </w:tc>
              <w:tc>
                <w:tcPr/>
                <w:p>
                  <w:pPr>
                    <w:pStyle w:val="Compact"/>
                    <w:jc w:val="center"/>
                  </w:pPr>
                  <w:r>
                    <w:t xml:space="preserve">21</w:t>
                  </w:r>
                </w:p>
              </w:tc>
              <w:tc>
                <w:tcPr/>
                <w:p>
                  <w:pPr>
                    <w:pStyle w:val="Compact"/>
                    <w:jc w:val="center"/>
                  </w:pPr>
                  <w:r>
                    <w:t xml:space="preserve">3.55</w:t>
                  </w:r>
                </w:p>
              </w:tc>
              <w:tc>
                <w:tcPr/>
                <w:p>
                  <w:pPr>
                    <w:pStyle w:val="Compact"/>
                    <w:jc w:val="center"/>
                  </w:pPr>
                  <w:r>
                    <w:t xml:space="preserve">1.55</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23</w:t>
                  </w:r>
                </w:p>
              </w:tc>
              <w:tc>
                <w:tcPr/>
                <w:p>
                  <w:pPr>
                    <w:pStyle w:val="Compact"/>
                    <w:jc w:val="center"/>
                  </w:pPr>
                  <w:r>
                    <w:t xml:space="preserve">3</w:t>
                  </w:r>
                </w:p>
              </w:tc>
              <w:tc>
                <w:tcPr/>
                <w:p>
                  <w:pPr>
                    <w:pStyle w:val="Compact"/>
                    <w:jc w:val="center"/>
                  </w:pPr>
                  <w:r>
                    <w:t xml:space="preserve">3.38</w:t>
                  </w:r>
                </w:p>
              </w:tc>
              <w:tc>
                <w:tcPr/>
                <w:p>
                  <w:pPr>
                    <w:pStyle w:val="Compact"/>
                    <w:jc w:val="center"/>
                  </w:pPr>
                  <w:r>
                    <w:t xml:space="preserve">1.51</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24</w:t>
                  </w:r>
                </w:p>
              </w:tc>
              <w:tc>
                <w:tcPr/>
                <w:p>
                  <w:pPr>
                    <w:pStyle w:val="Compact"/>
                    <w:jc w:val="center"/>
                  </w:pPr>
                  <w:r>
                    <w:t xml:space="preserve">2</w:t>
                  </w:r>
                </w:p>
              </w:tc>
              <w:tc>
                <w:tcPr/>
                <w:p>
                  <w:pPr>
                    <w:pStyle w:val="Compact"/>
                    <w:jc w:val="center"/>
                  </w:pPr>
                  <w:r>
                    <w:t xml:space="preserve">3.55</w:t>
                  </w:r>
                </w:p>
              </w:tc>
              <w:tc>
                <w:tcPr/>
                <w:p>
                  <w:pPr>
                    <w:pStyle w:val="Compact"/>
                    <w:jc w:val="center"/>
                  </w:pPr>
                  <w:r>
                    <w:t xml:space="preserve">1.52</w:t>
                  </w:r>
                </w:p>
              </w:tc>
              <w:tc>
                <w:tcPr/>
                <w:p>
                  <w:pPr>
                    <w:pStyle w:val="Compact"/>
                    <w:jc w:val="center"/>
                  </w:pPr>
                  <w:r>
                    <w:t xml:space="preserve">n.t.</w:t>
                  </w:r>
                </w:p>
              </w:tc>
              <w:tc>
                <w:tcPr/>
                <w:p>
                  <w:pPr>
                    <w:pStyle w:val="Compact"/>
                    <w:jc w:val="center"/>
                  </w:pPr>
                  <w:r>
                    <w:t xml:space="preserve">n.t.</w:t>
                  </w:r>
                </w:p>
              </w:tc>
            </w:tr>
            <w:tr>
              <w:tc>
                <w:tcPr/>
                <w:p>
                  <w:pPr>
                    <w:pStyle w:val="Compact"/>
                    <w:jc w:val="center"/>
                  </w:pPr>
                  <w:r>
                    <w:t xml:space="preserve">25</w:t>
                  </w:r>
                </w:p>
              </w:tc>
              <w:tc>
                <w:tcPr/>
                <w:p>
                  <w:pPr>
                    <w:pStyle w:val="Compact"/>
                    <w:jc w:val="center"/>
                  </w:pPr>
                  <w:r>
                    <w:t xml:space="preserve">25</w:t>
                  </w:r>
                </w:p>
              </w:tc>
              <w:tc>
                <w:tcPr/>
                <w:p>
                  <w:pPr>
                    <w:pStyle w:val="Compact"/>
                    <w:jc w:val="center"/>
                  </w:pPr>
                  <w:r>
                    <w:t xml:space="preserve">3.55</w:t>
                  </w:r>
                </w:p>
              </w:tc>
              <w:tc>
                <w:tcPr/>
                <w:p>
                  <w:pPr>
                    <w:pStyle w:val="Compact"/>
                    <w:jc w:val="center"/>
                  </w:pPr>
                  <w:r>
                    <w:t xml:space="preserve">1.54</w:t>
                  </w:r>
                </w:p>
              </w:tc>
              <w:tc>
                <w:tcPr/>
                <w:p>
                  <w:pPr>
                    <w:pStyle w:val="Compact"/>
                    <w:jc w:val="center"/>
                  </w:pPr>
                  <w:r>
                    <w:t xml:space="preserve">226,078</w:t>
                  </w:r>
                </w:p>
              </w:tc>
              <w:tc>
                <w:tcPr/>
                <w:p>
                  <w:pPr>
                    <w:pStyle w:val="Compact"/>
                    <w:jc w:val="center"/>
                  </w:pPr>
                  <w:r>
                    <w:t xml:space="preserve">966</w:t>
                  </w:r>
                </w:p>
              </w:tc>
            </w:tr>
            <w:tr>
              <w:tc>
                <w:tcPr/>
                <w:p>
                  <w:pPr>
                    <w:pStyle w:val="Compact"/>
                    <w:jc w:val="center"/>
                  </w:pPr>
                  <w:r>
                    <w:t xml:space="preserve">26</w:t>
                  </w:r>
                </w:p>
              </w:tc>
              <w:tc>
                <w:tcPr/>
                <w:p>
                  <w:pPr>
                    <w:pStyle w:val="Compact"/>
                    <w:jc w:val="center"/>
                  </w:pPr>
                  <w:r>
                    <w:t xml:space="preserve">9</w:t>
                  </w:r>
                </w:p>
              </w:tc>
              <w:tc>
                <w:tcPr/>
                <w:p>
                  <w:pPr>
                    <w:pStyle w:val="Compact"/>
                    <w:jc w:val="center"/>
                  </w:pPr>
                  <w:r>
                    <w:t xml:space="preserve">3.55</w:t>
                  </w:r>
                </w:p>
              </w:tc>
              <w:tc>
                <w:tcPr/>
                <w:p>
                  <w:pPr>
                    <w:pStyle w:val="Compact"/>
                    <w:jc w:val="center"/>
                  </w:pPr>
                  <w:r>
                    <w:t xml:space="preserve">1.53</w:t>
                  </w:r>
                </w:p>
              </w:tc>
              <w:tc>
                <w:tcPr/>
                <w:p>
                  <w:pPr>
                    <w:pStyle w:val="Compact"/>
                    <w:jc w:val="center"/>
                  </w:pPr>
                  <w:r>
                    <w:t xml:space="preserve">234,778</w:t>
                  </w:r>
                </w:p>
              </w:tc>
              <w:tc>
                <w:tcPr/>
                <w:p>
                  <w:pPr>
                    <w:pStyle w:val="Compact"/>
                    <w:jc w:val="center"/>
                  </w:pPr>
                  <w:r>
                    <w:t xml:space="preserve">827</w:t>
                  </w:r>
                </w:p>
              </w:tc>
            </w:tr>
            <w:tr>
              <w:tc>
                <w:tcPr/>
                <w:p>
                  <w:pPr>
                    <w:pStyle w:val="Compact"/>
                    <w:jc w:val="center"/>
                  </w:pPr>
                  <w:r>
                    <w:t xml:space="preserve">27</w:t>
                  </w:r>
                </w:p>
              </w:tc>
              <w:tc>
                <w:tcPr/>
                <w:p>
                  <w:pPr>
                    <w:pStyle w:val="Compact"/>
                    <w:jc w:val="center"/>
                  </w:pPr>
                  <w:r>
                    <w:t xml:space="preserve">17</w:t>
                  </w:r>
                </w:p>
              </w:tc>
              <w:tc>
                <w:tcPr/>
                <w:p>
                  <w:pPr>
                    <w:pStyle w:val="Compact"/>
                    <w:jc w:val="center"/>
                  </w:pPr>
                  <w:r>
                    <w:t xml:space="preserve">3.55</w:t>
                  </w:r>
                </w:p>
              </w:tc>
              <w:tc>
                <w:tcPr/>
                <w:p>
                  <w:pPr>
                    <w:pStyle w:val="Compact"/>
                    <w:jc w:val="center"/>
                  </w:pPr>
                  <w:r>
                    <w:t xml:space="preserve">1.55</w:t>
                  </w:r>
                </w:p>
              </w:tc>
              <w:tc>
                <w:tcPr/>
                <w:p>
                  <w:pPr>
                    <w:pStyle w:val="Compact"/>
                    <w:jc w:val="center"/>
                  </w:pPr>
                  <w:r>
                    <w:t xml:space="preserve">137,045</w:t>
                  </w:r>
                </w:p>
              </w:tc>
              <w:tc>
                <w:tcPr/>
                <w:p>
                  <w:pPr>
                    <w:pStyle w:val="Compact"/>
                    <w:jc w:val="center"/>
                  </w:pPr>
                  <w:r>
                    <w:t xml:space="preserve">635</w:t>
                  </w:r>
                </w:p>
              </w:tc>
            </w:tr>
            <w:tr>
              <w:tc>
                <w:tcPr/>
                <w:p>
                  <w:pPr>
                    <w:pStyle w:val="Compact"/>
                    <w:jc w:val="center"/>
                  </w:pPr>
                  <w:r>
                    <w:t xml:space="preserve">28</w:t>
                  </w:r>
                </w:p>
              </w:tc>
              <w:tc>
                <w:tcPr/>
                <w:p>
                  <w:pPr>
                    <w:pStyle w:val="Compact"/>
                    <w:jc w:val="center"/>
                  </w:pPr>
                  <w:r>
                    <w:t xml:space="preserve">6</w:t>
                  </w:r>
                </w:p>
              </w:tc>
              <w:tc>
                <w:tcPr/>
                <w:p>
                  <w:pPr>
                    <w:pStyle w:val="Compact"/>
                    <w:jc w:val="center"/>
                  </w:pPr>
                  <w:r>
                    <w:t xml:space="preserve">3.55</w:t>
                  </w:r>
                </w:p>
              </w:tc>
              <w:tc>
                <w:tcPr/>
                <w:p>
                  <w:pPr>
                    <w:pStyle w:val="Compact"/>
                    <w:jc w:val="center"/>
                  </w:pPr>
                  <w:r>
                    <w:t xml:space="preserve">1.58</w:t>
                  </w:r>
                </w:p>
              </w:tc>
              <w:tc>
                <w:tcPr/>
                <w:p>
                  <w:pPr>
                    <w:pStyle w:val="Compact"/>
                    <w:jc w:val="center"/>
                  </w:pPr>
                  <w:r>
                    <w:t xml:space="preserve">150,553</w:t>
                  </w:r>
                </w:p>
              </w:tc>
              <w:tc>
                <w:tcPr/>
                <w:p>
                  <w:pPr>
                    <w:pStyle w:val="Compact"/>
                    <w:jc w:val="center"/>
                  </w:pPr>
                  <w:r>
                    <w:t xml:space="preserve">498</w:t>
                  </w:r>
                </w:p>
              </w:tc>
            </w:tr>
            <w:tr>
              <w:tc>
                <w:tcPr>
                  <w:gridSpan w:val="6"/>
                </w:tcPr>
                <w:p>
                  <w:pPr>
                    <w:pStyle w:val="Compact"/>
                    <w:jc w:val="center"/>
                  </w:pPr>
                  <w:r>
                    <w:t xml:space="preserve">Run order, the order of execution. HMW, aggregate by SEC. DNA, residual DNA by qPCR in pg per mg antibody, measured on the centre points only. n.t., not tested.</w:t>
                  </w:r>
                </w:p>
              </w:tc>
            </w:tr>
          </w:tbl>
          <w:bookmarkEnd w:id="138"/>
          <w:p/>
        </w:tc>
      </w:tr>
    </w:tbl>
    <w:bookmarkEnd w:id="139"/>
    <w:bookmarkStart w:id="141" w:name="X36bf6f5778a70498f998897bcaba6cd1608671a"/>
    <w:p>
      <w:pPr>
        <w:pStyle w:val="Heading2"/>
      </w:pPr>
      <w:r>
        <w:t xml:space="preserve">Appendix C. Full effect and coefficient tables</w:t>
      </w:r>
    </w:p>
    <w:p>
      <w:pPr>
        <w:pStyle w:val="FirstParagraph"/>
      </w:pPr>
      <w:hyperlink w:anchor="tbl-scr-lpa">
        <w:r>
          <w:rPr>
            <w:rStyle w:val="Hyperlink"/>
          </w:rPr>
          <w:t xml:space="preserve">Table 39</w:t>
        </w:r>
      </w:hyperlink>
      <w:r>
        <w:t xml:space="preserve"> </w:t>
      </w:r>
      <w:r>
        <w:t xml:space="preserve">gives the screening effects on leached Protein A. The screening effects on pool host cell protein and step yield are in</w:t>
      </w:r>
      <w:r>
        <w:t xml:space="preserve"> </w:t>
      </w:r>
      <w:hyperlink w:anchor="tbl-scr-hcp">
        <w:r>
          <w:rPr>
            <w:rStyle w:val="Hyperlink"/>
          </w:rPr>
          <w:t xml:space="preserve">Table 13</w:t>
        </w:r>
      </w:hyperlink>
      <w:r>
        <w:t xml:space="preserve"> </w:t>
      </w:r>
      <w:r>
        <w:t xml:space="preserve">and</w:t>
      </w:r>
      <w:r>
        <w:t xml:space="preserve"> </w:t>
      </w:r>
      <w:hyperlink w:anchor="tbl-scr-yield">
        <w:r>
          <w:rPr>
            <w:rStyle w:val="Hyperlink"/>
          </w:rPr>
          <w:t xml:space="preserve">Table 14</w:t>
        </w:r>
      </w:hyperlink>
      <w:r>
        <w:t xml:space="preserve">, and the coefficients of the selected response-surface models in</w:t>
      </w:r>
      <w:r>
        <w:t xml:space="preserve"> </w:t>
      </w:r>
      <w:hyperlink w:anchor="tbl-coef-hcp">
        <w:r>
          <w:rPr>
            <w:rStyle w:val="Hyperlink"/>
          </w:rPr>
          <w:t xml:space="preserve">Table 17</w:t>
        </w:r>
      </w:hyperlink>
      <w:r>
        <w:t xml:space="preserve">,</w:t>
      </w:r>
      <w:r>
        <w:t xml:space="preserve"> </w:t>
      </w:r>
      <w:hyperlink w:anchor="tbl-coef-yield">
        <w:r>
          <w:rPr>
            <w:rStyle w:val="Hyperlink"/>
          </w:rPr>
          <w:t xml:space="preserve">Table 20</w:t>
        </w:r>
      </w:hyperlink>
      <w:r>
        <w:t xml:space="preserve"> </w:t>
      </w:r>
      <w:r>
        <w:t xml:space="preserve">and</w:t>
      </w:r>
      <w:r>
        <w:t xml:space="preserve"> </w:t>
      </w:r>
      <w:hyperlink w:anchor="tbl-coef-frag">
        <w:r>
          <w:rPr>
            <w:rStyle w:val="Hyperlink"/>
          </w:rPr>
          <w:t xml:space="preserve">Table 21</w:t>
        </w:r>
      </w:hyperlink>
      <w:r>
        <w:t xml:space="preserve">. The selected model of leached Protein A has no term besides its intercept.</w:t>
      </w:r>
    </w:p>
    <w:tbl>
      <w:tblPr>
        <w:tblStyle w:val="Table"/>
        <w:tblW w:type="pct" w:w="5000"/>
        <w:tblLayout w:type="fixed"/>
        <w:tblLook w:firstRow="0" w:lastRow="0" w:firstColumn="0" w:lastColumn="0" w:noHBand="0" w:noVBand="0" w:val="0000"/>
      </w:tblPr>
      <w:tblGrid>
        <w:gridCol w:w="7920"/>
      </w:tblGrid>
      <w:tr>
        <w:tc>
          <w:tcPr/>
          <w:bookmarkStart w:id="140" w:name="tbl-scr-lpa"/>
          <w:p>
            <w:pPr>
              <w:jc w:val="center"/>
            </w:pPr>
            <w:pPr>
              <w:jc w:val="start"/>
              <w:spacing w:before="200"/>
              <w:pStyle w:val="ImageCaption"/>
            </w:pPr>
            <w:r>
              <w:t xml:space="preserve">Table 39: Screening effects on leached Protein A (ppm), sorted by size.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Term</w:t>
                  </w:r>
                </w:p>
              </w:tc>
              <w:tc>
                <w:tcPr/>
                <w:p>
                  <w:pPr>
                    <w:pStyle w:val="Compact"/>
                    <w:jc w:val="center"/>
                  </w:pPr>
                  <w:r>
                    <w:t xml:space="preserve">Effect</w:t>
                  </w:r>
                </w:p>
              </w:tc>
              <w:tc>
                <w:tcPr/>
                <w:p>
                  <w:pPr>
                    <w:pStyle w:val="Compact"/>
                    <w:jc w:val="center"/>
                  </w:pPr>
                  <w:r>
                    <w:t xml:space="preserve">Coef.</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r>
            <w:tr>
              <w:tc>
                <w:tcPr/>
                <w:p>
                  <w:pPr>
                    <w:pStyle w:val="Compact"/>
                    <w:jc w:val="center"/>
                  </w:pPr>
                  <w:r>
                    <w:t xml:space="preserve">AC</w:t>
                  </w:r>
                </w:p>
              </w:tc>
              <w:tc>
                <w:tcPr/>
                <w:p>
                  <w:pPr>
                    <w:pStyle w:val="Compact"/>
                    <w:jc w:val="center"/>
                  </w:pPr>
                  <w:r>
                    <w:t xml:space="preserve">0.33</w:t>
                  </w:r>
                </w:p>
              </w:tc>
              <w:tc>
                <w:tcPr/>
                <w:p>
                  <w:pPr>
                    <w:pStyle w:val="Compact"/>
                    <w:jc w:val="center"/>
                  </w:pPr>
                  <w:r>
                    <w:t xml:space="preserve">0.16</w:t>
                  </w:r>
                </w:p>
              </w:tc>
              <w:tc>
                <w:tcPr/>
                <w:p>
                  <w:pPr>
                    <w:pStyle w:val="Compact"/>
                    <w:jc w:val="center"/>
                  </w:pPr>
                  <w:r>
                    <w:t xml:space="preserve">0.13</w:t>
                  </w:r>
                </w:p>
              </w:tc>
              <w:tc>
                <w:tcPr/>
                <w:p>
                  <w:pPr>
                    <w:pStyle w:val="Compact"/>
                    <w:jc w:val="center"/>
                  </w:pPr>
                  <w:r>
                    <w:t xml:space="preserve">1.28</w:t>
                  </w:r>
                </w:p>
              </w:tc>
              <w:tc>
                <w:tcPr/>
                <w:p>
                  <w:pPr>
                    <w:pStyle w:val="Compact"/>
                    <w:jc w:val="center"/>
                  </w:pPr>
                  <w:r>
                    <w:t xml:space="preserve">0.235</w:t>
                  </w:r>
                </w:p>
              </w:tc>
            </w:tr>
            <w:tr>
              <w:tc>
                <w:tcPr/>
                <w:p>
                  <w:pPr>
                    <w:pStyle w:val="Compact"/>
                    <w:jc w:val="center"/>
                  </w:pPr>
                  <w:r>
                    <w:t xml:space="preserve">A</w:t>
                  </w:r>
                </w:p>
              </w:tc>
              <w:tc>
                <w:tcPr/>
                <w:p>
                  <w:pPr>
                    <w:pStyle w:val="Compact"/>
                    <w:jc w:val="center"/>
                  </w:pPr>
                  <w:r>
                    <w:t xml:space="preserve">−0.21</w:t>
                  </w:r>
                </w:p>
              </w:tc>
              <w:tc>
                <w:tcPr/>
                <w:p>
                  <w:pPr>
                    <w:pStyle w:val="Compact"/>
                    <w:jc w:val="center"/>
                  </w:pPr>
                  <w:r>
                    <w:t xml:space="preserve">−0.10</w:t>
                  </w:r>
                </w:p>
              </w:tc>
              <w:tc>
                <w:tcPr/>
                <w:p>
                  <w:pPr>
                    <w:pStyle w:val="Compact"/>
                    <w:jc w:val="center"/>
                  </w:pPr>
                  <w:r>
                    <w:t xml:space="preserve">0.13</w:t>
                  </w:r>
                </w:p>
              </w:tc>
              <w:tc>
                <w:tcPr/>
                <w:p>
                  <w:pPr>
                    <w:pStyle w:val="Compact"/>
                    <w:jc w:val="center"/>
                  </w:pPr>
                  <w:r>
                    <w:t xml:space="preserve">−0.81</w:t>
                  </w:r>
                </w:p>
              </w:tc>
              <w:tc>
                <w:tcPr/>
                <w:p>
                  <w:pPr>
                    <w:pStyle w:val="Compact"/>
                    <w:jc w:val="center"/>
                  </w:pPr>
                  <w:r>
                    <w:t xml:space="preserve">0.441</w:t>
                  </w:r>
                </w:p>
              </w:tc>
            </w:tr>
            <w:tr>
              <w:tc>
                <w:tcPr/>
                <w:p>
                  <w:pPr>
                    <w:pStyle w:val="Compact"/>
                    <w:jc w:val="center"/>
                  </w:pPr>
                  <w:r>
                    <w:t xml:space="preserve">BD</w:t>
                  </w:r>
                </w:p>
              </w:tc>
              <w:tc>
                <w:tcPr/>
                <w:p>
                  <w:pPr>
                    <w:pStyle w:val="Compact"/>
                    <w:jc w:val="center"/>
                  </w:pPr>
                  <w:r>
                    <w:t xml:space="preserve">−0.19</w:t>
                  </w:r>
                </w:p>
              </w:tc>
              <w:tc>
                <w:tcPr/>
                <w:p>
                  <w:pPr>
                    <w:pStyle w:val="Compact"/>
                    <w:jc w:val="center"/>
                  </w:pPr>
                  <w:r>
                    <w:t xml:space="preserve">−0.09</w:t>
                  </w:r>
                </w:p>
              </w:tc>
              <w:tc>
                <w:tcPr/>
                <w:p>
                  <w:pPr>
                    <w:pStyle w:val="Compact"/>
                    <w:jc w:val="center"/>
                  </w:pPr>
                  <w:r>
                    <w:t xml:space="preserve">0.13</w:t>
                  </w:r>
                </w:p>
              </w:tc>
              <w:tc>
                <w:tcPr/>
                <w:p>
                  <w:pPr>
                    <w:pStyle w:val="Compact"/>
                    <w:jc w:val="center"/>
                  </w:pPr>
                  <w:r>
                    <w:t xml:space="preserve">−0.74</w:t>
                  </w:r>
                </w:p>
              </w:tc>
              <w:tc>
                <w:tcPr/>
                <w:p>
                  <w:pPr>
                    <w:pStyle w:val="Compact"/>
                    <w:jc w:val="center"/>
                  </w:pPr>
                  <w:r>
                    <w:t xml:space="preserve">0.482</w:t>
                  </w:r>
                </w:p>
              </w:tc>
            </w:tr>
            <w:tr>
              <w:tc>
                <w:tcPr/>
                <w:p>
                  <w:pPr>
                    <w:pStyle w:val="Compact"/>
                    <w:jc w:val="center"/>
                  </w:pPr>
                  <w:r>
                    <w:t xml:space="preserve">BC</w:t>
                  </w:r>
                </w:p>
              </w:tc>
              <w:tc>
                <w:tcPr/>
                <w:p>
                  <w:pPr>
                    <w:pStyle w:val="Compact"/>
                    <w:jc w:val="center"/>
                  </w:pPr>
                  <w:r>
                    <w:t xml:space="preserve">−0.18</w:t>
                  </w:r>
                </w:p>
              </w:tc>
              <w:tc>
                <w:tcPr/>
                <w:p>
                  <w:pPr>
                    <w:pStyle w:val="Compact"/>
                    <w:jc w:val="center"/>
                  </w:pPr>
                  <w:r>
                    <w:t xml:space="preserve">−0.09</w:t>
                  </w:r>
                </w:p>
              </w:tc>
              <w:tc>
                <w:tcPr/>
                <w:p>
                  <w:pPr>
                    <w:pStyle w:val="Compact"/>
                    <w:jc w:val="center"/>
                  </w:pPr>
                  <w:r>
                    <w:t xml:space="preserve">0.13</w:t>
                  </w:r>
                </w:p>
              </w:tc>
              <w:tc>
                <w:tcPr/>
                <w:p>
                  <w:pPr>
                    <w:pStyle w:val="Compact"/>
                    <w:jc w:val="center"/>
                  </w:pPr>
                  <w:r>
                    <w:t xml:space="preserve">−0.71</w:t>
                  </w:r>
                </w:p>
              </w:tc>
              <w:tc>
                <w:tcPr/>
                <w:p>
                  <w:pPr>
                    <w:pStyle w:val="Compact"/>
                    <w:jc w:val="center"/>
                  </w:pPr>
                  <w:r>
                    <w:t xml:space="preserve">0.497</w:t>
                  </w:r>
                </w:p>
              </w:tc>
            </w:tr>
            <w:tr>
              <w:tc>
                <w:tcPr/>
                <w:p>
                  <w:pPr>
                    <w:pStyle w:val="Compact"/>
                    <w:jc w:val="center"/>
                  </w:pPr>
                  <w:r>
                    <w:t xml:space="preserve">C</w:t>
                  </w:r>
                </w:p>
              </w:tc>
              <w:tc>
                <w:tcPr/>
                <w:p>
                  <w:pPr>
                    <w:pStyle w:val="Compact"/>
                    <w:jc w:val="center"/>
                  </w:pPr>
                  <w:r>
                    <w:t xml:space="preserve">0.18</w:t>
                  </w:r>
                </w:p>
              </w:tc>
              <w:tc>
                <w:tcPr/>
                <w:p>
                  <w:pPr>
                    <w:pStyle w:val="Compact"/>
                    <w:jc w:val="center"/>
                  </w:pPr>
                  <w:r>
                    <w:t xml:space="preserve">0.09</w:t>
                  </w:r>
                </w:p>
              </w:tc>
              <w:tc>
                <w:tcPr/>
                <w:p>
                  <w:pPr>
                    <w:pStyle w:val="Compact"/>
                    <w:jc w:val="center"/>
                  </w:pPr>
                  <w:r>
                    <w:t xml:space="preserve">0.13</w:t>
                  </w:r>
                </w:p>
              </w:tc>
              <w:tc>
                <w:tcPr/>
                <w:p>
                  <w:pPr>
                    <w:pStyle w:val="Compact"/>
                    <w:jc w:val="center"/>
                  </w:pPr>
                  <w:r>
                    <w:t xml:space="preserve">0.70</w:t>
                  </w:r>
                </w:p>
              </w:tc>
              <w:tc>
                <w:tcPr/>
                <w:p>
                  <w:pPr>
                    <w:pStyle w:val="Compact"/>
                    <w:jc w:val="center"/>
                  </w:pPr>
                  <w:r>
                    <w:t xml:space="preserve">0.503</w:t>
                  </w:r>
                </w:p>
              </w:tc>
            </w:tr>
            <w:tr>
              <w:tc>
                <w:tcPr/>
                <w:p>
                  <w:pPr>
                    <w:pStyle w:val="Compact"/>
                    <w:jc w:val="center"/>
                  </w:pPr>
                  <w:r>
                    <w:t xml:space="preserve">D</w:t>
                  </w:r>
                </w:p>
              </w:tc>
              <w:tc>
                <w:tcPr/>
                <w:p>
                  <w:pPr>
                    <w:pStyle w:val="Compact"/>
                    <w:jc w:val="center"/>
                  </w:pPr>
                  <w:r>
                    <w:t xml:space="preserve">0.15</w:t>
                  </w:r>
                </w:p>
              </w:tc>
              <w:tc>
                <w:tcPr/>
                <w:p>
                  <w:pPr>
                    <w:pStyle w:val="Compact"/>
                    <w:jc w:val="center"/>
                  </w:pPr>
                  <w:r>
                    <w:t xml:space="preserve">0.08</w:t>
                  </w:r>
                </w:p>
              </w:tc>
              <w:tc>
                <w:tcPr/>
                <w:p>
                  <w:pPr>
                    <w:pStyle w:val="Compact"/>
                    <w:jc w:val="center"/>
                  </w:pPr>
                  <w:r>
                    <w:t xml:space="preserve">0.13</w:t>
                  </w:r>
                </w:p>
              </w:tc>
              <w:tc>
                <w:tcPr/>
                <w:p>
                  <w:pPr>
                    <w:pStyle w:val="Compact"/>
                    <w:jc w:val="center"/>
                  </w:pPr>
                  <w:r>
                    <w:t xml:space="preserve">0.59</w:t>
                  </w:r>
                </w:p>
              </w:tc>
              <w:tc>
                <w:tcPr/>
                <w:p>
                  <w:pPr>
                    <w:pStyle w:val="Compact"/>
                    <w:jc w:val="center"/>
                  </w:pPr>
                  <w:r>
                    <w:t xml:space="preserve">0.571</w:t>
                  </w:r>
                </w:p>
              </w:tc>
            </w:tr>
            <w:tr>
              <w:tc>
                <w:tcPr/>
                <w:p>
                  <w:pPr>
                    <w:pStyle w:val="Compact"/>
                    <w:jc w:val="center"/>
                  </w:pPr>
                  <w:r>
                    <w:t xml:space="preserve">AB</w:t>
                  </w:r>
                </w:p>
              </w:tc>
              <w:tc>
                <w:tcPr/>
                <w:p>
                  <w:pPr>
                    <w:pStyle w:val="Compact"/>
                    <w:jc w:val="center"/>
                  </w:pPr>
                  <w:r>
                    <w:t xml:space="preserve">−0.13</w:t>
                  </w:r>
                </w:p>
              </w:tc>
              <w:tc>
                <w:tcPr/>
                <w:p>
                  <w:pPr>
                    <w:pStyle w:val="Compact"/>
                    <w:jc w:val="center"/>
                  </w:pPr>
                  <w:r>
                    <w:t xml:space="preserve">−0.07</w:t>
                  </w:r>
                </w:p>
              </w:tc>
              <w:tc>
                <w:tcPr/>
                <w:p>
                  <w:pPr>
                    <w:pStyle w:val="Compact"/>
                    <w:jc w:val="center"/>
                  </w:pPr>
                  <w:r>
                    <w:t xml:space="preserve">0.13</w:t>
                  </w:r>
                </w:p>
              </w:tc>
              <w:tc>
                <w:tcPr/>
                <w:p>
                  <w:pPr>
                    <w:pStyle w:val="Compact"/>
                    <w:jc w:val="center"/>
                  </w:pPr>
                  <w:r>
                    <w:t xml:space="preserve">−0.52</w:t>
                  </w:r>
                </w:p>
              </w:tc>
              <w:tc>
                <w:tcPr/>
                <w:p>
                  <w:pPr>
                    <w:pStyle w:val="Compact"/>
                    <w:jc w:val="center"/>
                  </w:pPr>
                  <w:r>
                    <w:t xml:space="preserve">0.618</w:t>
                  </w:r>
                </w:p>
              </w:tc>
            </w:tr>
            <w:tr>
              <w:tc>
                <w:tcPr/>
                <w:p>
                  <w:pPr>
                    <w:pStyle w:val="Compact"/>
                    <w:jc w:val="center"/>
                  </w:pPr>
                  <w:r>
                    <w:t xml:space="preserve">CD</w:t>
                  </w:r>
                </w:p>
              </w:tc>
              <w:tc>
                <w:tcPr/>
                <w:p>
                  <w:pPr>
                    <w:pStyle w:val="Compact"/>
                    <w:jc w:val="center"/>
                  </w:pPr>
                  <w:r>
                    <w:t xml:space="preserve">−0.10</w:t>
                  </w:r>
                </w:p>
              </w:tc>
              <w:tc>
                <w:tcPr/>
                <w:p>
                  <w:pPr>
                    <w:pStyle w:val="Compact"/>
                    <w:jc w:val="center"/>
                  </w:pPr>
                  <w:r>
                    <w:t xml:space="preserve">−0.05</w:t>
                  </w:r>
                </w:p>
              </w:tc>
              <w:tc>
                <w:tcPr/>
                <w:p>
                  <w:pPr>
                    <w:pStyle w:val="Compact"/>
                    <w:jc w:val="center"/>
                  </w:pPr>
                  <w:r>
                    <w:t xml:space="preserve">0.13</w:t>
                  </w:r>
                </w:p>
              </w:tc>
              <w:tc>
                <w:tcPr/>
                <w:p>
                  <w:pPr>
                    <w:pStyle w:val="Compact"/>
                    <w:jc w:val="center"/>
                  </w:pPr>
                  <w:r>
                    <w:t xml:space="preserve">−0.39</w:t>
                  </w:r>
                </w:p>
              </w:tc>
              <w:tc>
                <w:tcPr/>
                <w:p>
                  <w:pPr>
                    <w:pStyle w:val="Compact"/>
                    <w:jc w:val="center"/>
                  </w:pPr>
                  <w:r>
                    <w:t xml:space="preserve">0.710</w:t>
                  </w:r>
                </w:p>
              </w:tc>
            </w:tr>
            <w:tr>
              <w:tc>
                <w:tcPr/>
                <w:p>
                  <w:pPr>
                    <w:pStyle w:val="Compact"/>
                    <w:jc w:val="center"/>
                  </w:pPr>
                  <w:r>
                    <w:t xml:space="preserve">B</w:t>
                  </w:r>
                </w:p>
              </w:tc>
              <w:tc>
                <w:tcPr/>
                <w:p>
                  <w:pPr>
                    <w:pStyle w:val="Compact"/>
                    <w:jc w:val="center"/>
                  </w:pPr>
                  <w:r>
                    <w:t xml:space="preserve">0.07</w:t>
                  </w:r>
                </w:p>
              </w:tc>
              <w:tc>
                <w:tcPr/>
                <w:p>
                  <w:pPr>
                    <w:pStyle w:val="Compact"/>
                    <w:jc w:val="center"/>
                  </w:pPr>
                  <w:r>
                    <w:t xml:space="preserve">0.03</w:t>
                  </w:r>
                </w:p>
              </w:tc>
              <w:tc>
                <w:tcPr/>
                <w:p>
                  <w:pPr>
                    <w:pStyle w:val="Compact"/>
                    <w:jc w:val="center"/>
                  </w:pPr>
                  <w:r>
                    <w:t xml:space="preserve">0.13</w:t>
                  </w:r>
                </w:p>
              </w:tc>
              <w:tc>
                <w:tcPr/>
                <w:p>
                  <w:pPr>
                    <w:pStyle w:val="Compact"/>
                    <w:jc w:val="center"/>
                  </w:pPr>
                  <w:r>
                    <w:t xml:space="preserve">0.25</w:t>
                  </w:r>
                </w:p>
              </w:tc>
              <w:tc>
                <w:tcPr/>
                <w:p>
                  <w:pPr>
                    <w:pStyle w:val="Compact"/>
                    <w:jc w:val="center"/>
                  </w:pPr>
                  <w:r>
                    <w:t xml:space="preserve">0.806</w:t>
                  </w:r>
                </w:p>
              </w:tc>
            </w:tr>
            <w:tr>
              <w:tc>
                <w:tcPr/>
                <w:p>
                  <w:pPr>
                    <w:pStyle w:val="Compact"/>
                    <w:jc w:val="center"/>
                  </w:pPr>
                  <w:r>
                    <w:t xml:space="preserve">AD</w:t>
                  </w:r>
                </w:p>
              </w:tc>
              <w:tc>
                <w:tcPr/>
                <w:p>
                  <w:pPr>
                    <w:pStyle w:val="Compact"/>
                    <w:jc w:val="center"/>
                  </w:pPr>
                  <w:r>
                    <w:t xml:space="preserve">0.06</w:t>
                  </w:r>
                </w:p>
              </w:tc>
              <w:tc>
                <w:tcPr/>
                <w:p>
                  <w:pPr>
                    <w:pStyle w:val="Compact"/>
                    <w:jc w:val="center"/>
                  </w:pPr>
                  <w:r>
                    <w:t xml:space="preserve">0.03</w:t>
                  </w:r>
                </w:p>
              </w:tc>
              <w:tc>
                <w:tcPr/>
                <w:p>
                  <w:pPr>
                    <w:pStyle w:val="Compact"/>
                    <w:jc w:val="center"/>
                  </w:pPr>
                  <w:r>
                    <w:t xml:space="preserve">0.13</w:t>
                  </w:r>
                </w:p>
              </w:tc>
              <w:tc>
                <w:tcPr/>
                <w:p>
                  <w:pPr>
                    <w:pStyle w:val="Compact"/>
                    <w:jc w:val="center"/>
                  </w:pPr>
                  <w:r>
                    <w:t xml:space="preserve">0.22</w:t>
                  </w:r>
                </w:p>
              </w:tc>
              <w:tc>
                <w:tcPr/>
                <w:p>
                  <w:pPr>
                    <w:pStyle w:val="Compact"/>
                    <w:jc w:val="center"/>
                  </w:pPr>
                  <w:r>
                    <w:t xml:space="preserve">0.830</w:t>
                  </w:r>
                </w:p>
              </w:tc>
            </w:tr>
          </w:tbl>
          <w:bookmarkEnd w:id="140"/>
          <w:p/>
        </w:tc>
      </w:tr>
    </w:tbl>
    <w:bookmarkEnd w:id="141"/>
    <w:bookmarkStart w:id="143" w:name="appendix-d.-analytical-methods-summary"/>
    <w:p>
      <w:pPr>
        <w:pStyle w:val="Heading2"/>
      </w:pPr>
      <w:r>
        <w:t xml:space="preserve">Appendix D. Analytical methods summary</w:t>
      </w:r>
    </w:p>
    <w:p>
      <w:pPr>
        <w:pStyle w:val="FirstParagraph"/>
      </w:pPr>
      <w:hyperlink w:anchor="tbl-methods-summary">
        <w:r>
          <w:rPr>
            <w:rStyle w:val="Hyperlink"/>
          </w:rPr>
          <w:t xml:space="preserve">Table 40</w:t>
        </w:r>
      </w:hyperlink>
      <w:r>
        <w:t xml:space="preserve"> </w:t>
      </w:r>
      <w:r>
        <w:t xml:space="preserve">summarizes the analytical methods used in the studies of the step.</w:t>
      </w:r>
    </w:p>
    <w:tbl>
      <w:tblPr>
        <w:tblStyle w:val="Table"/>
        <w:tblW w:type="pct" w:w="5000"/>
        <w:tblLayout w:type="fixed"/>
        <w:tblLook w:firstRow="0" w:lastRow="0" w:firstColumn="0" w:lastColumn="0" w:noHBand="0" w:noVBand="0" w:val="0000"/>
      </w:tblPr>
      <w:tblGrid>
        <w:gridCol w:w="7920"/>
      </w:tblGrid>
      <w:tr>
        <w:tc>
          <w:tcPr/>
          <w:bookmarkStart w:id="142" w:name="tbl-methods-summary"/>
          <w:p>
            <w:pPr>
              <w:jc w:val="center"/>
            </w:pPr>
            <w:pPr>
              <w:jc w:val="start"/>
              <w:spacing w:before="200"/>
              <w:pStyle w:val="ImageCaption"/>
            </w:pPr>
            <w:r>
              <w:t xml:space="preserve">Table 40: Analytical methods used in the studies of the Protein A step.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Technique</w:t>
                  </w:r>
                </w:p>
              </w:tc>
              <w:tc>
                <w:tcPr/>
                <w:p>
                  <w:pPr>
                    <w:pStyle w:val="Compact"/>
                    <w:jc w:val="center"/>
                  </w:pPr>
                  <w:r>
                    <w:t xml:space="preserve">Analyte</w:t>
                  </w:r>
                </w:p>
              </w:tc>
              <w:tc>
                <w:tcPr/>
                <w:p>
                  <w:pPr>
                    <w:pStyle w:val="Compact"/>
                    <w:jc w:val="center"/>
                  </w:pPr>
                  <w:r>
                    <w:t xml:space="preserve">AMV</w:t>
                  </w:r>
                </w:p>
              </w:tc>
              <w:tc>
                <w:tcPr/>
                <w:p>
                  <w:pPr>
                    <w:pStyle w:val="Compact"/>
                    <w:jc w:val="center"/>
                  </w:pPr>
                  <w:r>
                    <w:t xml:space="preserve">Reportable</w:t>
                  </w:r>
                </w:p>
              </w:tc>
              <w:tc>
                <w:tcPr/>
                <w:p>
                  <w:pPr>
                    <w:pStyle w:val="Compact"/>
                    <w:jc w:val="center"/>
                  </w:pPr>
                  <w:r>
                    <w:t xml:space="preserve">Use in this report</w:t>
                  </w:r>
                </w:p>
              </w:tc>
            </w:tr>
            <w:tr>
              <w:tc>
                <w:tcPr>
                  <w:vMerge w:val="restart"/>
                </w:tcPr>
                <w:p>
                  <w:pPr>
                    <w:pStyle w:val="Compact"/>
                    <w:jc w:val="center"/>
                  </w:pPr>
                  <w:r>
                    <w:t xml:space="preserve">ELISA</w:t>
                  </w:r>
                </w:p>
              </w:tc>
              <w:tc>
                <w:tcPr/>
                <w:p>
                  <w:pPr>
                    <w:pStyle w:val="Compact"/>
                    <w:jc w:val="center"/>
                  </w:pPr>
                  <w:r>
                    <w:t xml:space="preserve">Host cell protein</w:t>
                  </w:r>
                </w:p>
              </w:tc>
              <w:tc>
                <w:tcPr/>
                <w:p>
                  <w:pPr>
                    <w:pStyle w:val="Compact"/>
                    <w:jc w:val="center"/>
                  </w:pPr>
                  <w:r>
                    <w:t xml:space="preserve">AMV-3012</w:t>
                  </w:r>
                </w:p>
              </w:tc>
              <w:tc>
                <w:tcPr/>
                <w:p>
                  <w:pPr>
                    <w:pStyle w:val="Compact"/>
                    <w:jc w:val="center"/>
                  </w:pPr>
                  <w:r>
                    <w:t xml:space="preserve">ng per mg antibody</w:t>
                  </w:r>
                </w:p>
              </w:tc>
              <w:tc>
                <w:tcPr/>
                <w:p>
                  <w:pPr>
                    <w:pStyle w:val="Compact"/>
                    <w:jc w:val="center"/>
                  </w:pPr>
                  <w:r>
                    <w:t xml:space="preserve">Response of both designs, univariate study</w:t>
                  </w:r>
                </w:p>
              </w:tc>
            </w:tr>
            <w:tr>
              <w:tc>
                <w:tcPr>
                  <w:gridSpan w:val="1"/>
                  <w:vMerge w:val="continue"/>
                </w:tcPr>
                <w:p>
                  <w:pPr/>
                </w:p>
              </w:tc>
              <w:tc>
                <w:tcPr/>
                <w:p>
                  <w:pPr>
                    <w:pStyle w:val="Compact"/>
                    <w:jc w:val="center"/>
                  </w:pPr>
                  <w:r>
                    <w:t xml:space="preserve">Leached Protein A</w:t>
                  </w:r>
                </w:p>
              </w:tc>
              <w:tc>
                <w:tcPr/>
                <w:p>
                  <w:pPr>
                    <w:pStyle w:val="Compact"/>
                    <w:jc w:val="center"/>
                  </w:pPr>
                  <w:r>
                    <w:t xml:space="preserve">AMV-3016</w:t>
                  </w:r>
                </w:p>
              </w:tc>
              <w:tc>
                <w:tcPr/>
                <w:p>
                  <w:pPr>
                    <w:pStyle w:val="Compact"/>
                    <w:jc w:val="center"/>
                  </w:pPr>
                  <w:r>
                    <w:t xml:space="preserve">ppm</w:t>
                  </w:r>
                </w:p>
              </w:tc>
              <w:tc>
                <w:tcPr/>
                <w:p>
                  <w:pPr>
                    <w:pStyle w:val="Compact"/>
                    <w:jc w:val="center"/>
                  </w:pPr>
                  <w:r>
                    <w:t xml:space="preserve">Response of both designs, univariate study</w:t>
                  </w:r>
                </w:p>
              </w:tc>
            </w:tr>
            <w:tr>
              <w:tc>
                <w:tcPr/>
                <w:p>
                  <w:pPr>
                    <w:pStyle w:val="Compact"/>
                    <w:jc w:val="center"/>
                  </w:pPr>
                  <w:r>
                    <w:t xml:space="preserve">Protein A affinity HPLC</w:t>
                  </w:r>
                </w:p>
              </w:tc>
              <w:tc>
                <w:tcPr/>
                <w:p>
                  <w:pPr>
                    <w:pStyle w:val="Compact"/>
                    <w:jc w:val="center"/>
                  </w:pPr>
                  <w:r>
                    <w:t xml:space="preserve">Antibody in the load</w:t>
                  </w:r>
                </w:p>
              </w:tc>
              <w:tc>
                <w:tcPr/>
                <w:p>
                  <w:pPr>
                    <w:pStyle w:val="Compact"/>
                    <w:jc w:val="center"/>
                  </w:pPr>
                  <w:r>
                    <w:t xml:space="preserve">AMV-3021</w:t>
                  </w:r>
                </w:p>
              </w:tc>
              <w:tc>
                <w:tcPr/>
                <w:p>
                  <w:pPr>
                    <w:pStyle w:val="Compact"/>
                    <w:jc w:val="center"/>
                  </w:pPr>
                  <w:r>
                    <w:t xml:space="preserve">Antibody concentration</w:t>
                  </w:r>
                </w:p>
              </w:tc>
              <w:tc>
                <w:tcPr/>
                <w:p>
                  <w:pPr>
                    <w:pStyle w:val="Compact"/>
                    <w:jc w:val="center"/>
                  </w:pPr>
                  <w:r>
                    <w:t xml:space="preserve">Protein load of each run, step yield</w:t>
                  </w:r>
                </w:p>
              </w:tc>
            </w:tr>
            <w:tr>
              <w:tc>
                <w:tcPr/>
                <w:p>
                  <w:pPr>
                    <w:pStyle w:val="Compact"/>
                    <w:jc w:val="center"/>
                  </w:pPr>
                  <w:r>
                    <w:t xml:space="preserve">UV absorbance at 280 nm</w:t>
                  </w:r>
                </w:p>
              </w:tc>
              <w:tc>
                <w:tcPr/>
                <w:p>
                  <w:pPr>
                    <w:pStyle w:val="Compact"/>
                    <w:jc w:val="center"/>
                  </w:pPr>
                  <w:r>
                    <w:t xml:space="preserve">Protein in the pool</w:t>
                  </w:r>
                </w:p>
              </w:tc>
              <w:tc>
                <w:tcPr/>
                <w:p>
                  <w:pPr>
                    <w:pStyle w:val="Compact"/>
                    <w:jc w:val="center"/>
                  </w:pPr>
                  <w:r>
                    <w:t xml:space="preserve">AMV-3019</w:t>
                  </w:r>
                </w:p>
              </w:tc>
              <w:tc>
                <w:tcPr/>
                <w:p>
                  <w:pPr>
                    <w:pStyle w:val="Compact"/>
                    <w:jc w:val="center"/>
                  </w:pPr>
                  <w:r>
                    <w:t xml:space="preserve">Protein concentration</w:t>
                  </w:r>
                </w:p>
              </w:tc>
              <w:tc>
                <w:tcPr/>
                <w:p>
                  <w:pPr>
                    <w:pStyle w:val="Compact"/>
                    <w:jc w:val="center"/>
                  </w:pPr>
                  <w:r>
                    <w:t xml:space="preserve">Step yield</w:t>
                  </w:r>
                </w:p>
              </w:tc>
            </w:tr>
            <w:tr>
              <w:tc>
                <w:tcPr/>
                <w:p>
                  <w:pPr>
                    <w:pStyle w:val="Compact"/>
                    <w:jc w:val="center"/>
                  </w:pPr>
                  <w:r>
                    <w:t xml:space="preserve">Non-reduced CE-SDS</w:t>
                  </w:r>
                </w:p>
              </w:tc>
              <w:tc>
                <w:tcPr/>
                <w:p>
                  <w:pPr>
                    <w:pStyle w:val="Compact"/>
                    <w:jc w:val="center"/>
                  </w:pPr>
                  <w:r>
                    <w:t xml:space="preserve">Fragments (LMW)</w:t>
                  </w:r>
                </w:p>
              </w:tc>
              <w:tc>
                <w:tcPr/>
                <w:p>
                  <w:pPr>
                    <w:pStyle w:val="Compact"/>
                    <w:jc w:val="center"/>
                  </w:pPr>
                  <w:r>
                    <w:t xml:space="preserve">AMV-3020</w:t>
                  </w:r>
                </w:p>
              </w:tc>
              <w:tc>
                <w:tcPr/>
                <w:p>
                  <w:pPr>
                    <w:pStyle w:val="Compact"/>
                    <w:jc w:val="center"/>
                  </w:pPr>
                  <w:r>
                    <w:t xml:space="preserve">% of total</w:t>
                  </w:r>
                </w:p>
              </w:tc>
              <w:tc>
                <w:tcPr/>
                <w:p>
                  <w:pPr>
                    <w:pStyle w:val="Compact"/>
                    <w:jc w:val="center"/>
                  </w:pPr>
                  <w:r>
                    <w:t xml:space="preserve">Response of the response-surface design, hold study</w:t>
                  </w:r>
                </w:p>
              </w:tc>
            </w:tr>
            <w:tr>
              <w:tc>
                <w:tcPr>
                  <w:vMerge w:val="restart"/>
                </w:tcPr>
                <w:p>
                  <w:pPr>
                    <w:pStyle w:val="Compact"/>
                    <w:jc w:val="center"/>
                  </w:pPr>
                  <w:r>
                    <w:t xml:space="preserve">SEC-HPLC</w:t>
                  </w:r>
                </w:p>
              </w:tc>
              <w:tc>
                <w:tcPr/>
                <w:p>
                  <w:pPr>
                    <w:pStyle w:val="Compact"/>
                    <w:jc w:val="center"/>
                  </w:pPr>
                  <w:r>
                    <w:t xml:space="preserve">Fragments (LMW)</w:t>
                  </w:r>
                </w:p>
              </w:tc>
              <w:tc>
                <w:tcPr/>
                <w:p>
                  <w:pPr>
                    <w:pStyle w:val="Compact"/>
                    <w:jc w:val="center"/>
                  </w:pPr>
                  <w:r>
                    <w:t xml:space="preserve">AMV-3011</w:t>
                  </w:r>
                </w:p>
              </w:tc>
              <w:tc>
                <w:tcPr/>
                <w:p>
                  <w:pPr>
                    <w:pStyle w:val="Compact"/>
                    <w:jc w:val="center"/>
                  </w:pPr>
                  <w:r>
                    <w:t xml:space="preserve">% of total</w:t>
                  </w:r>
                </w:p>
              </w:tc>
              <w:tc>
                <w:tcPr/>
                <w:p>
                  <w:pPr>
                    <w:pStyle w:val="Compact"/>
                    <w:jc w:val="center"/>
                  </w:pPr>
                  <w:r>
                    <w:t xml:space="preserve">Information only</w:t>
                  </w:r>
                </w:p>
              </w:tc>
            </w:tr>
            <w:tr>
              <w:tc>
                <w:tcPr>
                  <w:gridSpan w:val="1"/>
                  <w:vMerge w:val="continue"/>
                </w:tcPr>
                <w:p>
                  <w:pPr/>
                </w:p>
              </w:tc>
              <w:tc>
                <w:tcPr/>
                <w:p>
                  <w:pPr>
                    <w:pStyle w:val="Compact"/>
                    <w:jc w:val="center"/>
                  </w:pPr>
                  <w:r>
                    <w:t xml:space="preserve">Aggregate (HMW)</w:t>
                  </w:r>
                </w:p>
              </w:tc>
              <w:tc>
                <w:tcPr/>
                <w:p>
                  <w:pPr>
                    <w:pStyle w:val="Compact"/>
                    <w:jc w:val="center"/>
                  </w:pPr>
                  <w:r>
                    <w:t xml:space="preserve">AMV-3011</w:t>
                  </w:r>
                </w:p>
              </w:tc>
              <w:tc>
                <w:tcPr/>
                <w:p>
                  <w:pPr>
                    <w:pStyle w:val="Compact"/>
                    <w:jc w:val="center"/>
                  </w:pPr>
                  <w:r>
                    <w:t xml:space="preserve">% of total</w:t>
                  </w:r>
                </w:p>
              </w:tc>
              <w:tc>
                <w:tcPr/>
                <w:p>
                  <w:pPr>
                    <w:pStyle w:val="Compact"/>
                    <w:jc w:val="center"/>
                  </w:pPr>
                  <w:r>
                    <w:t xml:space="preserve">Hold study, information</w:t>
                  </w:r>
                </w:p>
              </w:tc>
            </w:tr>
            <w:tr>
              <w:tc>
                <w:tcPr/>
                <w:p>
                  <w:pPr>
                    <w:pStyle w:val="Compact"/>
                    <w:jc w:val="center"/>
                  </w:pPr>
                  <w:r>
                    <w:t xml:space="preserve">icIEF</w:t>
                  </w:r>
                </w:p>
              </w:tc>
              <w:tc>
                <w:tcPr/>
                <w:p>
                  <w:pPr>
                    <w:pStyle w:val="Compact"/>
                    <w:jc w:val="center"/>
                  </w:pPr>
                  <w:r>
                    <w:t xml:space="preserve">Acidic variants</w:t>
                  </w:r>
                </w:p>
              </w:tc>
              <w:tc>
                <w:tcPr/>
                <w:p>
                  <w:pPr>
                    <w:pStyle w:val="Compact"/>
                    <w:jc w:val="center"/>
                  </w:pPr>
                  <w:r>
                    <w:t xml:space="preserve">AMV-3013</w:t>
                  </w:r>
                </w:p>
              </w:tc>
              <w:tc>
                <w:tcPr/>
                <w:p>
                  <w:pPr>
                    <w:pStyle w:val="Compact"/>
                    <w:jc w:val="center"/>
                  </w:pPr>
                  <w:r>
                    <w:t xml:space="preserve">% of total</w:t>
                  </w:r>
                </w:p>
              </w:tc>
              <w:tc>
                <w:tcPr/>
                <w:p>
                  <w:pPr>
                    <w:pStyle w:val="Compact"/>
                    <w:jc w:val="center"/>
                  </w:pPr>
                  <w:r>
                    <w:t xml:space="preserve">Hold study</w:t>
                  </w:r>
                </w:p>
              </w:tc>
            </w:tr>
            <w:tr>
              <w:tc>
                <w:tcPr/>
                <w:p>
                  <w:pPr>
                    <w:pStyle w:val="Compact"/>
                    <w:jc w:val="center"/>
                  </w:pPr>
                  <w:r>
                    <w:t xml:space="preserve">qPCR</w:t>
                  </w:r>
                </w:p>
              </w:tc>
              <w:tc>
                <w:tcPr/>
                <w:p>
                  <w:pPr>
                    <w:pStyle w:val="Compact"/>
                    <w:jc w:val="center"/>
                  </w:pPr>
                  <w:r>
                    <w:t xml:space="preserve">Residual DNA</w:t>
                  </w:r>
                </w:p>
              </w:tc>
              <w:tc>
                <w:tcPr/>
                <w:p>
                  <w:pPr>
                    <w:pStyle w:val="Compact"/>
                    <w:jc w:val="center"/>
                  </w:pPr>
                  <w:r>
                    <w:t xml:space="preserve">AMV-3014</w:t>
                  </w:r>
                </w:p>
              </w:tc>
              <w:tc>
                <w:tcPr/>
                <w:p>
                  <w:pPr>
                    <w:pStyle w:val="Compact"/>
                    <w:jc w:val="center"/>
                  </w:pPr>
                  <w:r>
                    <w:t xml:space="preserve">pg per mg antibody</w:t>
                  </w:r>
                </w:p>
              </w:tc>
              <w:tc>
                <w:tcPr/>
                <w:p>
                  <w:pPr>
                    <w:pStyle w:val="Compact"/>
                    <w:jc w:val="center"/>
                  </w:pPr>
                  <w:r>
                    <w:t xml:space="preserve">Information only</w:t>
                  </w:r>
                </w:p>
              </w:tc>
            </w:tr>
          </w:tbl>
          <w:bookmarkEnd w:id="142"/>
          <w:p/>
        </w:tc>
      </w:tr>
    </w:tbl>
    <w:bookmarkEnd w:id="143"/>
    <w:bookmarkEnd w:id="144"/>
    <w:bookmarkStart w:id="155" w:name="references"/>
    <w:p>
      <w:pPr>
        <w:pStyle w:val="Heading1"/>
      </w:pPr>
      <w:r>
        <w:t xml:space="preserve">References</w:t>
      </w:r>
    </w:p>
    <w:bookmarkStart w:id="154" w:name="refs"/>
    <w:bookmarkStart w:id="145" w:name="ref-boxcox1964"/>
    <w:p>
      <w:pPr>
        <w:pStyle w:val="Bibliography"/>
      </w:pPr>
      <w:r>
        <w:t xml:space="preserve">Box, George E. P., and David R. Cox. 1964.</w:t>
      </w:r>
      <w:r>
        <w:t xml:space="preserve"> </w:t>
      </w:r>
      <w:r>
        <w:t xml:space="preserve">“An Analysis of Transformations.”</w:t>
      </w:r>
      <w:r>
        <w:t xml:space="preserve"> </w:t>
      </w:r>
      <w:r>
        <w:rPr>
          <w:i/>
          <w:iCs/>
        </w:rPr>
        <w:t xml:space="preserve">Journal of the Royal Statistical Society, Series B (Methodological)</w:t>
      </w:r>
      <w:r>
        <w:t xml:space="preserve"> </w:t>
      </w:r>
      <w:r>
        <w:t xml:space="preserve">26 (2): 211–52.</w:t>
      </w:r>
    </w:p>
    <w:bookmarkEnd w:id="145"/>
    <w:bookmarkStart w:id="146" w:name="ref-burnham2002"/>
    <w:p>
      <w:pPr>
        <w:pStyle w:val="Bibliography"/>
      </w:pPr>
      <w:r>
        <w:t xml:space="preserve">Burnham, Kenneth P., and David R. Anderson. 2002.</w:t>
      </w:r>
      <w:r>
        <w:t xml:space="preserve"> </w:t>
      </w:r>
      <w:r>
        <w:rPr>
          <w:i/>
          <w:iCs/>
        </w:rPr>
        <w:t xml:space="preserve">Model Selection and Multimodel Inference: A Practical Information-Theoretic Approach</w:t>
      </w:r>
      <w:r>
        <w:t xml:space="preserve">. 2nd ed. New York: Springer.</w:t>
      </w:r>
    </w:p>
    <w:bookmarkEnd w:id="146"/>
    <w:bookmarkStart w:id="147"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147"/>
    <w:bookmarkStart w:id="148" w:name="ref-hurvich1989"/>
    <w:p>
      <w:pPr>
        <w:pStyle w:val="Bibliography"/>
      </w:pPr>
      <w:r>
        <w:t xml:space="preserve">Hurvich, Clifford M., and Chih-Ling Tsai. 1989.</w:t>
      </w:r>
      <w:r>
        <w:t xml:space="preserve"> </w:t>
      </w:r>
      <w:r>
        <w:t xml:space="preserve">“Regression and Time Series Model Selection in Small Samples.”</w:t>
      </w:r>
      <w:r>
        <w:t xml:space="preserve"> </w:t>
      </w:r>
      <w:r>
        <w:rPr>
          <w:i/>
          <w:iCs/>
        </w:rPr>
        <w:t xml:space="preserve">Biometrika</w:t>
      </w:r>
      <w:r>
        <w:t xml:space="preserve"> </w:t>
      </w:r>
      <w:r>
        <w:t xml:space="preserve">76 (2): 297–307.</w:t>
      </w:r>
    </w:p>
    <w:bookmarkEnd w:id="148"/>
    <w:bookmarkStart w:id="149" w:name="ref-ichq8"/>
    <w:p>
      <w:pPr>
        <w:pStyle w:val="Bibliography"/>
      </w:pPr>
      <w:r>
        <w:t xml:space="preserve">International Council for Harmonisation. 2009.</w:t>
      </w:r>
      <w:r>
        <w:t xml:space="preserve"> </w:t>
      </w:r>
      <w:r>
        <w:t xml:space="preserve">“ICH Q8(R2): Pharmaceutical Development.”</w:t>
      </w:r>
      <w:r>
        <w:t xml:space="preserve"> </w:t>
      </w:r>
      <w:r>
        <w:t xml:space="preserve">ICH.</w:t>
      </w:r>
    </w:p>
    <w:bookmarkEnd w:id="149"/>
    <w:bookmarkStart w:id="150" w:name="ref-ichq11"/>
    <w:p>
      <w:pPr>
        <w:pStyle w:val="Bibliography"/>
      </w:pPr>
      <w:r>
        <w:t xml:space="preserve">———. 2012.</w:t>
      </w:r>
      <w:r>
        <w:t xml:space="preserve"> </w:t>
      </w:r>
      <w:r>
        <w:t xml:space="preserve">“ICH Q11: Development and Manufacture of Drug Substances.”</w:t>
      </w:r>
      <w:r>
        <w:t xml:space="preserve"> </w:t>
      </w:r>
      <w:r>
        <w:t xml:space="preserve">ICH.</w:t>
      </w:r>
    </w:p>
    <w:bookmarkEnd w:id="150"/>
    <w:bookmarkStart w:id="151" w:name="ref-ichq9"/>
    <w:p>
      <w:pPr>
        <w:pStyle w:val="Bibliography"/>
      </w:pPr>
      <w:r>
        <w:t xml:space="preserve">———. 2023.</w:t>
      </w:r>
      <w:r>
        <w:t xml:space="preserve"> </w:t>
      </w:r>
      <w:r>
        <w:t xml:space="preserve">“ICH Q9(R1): Quality Risk Management.”</w:t>
      </w:r>
      <w:r>
        <w:t xml:space="preserve"> </w:t>
      </w:r>
      <w:r>
        <w:t xml:space="preserve">ICH.</w:t>
      </w:r>
    </w:p>
    <w:bookmarkEnd w:id="151"/>
    <w:bookmarkStart w:id="152" w:name="ref-montgomery2017"/>
    <w:p>
      <w:pPr>
        <w:pStyle w:val="Bibliography"/>
      </w:pPr>
      <w:r>
        <w:t xml:space="preserve">Montgomery, Douglas C. 2017.</w:t>
      </w:r>
      <w:r>
        <w:t xml:space="preserve"> </w:t>
      </w:r>
      <w:r>
        <w:rPr>
          <w:i/>
          <w:iCs/>
        </w:rPr>
        <w:t xml:space="preserve">Design and Analysis of Experiments</w:t>
      </w:r>
      <w:r>
        <w:t xml:space="preserve">. 9th ed. Hoboken, NJ: Wiley.</w:t>
      </w:r>
    </w:p>
    <w:bookmarkEnd w:id="152"/>
    <w:bookmarkStart w:id="153"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153"/>
    <w:bookmarkEnd w:id="154"/>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109" Target="media/rId109.png" /><Relationship Type="http://schemas.openxmlformats.org/officeDocument/2006/relationships/image" Id="rId105" Target="media/rId10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Report</dc:title>
  <dc:creator>Process Development / Manufacturing Science &amp; Technology (MSAT)</dc:creator>
  <cp:keywords/>
  <dcterms:created xsi:type="dcterms:W3CDTF">2026-10-10T18:29:44Z</dcterms:created>
  <dcterms:modified xsi:type="dcterms:W3CDTF">2026-10-10T18:29:44Z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Protein A Chromatography (Step 5) — PCR-005</vt:lpwstr>
  </property>
  <property fmtid="{D5CDD505-2E9C-101B-9397-08002B2CF9AE}" pid="15" name="tbl-cap-location">
    <vt:lpwstr>top</vt:lpwstr>
  </property>
  <property fmtid="{D5CDD505-2E9C-101B-9397-08002B2CF9AE}" pid="16" name="toc-title">
    <vt:lpwstr>Table of contents</vt:lpwstr>
  </property>
</Properties>
</file>