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491"/>
              <w:gridCol w:w="2087"/>
              <w:gridCol w:w="5341"/>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attributes</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by size; principal MVM clearance (MVM and XMuLV credit)</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a priori criterion of the cation exchange pool is therefore the drug substance criterion itself, 5 %. Verification then found that UF/DF raises aggregate within its NOR, and the criterion in force carries that increase. It is 4.90 %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except for fragments, their drug substance acceptance criteria are taken from the A-Mab case study</w:t>
      </w:r>
      <w:r>
        <w:t xml:space="preserve"> </w:t>
      </w:r>
      <w:r>
        <w:t xml:space="preserve">(CMC Biotech Working Group 2009)</w:t>
      </w:r>
      <w:r>
        <w:t xml:space="preserve">. The case study lists fragmentation among the typical quality attributes of an antibody but gives it no limit, and the sponsor set the criterion for fragments by nrCE-SDS when they joined the register at Version 2.0.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WC-CPP</w:t>
                  </w:r>
                </w:p>
              </w:tc>
            </w:tr>
            <w:tr>
              <w:tc>
                <w:tcPr>
                  <w:gridSpan w:val="1"/>
                  <w:vMerge w:val="continue"/>
                </w:tcPr>
                <w:p>
                  <w:pPr/>
                </w:p>
              </w:tc>
              <w:tc>
                <w:tcPr/>
                <w:p>
                  <w:pPr>
                    <w:pStyle w:val="Compact"/>
                    <w:jc w:val="center"/>
                  </w:pPr>
                  <w:r>
                    <w:t xml:space="preserve">CO2 partial pressure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mOsm/kg</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r>
                    <w:rPr>
                      <w:vertAlign w:val="superscript"/>
                    </w:rPr>
                    <w:t xml:space="preserve">a)</w:t>
                  </w:r>
                </w:p>
              </w:tc>
              <w:tc>
                <w:tcPr/>
                <w:p>
                  <w:pPr>
                    <w:pStyle w:val="Compact"/>
                    <w:jc w:val="center"/>
                  </w:pPr>
                  <w:r>
                    <w:t xml:space="preserve">% air saturation</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GPP</w:t>
                  </w:r>
                </w:p>
              </w:tc>
            </w:tr>
            <w:tr>
              <w:tc>
                <w:tcPr>
                  <w:gridSpan w:val="1"/>
                  <w:vMerge w:val="continue"/>
                </w:tcPr>
                <w:p>
                  <w:pPr/>
                </w:p>
              </w:tc>
              <w:tc>
                <w:tcPr/>
                <w:p>
                  <w:pPr>
                    <w:pStyle w:val="Compact"/>
                    <w:jc w:val="center"/>
                  </w:pPr>
                  <w:r>
                    <w:t xml:space="preserve">Initial viable cell conc.</w:t>
                  </w:r>
                  <w:r>
                    <w:rPr>
                      <w:vertAlign w:val="superscript"/>
                    </w:rPr>
                    <w:t xml:space="preserve">a)</w:t>
                  </w:r>
                </w:p>
              </w:tc>
              <w:tc>
                <w:tcPr/>
                <w:p>
                  <w:pPr>
                    <w:pStyle w:val="Compact"/>
                    <w:jc w:val="center"/>
                  </w:pPr>
                  <w:r>
                    <w:t xml:space="preserve">10⁶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r>
                    <w:rPr>
                      <w:vertAlign w:val="superscript"/>
                    </w:rPr>
                    <w:t xml:space="preserve">a)</w:t>
                  </w:r>
                </w:p>
              </w:tc>
              <w:tc>
                <w:tcPr/>
                <w:p>
                  <w:pPr>
                    <w:pStyle w:val="Compact"/>
                    <w:jc w:val="center"/>
                  </w:pPr>
                  <w:r>
                    <w:t xml:space="preserve">× standard</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KPP</w:t>
                  </w:r>
                </w:p>
              </w:tc>
            </w:tr>
            <w:tr>
              <w:tc>
                <w:tcPr>
                  <w:gridSpan w:val="1"/>
                  <w:vMerge w:val="continue"/>
                </w:tcPr>
                <w:p>
                  <w:pPr/>
                </w:p>
              </w:tc>
              <w:tc>
                <w:tcPr/>
                <w:p>
                  <w:pPr>
                    <w:pStyle w:val="Compact"/>
                    <w:jc w:val="center"/>
                  </w:pPr>
                  <w:r>
                    <w:t xml:space="preserve">Nutrient feed-1 volume</w:t>
                  </w:r>
                  <w:r>
                    <w:rPr>
                      <w:vertAlign w:val="superscript"/>
                    </w:rPr>
                    <w:t xml:space="preserve">a)</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r>
                    <w:rPr>
                      <w:vertAlign w:val="superscript"/>
                    </w:rPr>
                    <w:t xml:space="preserve">a)</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r>
                    <w:rPr>
                      <w:vertAlign w:val="superscript"/>
                    </w:rPr>
                    <w:t xml:space="preserve">a)</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r>
                    <w:rPr>
                      <w:vertAlign w:val="superscript"/>
                    </w:rPr>
                    <w:t xml:space="preserve">a)</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20–40</w:t>
                  </w:r>
                </w:p>
              </w:tc>
              <w:tc>
                <w:tcPr/>
                <w:p>
                  <w:pPr>
                    <w:pStyle w:val="Compact"/>
                    <w:jc w:val="center"/>
                  </w:pPr>
                  <w:r>
                    <w:t xml:space="preserve">10–50</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r>
                    <w:rPr>
                      <w:vertAlign w:val="superscript"/>
                    </w:rPr>
                    <w:t xml:space="preserve">a)</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r>
                    <w:rPr>
                      <w:vertAlign w:val="superscript"/>
                    </w:rPr>
                    <w:t xml:space="preserve">a)</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c2)</w:t>
                  </w:r>
                </w:p>
              </w:tc>
              <w:tc>
                <w:tcPr/>
                <w:p>
                  <w:pPr>
                    <w:pStyle w:val="Compact"/>
                    <w:jc w:val="center"/>
                  </w:pPr>
                  <w:r>
                    <w:t xml:space="preserve">3.3–3.5</w:t>
                  </w:r>
                  <w:r>
                    <w:rPr>
                      <w:vertAlign w:val="superscript"/>
                    </w:rPr>
                    <w:t xml:space="preserve">c1)</w:t>
                  </w:r>
                </w:p>
              </w:tc>
              <w:tc>
                <w:tcPr/>
                <w:p>
                  <w:pPr>
                    <w:pStyle w:val="Compact"/>
                    <w:jc w:val="center"/>
                  </w:pPr>
                  <w:r>
                    <w:t xml:space="preserve">3.2–4</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c4)</w:t>
                  </w:r>
                </w:p>
              </w:tc>
              <w:tc>
                <w:tcPr/>
                <w:p>
                  <w:pPr>
                    <w:pStyle w:val="Compact"/>
                    <w:jc w:val="center"/>
                  </w:pPr>
                  <w:r>
                    <w:t xml:space="preserve">100–120</w:t>
                  </w:r>
                  <w:r>
                    <w:rPr>
                      <w:vertAlign w:val="superscript"/>
                    </w:rPr>
                    <w:t xml:space="preserve">c3)</w:t>
                  </w:r>
                </w:p>
              </w:tc>
              <w:tc>
                <w:tcPr/>
                <w:p>
                  <w:pPr>
                    <w:pStyle w:val="Compact"/>
                    <w:jc w:val="center"/>
                  </w:pPr>
                  <w:r>
                    <w:t xml:space="preserve">60–180</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c5)</w:t>
                  </w:r>
                </w:p>
              </w:tc>
              <w:tc>
                <w:tcPr/>
                <w:p>
                  <w:pPr>
                    <w:pStyle w:val="Compact"/>
                    <w:jc w:val="center"/>
                  </w:pPr>
                  <w:r>
                    <w:t xml:space="preserve">15–25</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r>
                    <w:rPr>
                      <w:vertAlign w:val="superscript"/>
                    </w:rPr>
                    <w:t xml:space="preserve">a)</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r>
                    <w:rPr>
                      <w:vertAlign w:val="superscript"/>
                    </w:rPr>
                    <w:t xml:space="preserve">a)</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r>
                    <w:rPr>
                      <w:vertAlign w:val="superscript"/>
                    </w:rPr>
                    <w:t xml:space="preserve">a)</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r>
                    <w:rPr>
                      <w:vertAlign w:val="superscript"/>
                    </w:rPr>
                    <w:t xml:space="preserve">a)</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 7</w:t>
                  </w:r>
                  <w:r>
                    <w:rPr>
                      <w:vertAlign w:val="superscript"/>
                    </w:rPr>
                    <w:t xml:space="preserve">c)</w:t>
                  </w:r>
                </w:p>
              </w:tc>
              <w:tc>
                <w:tcPr/>
                <w:p>
                  <w:pPr>
                    <w:pStyle w:val="Compact"/>
                    <w:jc w:val="center"/>
                  </w:pPr>
                  <w:r>
                    <w:t xml:space="preserve">7–10</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r>
                    <w:rPr>
                      <w:vertAlign w:val="superscript"/>
                    </w:rPr>
                    <w:t xml:space="preserve">a)</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r>
                    <w:rPr>
                      <w:vertAlign w:val="superscript"/>
                    </w:rPr>
                    <w:t xml:space="preserve">a)</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KPP</w:t>
                  </w:r>
                </w:p>
              </w:tc>
            </w:tr>
            <w:tr>
              <w:tc>
                <w:tcPr>
                  <w:gridSpan w:val="7"/>
                </w:tcPr>
                <w:p>
                  <w:pPr>
                    <w:pStyle w:val="Compact"/>
                    <w:jc w:val="center"/>
                  </w:pPr>
                  <w:r>
                    <w:rPr>
                      <w:vertAlign w:val="superscript"/>
                    </w:rPr>
                    <w:t xml:space="preserve">a)</w:t>
                  </w:r>
                  <w:r>
                    <w:t xml:space="preserve"> </w:t>
                  </w:r>
                  <w:r>
                    <w:t xml:space="preserve">Studied one factor at a time. Every other parameter was studied in the designed experiments of its step.</w:t>
                  </w:r>
                </w:p>
              </w:tc>
            </w:tr>
            <w:tr>
              <w:tc>
                <w:tcPr>
                  <w:gridSpan w:val="7"/>
                </w:tcPr>
                <w:p>
                  <w:pPr>
                    <w:pStyle w:val="Compact"/>
                    <w:jc w:val="center"/>
                  </w:pPr>
                  <w:r>
                    <w:rPr>
                      <w:vertAlign w:val="superscript"/>
                    </w:rPr>
                    <w:t xml:space="preserve">b)</w:t>
                  </w:r>
                  <w:r>
                    <w:t xml:space="preserve"> </w:t>
                  </w:r>
                  <w:r>
                    <w:t xml:space="preserve">The normal operating range equals the characterized range.</w:t>
                  </w:r>
                </w:p>
              </w:tc>
            </w:tr>
            <w:tr>
              <w:tc>
                <w:tcPr>
                  <w:gridSpan w:val="7"/>
                </w:tcPr>
                <w:p>
                  <w:pPr>
                    <w:pStyle w:val="Compact"/>
                    <w:jc w:val="center"/>
                  </w:pPr>
                  <w:r>
                    <w:rPr>
                      <w:vertAlign w:val="superscript"/>
                    </w:rPr>
                    <w:t xml:space="preserve">c)</w:t>
                  </w:r>
                  <w:r>
                    <w:t xml:space="preserve"> </w:t>
                  </w:r>
                  <w:r>
                    <w:t xml:space="preserve">A minimum: the parameter is counted to its target and is not run below this value.</w:t>
                  </w:r>
                </w:p>
              </w:tc>
            </w:tr>
            <w:tr>
              <w:tc>
                <w:tcPr>
                  <w:gridSpan w:val="7"/>
                </w:tcPr>
                <w:p>
                  <w:pPr>
                    <w:pStyle w:val="Compact"/>
                    <w:jc w:val="center"/>
                  </w:pPr>
                  <w:r>
                    <w:rPr>
                      <w:vertAlign w:val="superscript"/>
                    </w:rPr>
                    <w:t xml:space="preserve">c1)</w:t>
                  </w:r>
                  <w:r>
                    <w:t xml:space="preserve"> </w:t>
                  </w:r>
                  <w:r>
                    <w:t xml:space="preserve">Moved at Version 2.0 from pH 3.4–3.6, the NOR as characterized (PCR-006).</w:t>
                  </w:r>
                </w:p>
              </w:tc>
            </w:tr>
            <w:tr>
              <w:tc>
                <w:tcPr>
                  <w:gridSpan w:val="7"/>
                </w:tcPr>
                <w:p>
                  <w:pPr>
                    <w:pStyle w:val="Compact"/>
                    <w:jc w:val="center"/>
                  </w:pPr>
                  <w:r>
                    <w:rPr>
                      <w:vertAlign w:val="superscript"/>
                    </w:rPr>
                    <w:t xml:space="preserve">c2)</w:t>
                  </w:r>
                  <w:r>
                    <w:t xml:space="preserve"> </w:t>
                  </w:r>
                  <w:r>
                    <w:t xml:space="preserve">Moved at Version 2.0 from pH 3.5, the set-point in the characterization plan (PCR-006).</w:t>
                  </w:r>
                </w:p>
              </w:tc>
            </w:tr>
            <w:tr>
              <w:tc>
                <w:tcPr>
                  <w:gridSpan w:val="7"/>
                </w:tcPr>
                <w:p>
                  <w:pPr>
                    <w:pStyle w:val="Compact"/>
                    <w:jc w:val="center"/>
                  </w:pPr>
                  <w:r>
                    <w:rPr>
                      <w:vertAlign w:val="superscript"/>
                    </w:rPr>
                    <w:t xml:space="preserve">c3)</w:t>
                  </w:r>
                  <w:r>
                    <w:t xml:space="preserve"> </w:t>
                  </w:r>
                  <w:r>
                    <w:t xml:space="preserve">Narrowed at Version 2.0 from 60–120 min, the NOR as characterized (PCR-006).</w:t>
                  </w:r>
                </w:p>
              </w:tc>
            </w:tr>
            <w:tr>
              <w:tc>
                <w:tcPr>
                  <w:gridSpan w:val="7"/>
                </w:tcPr>
                <w:p>
                  <w:pPr>
                    <w:pStyle w:val="Compact"/>
                    <w:jc w:val="center"/>
                  </w:pPr>
                  <w:r>
                    <w:rPr>
                      <w:vertAlign w:val="superscript"/>
                    </w:rPr>
                    <w:t xml:space="preserve">c4)</w:t>
                  </w:r>
                  <w:r>
                    <w:t xml:space="preserve"> </w:t>
                  </w:r>
                  <w:r>
                    <w:t xml:space="preserve">Moved at Version 2.0 from 90 min, the set-point in the characterization plan (PCR-006).</w:t>
                  </w:r>
                </w:p>
              </w:tc>
            </w:tr>
            <w:tr>
              <w:tc>
                <w:tcPr>
                  <w:gridSpan w:val="7"/>
                </w:tcPr>
                <w:p>
                  <w:pPr>
                    <w:pStyle w:val="Compact"/>
                    <w:jc w:val="center"/>
                  </w:pPr>
                  <w:r>
                    <w:rPr>
                      <w:vertAlign w:val="superscript"/>
                    </w:rPr>
                    <w:t xml:space="preserve">c5)</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cO2 partial pressure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residual DNA, leached Protein A), anion exchange (step yield, plate count, peak asymmetry, host cell protein), virus filtration (step yield) and UF/DF (step yield, aggregate, final concentration, permeate flux).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Version 1.0 of the plans did not study a hold. During the Version 2.0 re-analysis, hold studies were made, from 2026-09-19 to 2026-09-29, on the clarified harvest, the Protein A eluate (at elution pH) and the neutralized viral inactivation pool. Each report records its hold study as a discrepancy from its plan, and no plan describes one. A held pool is judged against the intermediate acceptance criteria that it must meet when it enters the next step (</w:t>
      </w:r>
      <w:hyperlink w:anchor="sec-iac">
        <w:r>
          <w:rPr>
            <w:rStyle w:val="Hyperlink"/>
          </w:rPr>
          <w:t xml:space="preserve">Section 7.3</w:t>
        </w:r>
      </w:hyperlink>
      <w:r>
        <w:t xml:space="preserve">).</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each step plan carries forward from the screening.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four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 The design space of a step is drawn on the same statistic. A setting of its response-surface parameters lies inside it when every quality attribute meets its criterion at both ends of the 95 % prediction interval of a single run, and viral clearance on its mean prediction.</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5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32.9-fold for cation exchange and 4.18-fold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three adequacy criteria that the rule names, so the bound replaced the platform value (</w:t>
      </w:r>
      <w:hyperlink w:anchor="sec-acc-model">
        <w:r>
          <w:rPr>
            <w:rStyle w:val="Hyperlink"/>
          </w:rPr>
          <w:t xml:space="preserve">Section 7.2</w:t>
        </w:r>
      </w:hyperlink>
      <w:r>
        <w:t xml:space="preserve">). The Protein A pool criterion is therefore 16,719 ng/mg, and the cation exchange pool criterion is widened to 418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167</w:t>
                  </w:r>
                </w:p>
              </w:tc>
              <w:tc>
                <w:tcPr/>
                <w:p>
                  <w:pPr>
                    <w:pStyle w:val="Compact"/>
                    <w:jc w:val="center"/>
                  </w:pPr>
                  <w:r>
                    <w:t xml:space="preserve">0.00</w:t>
                  </w:r>
                </w:p>
              </w:tc>
              <w:tc>
                <w:tcPr/>
                <w:p>
                  <w:pPr>
                    <w:pStyle w:val="Compact"/>
                    <w:jc w:val="center"/>
                  </w:pPr>
                  <w:r>
                    <w:t xml:space="preserve">≤ 16,719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4.18</w:t>
                  </w:r>
                </w:p>
              </w:tc>
              <w:tc>
                <w:tcPr/>
                <w:p>
                  <w:pPr>
                    <w:pStyle w:val="Compact"/>
                    <w:jc w:val="center"/>
                  </w:pPr>
                  <w:r>
                    <w:t xml:space="preserve">0.00</w:t>
                  </w:r>
                </w:p>
              </w:tc>
              <w:tc>
                <w:tcPr/>
                <w:p>
                  <w:pPr>
                    <w:pStyle w:val="Compact"/>
                    <w:jc w:val="center"/>
                  </w:pPr>
                  <w:r>
                    <w:t xml:space="preserve">≤ 418</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0.64</w:t>
                  </w:r>
                </w:p>
              </w:tc>
              <w:tc>
                <w:tcPr/>
                <w:p>
                  <w:pPr>
                    <w:pStyle w:val="Compact"/>
                    <w:jc w:val="center"/>
                  </w:pPr>
                  <w:r>
                    <w:t xml:space="preserve">≤ 6.30</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0.10</w:t>
                  </w:r>
                </w:p>
              </w:tc>
              <w:tc>
                <w:tcPr/>
                <w:p>
                  <w:pPr>
                    <w:pStyle w:val="Compact"/>
                    <w:jc w:val="center"/>
                  </w:pPr>
                  <w:r>
                    <w:t xml:space="preserve">≤ 6.84</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0.10</w:t>
                  </w:r>
                </w:p>
              </w:tc>
              <w:tc>
                <w:tcPr/>
                <w:p>
                  <w:pPr>
                    <w:pStyle w:val="Compact"/>
                    <w:jc w:val="center"/>
                  </w:pPr>
                  <w:r>
                    <w:t xml:space="preserve">≤ 4.90</w:t>
                  </w:r>
                </w:p>
              </w:tc>
              <w:tc>
                <w:tcPr/>
                <w:p>
                  <w:pPr>
                    <w:pStyle w:val="Compact"/>
                    <w:jc w:val="center"/>
                  </w:pPr>
                  <w:r>
                    <w:t xml:space="preserve">Carried back, tightened</w:t>
                  </w:r>
                  <w:r>
                    <w:rPr>
                      <w:vertAlign w:val="superscript"/>
                    </w:rPr>
                    <w:t xml:space="preserve">c)</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A held pool must therefore still meet the criteria of this section when it enters the next step. The reports judge the hold studies made during the Version 2.0 re-analysis against them.</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17 are in force at their a priori value and verification changed 5. Verification tightened every aggregate criterion, for two reasons. The a priori derivation assumes that no step after cation exchange changes aggregate. UF/DF raises aggregate within its NOR, by up to 0.104 percentage points at the prediction bound of a single batch, and each aggregate criterion now carries that increase. The cation exchange model also gave a lower aggregate clearance than the platform worst case, and that tightened the aggregate criteria upstream of cation exchange further. One of these, the criterion for aggregate in the production bioreactor harvest (from 9.30 % to 6.30 %), was also widened, because the low-pH viral inactivation model gave a smaller aggregate increase (0.54 % at the prediction bound of a single batch, against 0.70 % on the platform). The result is a stricter criterion than the a priori one. The other tightened criteria are the criterion for aggregate in the viral inactivation pool (from 10.0 % to 6.84 %) and the criterion for aggregate in the cation exchange pool (from 5.00 % to 4.90 %). The criteria only widened are the criterion for host cell protein in the Protein A pool (from 16,000 ng/mg to 16,719 ng/mg) and the criterion for host cell protein in the cation exchange pool (from 400 ng/mg to 418 ng/mg). The widening of the criteria for aggregate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first three adequacy criteria of</w:t>
      </w:r>
      <w:r>
        <w:t xml:space="preserve"> </w:t>
      </w:r>
      <w:hyperlink w:anchor="sec-acc-model">
        <w:r>
          <w:rPr>
            <w:rStyle w:val="Hyperlink"/>
          </w:rPr>
          <w:t xml:space="preserve">Section 7.2</w:t>
        </w:r>
      </w:hyperlink>
      <w:r>
        <w:t xml:space="preserve"> </w:t>
      </w:r>
      <w:r>
        <w:t xml:space="preserve">(a significant model, no significant lack of fit and the limit on overfitting) and is not an exact fit, the bound replaces the platform value. The fourth criterion, on the residuals and on influential runs, does not decide the change. The report that gives the bound examines it and states whether the bound depends on a single run.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and they assume that no step after cation exchange changes aggregate. Of the platform worst cases,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UF/DF has no response-surface design. Its assumption is checked on the univariate study of UF/DF made during the Version 2.0 re-analysis, which varied number of diavolumes, transmembrane pressure and final DS concentration. A model of the main effects of these factors is evaluated at the same combinations of NOR low, set-point and NOR high. The prediction bound of a single batch was better than the platform worst case for the aggregate increase of low-pH viral inactivation and the host cell protein clearance of anion exchange, and these bounds replaced the platform values. The platform worst cases of the low-pH hold are increases over a hold of 180 min. The A-Mab bound is the increase within the hold-time NOR as characterized, which ends at 120 min. For aggregate, the largest increase measured at the edges of the range studied, which include a hold of 180 min, is 0.82 percentage points, above the platform value of 0.70. Its replacement therefore reflects the shorter hold of A-Mab, not a more stable product. The criteria calculated with this bound are still right, because routine manufacture never holds longer than the NOR.</w:t>
      </w:r>
    </w:p>
    <w:p>
      <w:pPr>
        <w:pStyle w:val="BodyText"/>
      </w:pPr>
      <w:r>
        <w:t xml:space="preserve">For the acidic variants increase of low-pH viral inactivation the prediction bound of a single batch was also better, but the model does not meet the three adequacy criteria that the rule names, so the platform values stand. 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It also found that UF/DF raises aggregate within its NOR, by up to 0.104 percentage points at the prediction bound of a single batch. Together these tightened the aggregate criteria (</w:t>
      </w:r>
      <w:hyperlink w:anchor="sec-iac">
        <w:r>
          <w:rPr>
            <w:rStyle w:val="Hyperlink"/>
          </w:rPr>
          <w:t xml:space="preserve">Section 7.3</w:t>
        </w:r>
      </w:hyperlink>
      <w:r>
        <w:t xml:space="preserve">). The cation exchange report PCR-007 and the UF/DF report PCR-010 give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2 CPP, 19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every study that measures fragments, at every step, measures them by nrCE-SDS (AMV-3020, under SOP-3015).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the Protein A and low-pH viral inactivation pools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31 studies. Some steps were studied in parallel, because their scale-down models are independent of each other. The first execution of the anion exchange design (S-AEX-SUP) was invalidated (study event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2026-10-11T09:55:32Z</dcterms:created>
  <dcterms:modified xsi:type="dcterms:W3CDTF">2026-10-11T09:55:32Z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