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Master Plan</w:t>
      </w:r>
    </w:p>
    <w:p>
      <w:pPr>
        <w:pStyle w:val="Subtitle"/>
      </w:pPr>
      <w:r>
        <w:t xml:space="preserve">A-Mab Drug Substance — PCMP-001</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PCMP-001</w:t>
            </w:r>
          </w:p>
        </w:tc>
      </w:tr>
      <w:tr>
        <w:tc>
          <w:tcPr/>
          <w:p>
            <w:pPr>
              <w:pStyle w:val="Compact"/>
              <w:jc w:val="left"/>
            </w:pPr>
            <w:r>
              <w:t xml:space="preserve">Document class</w:t>
            </w:r>
          </w:p>
        </w:tc>
        <w:tc>
          <w:tcPr/>
          <w:p>
            <w:pPr>
              <w:pStyle w:val="Compact"/>
              <w:jc w:val="left"/>
            </w:pPr>
            <w:r>
              <w:t xml:space="preserve">Process Characterization Master Plan</w:t>
            </w:r>
          </w:p>
        </w:tc>
      </w:tr>
      <w:tr>
        <w:tc>
          <w:tcPr/>
          <w:p>
            <w:pPr>
              <w:pStyle w:val="Compact"/>
              <w:jc w:val="left"/>
            </w:pPr>
            <w:r>
              <w:t xml:space="preserve">Title</w:t>
            </w:r>
          </w:p>
        </w:tc>
        <w:tc>
          <w:tcPr/>
          <w:p>
            <w:pPr>
              <w:pStyle w:val="Compact"/>
              <w:jc w:val="left"/>
            </w:pPr>
            <w:r>
              <w:t xml:space="preserve">Process Characterization Master Plan: A-Mab Drug Substance</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PCMP-001 Version 1.0 (2025-08-04)</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 / sites</w:t>
            </w:r>
          </w:p>
        </w:tc>
        <w:tc>
          <w:tcPr/>
          <w:p>
            <w:pPr>
              <w:pStyle w:val="Compact"/>
              <w:jc w:val="left"/>
            </w:pPr>
            <w:r>
              <w:t xml:space="preserve">Novacyte Biologics; Novacyte Biologics — Cambridge, MA (Development) → Novacyte Biologics — Grafton, WI (Commercial DS)</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Function</w:t>
            </w:r>
          </w:p>
        </w:tc>
        <w:tc>
          <w:tcPr/>
          <w:p>
            <w:pPr>
              <w:pStyle w:val="Compact"/>
            </w:pPr>
            <w:r>
              <w:t xml:space="preserve">Name (synthetic)</w:t>
            </w:r>
          </w:p>
        </w:tc>
        <w:tc>
          <w:tcPr/>
          <w:p>
            <w:pPr>
              <w:pStyle w:val="Compact"/>
            </w:pPr>
            <w:r>
              <w:t xml:space="preserve">Signature</w:t>
            </w:r>
          </w:p>
        </w:tc>
        <w:tc>
          <w:tcPr/>
          <w:p>
            <w:pPr>
              <w:pStyle w:val="Compact"/>
            </w:pPr>
            <w:r>
              <w:t xml:space="preserve">Date</w:t>
            </w:r>
          </w:p>
        </w:tc>
      </w:tr>
      <w:tr>
        <w:tc>
          <w:tcPr/>
          <w:p>
            <w:pPr>
              <w:pStyle w:val="Compact"/>
            </w:pPr>
            <w:r>
              <w:t xml:space="preserve">Author</w:t>
            </w:r>
          </w:p>
        </w:tc>
        <w:tc>
          <w:tcPr/>
          <w:p>
            <w:pPr>
              <w:pStyle w:val="Compact"/>
            </w:pPr>
            <w:r>
              <w:t xml:space="preserve">Process Development / MSAT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Analytical Development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Manufacturing Science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Statistics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Approver</w:t>
            </w:r>
          </w:p>
        </w:tc>
        <w:tc>
          <w:tcPr/>
          <w:p>
            <w:pPr>
              <w:pStyle w:val="Compact"/>
            </w:pPr>
            <w:r>
              <w:t xml:space="preserve">Quality Assurance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2025-08-04</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Re-analysis under INV-001: a-priori intermediate acceptance criteria, fragments by nrCE-SDS, two-sided capability for acidic variants, scale-down models qualified by their offsets, execution dates recorded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AEX</w:t>
            </w:r>
          </w:p>
        </w:tc>
        <w:tc>
          <w:tcPr/>
          <w:p>
            <w:pPr>
              <w:pStyle w:val="Compact"/>
              <w:jc w:val="left"/>
            </w:pPr>
            <w:r>
              <w:t xml:space="preserve">anion exchange chromatography</w:t>
            </w:r>
          </w:p>
        </w:tc>
      </w:tr>
      <w:tr>
        <w:tc>
          <w:tcPr/>
          <w:p>
            <w:pPr>
              <w:pStyle w:val="Compact"/>
              <w:jc w:val="left"/>
            </w:pPr>
            <w:r>
              <w:t xml:space="preserve">AMD</w:t>
            </w:r>
          </w:p>
        </w:tc>
        <w:tc>
          <w:tcPr/>
          <w:p>
            <w:pPr>
              <w:pStyle w:val="Compact"/>
              <w:jc w:val="left"/>
            </w:pPr>
            <w:r>
              <w:t xml:space="preserve">analytical method decision</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CEX</w:t>
            </w:r>
          </w:p>
        </w:tc>
        <w:tc>
          <w:tcPr/>
          <w:p>
            <w:pPr>
              <w:pStyle w:val="Compact"/>
              <w:jc w:val="left"/>
            </w:pPr>
            <w:r>
              <w:t xml:space="preserve">cation exchange chromatography</w:t>
            </w:r>
          </w:p>
        </w:tc>
      </w:tr>
      <w:tr>
        <w:tc>
          <w:tcPr/>
          <w:p>
            <w:pPr>
              <w:pStyle w:val="Compact"/>
              <w:jc w:val="left"/>
            </w:pPr>
            <w:r>
              <w:t xml:space="preserve">Cpk</w:t>
            </w:r>
          </w:p>
        </w:tc>
        <w:tc>
          <w:tcPr/>
          <w:p>
            <w:pPr>
              <w:pStyle w:val="Compact"/>
              <w:jc w:val="left"/>
            </w:pPr>
            <w:r>
              <w:t xml:space="preserve">process capability index</w:t>
            </w:r>
          </w:p>
        </w:tc>
      </w:tr>
      <w:tr>
        <w:tc>
          <w:tcPr/>
          <w:p>
            <w:pPr>
              <w:pStyle w:val="Compact"/>
              <w:jc w:val="left"/>
            </w:pPr>
            <w:r>
              <w:t xml:space="preserve">CPP</w:t>
            </w:r>
          </w:p>
        </w:tc>
        <w:tc>
          <w:tcPr/>
          <w:p>
            <w:pPr>
              <w:pStyle w:val="Compact"/>
              <w:jc w:val="left"/>
            </w:pPr>
            <w:r>
              <w:t xml:space="preserve">critical process parameter</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DS</w:t>
            </w:r>
          </w:p>
        </w:tc>
        <w:tc>
          <w:tcPr/>
          <w:p>
            <w:pPr>
              <w:pStyle w:val="Compact"/>
              <w:jc w:val="left"/>
            </w:pPr>
            <w:r>
              <w:t xml:space="preserve">drug substance</w:t>
            </w:r>
          </w:p>
        </w:tc>
      </w:tr>
      <w:tr>
        <w:tc>
          <w:tcPr/>
          <w:p>
            <w:pPr>
              <w:pStyle w:val="Compact"/>
              <w:jc w:val="left"/>
            </w:pPr>
            <w:r>
              <w:t xml:space="preserve">GMP</w:t>
            </w:r>
          </w:p>
        </w:tc>
        <w:tc>
          <w:tcPr/>
          <w:p>
            <w:pPr>
              <w:pStyle w:val="Compact"/>
              <w:jc w:val="left"/>
            </w:pPr>
            <w:r>
              <w:t xml:space="preserve">good manufacturing practice</w:t>
            </w:r>
          </w:p>
        </w:tc>
      </w:tr>
      <w:tr>
        <w:tc>
          <w:tcPr/>
          <w:p>
            <w:pPr>
              <w:pStyle w:val="Compact"/>
              <w:jc w:val="left"/>
            </w:pPr>
            <w:r>
              <w:t xml:space="preserve">GPP</w:t>
            </w:r>
          </w:p>
        </w:tc>
        <w:tc>
          <w:tcPr/>
          <w:p>
            <w:pPr>
              <w:pStyle w:val="Compact"/>
              <w:jc w:val="left"/>
            </w:pPr>
            <w:r>
              <w:t xml:space="preserve">general process parameter</w:t>
            </w:r>
          </w:p>
        </w:tc>
      </w:tr>
      <w:tr>
        <w:tc>
          <w:tcPr/>
          <w:p>
            <w:pPr>
              <w:pStyle w:val="Compact"/>
              <w:jc w:val="left"/>
            </w:pPr>
            <w:r>
              <w:t xml:space="preserve">HCP</w:t>
            </w:r>
          </w:p>
        </w:tc>
        <w:tc>
          <w:tcPr/>
          <w:p>
            <w:pPr>
              <w:pStyle w:val="Compact"/>
              <w:jc w:val="left"/>
            </w:pPr>
            <w:r>
              <w:t xml:space="preserve">host cell protein</w:t>
            </w:r>
          </w:p>
        </w:tc>
      </w:tr>
      <w:tr>
        <w:tc>
          <w:tcPr/>
          <w:p>
            <w:pPr>
              <w:pStyle w:val="Compact"/>
              <w:jc w:val="left"/>
            </w:pPr>
            <w:r>
              <w:t xml:space="preserve">HMW</w:t>
            </w:r>
          </w:p>
        </w:tc>
        <w:tc>
          <w:tcPr/>
          <w:p>
            <w:pPr>
              <w:pStyle w:val="Compact"/>
              <w:jc w:val="left"/>
            </w:pPr>
            <w:r>
              <w:t xml:space="preserve">high molecular weight species</w:t>
            </w:r>
          </w:p>
        </w:tc>
      </w:tr>
      <w:tr>
        <w:tc>
          <w:tcPr/>
          <w:p>
            <w:pPr>
              <w:pStyle w:val="Compact"/>
              <w:jc w:val="left"/>
            </w:pPr>
            <w:r>
              <w:t xml:space="preserve">IAC</w:t>
            </w:r>
          </w:p>
        </w:tc>
        <w:tc>
          <w:tcPr/>
          <w:p>
            <w:pPr>
              <w:pStyle w:val="Compact"/>
              <w:jc w:val="left"/>
            </w:pPr>
            <w:r>
              <w:t xml:space="preserve">intermediate acceptance criterion</w:t>
            </w:r>
          </w:p>
        </w:tc>
      </w:tr>
      <w:tr>
        <w:tc>
          <w:tcPr/>
          <w:p>
            <w:pPr>
              <w:pStyle w:val="Compact"/>
              <w:jc w:val="left"/>
            </w:pPr>
            <w:r>
              <w:t xml:space="preserve">KPP</w:t>
            </w:r>
          </w:p>
        </w:tc>
        <w:tc>
          <w:tcPr/>
          <w:p>
            <w:pPr>
              <w:pStyle w:val="Compact"/>
              <w:jc w:val="left"/>
            </w:pPr>
            <w:r>
              <w:t xml:space="preserve">key process parameter</w:t>
            </w:r>
          </w:p>
        </w:tc>
      </w:tr>
      <w:tr>
        <w:tc>
          <w:tcPr/>
          <w:p>
            <w:pPr>
              <w:pStyle w:val="Compact"/>
              <w:jc w:val="left"/>
            </w:pPr>
            <w:r>
              <w:t xml:space="preserve">LMW</w:t>
            </w:r>
          </w:p>
        </w:tc>
        <w:tc>
          <w:tcPr/>
          <w:p>
            <w:pPr>
              <w:pStyle w:val="Compact"/>
              <w:jc w:val="left"/>
            </w:pPr>
            <w:r>
              <w:t xml:space="preserve">low molecular weight species</w:t>
            </w:r>
          </w:p>
        </w:tc>
      </w:tr>
      <w:tr>
        <w:tc>
          <w:tcPr/>
          <w:p>
            <w:pPr>
              <w:pStyle w:val="Compact"/>
              <w:jc w:val="left"/>
            </w:pPr>
            <w:r>
              <w:t xml:space="preserve">LRF</w:t>
            </w:r>
          </w:p>
        </w:tc>
        <w:tc>
          <w:tcPr/>
          <w:p>
            <w:pPr>
              <w:pStyle w:val="Compact"/>
              <w:jc w:val="left"/>
            </w:pPr>
            <w:r>
              <w:t xml:space="preserve">log reduction factor</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MVM</w:t>
            </w:r>
          </w:p>
        </w:tc>
        <w:tc>
          <w:tcPr/>
          <w:p>
            <w:pPr>
              <w:pStyle w:val="Compact"/>
              <w:jc w:val="left"/>
            </w:pPr>
            <w:r>
              <w:t xml:space="preserve">minute virus of mice</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PAR</w:t>
            </w:r>
          </w:p>
        </w:tc>
        <w:tc>
          <w:tcPr/>
          <w:p>
            <w:pPr>
              <w:pStyle w:val="Compact"/>
              <w:jc w:val="left"/>
            </w:pPr>
            <w:r>
              <w:t xml:space="preserve">proven acceptable range</w:t>
            </w:r>
          </w:p>
        </w:tc>
      </w:tr>
      <w:tr>
        <w:tc>
          <w:tcPr/>
          <w:p>
            <w:pPr>
              <w:pStyle w:val="Compact"/>
              <w:jc w:val="left"/>
            </w:pPr>
            <w:r>
              <w:t xml:space="preserve">PPQ</w:t>
            </w:r>
          </w:p>
        </w:tc>
        <w:tc>
          <w:tcPr/>
          <w:p>
            <w:pPr>
              <w:pStyle w:val="Compact"/>
              <w:jc w:val="left"/>
            </w:pPr>
            <w:r>
              <w:t xml:space="preserve">process performance qualification</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RSM</w:t>
            </w:r>
          </w:p>
        </w:tc>
        <w:tc>
          <w:tcPr/>
          <w:p>
            <w:pPr>
              <w:pStyle w:val="Compact"/>
              <w:jc w:val="left"/>
            </w:pPr>
            <w:r>
              <w:t xml:space="preserve">response surface methodology</w:t>
            </w:r>
          </w:p>
        </w:tc>
      </w:tr>
      <w:tr>
        <w:tc>
          <w:tcPr/>
          <w:p>
            <w:pPr>
              <w:pStyle w:val="Compact"/>
              <w:jc w:val="left"/>
            </w:pPr>
            <w:r>
              <w:t xml:space="preserve">SEC</w:t>
            </w:r>
          </w:p>
        </w:tc>
        <w:tc>
          <w:tcPr/>
          <w:p>
            <w:pPr>
              <w:pStyle w:val="Compact"/>
              <w:jc w:val="left"/>
            </w:pPr>
            <w:r>
              <w:t xml:space="preserve">size exclusion chromatography</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UF/DF</w:t>
            </w:r>
          </w:p>
        </w:tc>
        <w:tc>
          <w:tcPr/>
          <w:p>
            <w:pPr>
              <w:pStyle w:val="Compact"/>
              <w:jc w:val="left"/>
            </w:pPr>
            <w:r>
              <w:t xml:space="preserve">ultrafiltration and diafiltration</w:t>
            </w:r>
          </w:p>
        </w:tc>
      </w:tr>
      <w:tr>
        <w:tc>
          <w:tcPr/>
          <w:p>
            <w:pPr>
              <w:pStyle w:val="Compact"/>
              <w:jc w:val="left"/>
            </w:pPr>
            <w:r>
              <w:t xml:space="preserve">WC-CPP</w:t>
            </w:r>
          </w:p>
        </w:tc>
        <w:tc>
          <w:tcPr/>
          <w:p>
            <w:pPr>
              <w:pStyle w:val="Compact"/>
              <w:jc w:val="left"/>
            </w:pPr>
            <w:r>
              <w:t xml:space="preserve">well-controlled critical process parameter</w:t>
            </w:r>
          </w:p>
        </w:tc>
      </w:tr>
      <w:tr>
        <w:tc>
          <w:tcPr/>
          <w:p>
            <w:pPr>
              <w:pStyle w:val="Compact"/>
              <w:jc w:val="left"/>
            </w:pPr>
            <w:r>
              <w:t xml:space="preserve">XMuLV</w:t>
            </w:r>
          </w:p>
        </w:tc>
        <w:tc>
          <w:tcPr/>
          <w:p>
            <w:pPr>
              <w:pStyle w:val="Compact"/>
              <w:jc w:val="left"/>
            </w:pPr>
            <w:r>
              <w:t xml:space="preserve">xenotropic murine leukemia virus</w:t>
            </w:r>
          </w:p>
        </w:tc>
      </w:tr>
    </w:tbl>
    <w:p>
      <w:r>
        <w:br w:type="page"/>
      </w:r>
    </w:p>
    <w:bookmarkEnd w:id="22"/>
    <w:bookmarkStart w:id="26" w:name="sec-purpose"/>
    <w:p>
      <w:pPr>
        <w:pStyle w:val="Heading1"/>
      </w:pPr>
      <w:r>
        <w:t xml:space="preserve">1. Purpose and scope</w:t>
      </w:r>
    </w:p>
    <w:p>
      <w:pPr>
        <w:pStyle w:val="FirstParagraph"/>
      </w:pPr>
      <w:r>
        <w:t xml:space="preserve">This plan governs the Stage 1 process characterization of the A-Mab drug substance process. It sits under the Process Transfer Plan PTP-001, which moves the process from the development site in Cambridge, MA, to the commercial drug substance facility in Grafton, WI. The characterization studies provide the evidence for the operating ranges and the control strategy that are transferred.</w:t>
      </w:r>
    </w:p>
    <w:p>
      <w:pPr>
        <w:pStyle w:val="BodyText"/>
      </w:pPr>
      <w:r>
        <w:t xml:space="preserve">The plan covers the 8 steps of the drug substance train listed in</w:t>
      </w:r>
      <w:r>
        <w:t xml:space="preserve"> </w:t>
      </w:r>
      <w:hyperlink w:anchor="tbl-train">
        <w:r>
          <w:rPr>
            <w:rStyle w:val="Hyperlink"/>
          </w:rPr>
          <w:t xml:space="preserve">Table 1</w:t>
        </w:r>
      </w:hyperlink>
      <w:r>
        <w:t xml:space="preserve">, from the production bioreactor (Step 3) to ultrafiltration / diafiltration (Step 10). The seed expansion steps and the drug product process are outside its scope.</w:t>
      </w:r>
    </w:p>
    <w:tbl>
      <w:tblPr>
        <w:tblStyle w:val="Table"/>
        <w:tblW w:type="pct" w:w="5000"/>
        <w:tblLayout w:type="fixed"/>
        <w:tblLook w:firstRow="0" w:lastRow="0" w:firstColumn="0" w:lastColumn="0" w:noHBand="0" w:noVBand="0" w:val="0000"/>
      </w:tblPr>
      <w:tblGrid>
        <w:gridCol w:w="7920"/>
      </w:tblGrid>
      <w:tr>
        <w:tc>
          <w:tcPr/>
          <w:bookmarkStart w:id="23" w:name="tbl-train"/>
          <w:p>
            <w:pPr>
              <w:jc w:val="center"/>
            </w:pPr>
            <w:pPr>
              <w:jc w:val="start"/>
              <w:spacing w:before="200"/>
              <w:pStyle w:val="ImageCaption"/>
            </w:pPr>
            <w:r>
              <w:t xml:space="preserve">Table 1: The drug substance process train and the principal role of each step.</w:t>
            </w:r>
          </w:p>
          <w:tbl>
            <w:tblPr>
              <w:tblStyle w:val="Table"/>
              <w:tblW w:type="pct" w:w="5000"/>
              <w:tblLayout w:type="fixed"/>
              <w:tblLook w:firstRow="1" w:lastRow="0" w:firstColumn="0" w:lastColumn="0" w:noHBand="0" w:noVBand="0" w:val="0020"/>
            </w:tblPr>
            <w:tblGrid>
              <w:gridCol w:w="510"/>
              <w:gridCol w:w="2171"/>
              <w:gridCol w:w="5237"/>
            </w:tblGrid>
            <w:tr>
              <w:trPr>
                <w:tblHeader w:val="on"/>
              </w:trPr>
              <w:tc>
                <w:tcPr/>
                <w:p>
                  <w:pPr>
                    <w:pStyle w:val="Compact"/>
                    <w:jc w:val="right"/>
                    <w:jc w:val="center"/>
                  </w:pPr>
                  <w:r>
                    <w:t xml:space="preserve">Step</w:t>
                  </w:r>
                </w:p>
              </w:tc>
              <w:tc>
                <w:tcPr/>
                <w:p>
                  <w:pPr>
                    <w:pStyle w:val="Compact"/>
                    <w:jc w:val="left"/>
                    <w:jc w:val="center"/>
                  </w:pPr>
                  <w:r>
                    <w:t xml:space="preserve">Unit operation</w:t>
                  </w:r>
                </w:p>
              </w:tc>
              <w:tc>
                <w:tcPr/>
                <w:p>
                  <w:pPr>
                    <w:pStyle w:val="Compact"/>
                    <w:jc w:val="left"/>
                    <w:jc w:val="center"/>
                  </w:pPr>
                  <w:r>
                    <w:t xml:space="preserve">Principal role</w:t>
                  </w:r>
                </w:p>
              </w:tc>
            </w:tr>
            <w:tr>
              <w:tc>
                <w:tcPr/>
                <w:p>
                  <w:pPr>
                    <w:pStyle w:val="Compact"/>
                    <w:jc w:val="right"/>
                    <w:jc w:val="center"/>
                  </w:pPr>
                  <w:r>
                    <w:t xml:space="preserve">3</w:t>
                  </w:r>
                </w:p>
              </w:tc>
              <w:tc>
                <w:tcPr/>
                <w:p>
                  <w:pPr>
                    <w:pStyle w:val="Compact"/>
                    <w:jc w:val="left"/>
                    <w:jc w:val="center"/>
                  </w:pPr>
                  <w:r>
                    <w:t xml:space="preserve">Production Bioreactor</w:t>
                  </w:r>
                </w:p>
              </w:tc>
              <w:tc>
                <w:tcPr/>
                <w:p>
                  <w:pPr>
                    <w:pStyle w:val="Compact"/>
                    <w:jc w:val="left"/>
                    <w:jc w:val="center"/>
                  </w:pPr>
                  <w:r>
                    <w:t xml:space="preserve">Forms the glycan, charge-variant and aggregate CQAs (design-space step)</w:t>
                  </w:r>
                </w:p>
              </w:tc>
            </w:tr>
            <w:tr>
              <w:tc>
                <w:tcPr/>
                <w:p>
                  <w:pPr>
                    <w:pStyle w:val="Compact"/>
                    <w:jc w:val="right"/>
                    <w:jc w:val="center"/>
                  </w:pPr>
                  <w:r>
                    <w:t xml:space="preserve">4</w:t>
                  </w:r>
                </w:p>
              </w:tc>
              <w:tc>
                <w:tcPr/>
                <w:p>
                  <w:pPr>
                    <w:pStyle w:val="Compact"/>
                    <w:jc w:val="left"/>
                    <w:jc w:val="center"/>
                  </w:pPr>
                  <w:r>
                    <w:t xml:space="preserve">Harvest and Clarification</w:t>
                  </w:r>
                </w:p>
              </w:tc>
              <w:tc>
                <w:tcPr/>
                <w:p>
                  <w:pPr>
                    <w:pStyle w:val="Compact"/>
                    <w:jc w:val="left"/>
                    <w:jc w:val="center"/>
                  </w:pPr>
                  <w:r>
                    <w:t xml:space="preserve">Primary recovery and clarification, where fragments form during the harvest hold</w:t>
                  </w:r>
                </w:p>
              </w:tc>
            </w:tr>
            <w:tr>
              <w:tc>
                <w:tcPr/>
                <w:p>
                  <w:pPr>
                    <w:pStyle w:val="Compact"/>
                    <w:jc w:val="right"/>
                    <w:jc w:val="center"/>
                  </w:pPr>
                  <w:r>
                    <w:t xml:space="preserve">5</w:t>
                  </w:r>
                </w:p>
              </w:tc>
              <w:tc>
                <w:tcPr/>
                <w:p>
                  <w:pPr>
                    <w:pStyle w:val="Compact"/>
                    <w:jc w:val="left"/>
                    <w:jc w:val="center"/>
                  </w:pPr>
                  <w:r>
                    <w:t xml:space="preserve">Protein A Chromatography</w:t>
                  </w:r>
                </w:p>
              </w:tc>
              <w:tc>
                <w:tcPr/>
                <w:p>
                  <w:pPr>
                    <w:pStyle w:val="Compact"/>
                    <w:jc w:val="left"/>
                    <w:jc w:val="center"/>
                  </w:pPr>
                  <w:r>
                    <w:t xml:space="preserve">Capture; principal HCP and DNA clearance; source of leached Protein A</w:t>
                  </w:r>
                </w:p>
              </w:tc>
            </w:tr>
            <w:tr>
              <w:tc>
                <w:tcPr/>
                <w:p>
                  <w:pPr>
                    <w:pStyle w:val="Compact"/>
                    <w:jc w:val="right"/>
                    <w:jc w:val="center"/>
                  </w:pPr>
                  <w:r>
                    <w:t xml:space="preserve">6</w:t>
                  </w:r>
                </w:p>
              </w:tc>
              <w:tc>
                <w:tcPr/>
                <w:p>
                  <w:pPr>
                    <w:pStyle w:val="Compact"/>
                    <w:jc w:val="left"/>
                    <w:jc w:val="center"/>
                  </w:pPr>
                  <w:r>
                    <w:t xml:space="preserve">Low-pH Viral Inactivation</w:t>
                  </w:r>
                </w:p>
              </w:tc>
              <w:tc>
                <w:tcPr/>
                <w:p>
                  <w:pPr>
                    <w:pStyle w:val="Compact"/>
                    <w:jc w:val="left"/>
                    <w:jc w:val="center"/>
                  </w:pPr>
                  <w:r>
                    <w:t xml:space="preserve">Low-pH hold; inactivates enveloped virus (XMuLV credit)</w:t>
                  </w:r>
                </w:p>
              </w:tc>
            </w:tr>
            <w:tr>
              <w:tc>
                <w:tcPr/>
                <w:p>
                  <w:pPr>
                    <w:pStyle w:val="Compact"/>
                    <w:jc w:val="right"/>
                    <w:jc w:val="center"/>
                  </w:pPr>
                  <w:r>
                    <w:t xml:space="preserve">7</w:t>
                  </w:r>
                </w:p>
              </w:tc>
              <w:tc>
                <w:tcPr/>
                <w:p>
                  <w:pPr>
                    <w:pStyle w:val="Compact"/>
                    <w:jc w:val="left"/>
                    <w:jc w:val="center"/>
                  </w:pPr>
                  <w:r>
                    <w:t xml:space="preserve">Cation Exchange Chromatography</w:t>
                  </w:r>
                </w:p>
              </w:tc>
              <w:tc>
                <w:tcPr/>
                <w:p>
                  <w:pPr>
                    <w:pStyle w:val="Compact"/>
                    <w:jc w:val="left"/>
                    <w:jc w:val="center"/>
                  </w:pPr>
                  <w:r>
                    <w:t xml:space="preserve">Polish; principal aggregate reduction; major HCP/DNA/leached-PA clearance</w:t>
                  </w:r>
                </w:p>
              </w:tc>
            </w:tr>
            <w:tr>
              <w:tc>
                <w:tcPr/>
                <w:p>
                  <w:pPr>
                    <w:pStyle w:val="Compact"/>
                    <w:jc w:val="right"/>
                    <w:jc w:val="center"/>
                  </w:pPr>
                  <w:r>
                    <w:t xml:space="preserve">8</w:t>
                  </w:r>
                </w:p>
              </w:tc>
              <w:tc>
                <w:tcPr/>
                <w:p>
                  <w:pPr>
                    <w:pStyle w:val="Compact"/>
                    <w:jc w:val="left"/>
                    <w:jc w:val="center"/>
                  </w:pPr>
                  <w:r>
                    <w:t xml:space="preserve">Anion Exchange Chromatography</w:t>
                  </w:r>
                </w:p>
              </w:tc>
              <w:tc>
                <w:tcPr/>
                <w:p>
                  <w:pPr>
                    <w:pStyle w:val="Compact"/>
                    <w:jc w:val="left"/>
                    <w:jc w:val="center"/>
                  </w:pPr>
                  <w:r>
                    <w:t xml:space="preserve">Flow-through polish; clears HCP, DNA and virus (XMuLV and MVM credit)</w:t>
                  </w:r>
                </w:p>
              </w:tc>
            </w:tr>
            <w:tr>
              <w:tc>
                <w:tcPr/>
                <w:p>
                  <w:pPr>
                    <w:pStyle w:val="Compact"/>
                    <w:jc w:val="right"/>
                    <w:jc w:val="center"/>
                  </w:pPr>
                  <w:r>
                    <w:t xml:space="preserve">9</w:t>
                  </w:r>
                </w:p>
              </w:tc>
              <w:tc>
                <w:tcPr/>
                <w:p>
                  <w:pPr>
                    <w:pStyle w:val="Compact"/>
                    <w:jc w:val="left"/>
                    <w:jc w:val="center"/>
                  </w:pPr>
                  <w:r>
                    <w:t xml:space="preserve">Small-Virus Retentive Filtration</w:t>
                  </w:r>
                </w:p>
              </w:tc>
              <w:tc>
                <w:tcPr/>
                <w:p>
                  <w:pPr>
                    <w:pStyle w:val="Compact"/>
                    <w:jc w:val="left"/>
                    <w:jc w:val="center"/>
                  </w:pPr>
                  <w:r>
                    <w:t xml:space="preserve">Dedicated small-virus removal; principal MVM clearance</w:t>
                  </w:r>
                </w:p>
              </w:tc>
            </w:tr>
            <w:tr>
              <w:tc>
                <w:tcPr/>
                <w:p>
                  <w:pPr>
                    <w:pStyle w:val="Compact"/>
                    <w:jc w:val="right"/>
                    <w:jc w:val="center"/>
                  </w:pPr>
                  <w:r>
                    <w:t xml:space="preserve">10</w:t>
                  </w:r>
                </w:p>
              </w:tc>
              <w:tc>
                <w:tcPr/>
                <w:p>
                  <w:pPr>
                    <w:pStyle w:val="Compact"/>
                    <w:jc w:val="left"/>
                    <w:jc w:val="center"/>
                  </w:pPr>
                  <w:r>
                    <w:t xml:space="preserve">Ultrafiltration / Diafiltration</w:t>
                  </w:r>
                </w:p>
              </w:tc>
              <w:tc>
                <w:tcPr/>
                <w:p>
                  <w:pPr>
                    <w:pStyle w:val="Compact"/>
                    <w:jc w:val="left"/>
                    <w:jc w:val="center"/>
                  </w:pPr>
                  <w:r>
                    <w:t xml:space="preserve">Formulation / mass balance; delivers drug substance at target concentration</w:t>
                  </w:r>
                </w:p>
              </w:tc>
            </w:tr>
          </w:tbl>
          <w:bookmarkEnd w:id="23"/>
          <w:p/>
        </w:tc>
      </w:tr>
    </w:tbl>
    <w:p>
      <w:pPr>
        <w:pStyle w:val="BodyText"/>
      </w:pPr>
      <w:r>
        <w:t xml:space="preserve">This plan sets out the critical quality attribute (CQA) framework (</w:t>
      </w:r>
      <w:hyperlink w:anchor="sec-cqa">
        <w:r>
          <w:rPr>
            <w:rStyle w:val="Hyperlink"/>
          </w:rPr>
          <w:t xml:space="preserve">Section 3</w:t>
        </w:r>
      </w:hyperlink>
      <w:r>
        <w:t xml:space="preserve">), the risk basis (</w:t>
      </w:r>
      <w:hyperlink w:anchor="sec-risk">
        <w:r>
          <w:rPr>
            <w:rStyle w:val="Hyperlink"/>
          </w:rPr>
          <w:t xml:space="preserve">Section 4</w:t>
        </w:r>
      </w:hyperlink>
      <w:r>
        <w:t xml:space="preserve">), the common approach to scale-down models (</w:t>
      </w:r>
      <w:hyperlink w:anchor="sec-sdm">
        <w:r>
          <w:rPr>
            <w:rStyle w:val="Hyperlink"/>
          </w:rPr>
          <w:t xml:space="preserve">Section 5</w:t>
        </w:r>
      </w:hyperlink>
      <w:r>
        <w:t xml:space="preserve">) and to statistics (</w:t>
      </w:r>
      <w:hyperlink w:anchor="sec-stats">
        <w:r>
          <w:rPr>
            <w:rStyle w:val="Hyperlink"/>
          </w:rPr>
          <w:t xml:space="preserve">Section 6</w:t>
        </w:r>
      </w:hyperlink>
      <w:r>
        <w:t xml:space="preserve">), and the framework of acceptance criteria (</w:t>
      </w:r>
      <w:hyperlink w:anchor="sec-acceptance">
        <w:r>
          <w:rPr>
            <w:rStyle w:val="Hyperlink"/>
          </w:rPr>
          <w:t xml:space="preserve">Section 7</w:t>
        </w:r>
      </w:hyperlink>
      <w:r>
        <w:t xml:space="preserve">) for the whole train. Each Process Characterization Plan (PCP-003 to PCP-010) applies this framework to one step. It adds what is specific to that step, such as the scale-down model, the factors and their ranges, and the sampling plan. Where a step plan departs from this plan, it should state the departure and the reason for it.</w:t>
      </w:r>
    </w:p>
    <w:p>
      <w:pPr>
        <w:pStyle w:val="BodyText"/>
      </w:pPr>
      <w:r>
        <w:t xml:space="preserve">The documents of the package build on each other in sequence. The risk assessment RA-001 sets the scope of each study. The Process Characterization Plan of the step (PCP-00N) plans the study, and the paired Process Characterization Report (PCR-00N) reports it. The Process Characterization Master Report PCMR-001 then consolidates the reports into the control strategy for the whole process. The QA investigation INV-001 reviewed PCMR-001 Version 1.0, and its findings led back to this revision and to the reissue of the other documents. A second investigation, INV-002, examined the response-surface models that do not meet the model-adequacy criteria of this plan (</w:t>
      </w:r>
      <w:hyperlink w:anchor="sec-acc-model">
        <w:r>
          <w:rPr>
            <w:rStyle w:val="Hyperlink"/>
          </w:rPr>
          <w:t xml:space="preserve">Section 7.2</w:t>
        </w:r>
      </w:hyperlink>
      <w:r>
        <w:t xml:space="preserve">).</w:t>
      </w:r>
      <w:r>
        <w:t xml:space="preserve"> </w:t>
      </w:r>
      <w:hyperlink w:anchor="tbl-docs">
        <w:r>
          <w:rPr>
            <w:rStyle w:val="Hyperlink"/>
          </w:rPr>
          <w:t xml:space="preserve">Table 2</w:t>
        </w:r>
      </w:hyperlink>
      <w:r>
        <w:t xml:space="preserve"> </w:t>
      </w:r>
      <w:r>
        <w:t xml:space="preserve">lists the package.</w:t>
      </w:r>
    </w:p>
    <w:tbl>
      <w:tblPr>
        <w:tblStyle w:val="Table"/>
        <w:tblW w:type="pct" w:w="5000"/>
        <w:tblLayout w:type="fixed"/>
        <w:tblLook w:firstRow="0" w:lastRow="0" w:firstColumn="0" w:lastColumn="0" w:noHBand="0" w:noVBand="0" w:val="0000"/>
      </w:tblPr>
      <w:tblGrid>
        <w:gridCol w:w="7920"/>
      </w:tblGrid>
      <w:tr>
        <w:tc>
          <w:tcPr/>
          <w:bookmarkStart w:id="24" w:name="tbl-docs"/>
          <w:p>
            <w:pPr>
              <w:jc w:val="center"/>
            </w:pPr>
            <w:pPr>
              <w:jc w:val="start"/>
              <w:spacing w:before="200"/>
              <w:pStyle w:val="ImageCaption"/>
            </w:pPr>
            <w:r>
              <w:t xml:space="preserve">Table 2: Documents of the A-Mab characterization package.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Subject</w:t>
                  </w:r>
                </w:p>
              </w:tc>
              <w:tc>
                <w:tcPr/>
                <w:p>
                  <w:pPr>
                    <w:pStyle w:val="Compact"/>
                    <w:jc w:val="center"/>
                  </w:pPr>
                  <w:r>
                    <w:t xml:space="preserve">Document ID</w:t>
                  </w:r>
                </w:p>
              </w:tc>
              <w:tc>
                <w:tcPr/>
                <w:p>
                  <w:pPr>
                    <w:pStyle w:val="Compact"/>
                    <w:jc w:val="center"/>
                  </w:pPr>
                  <w:r>
                    <w:t xml:space="preserve">Document class</w:t>
                  </w:r>
                </w:p>
              </w:tc>
            </w:tr>
            <w:tr>
              <w:tc>
                <w:tcPr>
                  <w:vMerge w:val="restart"/>
                </w:tcPr>
                <w:p>
                  <w:pPr>
                    <w:pStyle w:val="Compact"/>
                    <w:jc w:val="center"/>
                  </w:pPr>
                  <w:r>
                    <w:t xml:space="preserve">A-Mab Drug Substance</w:t>
                  </w:r>
                </w:p>
              </w:tc>
              <w:tc>
                <w:tcPr/>
                <w:p>
                  <w:pPr>
                    <w:pStyle w:val="Compact"/>
                    <w:jc w:val="center"/>
                  </w:pPr>
                  <w:r>
                    <w:t xml:space="preserve">PTP-001</w:t>
                  </w:r>
                </w:p>
              </w:tc>
              <w:tc>
                <w:tcPr/>
                <w:p>
                  <w:pPr>
                    <w:pStyle w:val="Compact"/>
                    <w:jc w:val="center"/>
                  </w:pPr>
                  <w:r>
                    <w:t xml:space="preserve">Process Transfer Plan</w:t>
                  </w:r>
                </w:p>
              </w:tc>
            </w:tr>
            <w:tr>
              <w:tc>
                <w:tcPr>
                  <w:gridSpan w:val="1"/>
                  <w:vMerge w:val="continue"/>
                </w:tcPr>
                <w:p>
                  <w:pPr/>
                </w:p>
              </w:tc>
              <w:tc>
                <w:tcPr/>
                <w:p>
                  <w:pPr>
                    <w:pStyle w:val="Compact"/>
                    <w:jc w:val="center"/>
                  </w:pPr>
                  <w:r>
                    <w:t xml:space="preserve">RA-001</w:t>
                  </w:r>
                </w:p>
              </w:tc>
              <w:tc>
                <w:tcPr/>
                <w:p>
                  <w:pPr>
                    <w:pStyle w:val="Compact"/>
                    <w:jc w:val="center"/>
                  </w:pPr>
                  <w:r>
                    <w:t xml:space="preserve">Pre-Characterization Process Risk Assessment</w:t>
                  </w:r>
                </w:p>
              </w:tc>
            </w:tr>
            <w:tr>
              <w:tc>
                <w:tcPr>
                  <w:vMerge w:val="restart"/>
                </w:tcPr>
                <w:p>
                  <w:pPr>
                    <w:pStyle w:val="Compact"/>
                    <w:jc w:val="center"/>
                  </w:pPr>
                  <w:r>
                    <w:t xml:space="preserve">Production Bioreactor (Step 3)</w:t>
                  </w:r>
                </w:p>
              </w:tc>
              <w:tc>
                <w:tcPr/>
                <w:p>
                  <w:pPr>
                    <w:pStyle w:val="Compact"/>
                    <w:jc w:val="center"/>
                  </w:pPr>
                  <w:r>
                    <w:t xml:space="preserve">PCP-003</w:t>
                  </w:r>
                </w:p>
              </w:tc>
              <w:tc>
                <w:tcPr/>
                <w:p>
                  <w:pPr>
                    <w:pStyle w:val="Compact"/>
                    <w:jc w:val="center"/>
                  </w:pPr>
                  <w:r>
                    <w:t xml:space="preserve">Process Characterization Plan</w:t>
                  </w:r>
                </w:p>
              </w:tc>
            </w:tr>
            <w:tr>
              <w:tc>
                <w:tcPr>
                  <w:gridSpan w:val="1"/>
                  <w:vMerge w:val="continue"/>
                </w:tcPr>
                <w:p>
                  <w:pPr/>
                </w:p>
              </w:tc>
              <w:tc>
                <w:tcPr/>
                <w:p>
                  <w:pPr>
                    <w:pStyle w:val="Compact"/>
                    <w:jc w:val="center"/>
                  </w:pPr>
                  <w:r>
                    <w:t xml:space="preserve">PCR-003</w:t>
                  </w:r>
                </w:p>
              </w:tc>
              <w:tc>
                <w:tcPr/>
                <w:p>
                  <w:pPr>
                    <w:pStyle w:val="Compact"/>
                    <w:jc w:val="center"/>
                  </w:pPr>
                  <w:r>
                    <w:t xml:space="preserve">Process Characterization Report</w:t>
                  </w:r>
                </w:p>
              </w:tc>
            </w:tr>
            <w:tr>
              <w:tc>
                <w:tcPr>
                  <w:vMerge w:val="restart"/>
                </w:tcPr>
                <w:p>
                  <w:pPr>
                    <w:pStyle w:val="Compact"/>
                    <w:jc w:val="center"/>
                  </w:pPr>
                  <w:r>
                    <w:t xml:space="preserve">Harvest and Clarification (Step 4)</w:t>
                  </w:r>
                </w:p>
              </w:tc>
              <w:tc>
                <w:tcPr/>
                <w:p>
                  <w:pPr>
                    <w:pStyle w:val="Compact"/>
                    <w:jc w:val="center"/>
                  </w:pPr>
                  <w:r>
                    <w:t xml:space="preserve">PCP-004</w:t>
                  </w:r>
                </w:p>
              </w:tc>
              <w:tc>
                <w:tcPr/>
                <w:p>
                  <w:pPr>
                    <w:pStyle w:val="Compact"/>
                    <w:jc w:val="center"/>
                  </w:pPr>
                  <w:r>
                    <w:t xml:space="preserve">Process Characterization Plan</w:t>
                  </w:r>
                </w:p>
              </w:tc>
            </w:tr>
            <w:tr>
              <w:tc>
                <w:tcPr>
                  <w:gridSpan w:val="1"/>
                  <w:vMerge w:val="continue"/>
                </w:tcPr>
                <w:p>
                  <w:pPr/>
                </w:p>
              </w:tc>
              <w:tc>
                <w:tcPr/>
                <w:p>
                  <w:pPr>
                    <w:pStyle w:val="Compact"/>
                    <w:jc w:val="center"/>
                  </w:pPr>
                  <w:r>
                    <w:t xml:space="preserve">PCR-004</w:t>
                  </w:r>
                </w:p>
              </w:tc>
              <w:tc>
                <w:tcPr/>
                <w:p>
                  <w:pPr>
                    <w:pStyle w:val="Compact"/>
                    <w:jc w:val="center"/>
                  </w:pPr>
                  <w:r>
                    <w:t xml:space="preserve">Process Characterization Report</w:t>
                  </w:r>
                </w:p>
              </w:tc>
            </w:tr>
            <w:tr>
              <w:tc>
                <w:tcPr>
                  <w:vMerge w:val="restart"/>
                </w:tcPr>
                <w:p>
                  <w:pPr>
                    <w:pStyle w:val="Compact"/>
                    <w:jc w:val="center"/>
                  </w:pPr>
                  <w:r>
                    <w:t xml:space="preserve">Protein A Chromatography (Step 5)</w:t>
                  </w:r>
                </w:p>
              </w:tc>
              <w:tc>
                <w:tcPr/>
                <w:p>
                  <w:pPr>
                    <w:pStyle w:val="Compact"/>
                    <w:jc w:val="center"/>
                  </w:pPr>
                  <w:r>
                    <w:t xml:space="preserve">PCP-005</w:t>
                  </w:r>
                </w:p>
              </w:tc>
              <w:tc>
                <w:tcPr/>
                <w:p>
                  <w:pPr>
                    <w:pStyle w:val="Compact"/>
                    <w:jc w:val="center"/>
                  </w:pPr>
                  <w:r>
                    <w:t xml:space="preserve">Process Characterization Plan</w:t>
                  </w:r>
                </w:p>
              </w:tc>
            </w:tr>
            <w:tr>
              <w:tc>
                <w:tcPr>
                  <w:gridSpan w:val="1"/>
                  <w:vMerge w:val="continue"/>
                </w:tcPr>
                <w:p>
                  <w:pPr/>
                </w:p>
              </w:tc>
              <w:tc>
                <w:tcPr/>
                <w:p>
                  <w:pPr>
                    <w:pStyle w:val="Compact"/>
                    <w:jc w:val="center"/>
                  </w:pPr>
                  <w:r>
                    <w:t xml:space="preserve">PCR-005</w:t>
                  </w:r>
                </w:p>
              </w:tc>
              <w:tc>
                <w:tcPr/>
                <w:p>
                  <w:pPr>
                    <w:pStyle w:val="Compact"/>
                    <w:jc w:val="center"/>
                  </w:pPr>
                  <w:r>
                    <w:t xml:space="preserve">Process Characterization Report</w:t>
                  </w:r>
                </w:p>
              </w:tc>
            </w:tr>
            <w:tr>
              <w:tc>
                <w:tcPr>
                  <w:vMerge w:val="restart"/>
                </w:tcPr>
                <w:p>
                  <w:pPr>
                    <w:pStyle w:val="Compact"/>
                    <w:jc w:val="center"/>
                  </w:pPr>
                  <w:r>
                    <w:t xml:space="preserve">Low-pH Viral Inactivation (Step 6)</w:t>
                  </w:r>
                </w:p>
              </w:tc>
              <w:tc>
                <w:tcPr/>
                <w:p>
                  <w:pPr>
                    <w:pStyle w:val="Compact"/>
                    <w:jc w:val="center"/>
                  </w:pPr>
                  <w:r>
                    <w:t xml:space="preserve">PCP-006</w:t>
                  </w:r>
                </w:p>
              </w:tc>
              <w:tc>
                <w:tcPr/>
                <w:p>
                  <w:pPr>
                    <w:pStyle w:val="Compact"/>
                    <w:jc w:val="center"/>
                  </w:pPr>
                  <w:r>
                    <w:t xml:space="preserve">Process Characterization Plan</w:t>
                  </w:r>
                </w:p>
              </w:tc>
            </w:tr>
            <w:tr>
              <w:tc>
                <w:tcPr>
                  <w:gridSpan w:val="1"/>
                  <w:vMerge w:val="continue"/>
                </w:tcPr>
                <w:p>
                  <w:pPr/>
                </w:p>
              </w:tc>
              <w:tc>
                <w:tcPr/>
                <w:p>
                  <w:pPr>
                    <w:pStyle w:val="Compact"/>
                    <w:jc w:val="center"/>
                  </w:pPr>
                  <w:r>
                    <w:t xml:space="preserve">PCR-006</w:t>
                  </w:r>
                </w:p>
              </w:tc>
              <w:tc>
                <w:tcPr/>
                <w:p>
                  <w:pPr>
                    <w:pStyle w:val="Compact"/>
                    <w:jc w:val="center"/>
                  </w:pPr>
                  <w:r>
                    <w:t xml:space="preserve">Process Characterization Report</w:t>
                  </w:r>
                </w:p>
              </w:tc>
            </w:tr>
            <w:tr>
              <w:tc>
                <w:tcPr>
                  <w:vMerge w:val="restart"/>
                </w:tcPr>
                <w:p>
                  <w:pPr>
                    <w:pStyle w:val="Compact"/>
                    <w:jc w:val="center"/>
                  </w:pPr>
                  <w:r>
                    <w:t xml:space="preserve">Cation Exchange Chromatography (Step 7)</w:t>
                  </w:r>
                </w:p>
              </w:tc>
              <w:tc>
                <w:tcPr/>
                <w:p>
                  <w:pPr>
                    <w:pStyle w:val="Compact"/>
                    <w:jc w:val="center"/>
                  </w:pPr>
                  <w:r>
                    <w:t xml:space="preserve">PCP-007</w:t>
                  </w:r>
                </w:p>
              </w:tc>
              <w:tc>
                <w:tcPr/>
                <w:p>
                  <w:pPr>
                    <w:pStyle w:val="Compact"/>
                    <w:jc w:val="center"/>
                  </w:pPr>
                  <w:r>
                    <w:t xml:space="preserve">Process Characterization Plan</w:t>
                  </w:r>
                </w:p>
              </w:tc>
            </w:tr>
            <w:tr>
              <w:tc>
                <w:tcPr>
                  <w:gridSpan w:val="1"/>
                  <w:vMerge w:val="continue"/>
                </w:tcPr>
                <w:p>
                  <w:pPr/>
                </w:p>
              </w:tc>
              <w:tc>
                <w:tcPr/>
                <w:p>
                  <w:pPr>
                    <w:pStyle w:val="Compact"/>
                    <w:jc w:val="center"/>
                  </w:pPr>
                  <w:r>
                    <w:t xml:space="preserve">PCR-007</w:t>
                  </w:r>
                </w:p>
              </w:tc>
              <w:tc>
                <w:tcPr/>
                <w:p>
                  <w:pPr>
                    <w:pStyle w:val="Compact"/>
                    <w:jc w:val="center"/>
                  </w:pPr>
                  <w:r>
                    <w:t xml:space="preserve">Process Characterization Report</w:t>
                  </w:r>
                </w:p>
              </w:tc>
            </w:tr>
            <w:tr>
              <w:tc>
                <w:tcPr>
                  <w:vMerge w:val="restart"/>
                </w:tcPr>
                <w:p>
                  <w:pPr>
                    <w:pStyle w:val="Compact"/>
                    <w:jc w:val="center"/>
                  </w:pPr>
                  <w:r>
                    <w:t xml:space="preserve">Anion Exchange Chromatography (Step 8)</w:t>
                  </w:r>
                </w:p>
              </w:tc>
              <w:tc>
                <w:tcPr/>
                <w:p>
                  <w:pPr>
                    <w:pStyle w:val="Compact"/>
                    <w:jc w:val="center"/>
                  </w:pPr>
                  <w:r>
                    <w:t xml:space="preserve">PCP-008</w:t>
                  </w:r>
                </w:p>
              </w:tc>
              <w:tc>
                <w:tcPr/>
                <w:p>
                  <w:pPr>
                    <w:pStyle w:val="Compact"/>
                    <w:jc w:val="center"/>
                  </w:pPr>
                  <w:r>
                    <w:t xml:space="preserve">Process Characterization Plan</w:t>
                  </w:r>
                </w:p>
              </w:tc>
            </w:tr>
            <w:tr>
              <w:tc>
                <w:tcPr>
                  <w:gridSpan w:val="1"/>
                  <w:vMerge w:val="continue"/>
                </w:tcPr>
                <w:p>
                  <w:pPr/>
                </w:p>
              </w:tc>
              <w:tc>
                <w:tcPr/>
                <w:p>
                  <w:pPr>
                    <w:pStyle w:val="Compact"/>
                    <w:jc w:val="center"/>
                  </w:pPr>
                  <w:r>
                    <w:t xml:space="preserve">PCR-008</w:t>
                  </w:r>
                </w:p>
              </w:tc>
              <w:tc>
                <w:tcPr/>
                <w:p>
                  <w:pPr>
                    <w:pStyle w:val="Compact"/>
                    <w:jc w:val="center"/>
                  </w:pPr>
                  <w:r>
                    <w:t xml:space="preserve">Process Characterization Report</w:t>
                  </w:r>
                </w:p>
              </w:tc>
            </w:tr>
            <w:tr>
              <w:tc>
                <w:tcPr>
                  <w:vMerge w:val="restart"/>
                </w:tcPr>
                <w:p>
                  <w:pPr>
                    <w:pStyle w:val="Compact"/>
                    <w:jc w:val="center"/>
                  </w:pPr>
                  <w:r>
                    <w:t xml:space="preserve">Small-Virus Retentive Filtration (Step 9)</w:t>
                  </w:r>
                </w:p>
              </w:tc>
              <w:tc>
                <w:tcPr/>
                <w:p>
                  <w:pPr>
                    <w:pStyle w:val="Compact"/>
                    <w:jc w:val="center"/>
                  </w:pPr>
                  <w:r>
                    <w:t xml:space="preserve">PCP-009</w:t>
                  </w:r>
                </w:p>
              </w:tc>
              <w:tc>
                <w:tcPr/>
                <w:p>
                  <w:pPr>
                    <w:pStyle w:val="Compact"/>
                    <w:jc w:val="center"/>
                  </w:pPr>
                  <w:r>
                    <w:t xml:space="preserve">Process Characterization Plan</w:t>
                  </w:r>
                </w:p>
              </w:tc>
            </w:tr>
            <w:tr>
              <w:tc>
                <w:tcPr>
                  <w:gridSpan w:val="1"/>
                  <w:vMerge w:val="continue"/>
                </w:tcPr>
                <w:p>
                  <w:pPr/>
                </w:p>
              </w:tc>
              <w:tc>
                <w:tcPr/>
                <w:p>
                  <w:pPr>
                    <w:pStyle w:val="Compact"/>
                    <w:jc w:val="center"/>
                  </w:pPr>
                  <w:r>
                    <w:t xml:space="preserve">PCR-009</w:t>
                  </w:r>
                </w:p>
              </w:tc>
              <w:tc>
                <w:tcPr/>
                <w:p>
                  <w:pPr>
                    <w:pStyle w:val="Compact"/>
                    <w:jc w:val="center"/>
                  </w:pPr>
                  <w:r>
                    <w:t xml:space="preserve">Process Characterization Report</w:t>
                  </w:r>
                </w:p>
              </w:tc>
            </w:tr>
            <w:tr>
              <w:tc>
                <w:tcPr>
                  <w:vMerge w:val="restart"/>
                </w:tcPr>
                <w:p>
                  <w:pPr>
                    <w:pStyle w:val="Compact"/>
                    <w:jc w:val="center"/>
                  </w:pPr>
                  <w:r>
                    <w:t xml:space="preserve">Ultrafiltration / Diafiltration (Step 10)</w:t>
                  </w:r>
                </w:p>
              </w:tc>
              <w:tc>
                <w:tcPr/>
                <w:p>
                  <w:pPr>
                    <w:pStyle w:val="Compact"/>
                    <w:jc w:val="center"/>
                  </w:pPr>
                  <w:r>
                    <w:t xml:space="preserve">PCP-010</w:t>
                  </w:r>
                </w:p>
              </w:tc>
              <w:tc>
                <w:tcPr/>
                <w:p>
                  <w:pPr>
                    <w:pStyle w:val="Compact"/>
                    <w:jc w:val="center"/>
                  </w:pPr>
                  <w:r>
                    <w:t xml:space="preserve">Process Characterization Plan</w:t>
                  </w:r>
                </w:p>
              </w:tc>
            </w:tr>
            <w:tr>
              <w:tc>
                <w:tcPr>
                  <w:gridSpan w:val="1"/>
                  <w:vMerge w:val="continue"/>
                </w:tcPr>
                <w:p>
                  <w:pPr/>
                </w:p>
              </w:tc>
              <w:tc>
                <w:tcPr/>
                <w:p>
                  <w:pPr>
                    <w:pStyle w:val="Compact"/>
                    <w:jc w:val="center"/>
                  </w:pPr>
                  <w:r>
                    <w:t xml:space="preserve">PCR-010</w:t>
                  </w:r>
                </w:p>
              </w:tc>
              <w:tc>
                <w:tcPr/>
                <w:p>
                  <w:pPr>
                    <w:pStyle w:val="Compact"/>
                    <w:jc w:val="center"/>
                  </w:pPr>
                  <w:r>
                    <w:t xml:space="preserve">Process Characterization Report</w:t>
                  </w:r>
                </w:p>
              </w:tc>
            </w:tr>
            <w:tr>
              <w:tc>
                <w:tcPr/>
                <w:p>
                  <w:pPr>
                    <w:pStyle w:val="Compact"/>
                    <w:jc w:val="center"/>
                  </w:pPr>
                  <w:r>
                    <w:t xml:space="preserve">A-Mab Drug Substance</w:t>
                  </w:r>
                </w:p>
              </w:tc>
              <w:tc>
                <w:tcPr/>
                <w:p>
                  <w:pPr>
                    <w:pStyle w:val="Compact"/>
                    <w:jc w:val="center"/>
                  </w:pPr>
                  <w:r>
                    <w:t xml:space="preserve">PCMR-001</w:t>
                  </w:r>
                </w:p>
              </w:tc>
              <w:tc>
                <w:tcPr/>
                <w:p>
                  <w:pPr>
                    <w:pStyle w:val="Compact"/>
                    <w:jc w:val="center"/>
                  </w:pPr>
                  <w:r>
                    <w:t xml:space="preserve">Process Characterization Master Report</w:t>
                  </w:r>
                </w:p>
              </w:tc>
            </w:tr>
            <w:tr>
              <w:tc>
                <w:tcPr/>
                <w:p>
                  <w:pPr>
                    <w:pStyle w:val="Compact"/>
                    <w:jc w:val="center"/>
                  </w:pPr>
                  <w:r>
                    <w:t xml:space="preserve">Acceptance criteria for proven-acceptable-range analysis set after data review</w:t>
                  </w:r>
                </w:p>
              </w:tc>
              <w:tc>
                <w:tcPr/>
                <w:p>
                  <w:pPr>
                    <w:pStyle w:val="Compact"/>
                    <w:jc w:val="center"/>
                  </w:pPr>
                  <w:r>
                    <w:t xml:space="preserve">INV-001</w:t>
                  </w:r>
                </w:p>
              </w:tc>
              <w:tc>
                <w:tcPr/>
                <w:p>
                  <w:pPr>
                    <w:pStyle w:val="Compact"/>
                    <w:jc w:val="center"/>
                  </w:pPr>
                  <w:r>
                    <w:t xml:space="preserve">Investigation Report</w:t>
                  </w:r>
                </w:p>
              </w:tc>
            </w:tr>
            <w:tr>
              <w:tc>
                <w:tcPr/>
                <w:p>
                  <w:pPr>
                    <w:pStyle w:val="Compact"/>
                    <w:jc w:val="center"/>
                  </w:pPr>
                  <w:r>
                    <w:t xml:space="preserve">Response-surface models below the model-adequacy criteria of PCMP-001 Version 2.0</w:t>
                  </w:r>
                </w:p>
              </w:tc>
              <w:tc>
                <w:tcPr/>
                <w:p>
                  <w:pPr>
                    <w:pStyle w:val="Compact"/>
                    <w:jc w:val="center"/>
                  </w:pPr>
                  <w:r>
                    <w:t xml:space="preserve">INV-002</w:t>
                  </w:r>
                </w:p>
              </w:tc>
              <w:tc>
                <w:tcPr/>
                <w:p>
                  <w:pPr>
                    <w:pStyle w:val="Compact"/>
                    <w:jc w:val="center"/>
                  </w:pPr>
                  <w:r>
                    <w:t xml:space="preserve">Investigation Report</w:t>
                  </w:r>
                </w:p>
              </w:tc>
            </w:tr>
          </w:tbl>
          <w:bookmarkEnd w:id="24"/>
          <w:p/>
        </w:tc>
      </w:tr>
    </w:tbl>
    <w:bookmarkStart w:id="25" w:name="sec-changes"/>
    <w:p>
      <w:pPr>
        <w:pStyle w:val="Heading2"/>
      </w:pPr>
      <w:r>
        <w:t xml:space="preserve">1.1 Changes in this revision</w:t>
      </w:r>
    </w:p>
    <w:p>
      <w:pPr>
        <w:pStyle w:val="FirstParagraph"/>
      </w:pPr>
      <w:r>
        <w:t xml:space="preserve">Version 1.0 of this plan was approved on 2025-08-04, before the first characterization study started on 2025-08-27. Version 2.0 replaces it and is issued under INV-001. QA opened the investigation on 2026-08-03 after its review of PCMR-001 Version 1.0 for BLA readiness, and closed it on 2026-09-18 with the classification major. INV-001 found that the criteria used to judge each step in the proven acceptable range (PAR) analysis were not in any approved protocol and had been set after the data were seen (INV-001 finding 1). Of the 15 Version 1.0 step criteria, the 6 aggregate and host cell protein criteria had been carried back from the drug substance limit through the nominal clearance of this campaign and then divided by a margin that differed by step (INV-001 finding 2). Version 1.0 of this plan defined no criteria for step outputs.</w:t>
      </w:r>
    </w:p>
    <w:p>
      <w:pPr>
        <w:pStyle w:val="BodyText"/>
      </w:pPr>
      <w:r>
        <w:t xml:space="preserve">This revision makes the following changes.</w:t>
      </w:r>
    </w:p>
    <w:p>
      <w:pPr>
        <w:pStyle w:val="Compact"/>
        <w:numPr>
          <w:ilvl w:val="0"/>
          <w:numId w:val="1001"/>
        </w:numPr>
      </w:pPr>
      <w:r>
        <w:t xml:space="preserve">It defines intermediate acceptance criteria (IACs) for the step outputs on which a drug substance criterion depends (</w:t>
      </w:r>
      <w:hyperlink w:anchor="sec-iac">
        <w:r>
          <w:rPr>
            <w:rStyle w:val="Hyperlink"/>
          </w:rPr>
          <w:t xml:space="preserve">Section 7.3</w:t>
        </w:r>
      </w:hyperlink>
      <w:r>
        <w:t xml:space="preserve">). The rule that derives them uses no data from the studies it judges. They replace the Version 1.0 step criteria described above (INV-001 findings 1 and 2). They also replace the bioreactor limits for the glycans and acidic variants, which were computed from the capability data they were then used to judge (INV-001 finding 3).</w:t>
      </w:r>
    </w:p>
    <w:p>
      <w:pPr>
        <w:pStyle w:val="Compact"/>
        <w:numPr>
          <w:ilvl w:val="0"/>
          <w:numId w:val="1001"/>
        </w:numPr>
      </w:pPr>
      <w:r>
        <w:t xml:space="preserve">It defines how each report verifies the platform worst cases that the criteria rely on, and when that verification may change a criterion (</w:t>
      </w:r>
      <w:hyperlink w:anchor="sec-verification">
        <w:r>
          <w:rPr>
            <w:rStyle w:val="Hyperlink"/>
          </w:rPr>
          <w:t xml:space="preserve">Section 7.5</w:t>
        </w:r>
      </w:hyperlink>
      <w:r>
        <w:t xml:space="preserve">). Verification tightens a criterion where a step does worse within its NOR than the platform worst case. It widens a criterion only where the 95 % confidence bound of the A-Mab worst case is better than the platform value and the model behind it is adequate. In both directions the bound, not the point prediction, replaces the platform value.</w:t>
      </w:r>
    </w:p>
    <w:p>
      <w:pPr>
        <w:pStyle w:val="Compact"/>
        <w:numPr>
          <w:ilvl w:val="0"/>
          <w:numId w:val="1001"/>
        </w:numPr>
      </w:pPr>
      <w:r>
        <w:t xml:space="preserve">It qualifies each scale-down model by its offset from manufacturing scale, not by a test of equivalence, and states every judgement against a criterion at manufacturing scale (</w:t>
      </w:r>
      <w:hyperlink w:anchor="sec-acc-sdm">
        <w:r>
          <w:rPr>
            <w:rStyle w:val="Hyperlink"/>
          </w:rPr>
          <w:t xml:space="preserve">Section 7.1</w:t>
        </w:r>
      </w:hyperlink>
      <w:r>
        <w:t xml:space="preserve">).</w:t>
      </w:r>
    </w:p>
    <w:p>
      <w:pPr>
        <w:pStyle w:val="Compact"/>
        <w:numPr>
          <w:ilvl w:val="0"/>
          <w:numId w:val="1001"/>
        </w:numPr>
      </w:pPr>
      <w:r>
        <w:t xml:space="preserve">It sets non-reduced CE-SDS (nrCE-SDS) as the method for fragments at every step, following the decision of 2026-03-20 to change the fragment method to nrCE-SDS (AMD-001,</w:t>
      </w:r>
      <w:r>
        <w:t xml:space="preserve"> </w:t>
      </w:r>
      <w:hyperlink w:anchor="sec-fragments">
        <w:r>
          <w:rPr>
            <w:rStyle w:val="Hyperlink"/>
          </w:rPr>
          <w:t xml:space="preserve">Section 7.8</w:t>
        </w:r>
      </w:hyperlink>
      <w:r>
        <w:t xml:space="preserve">). This answers INV-001 finding 6, that size exclusion chromatography (SEC) reads fragments high in samples that still carry host cell protein.</w:t>
      </w:r>
    </w:p>
    <w:p>
      <w:pPr>
        <w:pStyle w:val="Compact"/>
        <w:numPr>
          <w:ilvl w:val="0"/>
          <w:numId w:val="1001"/>
        </w:numPr>
      </w:pPr>
      <w:r>
        <w:t xml:space="preserve">It assesses capability for acidic variants against both ends of the criterion (</w:t>
      </w:r>
      <w:hyperlink w:anchor="sec-capability">
        <w:r>
          <w:rPr>
            <w:rStyle w:val="Hyperlink"/>
          </w:rPr>
          <w:t xml:space="preserve">Section 6.5</w:t>
        </w:r>
      </w:hyperlink>
      <w:r>
        <w:t xml:space="preserve">). Version 1.0 assessed it against the upper end only (INV-001 finding 4).</w:t>
      </w:r>
    </w:p>
    <w:p>
      <w:pPr>
        <w:pStyle w:val="Compact"/>
        <w:numPr>
          <w:ilvl w:val="0"/>
          <w:numId w:val="1001"/>
        </w:numPr>
      </w:pPr>
      <w:r>
        <w:t xml:space="preserve">It judges viral clearance at the worst case within the NOR (</w:t>
      </w:r>
      <w:hyperlink w:anchor="sec-par">
        <w:r>
          <w:rPr>
            <w:rStyle w:val="Hyperlink"/>
          </w:rPr>
          <w:t xml:space="preserve">Section 6.4</w:t>
        </w:r>
      </w:hyperlink>
      <w:r>
        <w:t xml:space="preserve">). That is the mean predicted log reduction with the other parameters at their least favourable combination of NOR low, set-point and NOR high. Viral clearance is validated at worst-case conditions, so the claim must hold there. Quality attributes are judged on a single batch. Version 1.0 judged every response on a single batch.</w:t>
      </w:r>
    </w:p>
    <w:p>
      <w:pPr>
        <w:pStyle w:val="Compact"/>
        <w:numPr>
          <w:ilvl w:val="0"/>
          <w:numId w:val="1001"/>
        </w:numPr>
      </w:pPr>
      <w:r>
        <w:t xml:space="preserve">It records the execution window of every study and the calibration status of the equipment each study used (</w:t>
      </w:r>
      <w:hyperlink w:anchor="sec-sdm">
        <w:r>
          <w:rPr>
            <w:rStyle w:val="Hyperlink"/>
          </w:rPr>
          <w:t xml:space="preserve">Section 5</w:t>
        </w:r>
      </w:hyperlink>
      <w:r>
        <w:t xml:space="preserve"> </w:t>
      </w:r>
      <w:r>
        <w:t xml:space="preserve">and</w:t>
      </w:r>
      <w:r>
        <w:t xml:space="preserve"> </w:t>
      </w:r>
      <w:hyperlink w:anchor="sec-schedule">
        <w:r>
          <w:rPr>
            <w:rStyle w:val="Hyperlink"/>
          </w:rPr>
          <w:t xml:space="preserve">Section 9</w:t>
        </w:r>
      </w:hyperlink>
      <w:r>
        <w:t xml:space="preserve">). The Version 1.0 records gave no execution dates, so the equipment tables appeared to cite expired calibrations (INV-001 finding 5). The Version 1.0 title blocks of the plans also carried 2026-07-24, the date on which the Version 1.0 reports were approved, in place of the date each plan was approved. The revision history of this plan now gives the approval date.</w:t>
      </w:r>
    </w:p>
    <w:p>
      <w:pPr>
        <w:pStyle w:val="Compact"/>
        <w:numPr>
          <w:ilvl w:val="0"/>
          <w:numId w:val="1001"/>
        </w:numPr>
      </w:pPr>
      <w:r>
        <w:t xml:space="preserve">It states campaign thresholds for the significance of model terms (</w:t>
      </w:r>
      <w:hyperlink w:anchor="sec-stats">
        <w:r>
          <w:rPr>
            <w:rStyle w:val="Hyperlink"/>
          </w:rPr>
          <w:t xml:space="preserve">Section 6</w:t>
        </w:r>
      </w:hyperlink>
      <w:r>
        <w:t xml:space="preserve">), for model adequacy (</w:t>
      </w:r>
      <w:hyperlink w:anchor="sec-acc-model">
        <w:r>
          <w:rPr>
            <w:rStyle w:val="Hyperlink"/>
          </w:rPr>
          <w:t xml:space="preserve">Section 7.2</w:t>
        </w:r>
      </w:hyperlink>
      <w:r>
        <w:t xml:space="preserve">) and for capability (</w:t>
      </w:r>
      <w:hyperlink w:anchor="sec-acc-capability">
        <w:r>
          <w:rPr>
            <w:rStyle w:val="Hyperlink"/>
          </w:rPr>
          <w:t xml:space="preserve">Section 7.9</w:t>
        </w:r>
      </w:hyperlink>
      <w:r>
        <w:t xml:space="preserve">). Version 1.0 left all three to the individual study.</w:t>
      </w:r>
    </w:p>
    <w:p>
      <w:pPr>
        <w:pStyle w:val="FirstParagraph"/>
      </w:pPr>
      <w:r>
        <w:t xml:space="preserve">In Version 1.0 the cation exchange pool was judged against an aggregate limit of 1 % HMW. That limit was the drug substance criterion of 5 % divided by a margin of 5. The derivation in this plan credits no step after cation exchange with aggregate removal. The cation exchange pool therefore carries the drug substance criterion itself, 5 % (</w:t>
      </w:r>
      <w:hyperlink w:anchor="tbl-iac">
        <w:r>
          <w:rPr>
            <w:rStyle w:val="Hyperlink"/>
          </w:rPr>
          <w:t xml:space="preserve">Table 9</w:t>
        </w:r>
      </w:hyperlink>
      <w:r>
        <w:t xml:space="preserve">). The Version 1.0 limit was never an approved criterion, because it was applied at analysis and appeared in no approved plan, so the wider criterion now in force replaces no approved value. What moved at each step as a result is stated in the</w:t>
      </w:r>
      <w:r>
        <w:t xml:space="preserve"> </w:t>
      </w:r>
      <w:r>
        <w:t xml:space="preserve">“Changes in this revision”</w:t>
      </w:r>
      <w:r>
        <w:t xml:space="preserve"> </w:t>
      </w:r>
      <w:r>
        <w:t xml:space="preserve">section of its PCR-00N, from its own data.</w:t>
      </w:r>
    </w:p>
    <w:bookmarkEnd w:id="25"/>
    <w:bookmarkEnd w:id="26"/>
    <w:bookmarkStart w:id="27" w:name="sec-strategy"/>
    <w:p>
      <w:pPr>
        <w:pStyle w:val="Heading1"/>
      </w:pPr>
      <w:r>
        <w:t xml:space="preserve">2. Stage 1 characterization strategy</w:t>
      </w:r>
    </w:p>
    <w:p>
      <w:pPr>
        <w:pStyle w:val="FirstParagraph"/>
      </w:pPr>
      <w:r>
        <w:t xml:space="preserve">Process validation follows a lifecycle, and its first stage is process design</w:t>
      </w:r>
      <w:r>
        <w:t xml:space="preserve"> </w:t>
      </w:r>
      <w:r>
        <w:t xml:space="preserve">(U.S. Food and Drug Administration 2011)</w:t>
      </w:r>
      <w:r>
        <w:t xml:space="preserve">. In Stage 1 the commercial process is defined from the knowledge gained in development, and the studies that support it are documented. This campaign follows the enhanced approach of ICH Q8 and ICH Q11</w:t>
      </w:r>
      <w:r>
        <w:t xml:space="preserve"> </w:t>
      </w:r>
      <w:r>
        <w:t xml:space="preserve">(International Council for Harmonisation 2009, 2012)</w:t>
      </w:r>
      <w:r>
        <w:t xml:space="preserve">. Prior knowledge and risk assessment identify which parameters may affect which attributes. Characterization studies then measure those effects and bound them. The result is a set of normal operating ranges (NORs), PARs and parameter classes, from which the control strategy is built</w:t>
      </w:r>
      <w:r>
        <w:t xml:space="preserve"> </w:t>
      </w:r>
      <w:r>
        <w:t xml:space="preserve">(CMC Biotech Working Group 2009)</w:t>
      </w:r>
      <w:r>
        <w:t xml:space="preserve">.</w:t>
      </w:r>
    </w:p>
    <w:p>
      <w:pPr>
        <w:pStyle w:val="BodyText"/>
      </w:pPr>
      <w:r>
        <w:t xml:space="preserve">A-Mab is a humanized IgG1 antibody developed on the Novacyte platform. The downstream train of Protein A capture, low-pH viral inactivation, cation exchange, anion exchange, virus filtration and UF/DF was used for three earlier antibodies, X-Mab, Y-Mab and Z-Mab. Their history establishes the mechanism of each step and the range of performance to expect from it. Characterization of A-Mab therefore confirms and bounds known behaviour. The same history supplies the worst case of each downstream step, on which the intermediate acceptance criteria are built (</w:t>
      </w:r>
      <w:hyperlink w:anchor="sec-iac">
        <w:r>
          <w:rPr>
            <w:rStyle w:val="Hyperlink"/>
          </w:rPr>
          <w:t xml:space="preserve">Section 7.3</w:t>
        </w:r>
      </w:hyperlink>
      <w:r>
        <w:t xml:space="preserve">).</w:t>
      </w:r>
    </w:p>
    <w:p>
      <w:pPr>
        <w:pStyle w:val="BodyText"/>
      </w:pPr>
      <w:r>
        <w:t xml:space="preserve">Criticality is treated as a continuum, as described in ICH Q8(R2)</w:t>
      </w:r>
      <w:r>
        <w:t xml:space="preserve"> </w:t>
      </w:r>
      <w:r>
        <w:t xml:space="preserve">(International Council for Harmonisation 2009)</w:t>
      </w:r>
      <w:r>
        <w:t xml:space="preserve">. RA-001 ranks each parameter and assigns it to multivariate study, to univariate study or to no new study (</w:t>
      </w:r>
      <w:hyperlink w:anchor="sec-risk">
        <w:r>
          <w:rPr>
            <w:rStyle w:val="Hyperlink"/>
          </w:rPr>
          <w:t xml:space="preserve">Section 4</w:t>
        </w:r>
      </w:hyperlink>
      <w:r>
        <w:t xml:space="preserve">). Parameters assigned to multivariate study are characterized by designed experiments in a qualified scale-down model. Such designs are planned for 6 steps, from the production bioreactor to virus filtration. The harvest (Step 4) and UF/DF (Step 10) steps are characterized by univariate and qualitative studies only, because RA-001 assigned none of their parameters to multivariate study.</w:t>
      </w:r>
    </w:p>
    <w:p>
      <w:pPr>
        <w:pStyle w:val="BodyText"/>
      </w:pPr>
      <w:r>
        <w:t xml:space="preserve">Against the NOR in force (</w:t>
      </w:r>
      <w:hyperlink w:anchor="tbl-parameters-by-step">
        <w:r>
          <w:rPr>
            <w:rStyle w:val="Hyperlink"/>
          </w:rPr>
          <w:t xml:space="preserve">Table 5</w:t>
        </w:r>
      </w:hyperlink>
      <w:r>
        <w:t xml:space="preserve">), the characterized range is wider than the NOR at both ends for 32 of the 37 parameters. For 4 parameters (post-clarification turbidity, filtration volume (load), number of diavolumes and transmembrane pressure) the low end of the characterized range equals the low end of the NOR, and only the high end extends beyond it. For A-Mab concentration the NOR equals the characterized range. Where the range is wider, it shows how the process behaves near and beyond the edges of routine operation. It also gives the knowledge space within which a PAR can be claimed. A PAR is claimed only where the data support it, and never beyond the range studied.</w:t>
      </w:r>
    </w:p>
    <w:p>
      <w:pPr>
        <w:pStyle w:val="BodyText"/>
      </w:pPr>
      <w:r>
        <w:t xml:space="preserve">Viral safety rests on modular and orthogonal clearance across low-pH inactivation, anion exchange and virus filtration</w:t>
      </w:r>
      <w:r>
        <w:t xml:space="preserve"> </w:t>
      </w:r>
      <w:r>
        <w:t xml:space="preserve">(International Council for Harmonisation 2023)</w:t>
      </w:r>
      <w:r>
        <w:t xml:space="preserve">. Each of these steps is studied in its own spiking model, and each step plan claims only the log reduction of its own step. The cumulative claim is consolidated in PCMR-001.</w:t>
      </w:r>
    </w:p>
    <w:p>
      <w:pPr>
        <w:pStyle w:val="BodyText"/>
      </w:pPr>
      <w:r>
        <w:t xml:space="preserve">The outputs of Stage 1 feed process performance qualification at the receiving site. PTP-001 plans 5 PPQ batches. The ranges and classes that this campaign supports are the ones those batches will be run against.</w:t>
      </w:r>
    </w:p>
    <w:bookmarkEnd w:id="27"/>
    <w:bookmarkStart w:id="29" w:name="sec-cqa"/>
    <w:p>
      <w:pPr>
        <w:pStyle w:val="Heading1"/>
      </w:pPr>
      <w:r>
        <w:t xml:space="preserve">3. Critical quality attribute framework</w:t>
      </w:r>
    </w:p>
    <w:p>
      <w:pPr>
        <w:pStyle w:val="FirstParagraph"/>
      </w:pPr>
      <w:r>
        <w:t xml:space="preserve">The CQAs and their drug substance acceptance criteria are taken from the A-Mab case study</w:t>
      </w:r>
      <w:r>
        <w:t xml:space="preserve"> </w:t>
      </w:r>
      <w:r>
        <w:t xml:space="preserve">(CMC Biotech Working Group 2009)</w:t>
      </w:r>
      <w:r>
        <w:t xml:space="preserve">. Several of the criteria were set there from clinical experience with X-Mab, the closest platform antibody. They are held in the drug substance CQA register, and</w:t>
      </w:r>
      <w:r>
        <w:t xml:space="preserve"> </w:t>
      </w:r>
      <w:hyperlink w:anchor="tbl-cqa">
        <w:r>
          <w:rPr>
            <w:rStyle w:val="Hyperlink"/>
          </w:rPr>
          <w:t xml:space="preserve">Table 3</w:t>
        </w:r>
      </w:hyperlink>
      <w:r>
        <w:t xml:space="preserve"> </w:t>
      </w:r>
      <w:r>
        <w:t xml:space="preserve">lists all 11 attributes. Criticality was assigned with Tool #1 of the case study, as the product of impact and uncertainty. The levels run from very low (VL) to very high (VH), and the Tool #1 score stands beside each level. For every attribute except viral clearance, a higher score gives an equal or higher level. The two viral clearance attributes were assigned very high criticality by rule, because a viral contamination would directly harm the patient, whatever the uncertainty term of the score gives.</w:t>
      </w:r>
    </w:p>
    <w:tbl>
      <w:tblPr>
        <w:tblStyle w:val="Table"/>
        <w:tblW w:type="pct" w:w="5000"/>
        <w:tblLayout w:type="fixed"/>
        <w:tblLook w:firstRow="0" w:lastRow="0" w:firstColumn="0" w:lastColumn="0" w:noHBand="0" w:noVBand="0" w:val="0000"/>
      </w:tblPr>
      <w:tblGrid>
        <w:gridCol w:w="7920"/>
      </w:tblGrid>
      <w:tr>
        <w:tc>
          <w:tcPr/>
          <w:bookmarkStart w:id="28" w:name="tbl-cqa"/>
          <w:p>
            <w:pPr>
              <w:jc w:val="center"/>
            </w:pPr>
            <w:pPr>
              <w:jc w:val="start"/>
              <w:spacing w:before="200"/>
              <w:pStyle w:val="ImageCaption"/>
            </w:pPr>
            <w:r>
              <w:t xml:space="preserve">Table 3: Drug substance CQA register, with acceptance criteria, criticality and the step at which each attribute is formed or set.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Category</w:t>
                  </w:r>
                </w:p>
              </w:tc>
              <w:tc>
                <w:tcPr/>
                <w:p>
                  <w:pPr>
                    <w:pStyle w:val="Compact"/>
                    <w:jc w:val="center"/>
                  </w:pPr>
                  <w:r>
                    <w:t xml:space="preserve">CQA</w:t>
                  </w:r>
                </w:p>
              </w:tc>
              <w:tc>
                <w:tcPr/>
                <w:p>
                  <w:pPr>
                    <w:pStyle w:val="Compact"/>
                    <w:jc w:val="center"/>
                  </w:pPr>
                  <w:r>
                    <w:t xml:space="preserve">Acceptance</w:t>
                  </w:r>
                </w:p>
              </w:tc>
              <w:tc>
                <w:tcPr/>
                <w:p>
                  <w:pPr>
                    <w:pStyle w:val="Compact"/>
                    <w:jc w:val="center"/>
                  </w:pPr>
                  <w:r>
                    <w:t xml:space="preserve">Criticality</w:t>
                  </w:r>
                </w:p>
              </w:tc>
              <w:tc>
                <w:tcPr/>
                <w:p>
                  <w:pPr>
                    <w:pStyle w:val="Compact"/>
                    <w:jc w:val="center"/>
                  </w:pPr>
                  <w:r>
                    <w:t xml:space="preserve">Tool #1</w:t>
                  </w:r>
                  <w:r>
                    <w:br/>
                  </w:r>
                  <w:r>
                    <w:t xml:space="preserve">score</w:t>
                  </w:r>
                </w:p>
              </w:tc>
              <w:tc>
                <w:tcPr/>
                <w:p>
                  <w:pPr>
                    <w:pStyle w:val="Compact"/>
                    <w:jc w:val="center"/>
                  </w:pPr>
                  <w:r>
                    <w:t xml:space="preserve">Formed or</w:t>
                  </w:r>
                  <w:r>
                    <w:br/>
                  </w:r>
                  <w:r>
                    <w:t xml:space="preserve">set at</w:t>
                  </w:r>
                </w:p>
              </w:tc>
            </w:tr>
            <w:tr>
              <w:tc>
                <w:tcPr>
                  <w:vMerge w:val="restart"/>
                </w:tcPr>
                <w:p>
                  <w:pPr>
                    <w:pStyle w:val="Compact"/>
                    <w:jc w:val="center"/>
                  </w:pPr>
                  <w:r>
                    <w:t xml:space="preserve">glycosylation</w:t>
                  </w:r>
                </w:p>
              </w:tc>
              <w:tc>
                <w:tcPr/>
                <w:p>
                  <w:pPr>
                    <w:pStyle w:val="Compact"/>
                    <w:jc w:val="center"/>
                  </w:pPr>
                  <w:r>
                    <w:t xml:space="preserve">Afucosylation</w:t>
                  </w:r>
                </w:p>
              </w:tc>
              <w:tc>
                <w:tcPr/>
                <w:p>
                  <w:pPr>
                    <w:pStyle w:val="Compact"/>
                    <w:jc w:val="center"/>
                  </w:pPr>
                  <w:r>
                    <w:t xml:space="preserve">2–13 % of glycans</w:t>
                  </w:r>
                </w:p>
              </w:tc>
              <w:tc>
                <w:tcPr/>
                <w:p>
                  <w:pPr>
                    <w:pStyle w:val="Compact"/>
                    <w:jc w:val="center"/>
                  </w:pPr>
                  <w:r>
                    <w:t xml:space="preserve">H</w:t>
                  </w:r>
                </w:p>
              </w:tc>
              <w:tc>
                <w:tcPr/>
                <w:p>
                  <w:pPr>
                    <w:pStyle w:val="Compact"/>
                    <w:jc w:val="center"/>
                  </w:pPr>
                  <w:r>
                    <w:t xml:space="preserve">60</w:t>
                  </w:r>
                </w:p>
              </w:tc>
              <w:tc>
                <w:tcPr/>
                <w:p>
                  <w:pPr>
                    <w:pStyle w:val="Compact"/>
                    <w:jc w:val="center"/>
                  </w:pPr>
                  <w:r>
                    <w:t xml:space="preserve">Production Bioreactor</w:t>
                  </w:r>
                </w:p>
              </w:tc>
            </w:tr>
            <w:tr>
              <w:tc>
                <w:tcPr>
                  <w:gridSpan w:val="1"/>
                  <w:vMerge w:val="continue"/>
                </w:tcPr>
                <w:p>
                  <w:pPr/>
                </w:p>
              </w:tc>
              <w:tc>
                <w:tcPr/>
                <w:p>
                  <w:pPr>
                    <w:pStyle w:val="Compact"/>
                    <w:jc w:val="center"/>
                  </w:pPr>
                  <w:r>
                    <w:t xml:space="preserve">Galactosylation (total %Gal)</w:t>
                  </w:r>
                </w:p>
              </w:tc>
              <w:tc>
                <w:tcPr/>
                <w:p>
                  <w:pPr>
                    <w:pStyle w:val="Compact"/>
                    <w:jc w:val="center"/>
                  </w:pPr>
                  <w:r>
                    <w:t xml:space="preserve">10–40 % (G1+G2 equiv.)</w:t>
                  </w:r>
                </w:p>
              </w:tc>
              <w:tc>
                <w:tcPr/>
                <w:p>
                  <w:pPr>
                    <w:pStyle w:val="Compact"/>
                    <w:jc w:val="center"/>
                  </w:pPr>
                  <w:r>
                    <w:t xml:space="preserve">H</w:t>
                  </w:r>
                </w:p>
              </w:tc>
              <w:tc>
                <w:tcPr/>
                <w:p>
                  <w:pPr>
                    <w:pStyle w:val="Compact"/>
                    <w:jc w:val="center"/>
                  </w:pPr>
                  <w:r>
                    <w:t xml:space="preserve">48</w:t>
                  </w:r>
                </w:p>
              </w:tc>
              <w:tc>
                <w:tcPr/>
                <w:p>
                  <w:pPr>
                    <w:pStyle w:val="Compact"/>
                    <w:jc w:val="center"/>
                  </w:pPr>
                  <w:r>
                    <w:t xml:space="preserve">Production Bioreactor</w:t>
                  </w:r>
                </w:p>
              </w:tc>
            </w:tr>
            <w:tr>
              <w:tc>
                <w:tcPr>
                  <w:gridSpan w:val="1"/>
                  <w:vMerge w:val="continue"/>
                </w:tcPr>
                <w:p>
                  <w:pPr/>
                </w:p>
              </w:tc>
              <w:tc>
                <w:tcPr/>
                <w:p>
                  <w:pPr>
                    <w:pStyle w:val="Compact"/>
                    <w:jc w:val="center"/>
                  </w:pPr>
                  <w:r>
                    <w:t xml:space="preserve">High Mannose</w:t>
                  </w:r>
                </w:p>
              </w:tc>
              <w:tc>
                <w:tcPr/>
                <w:p>
                  <w:pPr>
                    <w:pStyle w:val="Compact"/>
                    <w:jc w:val="center"/>
                  </w:pPr>
                  <w:r>
                    <w:t xml:space="preserve">3–10 % of glycans</w:t>
                  </w:r>
                </w:p>
              </w:tc>
              <w:tc>
                <w:tcPr/>
                <w:p>
                  <w:pPr>
                    <w:pStyle w:val="Compact"/>
                    <w:jc w:val="center"/>
                  </w:pPr>
                  <w:r>
                    <w:t xml:space="preserve">VH</w:t>
                  </w:r>
                </w:p>
              </w:tc>
              <w:tc>
                <w:tcPr/>
                <w:p>
                  <w:pPr>
                    <w:pStyle w:val="Compact"/>
                    <w:jc w:val="center"/>
                  </w:pPr>
                  <w:r>
                    <w:t xml:space="preserve">80</w:t>
                  </w:r>
                </w:p>
              </w:tc>
              <w:tc>
                <w:tcPr/>
                <w:p>
                  <w:pPr>
                    <w:pStyle w:val="Compact"/>
                    <w:jc w:val="center"/>
                  </w:pPr>
                  <w:r>
                    <w:t xml:space="preserve">Production Bioreactor</w:t>
                  </w:r>
                </w:p>
              </w:tc>
            </w:tr>
            <w:tr>
              <w:tc>
                <w:tcPr>
                  <w:vMerge w:val="restart"/>
                </w:tcPr>
                <w:p>
                  <w:pPr>
                    <w:pStyle w:val="Compact"/>
                    <w:jc w:val="center"/>
                  </w:pPr>
                  <w:r>
                    <w:t xml:space="preserve">size variant</w:t>
                  </w:r>
                </w:p>
              </w:tc>
              <w:tc>
                <w:tcPr/>
                <w:p>
                  <w:pPr>
                    <w:pStyle w:val="Compact"/>
                    <w:jc w:val="center"/>
                  </w:pPr>
                  <w:r>
                    <w:t xml:space="preserve">Aggregates (HMW)</w:t>
                  </w:r>
                </w:p>
              </w:tc>
              <w:tc>
                <w:tcPr/>
                <w:p>
                  <w:pPr>
                    <w:pStyle w:val="Compact"/>
                    <w:jc w:val="center"/>
                  </w:pPr>
                  <w:r>
                    <w:t xml:space="preserve">≤ 5 % HMW (SEC)</w:t>
                  </w:r>
                </w:p>
              </w:tc>
              <w:tc>
                <w:tcPr/>
                <w:p>
                  <w:pPr>
                    <w:pStyle w:val="Compact"/>
                    <w:jc w:val="center"/>
                  </w:pPr>
                  <w:r>
                    <w:t xml:space="preserve">H</w:t>
                  </w:r>
                </w:p>
              </w:tc>
              <w:tc>
                <w:tcPr/>
                <w:p>
                  <w:pPr>
                    <w:pStyle w:val="Compact"/>
                    <w:jc w:val="center"/>
                  </w:pPr>
                  <w:r>
                    <w:t xml:space="preserve">60</w:t>
                  </w:r>
                </w:p>
              </w:tc>
              <w:tc>
                <w:tcPr/>
                <w:p>
                  <w:pPr>
                    <w:pStyle w:val="Compact"/>
                    <w:jc w:val="center"/>
                  </w:pPr>
                  <w:r>
                    <w:t xml:space="preserve">Production Bioreactor</w:t>
                  </w:r>
                </w:p>
              </w:tc>
            </w:tr>
            <w:tr>
              <w:tc>
                <w:tcPr>
                  <w:gridSpan w:val="1"/>
                  <w:vMerge w:val="continue"/>
                </w:tcPr>
                <w:p>
                  <w:pPr/>
                </w:p>
              </w:tc>
              <w:tc>
                <w:tcPr/>
                <w:p>
                  <w:pPr>
                    <w:pStyle w:val="Compact"/>
                    <w:jc w:val="center"/>
                  </w:pPr>
                  <w:r>
                    <w:t xml:space="preserve">Fragments (LMW, clipped species)</w:t>
                  </w:r>
                </w:p>
              </w:tc>
              <w:tc>
                <w:tcPr/>
                <w:p>
                  <w:pPr>
                    <w:pStyle w:val="Compact"/>
                    <w:jc w:val="center"/>
                  </w:pPr>
                  <w:r>
                    <w:t xml:space="preserve">≤ 2 % (nrCE-SDS)</w:t>
                  </w:r>
                </w:p>
              </w:tc>
              <w:tc>
                <w:tcPr/>
                <w:p>
                  <w:pPr>
                    <w:pStyle w:val="Compact"/>
                    <w:jc w:val="center"/>
                  </w:pPr>
                  <w:r>
                    <w:t xml:space="preserve">L</w:t>
                  </w:r>
                </w:p>
              </w:tc>
              <w:tc>
                <w:tcPr/>
                <w:p>
                  <w:pPr>
                    <w:pStyle w:val="Compact"/>
                    <w:jc w:val="center"/>
                  </w:pPr>
                  <w:r>
                    <w:t xml:space="preserve">12</w:t>
                  </w:r>
                </w:p>
              </w:tc>
              <w:tc>
                <w:tcPr/>
                <w:p>
                  <w:pPr>
                    <w:pStyle w:val="Compact"/>
                    <w:jc w:val="center"/>
                  </w:pPr>
                  <w:r>
                    <w:t xml:space="preserve">Harvest and Clarification</w:t>
                  </w:r>
                </w:p>
              </w:tc>
            </w:tr>
            <w:tr>
              <w:tc>
                <w:tcPr/>
                <w:p>
                  <w:pPr>
                    <w:pStyle w:val="Compact"/>
                    <w:jc w:val="center"/>
                  </w:pPr>
                  <w:r>
                    <w:t xml:space="preserve">charge variant</w:t>
                  </w:r>
                </w:p>
              </w:tc>
              <w:tc>
                <w:tcPr/>
                <w:p>
                  <w:pPr>
                    <w:pStyle w:val="Compact"/>
                    <w:jc w:val="center"/>
                  </w:pPr>
                  <w:r>
                    <w:t xml:space="preserve">Acidic charge variants (deamidation)</w:t>
                  </w:r>
                </w:p>
              </w:tc>
              <w:tc>
                <w:tcPr/>
                <w:p>
                  <w:pPr>
                    <w:pStyle w:val="Compact"/>
                    <w:jc w:val="center"/>
                  </w:pPr>
                  <w:r>
                    <w:t xml:space="preserve">18–40 % (CEX/icIEF)</w:t>
                  </w:r>
                </w:p>
              </w:tc>
              <w:tc>
                <w:tcPr/>
                <w:p>
                  <w:pPr>
                    <w:pStyle w:val="Compact"/>
                    <w:jc w:val="center"/>
                  </w:pPr>
                  <w:r>
                    <w:t xml:space="preserve">VL</w:t>
                  </w:r>
                </w:p>
              </w:tc>
              <w:tc>
                <w:tcPr/>
                <w:p>
                  <w:pPr>
                    <w:pStyle w:val="Compact"/>
                    <w:jc w:val="center"/>
                  </w:pPr>
                  <w:r>
                    <w:t xml:space="preserve">4</w:t>
                  </w:r>
                </w:p>
              </w:tc>
              <w:tc>
                <w:tcPr/>
                <w:p>
                  <w:pPr>
                    <w:pStyle w:val="Compact"/>
                    <w:jc w:val="center"/>
                  </w:pPr>
                  <w:r>
                    <w:t xml:space="preserve">Production Bioreactor</w:t>
                  </w:r>
                </w:p>
              </w:tc>
            </w:tr>
            <w:tr>
              <w:tc>
                <w:tcPr>
                  <w:vMerge w:val="restart"/>
                </w:tcPr>
                <w:p>
                  <w:pPr>
                    <w:pStyle w:val="Compact"/>
                    <w:jc w:val="center"/>
                  </w:pPr>
                  <w:r>
                    <w:t xml:space="preserve">process impurity</w:t>
                  </w:r>
                </w:p>
              </w:tc>
              <w:tc>
                <w:tcPr/>
                <w:p>
                  <w:pPr>
                    <w:pStyle w:val="Compact"/>
                    <w:jc w:val="center"/>
                  </w:pPr>
                  <w:r>
                    <w:t xml:space="preserve">Host Cell Protein (HCP)</w:t>
                  </w:r>
                </w:p>
              </w:tc>
              <w:tc>
                <w:tcPr/>
                <w:p>
                  <w:pPr>
                    <w:pStyle w:val="Compact"/>
                    <w:jc w:val="center"/>
                  </w:pPr>
                  <w:r>
                    <w:t xml:space="preserve">≤ 100 ng/mg</w:t>
                  </w:r>
                </w:p>
              </w:tc>
              <w:tc>
                <w:tcPr/>
                <w:p>
                  <w:pPr>
                    <w:pStyle w:val="Compact"/>
                    <w:jc w:val="center"/>
                  </w:pPr>
                  <w:r>
                    <w:t xml:space="preserve">M-H</w:t>
                  </w:r>
                </w:p>
              </w:tc>
              <w:tc>
                <w:tcPr/>
                <w:p>
                  <w:pPr>
                    <w:pStyle w:val="Compact"/>
                    <w:jc w:val="center"/>
                  </w:pPr>
                  <w:r>
                    <w:t xml:space="preserve">36</w:t>
                  </w:r>
                </w:p>
              </w:tc>
              <w:tc>
                <w:tcPr/>
                <w:p>
                  <w:pPr>
                    <w:pStyle w:val="Compact"/>
                    <w:jc w:val="center"/>
                  </w:pPr>
                  <w:r>
                    <w:t xml:space="preserve">Production Bioreactor</w:t>
                  </w:r>
                </w:p>
              </w:tc>
            </w:tr>
            <w:tr>
              <w:tc>
                <w:tcPr>
                  <w:gridSpan w:val="1"/>
                  <w:vMerge w:val="continue"/>
                </w:tcPr>
                <w:p>
                  <w:pPr/>
                </w:p>
              </w:tc>
              <w:tc>
                <w:tcPr/>
                <w:p>
                  <w:pPr>
                    <w:pStyle w:val="Compact"/>
                    <w:jc w:val="center"/>
                  </w:pPr>
                  <w:r>
                    <w:t xml:space="preserve">Residual DNA</w:t>
                  </w:r>
                </w:p>
              </w:tc>
              <w:tc>
                <w:tcPr/>
                <w:p>
                  <w:pPr>
                    <w:pStyle w:val="Compact"/>
                    <w:jc w:val="center"/>
                  </w:pPr>
                  <w:r>
                    <w:t xml:space="preserve">≤ 0.001 ng/dose</w:t>
                  </w:r>
                </w:p>
              </w:tc>
              <w:tc>
                <w:tcPr/>
                <w:p>
                  <w:pPr>
                    <w:pStyle w:val="Compact"/>
                    <w:jc w:val="center"/>
                  </w:pPr>
                  <w:r>
                    <w:t xml:space="preserve">VL</w:t>
                  </w:r>
                </w:p>
              </w:tc>
              <w:tc>
                <w:tcPr/>
                <w:p>
                  <w:pPr>
                    <w:pStyle w:val="Compact"/>
                    <w:jc w:val="center"/>
                  </w:pPr>
                  <w:r>
                    <w:t xml:space="preserve">6</w:t>
                  </w:r>
                </w:p>
              </w:tc>
              <w:tc>
                <w:tcPr/>
                <w:p>
                  <w:pPr>
                    <w:pStyle w:val="Compact"/>
                    <w:jc w:val="center"/>
                  </w:pPr>
                  <w:r>
                    <w:t xml:space="preserve">Production Bioreactor</w:t>
                  </w:r>
                </w:p>
              </w:tc>
            </w:tr>
            <w:tr>
              <w:tc>
                <w:tcPr>
                  <w:gridSpan w:val="1"/>
                  <w:vMerge w:val="continue"/>
                </w:tcPr>
                <w:p>
                  <w:pPr/>
                </w:p>
              </w:tc>
              <w:tc>
                <w:tcPr/>
                <w:p>
                  <w:pPr>
                    <w:pStyle w:val="Compact"/>
                    <w:jc w:val="center"/>
                  </w:pPr>
                  <w:r>
                    <w:t xml:space="preserve">Leached Protein A</w:t>
                  </w:r>
                </w:p>
              </w:tc>
              <w:tc>
                <w:tcPr/>
                <w:p>
                  <w:pPr>
                    <w:pStyle w:val="Compact"/>
                    <w:jc w:val="center"/>
                  </w:pPr>
                  <w:r>
                    <w:t xml:space="preserve">≤ 5 ppm</w:t>
                  </w:r>
                </w:p>
              </w:tc>
              <w:tc>
                <w:tcPr/>
                <w:p>
                  <w:pPr>
                    <w:pStyle w:val="Compact"/>
                    <w:jc w:val="center"/>
                  </w:pPr>
                  <w:r>
                    <w:t xml:space="preserve">L-M</w:t>
                  </w:r>
                </w:p>
              </w:tc>
              <w:tc>
                <w:tcPr/>
                <w:p>
                  <w:pPr>
                    <w:pStyle w:val="Compact"/>
                    <w:jc w:val="center"/>
                  </w:pPr>
                  <w:r>
                    <w:t xml:space="preserve">16</w:t>
                  </w:r>
                </w:p>
              </w:tc>
              <w:tc>
                <w:tcPr/>
                <w:p>
                  <w:pPr>
                    <w:pStyle w:val="Compact"/>
                    <w:jc w:val="center"/>
                  </w:pPr>
                  <w:r>
                    <w:t xml:space="preserve">Protein A Chromatography</w:t>
                  </w:r>
                </w:p>
              </w:tc>
            </w:tr>
            <w:tr>
              <w:tc>
                <w:tcPr>
                  <w:vMerge w:val="restart"/>
                </w:tcPr>
                <w:p>
                  <w:pPr>
                    <w:pStyle w:val="Compact"/>
                    <w:jc w:val="center"/>
                  </w:pPr>
                  <w:r>
                    <w:t xml:space="preserve">viral safety</w:t>
                  </w:r>
                </w:p>
              </w:tc>
              <w:tc>
                <w:tcPr/>
                <w:p>
                  <w:pPr>
                    <w:pStyle w:val="Compact"/>
                    <w:jc w:val="center"/>
                  </w:pPr>
                  <w:r>
                    <w:t xml:space="preserve">Viral clearance — XMuLV (enveloped)</w:t>
                  </w:r>
                </w:p>
              </w:tc>
              <w:tc>
                <w:tcPr/>
                <w:p>
                  <w:pPr>
                    <w:pStyle w:val="Compact"/>
                    <w:jc w:val="center"/>
                  </w:pPr>
                  <w:r>
                    <w:t xml:space="preserve">≥ 16.7 log10 (cumulative)</w:t>
                  </w:r>
                </w:p>
              </w:tc>
              <w:tc>
                <w:tcPr/>
                <w:p>
                  <w:pPr>
                    <w:pStyle w:val="Compact"/>
                    <w:jc w:val="center"/>
                  </w:pPr>
                  <w:r>
                    <w:t xml:space="preserve">VH</w:t>
                  </w:r>
                </w:p>
              </w:tc>
              <w:tc>
                <w:tcPr/>
                <w:p>
                  <w:pPr>
                    <w:pStyle w:val="Compact"/>
                    <w:jc w:val="center"/>
                  </w:pPr>
                  <w:r>
                    <w:t xml:space="preserve">20</w:t>
                  </w:r>
                </w:p>
              </w:tc>
              <w:tc>
                <w:tcPr/>
                <w:p>
                  <w:pPr>
                    <w:pStyle w:val="Compact"/>
                    <w:jc w:val="center"/>
                  </w:pPr>
                  <w:r>
                    <w:t xml:space="preserve">Low-pH Viral Inactivation</w:t>
                  </w:r>
                </w:p>
              </w:tc>
            </w:tr>
            <w:tr>
              <w:tc>
                <w:tcPr>
                  <w:gridSpan w:val="1"/>
                  <w:vMerge w:val="continue"/>
                </w:tcPr>
                <w:p>
                  <w:pPr/>
                </w:p>
              </w:tc>
              <w:tc>
                <w:tcPr/>
                <w:p>
                  <w:pPr>
                    <w:pStyle w:val="Compact"/>
                    <w:jc w:val="center"/>
                  </w:pPr>
                  <w:r>
                    <w:t xml:space="preserve">Viral clearance — MVM (parvovirus)</w:t>
                  </w:r>
                </w:p>
              </w:tc>
              <w:tc>
                <w:tcPr/>
                <w:p>
                  <w:pPr>
                    <w:pStyle w:val="Compact"/>
                    <w:jc w:val="center"/>
                  </w:pPr>
                  <w:r>
                    <w:t xml:space="preserve">≥ 8.6 log10 (cumulative)</w:t>
                  </w:r>
                </w:p>
              </w:tc>
              <w:tc>
                <w:tcPr/>
                <w:p>
                  <w:pPr>
                    <w:pStyle w:val="Compact"/>
                    <w:jc w:val="center"/>
                  </w:pPr>
                  <w:r>
                    <w:t xml:space="preserve">VH</w:t>
                  </w:r>
                </w:p>
              </w:tc>
              <w:tc>
                <w:tcPr/>
                <w:p>
                  <w:pPr>
                    <w:pStyle w:val="Compact"/>
                    <w:jc w:val="center"/>
                  </w:pPr>
                  <w:r>
                    <w:t xml:space="preserve">20</w:t>
                  </w:r>
                </w:p>
              </w:tc>
              <w:tc>
                <w:tcPr/>
                <w:p>
                  <w:pPr>
                    <w:pStyle w:val="Compact"/>
                    <w:jc w:val="center"/>
                  </w:pPr>
                  <w:r>
                    <w:t xml:space="preserve">Anion Exchange Chromatography</w:t>
                  </w:r>
                </w:p>
              </w:tc>
            </w:tr>
          </w:tbl>
          <w:bookmarkEnd w:id="28"/>
          <w:p/>
        </w:tc>
      </w:tr>
    </w:tbl>
    <w:p>
      <w:pPr>
        <w:pStyle w:val="BodyText"/>
      </w:pPr>
      <w:r>
        <w:t xml:space="preserve">The last column of</w:t>
      </w:r>
      <w:r>
        <w:t xml:space="preserve"> </w:t>
      </w:r>
      <w:hyperlink w:anchor="tbl-cqa">
        <w:r>
          <w:rPr>
            <w:rStyle w:val="Hyperlink"/>
          </w:rPr>
          <w:t xml:space="preserve">Table 3</w:t>
        </w:r>
      </w:hyperlink>
      <w:r>
        <w:t xml:space="preserve"> </w:t>
      </w:r>
      <w:r>
        <w:t xml:space="preserve">names the step at which each attribute is formed or set. Most attributes are formed in the production bioreactor. Afucosylation, galactosylation and high mannose are formed there, and no downstream step changes them. Protein A binds the Fc region at the interface of the CH2 and CH3 domains, so it captures every glycan variant alike. The two ion exchange steps do not separate glycan variants under platform conditions</w:t>
      </w:r>
      <w:r>
        <w:t xml:space="preserve"> </w:t>
      </w:r>
      <w:r>
        <w:t xml:space="preserve">(CMC Biotech Working Group 2009)</w:t>
      </w:r>
      <w:r>
        <w:t xml:space="preserve">. Leached Protein A enters the process at capture. Fragments are formed in culture and during the harvest hold, by proteases released from lysed cells that clip the antibody. The register therefore assigns them to harvest. No criterion for fragments is set at harvest, and they are judged at the downstream steps (</w:t>
      </w:r>
      <w:hyperlink w:anchor="tbl-iac">
        <w:r>
          <w:rPr>
            <w:rStyle w:val="Hyperlink"/>
          </w:rPr>
          <w:t xml:space="preserve">Table 9</w:t>
        </w:r>
      </w:hyperlink>
      <w:r>
        <w:t xml:space="preserve">). They are not an attribute of the production bioreactor designs (</w:t>
      </w:r>
      <w:hyperlink w:anchor="tbl-methods-by-study">
        <w:r>
          <w:rPr>
            <w:rStyle w:val="Hyperlink"/>
          </w:rPr>
          <w:t xml:space="preserve">Table 11</w:t>
        </w:r>
      </w:hyperlink>
      <w:r>
        <w:t xml:space="preserve">).</w:t>
      </w:r>
    </w:p>
    <w:p>
      <w:pPr>
        <w:pStyle w:val="BodyText"/>
      </w:pPr>
      <w:r>
        <w:t xml:space="preserve">The two viral clearance attributes are cumulative. The register assigns each to one step, but each requirement is met by the sum of the claims of several steps (</w:t>
      </w:r>
      <w:hyperlink w:anchor="sec-viral">
        <w:r>
          <w:rPr>
            <w:rStyle w:val="Hyperlink"/>
          </w:rPr>
          <w:t xml:space="preserve">Section 7.4</w:t>
        </w:r>
      </w:hyperlink>
      <w:r>
        <w:t xml:space="preserve">).</w:t>
      </w:r>
    </w:p>
    <w:p>
      <w:pPr>
        <w:pStyle w:val="BodyText"/>
      </w:pPr>
      <w:r>
        <w:t xml:space="preserve">The attributes of very low criticality (acidic charge variants (deamidation) and residual DNA) remain in the register, and their criteria apply.</w:t>
      </w:r>
    </w:p>
    <w:p>
      <w:pPr>
        <w:pStyle w:val="BodyText"/>
      </w:pPr>
      <w:r>
        <w:t xml:space="preserve">The output of a step that removes an impurity, or that adds to a variant, is judged against an intermediate acceptance criterion derived from the drug substance criterion (</w:t>
      </w:r>
      <w:hyperlink w:anchor="sec-iac">
        <w:r>
          <w:rPr>
            <w:rStyle w:val="Hyperlink"/>
          </w:rPr>
          <w:t xml:space="preserve">Section 7.3</w:t>
        </w:r>
      </w:hyperlink>
      <w:r>
        <w:t xml:space="preserve">).</w:t>
      </w:r>
    </w:p>
    <w:bookmarkEnd w:id="29"/>
    <w:bookmarkStart w:id="32" w:name="sec-risk"/>
    <w:p>
      <w:pPr>
        <w:pStyle w:val="Heading1"/>
      </w:pPr>
      <w:r>
        <w:t xml:space="preserve">4. Risk-based prioritization</w:t>
      </w:r>
    </w:p>
    <w:p>
      <w:pPr>
        <w:pStyle w:val="FirstParagraph"/>
      </w:pPr>
      <w:r>
        <w:t xml:space="preserve">RA-001 assessed every process parameter of the train before characterization began. Each parameter was ranked on its potential impact on the CQAs and on process performance, and on its potential to interact with other parameters. Parameters ranked high, or with a likely interaction, were assigned to multivariate study. Parameters ranked lower, whose range could be supported one factor at a time, were assigned to univariate study. RA-001 gives the scores and the rationale for each assignment, and they are not repeated here.</w:t>
      </w:r>
    </w:p>
    <w:p>
      <w:pPr>
        <w:pStyle w:val="BodyText"/>
      </w:pPr>
      <w:hyperlink w:anchor="tbl-scope">
        <w:r>
          <w:rPr>
            <w:rStyle w:val="Hyperlink"/>
          </w:rPr>
          <w:t xml:space="preserve">Table 4</w:t>
        </w:r>
      </w:hyperlink>
      <w:r>
        <w:t xml:space="preserve"> </w:t>
      </w:r>
      <w:r>
        <w:t xml:space="preserve">shows the result across the train. Of the 37 parameters, 22 are studied in multivariate designs and 15 one factor at a time. All 6 parameters of harvest (Step 4) and UF/DF (Step 10) are studied univariately.</w:t>
      </w:r>
    </w:p>
    <w:tbl>
      <w:tblPr>
        <w:tblStyle w:val="Table"/>
        <w:tblW w:type="pct" w:w="5000"/>
        <w:tblLayout w:type="fixed"/>
        <w:tblLook w:firstRow="0" w:lastRow="0" w:firstColumn="0" w:lastColumn="0" w:noHBand="0" w:noVBand="0" w:val="0000"/>
      </w:tblPr>
      <w:tblGrid>
        <w:gridCol w:w="7920"/>
      </w:tblGrid>
      <w:tr>
        <w:tc>
          <w:tcPr/>
          <w:bookmarkStart w:id="30" w:name="tbl-scope"/>
          <w:p>
            <w:pPr>
              <w:jc w:val="center"/>
            </w:pPr>
            <w:pPr>
              <w:jc w:val="start"/>
              <w:spacing w:before="200"/>
              <w:pStyle w:val="ImageCaption"/>
            </w:pPr>
            <w:r>
              <w:t xml:space="preserve">Table 4: Characterization scope per step, from RA-001.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Step</w:t>
                  </w:r>
                </w:p>
              </w:tc>
              <w:tc>
                <w:tcPr/>
                <w:p>
                  <w:pPr>
                    <w:pStyle w:val="Compact"/>
                    <w:jc w:val="center"/>
                  </w:pPr>
                  <w:r>
                    <w:t xml:space="preserve">Unit</w:t>
                  </w:r>
                  <w:r>
                    <w:br/>
                  </w:r>
                  <w:r>
                    <w:t xml:space="preserve">operation</w:t>
                  </w:r>
                </w:p>
              </w:tc>
              <w:tc>
                <w:tcPr/>
                <w:p>
                  <w:pPr>
                    <w:pStyle w:val="Compact"/>
                    <w:jc w:val="center"/>
                  </w:pPr>
                  <w:r>
                    <w:t xml:space="preserve">Parameters</w:t>
                  </w:r>
                  <w:r>
                    <w:br/>
                  </w:r>
                  <w:r>
                    <w:t xml:space="preserve">in scope</w:t>
                  </w:r>
                </w:p>
              </w:tc>
              <w:tc>
                <w:tcPr/>
                <w:p>
                  <w:pPr>
                    <w:pStyle w:val="Compact"/>
                    <w:jc w:val="center"/>
                  </w:pPr>
                  <w:r>
                    <w:t xml:space="preserve">In multivariate</w:t>
                  </w:r>
                  <w:r>
                    <w:br/>
                  </w:r>
                  <w:r>
                    <w:t xml:space="preserve">designs</w:t>
                  </w:r>
                </w:p>
              </w:tc>
              <w:tc>
                <w:tcPr/>
                <w:p>
                  <w:pPr>
                    <w:pStyle w:val="Compact"/>
                    <w:jc w:val="center"/>
                  </w:pPr>
                  <w:r>
                    <w:t xml:space="preserve">One factor</w:t>
                  </w:r>
                  <w:r>
                    <w:br/>
                  </w:r>
                  <w:r>
                    <w:t xml:space="preserve">at a time</w:t>
                  </w:r>
                </w:p>
              </w:tc>
              <w:tc>
                <w:tcPr/>
                <w:p>
                  <w:pPr>
                    <w:pStyle w:val="Compact"/>
                    <w:jc w:val="center"/>
                  </w:pPr>
                  <w:r>
                    <w:t xml:space="preserve">Documents</w:t>
                  </w:r>
                </w:p>
              </w:tc>
            </w:tr>
            <w:tr>
              <w:tc>
                <w:tcPr/>
                <w:p>
                  <w:pPr>
                    <w:pStyle w:val="Compact"/>
                    <w:jc w:val="center"/>
                  </w:pPr>
                  <w:r>
                    <w:t xml:space="preserve">3</w:t>
                  </w:r>
                </w:p>
              </w:tc>
              <w:tc>
                <w:tcPr/>
                <w:p>
                  <w:pPr>
                    <w:pStyle w:val="Compact"/>
                    <w:jc w:val="center"/>
                  </w:pPr>
                  <w:r>
                    <w:t xml:space="preserve">Production Bioreactor</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PCP-003 / PCR-003</w:t>
                  </w:r>
                </w:p>
              </w:tc>
            </w:tr>
            <w:tr>
              <w:tc>
                <w:tcPr/>
                <w:p>
                  <w:pPr>
                    <w:pStyle w:val="Compact"/>
                    <w:jc w:val="center"/>
                  </w:pPr>
                  <w:r>
                    <w:t xml:space="preserve">4</w:t>
                  </w:r>
                </w:p>
              </w:tc>
              <w:tc>
                <w:tcPr/>
                <w:p>
                  <w:pPr>
                    <w:pStyle w:val="Compact"/>
                    <w:jc w:val="center"/>
                  </w:pPr>
                  <w:r>
                    <w:t xml:space="preserve">Harvest / Clarification</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PCP-004 / PCR-004</w:t>
                  </w:r>
                </w:p>
              </w:tc>
            </w:tr>
            <w:tr>
              <w:tc>
                <w:tcPr/>
                <w:p>
                  <w:pPr>
                    <w:pStyle w:val="Compact"/>
                    <w:jc w:val="center"/>
                  </w:pPr>
                  <w:r>
                    <w:t xml:space="preserve">5</w:t>
                  </w:r>
                </w:p>
              </w:tc>
              <w:tc>
                <w:tcPr/>
                <w:p>
                  <w:pPr>
                    <w:pStyle w:val="Compact"/>
                    <w:jc w:val="center"/>
                  </w:pPr>
                  <w:r>
                    <w:t xml:space="preserve">Protein A Chromatography</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PCP-005 / PCR-005</w:t>
                  </w:r>
                </w:p>
              </w:tc>
            </w:tr>
            <w:tr>
              <w:tc>
                <w:tcPr/>
                <w:p>
                  <w:pPr>
                    <w:pStyle w:val="Compact"/>
                    <w:jc w:val="center"/>
                  </w:pPr>
                  <w:r>
                    <w:t xml:space="preserve">6</w:t>
                  </w:r>
                </w:p>
              </w:tc>
              <w:tc>
                <w:tcPr/>
                <w:p>
                  <w:pPr>
                    <w:pStyle w:val="Compact"/>
                    <w:jc w:val="center"/>
                  </w:pPr>
                  <w:r>
                    <w:t xml:space="preserve">Low-pH Viral Inactivation</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PCP-006 / PCR-006</w:t>
                  </w:r>
                </w:p>
              </w:tc>
            </w:tr>
            <w:tr>
              <w:tc>
                <w:tcPr/>
                <w:p>
                  <w:pPr>
                    <w:pStyle w:val="Compact"/>
                    <w:jc w:val="center"/>
                  </w:pPr>
                  <w:r>
                    <w:t xml:space="preserve">7</w:t>
                  </w:r>
                </w:p>
              </w:tc>
              <w:tc>
                <w:tcPr/>
                <w:p>
                  <w:pPr>
                    <w:pStyle w:val="Compact"/>
                    <w:jc w:val="center"/>
                  </w:pPr>
                  <w:r>
                    <w:t xml:space="preserve">Cation Exchange Chromatography</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PCP-007 / PCR-007</w:t>
                  </w:r>
                </w:p>
              </w:tc>
            </w:tr>
            <w:tr>
              <w:tc>
                <w:tcPr/>
                <w:p>
                  <w:pPr>
                    <w:pStyle w:val="Compact"/>
                    <w:jc w:val="center"/>
                  </w:pPr>
                  <w:r>
                    <w:t xml:space="preserve">8</w:t>
                  </w:r>
                </w:p>
              </w:tc>
              <w:tc>
                <w:tcPr/>
                <w:p>
                  <w:pPr>
                    <w:pStyle w:val="Compact"/>
                    <w:jc w:val="center"/>
                  </w:pPr>
                  <w:r>
                    <w:t xml:space="preserve">Anion Exchange Chromatography</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PCP-008 / PCR-008</w:t>
                  </w:r>
                </w:p>
              </w:tc>
            </w:tr>
            <w:tr>
              <w:tc>
                <w:tcPr/>
                <w:p>
                  <w:pPr>
                    <w:pStyle w:val="Compact"/>
                    <w:jc w:val="center"/>
                  </w:pPr>
                  <w:r>
                    <w:t xml:space="preserve">9</w:t>
                  </w:r>
                </w:p>
              </w:tc>
              <w:tc>
                <w:tcPr/>
                <w:p>
                  <w:pPr>
                    <w:pStyle w:val="Compact"/>
                    <w:jc w:val="center"/>
                  </w:pPr>
                  <w:r>
                    <w:t xml:space="preserve">Small Virus Retentive Filtration</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PCP-009 / PCR-009</w:t>
                  </w:r>
                </w:p>
              </w:tc>
            </w:tr>
            <w:tr>
              <w:tc>
                <w:tcPr/>
                <w:p>
                  <w:pPr>
                    <w:pStyle w:val="Compact"/>
                    <w:jc w:val="center"/>
                  </w:pPr>
                  <w:r>
                    <w:t xml:space="preserve">10</w:t>
                  </w:r>
                </w:p>
              </w:tc>
              <w:tc>
                <w:tcPr/>
                <w:p>
                  <w:pPr>
                    <w:pStyle w:val="Compact"/>
                    <w:jc w:val="center"/>
                  </w:pPr>
                  <w:r>
                    <w:t xml:space="preserve">Ultrafiltration / Diafiltration (formulation)</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PCP-010 / PCR-010</w:t>
                  </w:r>
                </w:p>
              </w:tc>
            </w:tr>
          </w:tbl>
          <w:bookmarkEnd w:id="30"/>
          <w:p/>
        </w:tc>
      </w:tr>
    </w:tbl>
    <w:p>
      <w:pPr>
        <w:pStyle w:val="BodyText"/>
      </w:pPr>
      <w:hyperlink w:anchor="tbl-parameters-by-step">
        <w:r>
          <w:rPr>
            <w:rStyle w:val="Hyperlink"/>
          </w:rPr>
          <w:t xml:space="preserve">Table 5</w:t>
        </w:r>
      </w:hyperlink>
      <w:r>
        <w:t xml:space="preserve"> </w:t>
      </w:r>
      <w:r>
        <w:t xml:space="preserve">lists every parameter with its set-point, NOR and characterized range. The NOR shown is the NOR in force. At Version 2.0 PCR-005 narrowed the NOR of protein load at Protein A and PCR-006 narrowed the NOR of hold time and temperature at low-pH viral inactivation, and the table footnotes the narrowed rows. The class column gives the classification assigned in each PCR-00N under the parameter classification procedure SOP-4001, by the rules in</w:t>
      </w:r>
      <w:r>
        <w:t xml:space="preserve"> </w:t>
      </w:r>
      <w:hyperlink w:anchor="sec-classification">
        <w:r>
          <w:rPr>
            <w:rStyle w:val="Hyperlink"/>
          </w:rPr>
          <w:t xml:space="preserve">Section 7.7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tbl-parameters-by-step"/>
          <w:p>
            <w:pPr>
              <w:jc w:val="center"/>
            </w:pPr>
            <w:pPr>
              <w:jc w:val="start"/>
              <w:spacing w:before="200"/>
              <w:pStyle w:val="ImageCaption"/>
            </w:pPr>
            <w:r>
              <w:t xml:space="preserve">Table 5: Process parameters by step: set-point, ranges and classification.</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Step</w:t>
                  </w:r>
                </w:p>
              </w:tc>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Set-point</w:t>
                  </w:r>
                </w:p>
              </w:tc>
              <w:tc>
                <w:tcPr/>
                <w:p>
                  <w:pPr>
                    <w:pStyle w:val="Compact"/>
                    <w:jc w:val="center"/>
                  </w:pPr>
                  <w:r>
                    <w:t xml:space="preserve">NOR</w:t>
                  </w:r>
                </w:p>
              </w:tc>
              <w:tc>
                <w:tcPr/>
                <w:p>
                  <w:pPr>
                    <w:pStyle w:val="Compact"/>
                    <w:jc w:val="center"/>
                  </w:pPr>
                  <w:r>
                    <w:t xml:space="preserve">Characterized</w:t>
                  </w:r>
                  <w:r>
                    <w:br/>
                  </w:r>
                  <w:r>
                    <w:t xml:space="preserve">range</w:t>
                  </w:r>
                </w:p>
              </w:tc>
              <w:tc>
                <w:tcPr/>
                <w:p>
                  <w:pPr>
                    <w:pStyle w:val="Compact"/>
                    <w:jc w:val="center"/>
                  </w:pPr>
                  <w:r>
                    <w:t xml:space="preserve">Study</w:t>
                  </w:r>
                </w:p>
              </w:tc>
              <w:tc>
                <w:tcPr/>
                <w:p>
                  <w:pPr>
                    <w:pStyle w:val="Compact"/>
                    <w:jc w:val="center"/>
                  </w:pPr>
                  <w:r>
                    <w:t xml:space="preserve">Class</w:t>
                  </w:r>
                </w:p>
              </w:tc>
            </w:tr>
            <w:tr>
              <w:tc>
                <w:tcPr>
                  <w:vMerge w:val="restart"/>
                </w:tcPr>
                <w:p>
                  <w:pPr>
                    <w:pStyle w:val="Compact"/>
                    <w:jc w:val="center"/>
                  </w:pPr>
                  <w:r>
                    <w:t xml:space="preserve">Production bioreactor</w:t>
                  </w:r>
                </w:p>
              </w:tc>
              <w:tc>
                <w:tcPr/>
                <w:p>
                  <w:pPr>
                    <w:pStyle w:val="Compact"/>
                    <w:jc w:val="center"/>
                  </w:pPr>
                  <w:r>
                    <w:t xml:space="preserve">Culture pH</w:t>
                  </w:r>
                </w:p>
              </w:tc>
              <w:tc>
                <w:tcPr/>
                <w:p>
                  <w:pPr>
                    <w:pStyle w:val="Compact"/>
                    <w:jc w:val="center"/>
                  </w:pPr>
                  <w:r>
                    <w:t xml:space="preserve">pH</w:t>
                  </w:r>
                </w:p>
              </w:tc>
              <w:tc>
                <w:tcPr/>
                <w:p>
                  <w:pPr>
                    <w:pStyle w:val="Compact"/>
                    <w:jc w:val="center"/>
                  </w:pPr>
                  <w:r>
                    <w:t xml:space="preserve">6.85</w:t>
                  </w:r>
                </w:p>
              </w:tc>
              <w:tc>
                <w:tcPr/>
                <w:p>
                  <w:pPr>
                    <w:pStyle w:val="Compact"/>
                    <w:jc w:val="center"/>
                  </w:pPr>
                  <w:r>
                    <w:t xml:space="preserve">6.75–6.95</w:t>
                  </w:r>
                </w:p>
              </w:tc>
              <w:tc>
                <w:tcPr/>
                <w:p>
                  <w:pPr>
                    <w:pStyle w:val="Compact"/>
                    <w:jc w:val="center"/>
                  </w:pPr>
                  <w:r>
                    <w:t xml:space="preserve">6.6–7.1</w:t>
                  </w:r>
                </w:p>
              </w:tc>
              <w:tc>
                <w:tcPr/>
                <w:p>
                  <w:pPr>
                    <w:pStyle w:val="Compact"/>
                    <w:jc w:val="center"/>
                  </w:pPr>
                  <w:r>
                    <w:t xml:space="preserve">multivariate</w:t>
                  </w:r>
                </w:p>
              </w:tc>
              <w:tc>
                <w:tcPr/>
                <w:p>
                  <w:pPr>
                    <w:pStyle w:val="Compact"/>
                    <w:jc w:val="center"/>
                  </w:pPr>
                  <w:r>
                    <w:t xml:space="preserve">WC-CPP</w:t>
                  </w:r>
                </w:p>
              </w:tc>
            </w:tr>
            <w:tr>
              <w:tc>
                <w:tcPr>
                  <w:gridSpan w:val="1"/>
                  <w:vMerge w:val="continue"/>
                </w:tcPr>
                <w:p>
                  <w:pPr/>
                </w:p>
              </w:tc>
              <w:tc>
                <w:tcPr/>
                <w:p>
                  <w:pPr>
                    <w:pStyle w:val="Compact"/>
                    <w:jc w:val="center"/>
                  </w:pPr>
                  <w:r>
                    <w:t xml:space="preserve">Culture temperature</w:t>
                  </w:r>
                </w:p>
              </w:tc>
              <w:tc>
                <w:tcPr/>
                <w:p>
                  <w:pPr>
                    <w:pStyle w:val="Compact"/>
                    <w:jc w:val="center"/>
                  </w:pPr>
                  <w:r>
                    <w:t xml:space="preserve">°C</w:t>
                  </w:r>
                </w:p>
              </w:tc>
              <w:tc>
                <w:tcPr/>
                <w:p>
                  <w:pPr>
                    <w:pStyle w:val="Compact"/>
                    <w:jc w:val="center"/>
                  </w:pPr>
                  <w:r>
                    <w:t xml:space="preserve">35</w:t>
                  </w:r>
                </w:p>
              </w:tc>
              <w:tc>
                <w:tcPr/>
                <w:p>
                  <w:pPr>
                    <w:pStyle w:val="Compact"/>
                    <w:jc w:val="center"/>
                  </w:pPr>
                  <w:r>
                    <w:t xml:space="preserve">34.5–35.5</w:t>
                  </w:r>
                </w:p>
              </w:tc>
              <w:tc>
                <w:tcPr/>
                <w:p>
                  <w:pPr>
                    <w:pStyle w:val="Compact"/>
                    <w:jc w:val="center"/>
                  </w:pPr>
                  <w:r>
                    <w:t xml:space="preserve">34–36</w:t>
                  </w:r>
                </w:p>
              </w:tc>
              <w:tc>
                <w:tcPr/>
                <w:p>
                  <w:pPr>
                    <w:pStyle w:val="Compact"/>
                    <w:jc w:val="center"/>
                  </w:pPr>
                  <w:r>
                    <w:t xml:space="preserve">multivariate</w:t>
                  </w:r>
                </w:p>
              </w:tc>
              <w:tc>
                <w:tcPr/>
                <w:p>
                  <w:pPr>
                    <w:pStyle w:val="Compact"/>
                    <w:jc w:val="center"/>
                  </w:pPr>
                  <w:r>
                    <w:t xml:space="preserve">WC-CPP</w:t>
                  </w:r>
                </w:p>
              </w:tc>
            </w:tr>
            <w:tr>
              <w:tc>
                <w:tcPr>
                  <w:gridSpan w:val="1"/>
                  <w:vMerge w:val="continue"/>
                </w:tcPr>
                <w:p>
                  <w:pPr/>
                </w:p>
              </w:tc>
              <w:tc>
                <w:tcPr/>
                <w:p>
                  <w:pPr>
                    <w:pStyle w:val="Compact"/>
                    <w:jc w:val="center"/>
                  </w:pPr>
                  <w:r>
                    <w:t xml:space="preserve">Dissolved CO2 (pCO2)</w:t>
                  </w:r>
                </w:p>
              </w:tc>
              <w:tc>
                <w:tcPr/>
                <w:p>
                  <w:pPr>
                    <w:pStyle w:val="Compact"/>
                    <w:jc w:val="center"/>
                  </w:pPr>
                  <w:r>
                    <w:t xml:space="preserve">mmHg</w:t>
                  </w:r>
                </w:p>
              </w:tc>
              <w:tc>
                <w:tcPr/>
                <w:p>
                  <w:pPr>
                    <w:pStyle w:val="Compact"/>
                    <w:jc w:val="center"/>
                  </w:pPr>
                  <w:r>
                    <w:t xml:space="preserve">100</w:t>
                  </w:r>
                </w:p>
              </w:tc>
              <w:tc>
                <w:tcPr/>
                <w:p>
                  <w:pPr>
                    <w:pStyle w:val="Compact"/>
                    <w:jc w:val="center"/>
                  </w:pPr>
                  <w:r>
                    <w:t xml:space="preserve">70–130</w:t>
                  </w:r>
                </w:p>
              </w:tc>
              <w:tc>
                <w:tcPr/>
                <w:p>
                  <w:pPr>
                    <w:pStyle w:val="Compact"/>
                    <w:jc w:val="center"/>
                  </w:pPr>
                  <w:r>
                    <w:t xml:space="preserve">40–160</w:t>
                  </w:r>
                </w:p>
              </w:tc>
              <w:tc>
                <w:tcPr/>
                <w:p>
                  <w:pPr>
                    <w:pStyle w:val="Compact"/>
                    <w:jc w:val="center"/>
                  </w:pPr>
                  <w:r>
                    <w:t xml:space="preserve">multivariate</w:t>
                  </w:r>
                </w:p>
              </w:tc>
              <w:tc>
                <w:tcPr/>
                <w:p>
                  <w:pPr>
                    <w:pStyle w:val="Compact"/>
                    <w:jc w:val="center"/>
                  </w:pPr>
                  <w:r>
                    <w:t xml:space="preserve">WC-CPP</w:t>
                  </w:r>
                </w:p>
              </w:tc>
            </w:tr>
            <w:tr>
              <w:tc>
                <w:tcPr>
                  <w:gridSpan w:val="1"/>
                  <w:vMerge w:val="continue"/>
                </w:tcPr>
                <w:p>
                  <w:pPr/>
                </w:p>
              </w:tc>
              <w:tc>
                <w:tcPr/>
                <w:p>
                  <w:pPr>
                    <w:pStyle w:val="Compact"/>
                    <w:jc w:val="center"/>
                  </w:pPr>
                  <w:r>
                    <w:t xml:space="preserve">Osmolality</w:t>
                  </w:r>
                </w:p>
              </w:tc>
              <w:tc>
                <w:tcPr/>
                <w:p>
                  <w:pPr>
                    <w:pStyle w:val="Compact"/>
                    <w:jc w:val="center"/>
                  </w:pPr>
                  <w:r>
                    <w:t xml:space="preserve">mOsm</w:t>
                  </w:r>
                </w:p>
              </w:tc>
              <w:tc>
                <w:tcPr/>
                <w:p>
                  <w:pPr>
                    <w:pStyle w:val="Compact"/>
                    <w:jc w:val="center"/>
                  </w:pPr>
                  <w:r>
                    <w:t xml:space="preserve">400</w:t>
                  </w:r>
                </w:p>
              </w:tc>
              <w:tc>
                <w:tcPr/>
                <w:p>
                  <w:pPr>
                    <w:pStyle w:val="Compact"/>
                    <w:jc w:val="center"/>
                  </w:pPr>
                  <w:r>
                    <w:t xml:space="preserve">375–425</w:t>
                  </w:r>
                </w:p>
              </w:tc>
              <w:tc>
                <w:tcPr/>
                <w:p>
                  <w:pPr>
                    <w:pStyle w:val="Compact"/>
                    <w:jc w:val="center"/>
                  </w:pPr>
                  <w:r>
                    <w:t xml:space="preserve">360–440</w:t>
                  </w:r>
                </w:p>
              </w:tc>
              <w:tc>
                <w:tcPr/>
                <w:p>
                  <w:pPr>
                    <w:pStyle w:val="Compact"/>
                    <w:jc w:val="center"/>
                  </w:pPr>
                  <w:r>
                    <w:t xml:space="preserve">multivariate</w:t>
                  </w:r>
                </w:p>
              </w:tc>
              <w:tc>
                <w:tcPr/>
                <w:p>
                  <w:pPr>
                    <w:pStyle w:val="Compact"/>
                    <w:jc w:val="center"/>
                  </w:pPr>
                  <w:r>
                    <w:t xml:space="preserve">WC-CPP</w:t>
                  </w:r>
                </w:p>
              </w:tc>
            </w:tr>
            <w:tr>
              <w:tc>
                <w:tcPr>
                  <w:gridSpan w:val="1"/>
                  <w:vMerge w:val="continue"/>
                </w:tcPr>
                <w:p>
                  <w:pPr/>
                </w:p>
              </w:tc>
              <w:tc>
                <w:tcPr/>
                <w:p>
                  <w:pPr>
                    <w:pStyle w:val="Compact"/>
                    <w:jc w:val="center"/>
                  </w:pPr>
                  <w:r>
                    <w:t xml:space="preserve">Culture duration</w:t>
                  </w:r>
                </w:p>
              </w:tc>
              <w:tc>
                <w:tcPr/>
                <w:p>
                  <w:pPr>
                    <w:pStyle w:val="Compact"/>
                    <w:jc w:val="center"/>
                  </w:pPr>
                  <w:r>
                    <w:t xml:space="preserve">days</w:t>
                  </w:r>
                </w:p>
              </w:tc>
              <w:tc>
                <w:tcPr/>
                <w:p>
                  <w:pPr>
                    <w:pStyle w:val="Compact"/>
                    <w:jc w:val="center"/>
                  </w:pPr>
                  <w:r>
                    <w:t xml:space="preserve">17</w:t>
                  </w:r>
                </w:p>
              </w:tc>
              <w:tc>
                <w:tcPr/>
                <w:p>
                  <w:pPr>
                    <w:pStyle w:val="Compact"/>
                    <w:jc w:val="center"/>
                  </w:pPr>
                  <w:r>
                    <w:t xml:space="preserve">16–18</w:t>
                  </w:r>
                </w:p>
              </w:tc>
              <w:tc>
                <w:tcPr/>
                <w:p>
                  <w:pPr>
                    <w:pStyle w:val="Compact"/>
                    <w:jc w:val="center"/>
                  </w:pPr>
                  <w:r>
                    <w:t xml:space="preserve">15–19</w:t>
                  </w:r>
                </w:p>
              </w:tc>
              <w:tc>
                <w:tcPr/>
                <w:p>
                  <w:pPr>
                    <w:pStyle w:val="Compact"/>
                    <w:jc w:val="center"/>
                  </w:pPr>
                  <w:r>
                    <w:t xml:space="preserve">multivariate</w:t>
                  </w:r>
                </w:p>
              </w:tc>
              <w:tc>
                <w:tcPr/>
                <w:p>
                  <w:pPr>
                    <w:pStyle w:val="Compact"/>
                    <w:jc w:val="center"/>
                  </w:pPr>
                  <w:r>
                    <w:t xml:space="preserve">WC-CPP</w:t>
                  </w:r>
                </w:p>
              </w:tc>
            </w:tr>
            <w:tr>
              <w:tc>
                <w:tcPr>
                  <w:gridSpan w:val="1"/>
                  <w:vMerge w:val="continue"/>
                </w:tcPr>
                <w:p>
                  <w:pPr/>
                </w:p>
              </w:tc>
              <w:tc>
                <w:tcPr/>
                <w:p>
                  <w:pPr>
                    <w:pStyle w:val="Compact"/>
                    <w:jc w:val="center"/>
                  </w:pPr>
                  <w:r>
                    <w:t xml:space="preserve">Dissolved oxygen</w:t>
                  </w:r>
                </w:p>
              </w:tc>
              <w:tc>
                <w:tcPr/>
                <w:p>
                  <w:pPr>
                    <w:pStyle w:val="Compact"/>
                    <w:jc w:val="center"/>
                  </w:pPr>
                  <w:r>
                    <w:t xml:space="preserve">% sat</w:t>
                  </w:r>
                </w:p>
              </w:tc>
              <w:tc>
                <w:tcPr/>
                <w:p>
                  <w:pPr>
                    <w:pStyle w:val="Compact"/>
                    <w:jc w:val="center"/>
                  </w:pPr>
                  <w:r>
                    <w:t xml:space="preserve">50</w:t>
                  </w:r>
                </w:p>
              </w:tc>
              <w:tc>
                <w:tcPr/>
                <w:p>
                  <w:pPr>
                    <w:pStyle w:val="Compact"/>
                    <w:jc w:val="center"/>
                  </w:pPr>
                  <w:r>
                    <w:t xml:space="preserve">40–60</w:t>
                  </w:r>
                </w:p>
              </w:tc>
              <w:tc>
                <w:tcPr/>
                <w:p>
                  <w:pPr>
                    <w:pStyle w:val="Compact"/>
                    <w:jc w:val="center"/>
                  </w:pPr>
                  <w:r>
                    <w:t xml:space="preserve">30–70</w:t>
                  </w:r>
                </w:p>
              </w:tc>
              <w:tc>
                <w:tcPr/>
                <w:p>
                  <w:pPr>
                    <w:pStyle w:val="Compact"/>
                    <w:jc w:val="center"/>
                  </w:pPr>
                  <w:r>
                    <w:t xml:space="preserve">univariate</w:t>
                  </w:r>
                  <w:r>
                    <w:rPr>
                      <w:vertAlign w:val="superscript"/>
                    </w:rPr>
                    <w:t xml:space="preserve">a)</w:t>
                  </w:r>
                </w:p>
              </w:tc>
              <w:tc>
                <w:tcPr/>
                <w:p>
                  <w:pPr>
                    <w:pStyle w:val="Compact"/>
                    <w:jc w:val="center"/>
                  </w:pPr>
                  <w:r>
                    <w:t xml:space="preserve">KPP</w:t>
                  </w:r>
                </w:p>
              </w:tc>
            </w:tr>
            <w:tr>
              <w:tc>
                <w:tcPr>
                  <w:gridSpan w:val="1"/>
                  <w:vMerge w:val="continue"/>
                </w:tcPr>
                <w:p>
                  <w:pPr/>
                </w:p>
              </w:tc>
              <w:tc>
                <w:tcPr/>
                <w:p>
                  <w:pPr>
                    <w:pStyle w:val="Compact"/>
                    <w:jc w:val="center"/>
                  </w:pPr>
                  <w:r>
                    <w:t xml:space="preserve">Initial viable cell conc.</w:t>
                  </w:r>
                </w:p>
              </w:tc>
              <w:tc>
                <w:tcPr/>
                <w:p>
                  <w:pPr>
                    <w:pStyle w:val="Compact"/>
                    <w:jc w:val="center"/>
                  </w:pPr>
                  <w:r>
                    <w:t xml:space="preserve">e6 cells/mL</w:t>
                  </w:r>
                </w:p>
              </w:tc>
              <w:tc>
                <w:tcPr/>
                <w:p>
                  <w:pPr>
                    <w:pStyle w:val="Compact"/>
                    <w:jc w:val="center"/>
                  </w:pPr>
                  <w:r>
                    <w:t xml:space="preserve">1</w:t>
                  </w:r>
                </w:p>
              </w:tc>
              <w:tc>
                <w:tcPr/>
                <w:p>
                  <w:pPr>
                    <w:pStyle w:val="Compact"/>
                    <w:jc w:val="center"/>
                  </w:pPr>
                  <w:r>
                    <w:t xml:space="preserve">0.8–1.2</w:t>
                  </w:r>
                </w:p>
              </w:tc>
              <w:tc>
                <w:tcPr/>
                <w:p>
                  <w:pPr>
                    <w:pStyle w:val="Compact"/>
                    <w:jc w:val="center"/>
                  </w:pPr>
                  <w:r>
                    <w:t xml:space="preserve">0.5–1.5</w:t>
                  </w:r>
                </w:p>
              </w:tc>
              <w:tc>
                <w:tcPr/>
                <w:p>
                  <w:pPr>
                    <w:pStyle w:val="Compact"/>
                    <w:jc w:val="center"/>
                  </w:pPr>
                  <w:r>
                    <w:t xml:space="preserve">univariate</w:t>
                  </w:r>
                  <w:r>
                    <w:rPr>
                      <w:vertAlign w:val="superscript"/>
                    </w:rPr>
                    <w:t xml:space="preserve">a)</w:t>
                  </w:r>
                </w:p>
              </w:tc>
              <w:tc>
                <w:tcPr/>
                <w:p>
                  <w:pPr>
                    <w:pStyle w:val="Compact"/>
                    <w:jc w:val="center"/>
                  </w:pPr>
                  <w:r>
                    <w:t xml:space="preserve">KPP</w:t>
                  </w:r>
                </w:p>
              </w:tc>
            </w:tr>
            <w:tr>
              <w:tc>
                <w:tcPr>
                  <w:gridSpan w:val="1"/>
                  <w:vMerge w:val="continue"/>
                </w:tcPr>
                <w:p>
                  <w:pPr/>
                </w:p>
              </w:tc>
              <w:tc>
                <w:tcPr/>
                <w:p>
                  <w:pPr>
                    <w:pStyle w:val="Compact"/>
                    <w:jc w:val="center"/>
                  </w:pPr>
                  <w:r>
                    <w:t xml:space="preserve">Basal medium concentration</w:t>
                  </w:r>
                </w:p>
              </w:tc>
              <w:tc>
                <w:tcPr/>
                <w:p>
                  <w:pPr>
                    <w:pStyle w:val="Compact"/>
                    <w:jc w:val="center"/>
                  </w:pPr>
                  <w:r>
                    <w:t xml:space="preserve">X</w:t>
                  </w:r>
                </w:p>
              </w:tc>
              <w:tc>
                <w:tcPr/>
                <w:p>
                  <w:pPr>
                    <w:pStyle w:val="Compact"/>
                    <w:jc w:val="center"/>
                  </w:pPr>
                  <w:r>
                    <w:t xml:space="preserve">1.2</w:t>
                  </w:r>
                </w:p>
              </w:tc>
              <w:tc>
                <w:tcPr/>
                <w:p>
                  <w:pPr>
                    <w:pStyle w:val="Compact"/>
                    <w:jc w:val="center"/>
                  </w:pPr>
                  <w:r>
                    <w:t xml:space="preserve">1–1.4</w:t>
                  </w:r>
                </w:p>
              </w:tc>
              <w:tc>
                <w:tcPr/>
                <w:p>
                  <w:pPr>
                    <w:pStyle w:val="Compact"/>
                    <w:jc w:val="center"/>
                  </w:pPr>
                  <w:r>
                    <w:t xml:space="preserve">0.8–1.6</w:t>
                  </w:r>
                </w:p>
              </w:tc>
              <w:tc>
                <w:tcPr/>
                <w:p>
                  <w:pPr>
                    <w:pStyle w:val="Compact"/>
                    <w:jc w:val="center"/>
                  </w:pPr>
                  <w:r>
                    <w:t xml:space="preserve">univariate</w:t>
                  </w:r>
                  <w:r>
                    <w:rPr>
                      <w:vertAlign w:val="superscript"/>
                    </w:rPr>
                    <w:t xml:space="preserve">a)</w:t>
                  </w:r>
                </w:p>
              </w:tc>
              <w:tc>
                <w:tcPr/>
                <w:p>
                  <w:pPr>
                    <w:pStyle w:val="Compact"/>
                    <w:jc w:val="center"/>
                  </w:pPr>
                  <w:r>
                    <w:t xml:space="preserve">GPP</w:t>
                  </w:r>
                </w:p>
              </w:tc>
            </w:tr>
            <w:tr>
              <w:tc>
                <w:tcPr>
                  <w:gridSpan w:val="1"/>
                  <w:vMerge w:val="continue"/>
                </w:tcPr>
                <w:p>
                  <w:pPr/>
                </w:p>
              </w:tc>
              <w:tc>
                <w:tcPr/>
                <w:p>
                  <w:pPr>
                    <w:pStyle w:val="Compact"/>
                    <w:jc w:val="center"/>
                  </w:pPr>
                  <w:r>
                    <w:t xml:space="preserve">Nutrient feed-1 volume</w:t>
                  </w:r>
                </w:p>
              </w:tc>
              <w:tc>
                <w:tcPr/>
                <w:p>
                  <w:pPr>
                    <w:pStyle w:val="Compact"/>
                    <w:jc w:val="center"/>
                  </w:pPr>
                  <w:r>
                    <w:t xml:space="preserve">% of working volume</w:t>
                  </w:r>
                </w:p>
              </w:tc>
              <w:tc>
                <w:tcPr/>
                <w:p>
                  <w:pPr>
                    <w:pStyle w:val="Compact"/>
                    <w:jc w:val="center"/>
                  </w:pPr>
                  <w:r>
                    <w:t xml:space="preserve">12</w:t>
                  </w:r>
                </w:p>
              </w:tc>
              <w:tc>
                <w:tcPr/>
                <w:p>
                  <w:pPr>
                    <w:pStyle w:val="Compact"/>
                    <w:jc w:val="center"/>
                  </w:pPr>
                  <w:r>
                    <w:t xml:space="preserve">10–14</w:t>
                  </w:r>
                </w:p>
              </w:tc>
              <w:tc>
                <w:tcPr/>
                <w:p>
                  <w:pPr>
                    <w:pStyle w:val="Compact"/>
                    <w:jc w:val="center"/>
                  </w:pPr>
                  <w:r>
                    <w:t xml:space="preserve">9–15</w:t>
                  </w:r>
                </w:p>
              </w:tc>
              <w:tc>
                <w:tcPr/>
                <w:p>
                  <w:pPr>
                    <w:pStyle w:val="Compact"/>
                    <w:jc w:val="center"/>
                  </w:pPr>
                  <w:r>
                    <w:t xml:space="preserve">univariate</w:t>
                  </w:r>
                  <w:r>
                    <w:rPr>
                      <w:vertAlign w:val="superscript"/>
                    </w:rPr>
                    <w:t xml:space="preserve">a)</w:t>
                  </w:r>
                </w:p>
              </w:tc>
              <w:tc>
                <w:tcPr/>
                <w:p>
                  <w:pPr>
                    <w:pStyle w:val="Compact"/>
                    <w:jc w:val="center"/>
                  </w:pPr>
                  <w:r>
                    <w:t xml:space="preserve">KPP</w:t>
                  </w:r>
                </w:p>
              </w:tc>
            </w:tr>
            <w:tr>
              <w:tc>
                <w:tcPr>
                  <w:vMerge w:val="restart"/>
                </w:tcPr>
                <w:p>
                  <w:pPr>
                    <w:pStyle w:val="Compact"/>
                    <w:jc w:val="center"/>
                  </w:pPr>
                  <w:r>
                    <w:t xml:space="preserve">Harvest</w:t>
                  </w:r>
                </w:p>
              </w:tc>
              <w:tc>
                <w:tcPr/>
                <w:p>
                  <w:pPr>
                    <w:pStyle w:val="Compact"/>
                    <w:jc w:val="center"/>
                  </w:pPr>
                  <w:r>
                    <w:t xml:space="preserve">Centrifugation (rcf)</w:t>
                  </w:r>
                </w:p>
              </w:tc>
              <w:tc>
                <w:tcPr/>
                <w:p>
                  <w:pPr>
                    <w:pStyle w:val="Compact"/>
                    <w:jc w:val="center"/>
                  </w:pPr>
                  <w:r>
                    <w:t xml:space="preserve">g</w:t>
                  </w:r>
                </w:p>
              </w:tc>
              <w:tc>
                <w:tcPr/>
                <w:p>
                  <w:pPr>
                    <w:pStyle w:val="Compact"/>
                    <w:jc w:val="center"/>
                  </w:pPr>
                  <w:r>
                    <w:t xml:space="preserve">9000</w:t>
                  </w:r>
                </w:p>
              </w:tc>
              <w:tc>
                <w:tcPr/>
                <w:p>
                  <w:pPr>
                    <w:pStyle w:val="Compact"/>
                    <w:jc w:val="center"/>
                  </w:pPr>
                  <w:r>
                    <w:t xml:space="preserve">8000–10000</w:t>
                  </w:r>
                </w:p>
              </w:tc>
              <w:tc>
                <w:tcPr/>
                <w:p>
                  <w:pPr>
                    <w:pStyle w:val="Compact"/>
                    <w:jc w:val="center"/>
                  </w:pPr>
                  <w:r>
                    <w:t xml:space="preserve">6000–12000</w:t>
                  </w:r>
                </w:p>
              </w:tc>
              <w:tc>
                <w:tcPr/>
                <w:p>
                  <w:pPr>
                    <w:pStyle w:val="Compact"/>
                    <w:jc w:val="center"/>
                  </w:pPr>
                  <w:r>
                    <w:t xml:space="preserve">univariate</w:t>
                  </w:r>
                  <w:r>
                    <w:rPr>
                      <w:vertAlign w:val="superscript"/>
                    </w:rPr>
                    <w:t xml:space="preserve">a)</w:t>
                  </w:r>
                </w:p>
              </w:tc>
              <w:tc>
                <w:tcPr/>
                <w:p>
                  <w:pPr>
                    <w:pStyle w:val="Compact"/>
                    <w:jc w:val="center"/>
                  </w:pPr>
                  <w:r>
                    <w:t xml:space="preserve">KPP</w:t>
                  </w:r>
                </w:p>
              </w:tc>
            </w:tr>
            <w:tr>
              <w:tc>
                <w:tcPr>
                  <w:gridSpan w:val="1"/>
                  <w:vMerge w:val="continue"/>
                </w:tcPr>
                <w:p>
                  <w:pPr/>
                </w:p>
              </w:tc>
              <w:tc>
                <w:tcPr/>
                <w:p>
                  <w:pPr>
                    <w:pStyle w:val="Compact"/>
                    <w:jc w:val="center"/>
                  </w:pPr>
                  <w:r>
                    <w:t xml:space="preserve">Depth filter load</w:t>
                  </w:r>
                </w:p>
              </w:tc>
              <w:tc>
                <w:tcPr/>
                <w:p>
                  <w:pPr>
                    <w:pStyle w:val="Compact"/>
                    <w:jc w:val="center"/>
                  </w:pPr>
                  <w:r>
                    <w:t xml:space="preserve">L/m2</w:t>
                  </w:r>
                </w:p>
              </w:tc>
              <w:tc>
                <w:tcPr/>
                <w:p>
                  <w:pPr>
                    <w:pStyle w:val="Compact"/>
                    <w:jc w:val="center"/>
                  </w:pPr>
                  <w:r>
                    <w:t xml:space="preserve">120</w:t>
                  </w:r>
                </w:p>
              </w:tc>
              <w:tc>
                <w:tcPr/>
                <w:p>
                  <w:pPr>
                    <w:pStyle w:val="Compact"/>
                    <w:jc w:val="center"/>
                  </w:pPr>
                  <w:r>
                    <w:t xml:space="preserve">100–140</w:t>
                  </w:r>
                </w:p>
              </w:tc>
              <w:tc>
                <w:tcPr/>
                <w:p>
                  <w:pPr>
                    <w:pStyle w:val="Compact"/>
                    <w:jc w:val="center"/>
                  </w:pPr>
                  <w:r>
                    <w:t xml:space="preserve">80–160</w:t>
                  </w:r>
                </w:p>
              </w:tc>
              <w:tc>
                <w:tcPr/>
                <w:p>
                  <w:pPr>
                    <w:pStyle w:val="Compact"/>
                    <w:jc w:val="center"/>
                  </w:pPr>
                  <w:r>
                    <w:t xml:space="preserve">univariate</w:t>
                  </w:r>
                  <w:r>
                    <w:rPr>
                      <w:vertAlign w:val="superscript"/>
                    </w:rPr>
                    <w:t xml:space="preserve">a)</w:t>
                  </w:r>
                </w:p>
              </w:tc>
              <w:tc>
                <w:tcPr/>
                <w:p>
                  <w:pPr>
                    <w:pStyle w:val="Compact"/>
                    <w:jc w:val="center"/>
                  </w:pPr>
                  <w:r>
                    <w:t xml:space="preserve">KPP</w:t>
                  </w:r>
                </w:p>
              </w:tc>
            </w:tr>
            <w:tr>
              <w:tc>
                <w:tcPr>
                  <w:gridSpan w:val="1"/>
                  <w:vMerge w:val="continue"/>
                </w:tcPr>
                <w:p>
                  <w:pPr/>
                </w:p>
              </w:tc>
              <w:tc>
                <w:tcPr/>
                <w:p>
                  <w:pPr>
                    <w:pStyle w:val="Compact"/>
                    <w:jc w:val="center"/>
                  </w:pPr>
                  <w:r>
                    <w:t xml:space="preserve">Post-clarification turbidity</w:t>
                  </w:r>
                </w:p>
              </w:tc>
              <w:tc>
                <w:tcPr/>
                <w:p>
                  <w:pPr>
                    <w:pStyle w:val="Compact"/>
                    <w:jc w:val="center"/>
                  </w:pPr>
                  <w:r>
                    <w:t xml:space="preserve">NTU</w:t>
                  </w:r>
                </w:p>
              </w:tc>
              <w:tc>
                <w:tcPr/>
                <w:p>
                  <w:pPr>
                    <w:pStyle w:val="Compact"/>
                    <w:jc w:val="center"/>
                  </w:pPr>
                  <w:r>
                    <w:t xml:space="preserve">5</w:t>
                  </w:r>
                </w:p>
              </w:tc>
              <w:tc>
                <w:tcPr/>
                <w:p>
                  <w:pPr>
                    <w:pStyle w:val="Compact"/>
                    <w:jc w:val="center"/>
                  </w:pPr>
                  <w:r>
                    <w:t xml:space="preserve">1–10</w:t>
                  </w:r>
                </w:p>
              </w:tc>
              <w:tc>
                <w:tcPr/>
                <w:p>
                  <w:pPr>
                    <w:pStyle w:val="Compact"/>
                    <w:jc w:val="center"/>
                  </w:pPr>
                  <w:r>
                    <w:t xml:space="preserve">1–20</w:t>
                  </w:r>
                </w:p>
              </w:tc>
              <w:tc>
                <w:tcPr/>
                <w:p>
                  <w:pPr>
                    <w:pStyle w:val="Compact"/>
                    <w:jc w:val="center"/>
                  </w:pPr>
                  <w:r>
                    <w:t xml:space="preserve">univariate</w:t>
                  </w:r>
                  <w:r>
                    <w:rPr>
                      <w:vertAlign w:val="superscript"/>
                    </w:rPr>
                    <w:t xml:space="preserve">a)</w:t>
                  </w:r>
                </w:p>
              </w:tc>
              <w:tc>
                <w:tcPr/>
                <w:p>
                  <w:pPr>
                    <w:pStyle w:val="Compact"/>
                    <w:jc w:val="center"/>
                  </w:pPr>
                  <w:r>
                    <w:t xml:space="preserve">GPP</w:t>
                  </w:r>
                </w:p>
              </w:tc>
            </w:tr>
            <w:tr>
              <w:tc>
                <w:tcPr>
                  <w:vMerge w:val="restart"/>
                </w:tcPr>
                <w:p>
                  <w:pPr>
                    <w:pStyle w:val="Compact"/>
                    <w:jc w:val="center"/>
                  </w:pPr>
                  <w:r>
                    <w:t xml:space="preserve">Protein A</w:t>
                  </w:r>
                </w:p>
              </w:tc>
              <w:tc>
                <w:tcPr/>
                <w:p>
                  <w:pPr>
                    <w:pStyle w:val="Compact"/>
                    <w:jc w:val="center"/>
                  </w:pPr>
                  <w:r>
                    <w:t xml:space="preserve">Protein load</w:t>
                  </w:r>
                </w:p>
              </w:tc>
              <w:tc>
                <w:tcPr/>
                <w:p>
                  <w:pPr>
                    <w:pStyle w:val="Compact"/>
                    <w:jc w:val="center"/>
                  </w:pPr>
                  <w:r>
                    <w:t xml:space="preserve">g/L resin</w:t>
                  </w:r>
                </w:p>
              </w:tc>
              <w:tc>
                <w:tcPr/>
                <w:p>
                  <w:pPr>
                    <w:pStyle w:val="Compact"/>
                    <w:jc w:val="center"/>
                  </w:pPr>
                  <w:r>
                    <w:t xml:space="preserve">30</w:t>
                  </w:r>
                </w:p>
              </w:tc>
              <w:tc>
                <w:tcPr/>
                <w:p>
                  <w:pPr>
                    <w:pStyle w:val="Compact"/>
                    <w:jc w:val="center"/>
                  </w:pPr>
                  <w:r>
                    <w:t xml:space="preserve">20–38</w:t>
                  </w:r>
                  <w:r>
                    <w:rPr>
                      <w:vertAlign w:val="superscript"/>
                    </w:rPr>
                    <w:t xml:space="preserve">c1)</w:t>
                  </w:r>
                </w:p>
              </w:tc>
              <w:tc>
                <w:tcPr/>
                <w:p>
                  <w:pPr>
                    <w:pStyle w:val="Compact"/>
                    <w:jc w:val="center"/>
                  </w:pPr>
                  <w:r>
                    <w:t xml:space="preserve">10–50</w:t>
                  </w:r>
                </w:p>
              </w:tc>
              <w:tc>
                <w:tcPr/>
                <w:p>
                  <w:pPr>
                    <w:pStyle w:val="Compact"/>
                    <w:jc w:val="center"/>
                  </w:pPr>
                  <w:r>
                    <w:t xml:space="preserve">multivariate</w:t>
                  </w:r>
                </w:p>
              </w:tc>
              <w:tc>
                <w:tcPr/>
                <w:p>
                  <w:pPr>
                    <w:pStyle w:val="Compact"/>
                    <w:jc w:val="center"/>
                  </w:pPr>
                  <w:r>
                    <w:t xml:space="preserve">WC-CPP</w:t>
                  </w:r>
                </w:p>
              </w:tc>
            </w:tr>
            <w:tr>
              <w:tc>
                <w:tcPr>
                  <w:gridSpan w:val="1"/>
                  <w:vMerge w:val="continue"/>
                </w:tcPr>
                <w:p>
                  <w:pPr/>
                </w:p>
              </w:tc>
              <w:tc>
                <w:tcPr/>
                <w:p>
                  <w:pPr>
                    <w:pStyle w:val="Compact"/>
                    <w:jc w:val="center"/>
                  </w:pPr>
                  <w:r>
                    <w:t xml:space="preserve">Elution buffer pH</w:t>
                  </w:r>
                </w:p>
              </w:tc>
              <w:tc>
                <w:tcPr/>
                <w:p>
                  <w:pPr>
                    <w:pStyle w:val="Compact"/>
                    <w:jc w:val="center"/>
                  </w:pPr>
                  <w:r>
                    <w:t xml:space="preserve">pH</w:t>
                  </w:r>
                </w:p>
              </w:tc>
              <w:tc>
                <w:tcPr/>
                <w:p>
                  <w:pPr>
                    <w:pStyle w:val="Compact"/>
                    <w:jc w:val="center"/>
                  </w:pPr>
                  <w:r>
                    <w:t xml:space="preserve">3.55</w:t>
                  </w:r>
                </w:p>
              </w:tc>
              <w:tc>
                <w:tcPr/>
                <w:p>
                  <w:pPr>
                    <w:pStyle w:val="Compact"/>
                    <w:jc w:val="center"/>
                  </w:pPr>
                  <w:r>
                    <w:t xml:space="preserve">3.4–3.7</w:t>
                  </w:r>
                </w:p>
              </w:tc>
              <w:tc>
                <w:tcPr/>
                <w:p>
                  <w:pPr>
                    <w:pStyle w:val="Compact"/>
                    <w:jc w:val="center"/>
                  </w:pPr>
                  <w:r>
                    <w:t xml:space="preserve">3.2–3.9</w:t>
                  </w:r>
                </w:p>
              </w:tc>
              <w:tc>
                <w:tcPr/>
                <w:p>
                  <w:pPr>
                    <w:pStyle w:val="Compact"/>
                    <w:jc w:val="center"/>
                  </w:pPr>
                  <w:r>
                    <w:t xml:space="preserve">multivariate</w:t>
                  </w:r>
                </w:p>
              </w:tc>
              <w:tc>
                <w:tcPr/>
                <w:p>
                  <w:pPr>
                    <w:pStyle w:val="Compact"/>
                    <w:jc w:val="center"/>
                  </w:pPr>
                  <w:r>
                    <w:t xml:space="preserve">WC-CPP</w:t>
                  </w:r>
                </w:p>
              </w:tc>
            </w:tr>
            <w:tr>
              <w:tc>
                <w:tcPr>
                  <w:gridSpan w:val="1"/>
                  <w:vMerge w:val="continue"/>
                </w:tcPr>
                <w:p>
                  <w:pPr/>
                </w:p>
              </w:tc>
              <w:tc>
                <w:tcPr/>
                <w:p>
                  <w:pPr>
                    <w:pStyle w:val="Compact"/>
                    <w:jc w:val="center"/>
                  </w:pPr>
                  <w:r>
                    <w:t xml:space="preserve">Load flow rate</w:t>
                  </w:r>
                </w:p>
              </w:tc>
              <w:tc>
                <w:tcPr/>
                <w:p>
                  <w:pPr>
                    <w:pStyle w:val="Compact"/>
                    <w:jc w:val="center"/>
                  </w:pPr>
                  <w:r>
                    <w:t xml:space="preserve">cm/hr</w:t>
                  </w:r>
                </w:p>
              </w:tc>
              <w:tc>
                <w:tcPr/>
                <w:p>
                  <w:pPr>
                    <w:pStyle w:val="Compact"/>
                    <w:jc w:val="center"/>
                  </w:pPr>
                  <w:r>
                    <w:t xml:space="preserve">200</w:t>
                  </w:r>
                </w:p>
              </w:tc>
              <w:tc>
                <w:tcPr/>
                <w:p>
                  <w:pPr>
                    <w:pStyle w:val="Compact"/>
                    <w:jc w:val="center"/>
                  </w:pPr>
                  <w:r>
                    <w:t xml:space="preserve">150–250</w:t>
                  </w:r>
                </w:p>
              </w:tc>
              <w:tc>
                <w:tcPr/>
                <w:p>
                  <w:pPr>
                    <w:pStyle w:val="Compact"/>
                    <w:jc w:val="center"/>
                  </w:pPr>
                  <w:r>
                    <w:t xml:space="preserve">100–300</w:t>
                  </w:r>
                </w:p>
              </w:tc>
              <w:tc>
                <w:tcPr/>
                <w:p>
                  <w:pPr>
                    <w:pStyle w:val="Compact"/>
                    <w:jc w:val="center"/>
                  </w:pPr>
                  <w:r>
                    <w:t xml:space="preserve">multivariate</w:t>
                  </w:r>
                </w:p>
              </w:tc>
              <w:tc>
                <w:tcPr/>
                <w:p>
                  <w:pPr>
                    <w:pStyle w:val="Compact"/>
                    <w:jc w:val="center"/>
                  </w:pPr>
                  <w:r>
                    <w:t xml:space="preserve">KPP</w:t>
                  </w:r>
                </w:p>
              </w:tc>
            </w:tr>
            <w:tr>
              <w:tc>
                <w:tcPr>
                  <w:gridSpan w:val="1"/>
                  <w:vMerge w:val="continue"/>
                </w:tcPr>
                <w:p>
                  <w:pPr/>
                </w:p>
              </w:tc>
              <w:tc>
                <w:tcPr/>
                <w:p>
                  <w:pPr>
                    <w:pStyle w:val="Compact"/>
                    <w:jc w:val="center"/>
                  </w:pPr>
                  <w:r>
                    <w:t xml:space="preserve">End of pool collect</w:t>
                  </w:r>
                </w:p>
              </w:tc>
              <w:tc>
                <w:tcPr/>
                <w:p>
                  <w:pPr>
                    <w:pStyle w:val="Compact"/>
                    <w:jc w:val="center"/>
                  </w:pPr>
                  <w:r>
                    <w:t xml:space="preserve">CV</w:t>
                  </w:r>
                </w:p>
              </w:tc>
              <w:tc>
                <w:tcPr/>
                <w:p>
                  <w:pPr>
                    <w:pStyle w:val="Compact"/>
                    <w:jc w:val="center"/>
                  </w:pPr>
                  <w:r>
                    <w:t xml:space="preserve">2.6</w:t>
                  </w:r>
                </w:p>
              </w:tc>
              <w:tc>
                <w:tcPr/>
                <w:p>
                  <w:pPr>
                    <w:pStyle w:val="Compact"/>
                    <w:jc w:val="center"/>
                  </w:pPr>
                  <w:r>
                    <w:t xml:space="preserve">2.3–2.9</w:t>
                  </w:r>
                </w:p>
              </w:tc>
              <w:tc>
                <w:tcPr/>
                <w:p>
                  <w:pPr>
                    <w:pStyle w:val="Compact"/>
                    <w:jc w:val="center"/>
                  </w:pPr>
                  <w:r>
                    <w:t xml:space="preserve">2–3.2</w:t>
                  </w:r>
                </w:p>
              </w:tc>
              <w:tc>
                <w:tcPr/>
                <w:p>
                  <w:pPr>
                    <w:pStyle w:val="Compact"/>
                    <w:jc w:val="center"/>
                  </w:pPr>
                  <w:r>
                    <w:t xml:space="preserve">multivariate</w:t>
                  </w:r>
                </w:p>
              </w:tc>
              <w:tc>
                <w:tcPr/>
                <w:p>
                  <w:pPr>
                    <w:pStyle w:val="Compact"/>
                    <w:jc w:val="center"/>
                  </w:pPr>
                  <w:r>
                    <w:t xml:space="preserve">KPP</w:t>
                  </w:r>
                </w:p>
              </w:tc>
            </w:tr>
            <w:tr>
              <w:tc>
                <w:tcPr>
                  <w:gridSpan w:val="1"/>
                  <w:vMerge w:val="continue"/>
                </w:tcPr>
                <w:p>
                  <w:pPr/>
                </w:p>
              </w:tc>
              <w:tc>
                <w:tcPr/>
                <w:p>
                  <w:pPr>
                    <w:pStyle w:val="Compact"/>
                    <w:jc w:val="center"/>
                  </w:pPr>
                  <w:r>
                    <w:t xml:space="preserve">Operating temperature</w:t>
                  </w:r>
                </w:p>
              </w:tc>
              <w:tc>
                <w:tcPr/>
                <w:p>
                  <w:pPr>
                    <w:pStyle w:val="Compact"/>
                    <w:jc w:val="center"/>
                  </w:pPr>
                  <w:r>
                    <w:t xml:space="preserve">°C</w:t>
                  </w:r>
                </w:p>
              </w:tc>
              <w:tc>
                <w:tcPr/>
                <w:p>
                  <w:pPr>
                    <w:pStyle w:val="Compact"/>
                    <w:jc w:val="center"/>
                  </w:pPr>
                  <w:r>
                    <w:t xml:space="preserve">22</w:t>
                  </w:r>
                </w:p>
              </w:tc>
              <w:tc>
                <w:tcPr/>
                <w:p>
                  <w:pPr>
                    <w:pStyle w:val="Compact"/>
                    <w:jc w:val="center"/>
                  </w:pPr>
                  <w:r>
                    <w:t xml:space="preserve">18–26</w:t>
                  </w:r>
                </w:p>
              </w:tc>
              <w:tc>
                <w:tcPr/>
                <w:p>
                  <w:pPr>
                    <w:pStyle w:val="Compact"/>
                    <w:jc w:val="center"/>
                  </w:pPr>
                  <w:r>
                    <w:t xml:space="preserve">15–30</w:t>
                  </w:r>
                </w:p>
              </w:tc>
              <w:tc>
                <w:tcPr/>
                <w:p>
                  <w:pPr>
                    <w:pStyle w:val="Compact"/>
                    <w:jc w:val="center"/>
                  </w:pPr>
                  <w:r>
                    <w:t xml:space="preserve">univariate</w:t>
                  </w:r>
                  <w:r>
                    <w:rPr>
                      <w:vertAlign w:val="superscript"/>
                    </w:rPr>
                    <w:t xml:space="preserve">a)</w:t>
                  </w:r>
                </w:p>
              </w:tc>
              <w:tc>
                <w:tcPr/>
                <w:p>
                  <w:pPr>
                    <w:pStyle w:val="Compact"/>
                    <w:jc w:val="center"/>
                  </w:pPr>
                  <w:r>
                    <w:t xml:space="preserve">GPP</w:t>
                  </w:r>
                </w:p>
              </w:tc>
            </w:tr>
            <w:tr>
              <w:tc>
                <w:tcPr>
                  <w:gridSpan w:val="1"/>
                  <w:vMerge w:val="continue"/>
                </w:tcPr>
                <w:p>
                  <w:pPr/>
                </w:p>
              </w:tc>
              <w:tc>
                <w:tcPr/>
                <w:p>
                  <w:pPr>
                    <w:pStyle w:val="Compact"/>
                    <w:jc w:val="center"/>
                  </w:pPr>
                  <w:r>
                    <w:t xml:space="preserve">Bed height</w:t>
                  </w:r>
                </w:p>
              </w:tc>
              <w:tc>
                <w:tcPr/>
                <w:p>
                  <w:pPr>
                    <w:pStyle w:val="Compact"/>
                    <w:jc w:val="center"/>
                  </w:pPr>
                  <w:r>
                    <w:t xml:space="preserve">cm</w:t>
                  </w:r>
                </w:p>
              </w:tc>
              <w:tc>
                <w:tcPr/>
                <w:p>
                  <w:pPr>
                    <w:pStyle w:val="Compact"/>
                    <w:jc w:val="center"/>
                  </w:pPr>
                  <w:r>
                    <w:t xml:space="preserve">20</w:t>
                  </w:r>
                </w:p>
              </w:tc>
              <w:tc>
                <w:tcPr/>
                <w:p>
                  <w:pPr>
                    <w:pStyle w:val="Compact"/>
                    <w:jc w:val="center"/>
                  </w:pPr>
                  <w:r>
                    <w:t xml:space="preserve">15–25</w:t>
                  </w:r>
                </w:p>
              </w:tc>
              <w:tc>
                <w:tcPr/>
                <w:p>
                  <w:pPr>
                    <w:pStyle w:val="Compact"/>
                    <w:jc w:val="center"/>
                  </w:pPr>
                  <w:r>
                    <w:t xml:space="preserve">10–30</w:t>
                  </w:r>
                </w:p>
              </w:tc>
              <w:tc>
                <w:tcPr/>
                <w:p>
                  <w:pPr>
                    <w:pStyle w:val="Compact"/>
                    <w:jc w:val="center"/>
                  </w:pPr>
                  <w:r>
                    <w:t xml:space="preserve">univariate</w:t>
                  </w:r>
                  <w:r>
                    <w:rPr>
                      <w:vertAlign w:val="superscript"/>
                    </w:rPr>
                    <w:t xml:space="preserve">a)</w:t>
                  </w:r>
                </w:p>
              </w:tc>
              <w:tc>
                <w:tcPr/>
                <w:p>
                  <w:pPr>
                    <w:pStyle w:val="Compact"/>
                    <w:jc w:val="center"/>
                  </w:pPr>
                  <w:r>
                    <w:t xml:space="preserve">GPP</w:t>
                  </w:r>
                </w:p>
              </w:tc>
            </w:tr>
            <w:tr>
              <w:tc>
                <w:tcPr>
                  <w:vMerge w:val="restart"/>
                </w:tcPr>
                <w:p>
                  <w:pPr>
                    <w:pStyle w:val="Compact"/>
                    <w:jc w:val="center"/>
                  </w:pPr>
                  <w:r>
                    <w:t xml:space="preserve">Low-pH viral inactivation</w:t>
                  </w:r>
                </w:p>
              </w:tc>
              <w:tc>
                <w:tcPr/>
                <w:p>
                  <w:pPr>
                    <w:pStyle w:val="Compact"/>
                    <w:jc w:val="center"/>
                  </w:pPr>
                  <w:r>
                    <w:t xml:space="preserve">Inactivation pH</w:t>
                  </w:r>
                </w:p>
              </w:tc>
              <w:tc>
                <w:tcPr/>
                <w:p>
                  <w:pPr>
                    <w:pStyle w:val="Compact"/>
                    <w:jc w:val="center"/>
                  </w:pPr>
                  <w:r>
                    <w:t xml:space="preserve">pH</w:t>
                  </w:r>
                </w:p>
              </w:tc>
              <w:tc>
                <w:tcPr/>
                <w:p>
                  <w:pPr>
                    <w:pStyle w:val="Compact"/>
                    <w:jc w:val="center"/>
                  </w:pPr>
                  <w:r>
                    <w:t xml:space="preserve">3.5</w:t>
                  </w:r>
                </w:p>
              </w:tc>
              <w:tc>
                <w:tcPr/>
                <w:p>
                  <w:pPr>
                    <w:pStyle w:val="Compact"/>
                    <w:jc w:val="center"/>
                  </w:pPr>
                  <w:r>
                    <w:t xml:space="preserve">3.4–3.6</w:t>
                  </w:r>
                </w:p>
              </w:tc>
              <w:tc>
                <w:tcPr/>
                <w:p>
                  <w:pPr>
                    <w:pStyle w:val="Compact"/>
                    <w:jc w:val="center"/>
                  </w:pPr>
                  <w:r>
                    <w:t xml:space="preserve">3.2–4</w:t>
                  </w:r>
                </w:p>
              </w:tc>
              <w:tc>
                <w:tcPr/>
                <w:p>
                  <w:pPr>
                    <w:pStyle w:val="Compact"/>
                    <w:jc w:val="center"/>
                  </w:pPr>
                  <w:r>
                    <w:t xml:space="preserve">multivariate</w:t>
                  </w:r>
                </w:p>
              </w:tc>
              <w:tc>
                <w:tcPr/>
                <w:p>
                  <w:pPr>
                    <w:pStyle w:val="Compact"/>
                    <w:jc w:val="center"/>
                  </w:pPr>
                  <w:r>
                    <w:t xml:space="preserve">CPP</w:t>
                  </w:r>
                </w:p>
              </w:tc>
            </w:tr>
            <w:tr>
              <w:tc>
                <w:tcPr>
                  <w:gridSpan w:val="1"/>
                  <w:vMerge w:val="continue"/>
                </w:tcPr>
                <w:p>
                  <w:pPr/>
                </w:p>
              </w:tc>
              <w:tc>
                <w:tcPr/>
                <w:p>
                  <w:pPr>
                    <w:pStyle w:val="Compact"/>
                    <w:jc w:val="center"/>
                  </w:pPr>
                  <w:r>
                    <w:t xml:space="preserve">Hold time</w:t>
                  </w:r>
                </w:p>
              </w:tc>
              <w:tc>
                <w:tcPr/>
                <w:p>
                  <w:pPr>
                    <w:pStyle w:val="Compact"/>
                    <w:jc w:val="center"/>
                  </w:pPr>
                  <w:r>
                    <w:t xml:space="preserve">min</w:t>
                  </w:r>
                </w:p>
              </w:tc>
              <w:tc>
                <w:tcPr/>
                <w:p>
                  <w:pPr>
                    <w:pStyle w:val="Compact"/>
                    <w:jc w:val="center"/>
                  </w:pPr>
                  <w:r>
                    <w:t xml:space="preserve">90</w:t>
                  </w:r>
                </w:p>
              </w:tc>
              <w:tc>
                <w:tcPr/>
                <w:p>
                  <w:pPr>
                    <w:pStyle w:val="Compact"/>
                    <w:jc w:val="center"/>
                  </w:pPr>
                  <w:r>
                    <w:t xml:space="preserve">90–120</w:t>
                  </w:r>
                  <w:r>
                    <w:rPr>
                      <w:vertAlign w:val="superscript"/>
                    </w:rPr>
                    <w:t xml:space="preserve">c2)</w:t>
                  </w:r>
                </w:p>
              </w:tc>
              <w:tc>
                <w:tcPr/>
                <w:p>
                  <w:pPr>
                    <w:pStyle w:val="Compact"/>
                    <w:jc w:val="center"/>
                  </w:pPr>
                  <w:r>
                    <w:t xml:space="preserve">60–180</w:t>
                  </w:r>
                </w:p>
              </w:tc>
              <w:tc>
                <w:tcPr/>
                <w:p>
                  <w:pPr>
                    <w:pStyle w:val="Compact"/>
                    <w:jc w:val="center"/>
                  </w:pPr>
                  <w:r>
                    <w:t xml:space="preserve">multivariate</w:t>
                  </w:r>
                </w:p>
              </w:tc>
              <w:tc>
                <w:tcPr/>
                <w:p>
                  <w:pPr>
                    <w:pStyle w:val="Compact"/>
                    <w:jc w:val="center"/>
                  </w:pPr>
                  <w:r>
                    <w:t xml:space="preserve">WC-CPP</w:t>
                  </w:r>
                </w:p>
              </w:tc>
            </w:tr>
            <w:tr>
              <w:tc>
                <w:tcPr>
                  <w:gridSpan w:val="1"/>
                  <w:vMerge w:val="continue"/>
                </w:tcPr>
                <w:p>
                  <w:pPr/>
                </w:p>
              </w:tc>
              <w:tc>
                <w:tcPr/>
                <w:p>
                  <w:pPr>
                    <w:pStyle w:val="Compact"/>
                    <w:jc w:val="center"/>
                  </w:pPr>
                  <w:r>
                    <w:t xml:space="preserve">Temperature</w:t>
                  </w:r>
                </w:p>
              </w:tc>
              <w:tc>
                <w:tcPr/>
                <w:p>
                  <w:pPr>
                    <w:pStyle w:val="Compact"/>
                    <w:jc w:val="center"/>
                  </w:pPr>
                  <w:r>
                    <w:t xml:space="preserve">°C</w:t>
                  </w:r>
                </w:p>
              </w:tc>
              <w:tc>
                <w:tcPr/>
                <w:p>
                  <w:pPr>
                    <w:pStyle w:val="Compact"/>
                    <w:jc w:val="center"/>
                  </w:pPr>
                  <w:r>
                    <w:t xml:space="preserve">21</w:t>
                  </w:r>
                </w:p>
              </w:tc>
              <w:tc>
                <w:tcPr/>
                <w:p>
                  <w:pPr>
                    <w:pStyle w:val="Compact"/>
                    <w:jc w:val="center"/>
                  </w:pPr>
                  <w:r>
                    <w:t xml:space="preserve">20–23</w:t>
                  </w:r>
                  <w:r>
                    <w:rPr>
                      <w:vertAlign w:val="superscript"/>
                    </w:rPr>
                    <w:t xml:space="preserve">c3)</w:t>
                  </w:r>
                </w:p>
              </w:tc>
              <w:tc>
                <w:tcPr/>
                <w:p>
                  <w:pPr>
                    <w:pStyle w:val="Compact"/>
                    <w:jc w:val="center"/>
                  </w:pPr>
                  <w:r>
                    <w:t xml:space="preserve">15–25</w:t>
                  </w:r>
                </w:p>
              </w:tc>
              <w:tc>
                <w:tcPr/>
                <w:p>
                  <w:pPr>
                    <w:pStyle w:val="Compact"/>
                    <w:jc w:val="center"/>
                  </w:pPr>
                  <w:r>
                    <w:t xml:space="preserve">multivariate</w:t>
                  </w:r>
                </w:p>
              </w:tc>
              <w:tc>
                <w:tcPr/>
                <w:p>
                  <w:pPr>
                    <w:pStyle w:val="Compact"/>
                    <w:jc w:val="center"/>
                  </w:pPr>
                  <w:r>
                    <w:t xml:space="preserve">WC-CPP</w:t>
                  </w:r>
                </w:p>
              </w:tc>
            </w:tr>
            <w:tr>
              <w:tc>
                <w:tcPr>
                  <w:gridSpan w:val="1"/>
                  <w:vMerge w:val="continue"/>
                </w:tcPr>
                <w:p>
                  <w:pPr/>
                </w:p>
              </w:tc>
              <w:tc>
                <w:tcPr/>
                <w:p>
                  <w:pPr>
                    <w:pStyle w:val="Compact"/>
                    <w:jc w:val="center"/>
                  </w:pPr>
                  <w:r>
                    <w:t xml:space="preserve">A-Mab concentration</w:t>
                  </w:r>
                </w:p>
              </w:tc>
              <w:tc>
                <w:tcPr/>
                <w:p>
                  <w:pPr>
                    <w:pStyle w:val="Compact"/>
                    <w:jc w:val="center"/>
                  </w:pPr>
                  <w:r>
                    <w:t xml:space="preserve">g/L</w:t>
                  </w:r>
                </w:p>
              </w:tc>
              <w:tc>
                <w:tcPr/>
                <w:p>
                  <w:pPr>
                    <w:pStyle w:val="Compact"/>
                    <w:jc w:val="center"/>
                  </w:pPr>
                  <w:r>
                    <w:t xml:space="preserve">20</w:t>
                  </w:r>
                </w:p>
              </w:tc>
              <w:tc>
                <w:tcPr/>
                <w:p>
                  <w:pPr>
                    <w:pStyle w:val="Compact"/>
                    <w:jc w:val="center"/>
                  </w:pPr>
                  <w:r>
                    <w:t xml:space="preserve">as characterized</w:t>
                  </w:r>
                  <w:r>
                    <w:rPr>
                      <w:vertAlign w:val="superscript"/>
                    </w:rPr>
                    <w:t xml:space="preserve">b)</w:t>
                  </w:r>
                </w:p>
              </w:tc>
              <w:tc>
                <w:tcPr/>
                <w:p>
                  <w:pPr>
                    <w:pStyle w:val="Compact"/>
                    <w:jc w:val="center"/>
                  </w:pPr>
                  <w:r>
                    <w:t xml:space="preserve">5–35</w:t>
                  </w:r>
                </w:p>
              </w:tc>
              <w:tc>
                <w:tcPr/>
                <w:p>
                  <w:pPr>
                    <w:pStyle w:val="Compact"/>
                    <w:jc w:val="center"/>
                  </w:pPr>
                  <w:r>
                    <w:t xml:space="preserve">univariate</w:t>
                  </w:r>
                  <w:r>
                    <w:rPr>
                      <w:vertAlign w:val="superscript"/>
                    </w:rPr>
                    <w:t xml:space="preserve">a)</w:t>
                  </w:r>
                </w:p>
              </w:tc>
              <w:tc>
                <w:tcPr/>
                <w:p>
                  <w:pPr>
                    <w:pStyle w:val="Compact"/>
                    <w:jc w:val="center"/>
                  </w:pPr>
                  <w:r>
                    <w:t xml:space="preserve">GPP</w:t>
                  </w:r>
                </w:p>
              </w:tc>
            </w:tr>
            <w:tr>
              <w:tc>
                <w:tcPr>
                  <w:vMerge w:val="restart"/>
                </w:tcPr>
                <w:p>
                  <w:pPr>
                    <w:pStyle w:val="Compact"/>
                    <w:jc w:val="center"/>
                  </w:pPr>
                  <w:r>
                    <w:t xml:space="preserve">Cation exchange</w:t>
                  </w:r>
                </w:p>
              </w:tc>
              <w:tc>
                <w:tcPr/>
                <w:p>
                  <w:pPr>
                    <w:pStyle w:val="Compact"/>
                    <w:jc w:val="center"/>
                  </w:pPr>
                  <w:r>
                    <w:t xml:space="preserve">Protein load</w:t>
                  </w:r>
                </w:p>
              </w:tc>
              <w:tc>
                <w:tcPr/>
                <w:p>
                  <w:pPr>
                    <w:pStyle w:val="Compact"/>
                    <w:jc w:val="center"/>
                  </w:pPr>
                  <w:r>
                    <w:t xml:space="preserve">g/L resin</w:t>
                  </w:r>
                </w:p>
              </w:tc>
              <w:tc>
                <w:tcPr/>
                <w:p>
                  <w:pPr>
                    <w:pStyle w:val="Compact"/>
                    <w:jc w:val="center"/>
                  </w:pPr>
                  <w:r>
                    <w:t xml:space="preserve">25</w:t>
                  </w:r>
                </w:p>
              </w:tc>
              <w:tc>
                <w:tcPr/>
                <w:p>
                  <w:pPr>
                    <w:pStyle w:val="Compact"/>
                    <w:jc w:val="center"/>
                  </w:pPr>
                  <w:r>
                    <w:t xml:space="preserve">18–32</w:t>
                  </w:r>
                </w:p>
              </w:tc>
              <w:tc>
                <w:tcPr/>
                <w:p>
                  <w:pPr>
                    <w:pStyle w:val="Compact"/>
                    <w:jc w:val="center"/>
                  </w:pPr>
                  <w:r>
                    <w:t xml:space="preserve">10–40</w:t>
                  </w:r>
                </w:p>
              </w:tc>
              <w:tc>
                <w:tcPr/>
                <w:p>
                  <w:pPr>
                    <w:pStyle w:val="Compact"/>
                    <w:jc w:val="center"/>
                  </w:pPr>
                  <w:r>
                    <w:t xml:space="preserve">multivariate</w:t>
                  </w:r>
                </w:p>
              </w:tc>
              <w:tc>
                <w:tcPr/>
                <w:p>
                  <w:pPr>
                    <w:pStyle w:val="Compact"/>
                    <w:jc w:val="center"/>
                  </w:pPr>
                  <w:r>
                    <w:t xml:space="preserve">WC-CPP</w:t>
                  </w:r>
                </w:p>
              </w:tc>
            </w:tr>
            <w:tr>
              <w:tc>
                <w:tcPr>
                  <w:gridSpan w:val="1"/>
                  <w:vMerge w:val="continue"/>
                </w:tcPr>
                <w:p>
                  <w:pPr/>
                </w:p>
              </w:tc>
              <w:tc>
                <w:tcPr/>
                <w:p>
                  <w:pPr>
                    <w:pStyle w:val="Compact"/>
                    <w:jc w:val="center"/>
                  </w:pPr>
                  <w:r>
                    <w:t xml:space="preserve">Load/Wash conductivity</w:t>
                  </w:r>
                </w:p>
              </w:tc>
              <w:tc>
                <w:tcPr/>
                <w:p>
                  <w:pPr>
                    <w:pStyle w:val="Compact"/>
                    <w:jc w:val="center"/>
                  </w:pPr>
                  <w:r>
                    <w:t xml:space="preserve">mS/cm</w:t>
                  </w:r>
                </w:p>
              </w:tc>
              <w:tc>
                <w:tcPr/>
                <w:p>
                  <w:pPr>
                    <w:pStyle w:val="Compact"/>
                    <w:jc w:val="center"/>
                  </w:pPr>
                  <w:r>
                    <w:t xml:space="preserve">5</w:t>
                  </w:r>
                </w:p>
              </w:tc>
              <w:tc>
                <w:tcPr/>
                <w:p>
                  <w:pPr>
                    <w:pStyle w:val="Compact"/>
                    <w:jc w:val="center"/>
                  </w:pPr>
                  <w:r>
                    <w:t xml:space="preserve">4–6</w:t>
                  </w:r>
                </w:p>
              </w:tc>
              <w:tc>
                <w:tcPr/>
                <w:p>
                  <w:pPr>
                    <w:pStyle w:val="Compact"/>
                    <w:jc w:val="center"/>
                  </w:pPr>
                  <w:r>
                    <w:t xml:space="preserve">3–7</w:t>
                  </w:r>
                </w:p>
              </w:tc>
              <w:tc>
                <w:tcPr/>
                <w:p>
                  <w:pPr>
                    <w:pStyle w:val="Compact"/>
                    <w:jc w:val="center"/>
                  </w:pPr>
                  <w:r>
                    <w:t xml:space="preserve">multivariate</w:t>
                  </w:r>
                </w:p>
              </w:tc>
              <w:tc>
                <w:tcPr/>
                <w:p>
                  <w:pPr>
                    <w:pStyle w:val="Compact"/>
                    <w:jc w:val="center"/>
                  </w:pPr>
                  <w:r>
                    <w:t xml:space="preserve">WC-CPP</w:t>
                  </w:r>
                </w:p>
              </w:tc>
            </w:tr>
            <w:tr>
              <w:tc>
                <w:tcPr>
                  <w:gridSpan w:val="1"/>
                  <w:vMerge w:val="continue"/>
                </w:tcPr>
                <w:p>
                  <w:pPr/>
                </w:p>
              </w:tc>
              <w:tc>
                <w:tcPr/>
                <w:p>
                  <w:pPr>
                    <w:pStyle w:val="Compact"/>
                    <w:jc w:val="center"/>
                  </w:pPr>
                  <w:r>
                    <w:t xml:space="preserve">Elution buffer pH</w:t>
                  </w:r>
                </w:p>
              </w:tc>
              <w:tc>
                <w:tcPr/>
                <w:p>
                  <w:pPr>
                    <w:pStyle w:val="Compact"/>
                    <w:jc w:val="center"/>
                  </w:pPr>
                  <w:r>
                    <w:t xml:space="preserve">pH</w:t>
                  </w:r>
                </w:p>
              </w:tc>
              <w:tc>
                <w:tcPr/>
                <w:p>
                  <w:pPr>
                    <w:pStyle w:val="Compact"/>
                    <w:jc w:val="center"/>
                  </w:pPr>
                  <w:r>
                    <w:t xml:space="preserve">6</w:t>
                  </w:r>
                </w:p>
              </w:tc>
              <w:tc>
                <w:tcPr/>
                <w:p>
                  <w:pPr>
                    <w:pStyle w:val="Compact"/>
                    <w:jc w:val="center"/>
                  </w:pPr>
                  <w:r>
                    <w:t xml:space="preserve">5.85–6.15</w:t>
                  </w:r>
                </w:p>
              </w:tc>
              <w:tc>
                <w:tcPr/>
                <w:p>
                  <w:pPr>
                    <w:pStyle w:val="Compact"/>
                    <w:jc w:val="center"/>
                  </w:pPr>
                  <w:r>
                    <w:t xml:space="preserve">5.8–6.2</w:t>
                  </w:r>
                </w:p>
              </w:tc>
              <w:tc>
                <w:tcPr/>
                <w:p>
                  <w:pPr>
                    <w:pStyle w:val="Compact"/>
                    <w:jc w:val="center"/>
                  </w:pPr>
                  <w:r>
                    <w:t xml:space="preserve">multivariate</w:t>
                  </w:r>
                </w:p>
              </w:tc>
              <w:tc>
                <w:tcPr/>
                <w:p>
                  <w:pPr>
                    <w:pStyle w:val="Compact"/>
                    <w:jc w:val="center"/>
                  </w:pPr>
                  <w:r>
                    <w:t xml:space="preserve">WC-CPP</w:t>
                  </w:r>
                </w:p>
              </w:tc>
            </w:tr>
            <w:tr>
              <w:tc>
                <w:tcPr>
                  <w:gridSpan w:val="1"/>
                  <w:vMerge w:val="continue"/>
                </w:tcPr>
                <w:p>
                  <w:pPr/>
                </w:p>
              </w:tc>
              <w:tc>
                <w:tcPr/>
                <w:p>
                  <w:pPr>
                    <w:pStyle w:val="Compact"/>
                    <w:jc w:val="center"/>
                  </w:pPr>
                  <w:r>
                    <w:t xml:space="preserve">Elution stop collect</w:t>
                  </w:r>
                </w:p>
              </w:tc>
              <w:tc>
                <w:tcPr/>
                <w:p>
                  <w:pPr>
                    <w:pStyle w:val="Compact"/>
                    <w:jc w:val="center"/>
                  </w:pPr>
                  <w:r>
                    <w:t xml:space="preserve">AU (OD280, descending)</w:t>
                  </w:r>
                </w:p>
              </w:tc>
              <w:tc>
                <w:tcPr/>
                <w:p>
                  <w:pPr>
                    <w:pStyle w:val="Compact"/>
                    <w:jc w:val="center"/>
                  </w:pPr>
                  <w:r>
                    <w:t xml:space="preserve">1</w:t>
                  </w:r>
                </w:p>
              </w:tc>
              <w:tc>
                <w:tcPr/>
                <w:p>
                  <w:pPr>
                    <w:pStyle w:val="Compact"/>
                    <w:jc w:val="center"/>
                  </w:pPr>
                  <w:r>
                    <w:t xml:space="preserve">0.7–1.3</w:t>
                  </w:r>
                </w:p>
              </w:tc>
              <w:tc>
                <w:tcPr/>
                <w:p>
                  <w:pPr>
                    <w:pStyle w:val="Compact"/>
                    <w:jc w:val="center"/>
                  </w:pPr>
                  <w:r>
                    <w:t xml:space="preserve">0.5–1.5</w:t>
                  </w:r>
                </w:p>
              </w:tc>
              <w:tc>
                <w:tcPr/>
                <w:p>
                  <w:pPr>
                    <w:pStyle w:val="Compact"/>
                    <w:jc w:val="center"/>
                  </w:pPr>
                  <w:r>
                    <w:t xml:space="preserve">multivariate</w:t>
                  </w:r>
                </w:p>
              </w:tc>
              <w:tc>
                <w:tcPr/>
                <w:p>
                  <w:pPr>
                    <w:pStyle w:val="Compact"/>
                    <w:jc w:val="center"/>
                  </w:pPr>
                  <w:r>
                    <w:t xml:space="preserve">WC-CPP</w:t>
                  </w:r>
                </w:p>
              </w:tc>
            </w:tr>
            <w:tr>
              <w:tc>
                <w:tcPr>
                  <w:gridSpan w:val="1"/>
                  <w:vMerge w:val="continue"/>
                </w:tcPr>
                <w:p>
                  <w:pPr/>
                </w:p>
              </w:tc>
              <w:tc>
                <w:tcPr/>
                <w:p>
                  <w:pPr>
                    <w:pStyle w:val="Compact"/>
                    <w:jc w:val="center"/>
                  </w:pPr>
                  <w:r>
                    <w:t xml:space="preserve">Elution flow rate</w:t>
                  </w:r>
                </w:p>
              </w:tc>
              <w:tc>
                <w:tcPr/>
                <w:p>
                  <w:pPr>
                    <w:pStyle w:val="Compact"/>
                    <w:jc w:val="center"/>
                  </w:pPr>
                  <w:r>
                    <w:t xml:space="preserve">cm/hr</w:t>
                  </w:r>
                </w:p>
              </w:tc>
              <w:tc>
                <w:tcPr/>
                <w:p>
                  <w:pPr>
                    <w:pStyle w:val="Compact"/>
                    <w:jc w:val="center"/>
                  </w:pPr>
                  <w:r>
                    <w:t xml:space="preserve">200</w:t>
                  </w:r>
                </w:p>
              </w:tc>
              <w:tc>
                <w:tcPr/>
                <w:p>
                  <w:pPr>
                    <w:pStyle w:val="Compact"/>
                    <w:jc w:val="center"/>
                  </w:pPr>
                  <w:r>
                    <w:t xml:space="preserve">150–250</w:t>
                  </w:r>
                </w:p>
              </w:tc>
              <w:tc>
                <w:tcPr/>
                <w:p>
                  <w:pPr>
                    <w:pStyle w:val="Compact"/>
                    <w:jc w:val="center"/>
                  </w:pPr>
                  <w:r>
                    <w:t xml:space="preserve">100–300</w:t>
                  </w:r>
                </w:p>
              </w:tc>
              <w:tc>
                <w:tcPr/>
                <w:p>
                  <w:pPr>
                    <w:pStyle w:val="Compact"/>
                    <w:jc w:val="center"/>
                  </w:pPr>
                  <w:r>
                    <w:t xml:space="preserve">univariate</w:t>
                  </w:r>
                  <w:r>
                    <w:rPr>
                      <w:vertAlign w:val="superscript"/>
                    </w:rPr>
                    <w:t xml:space="preserve">a)</w:t>
                  </w:r>
                </w:p>
              </w:tc>
              <w:tc>
                <w:tcPr/>
                <w:p>
                  <w:pPr>
                    <w:pStyle w:val="Compact"/>
                    <w:jc w:val="center"/>
                  </w:pPr>
                  <w:r>
                    <w:t xml:space="preserve">GPP</w:t>
                  </w:r>
                </w:p>
              </w:tc>
            </w:tr>
            <w:tr>
              <w:tc>
                <w:tcPr>
                  <w:vMerge w:val="restart"/>
                </w:tcPr>
                <w:p>
                  <w:pPr>
                    <w:pStyle w:val="Compact"/>
                    <w:jc w:val="center"/>
                  </w:pPr>
                  <w:r>
                    <w:t xml:space="preserve">Anion exchange</w:t>
                  </w:r>
                </w:p>
              </w:tc>
              <w:tc>
                <w:tcPr/>
                <w:p>
                  <w:pPr>
                    <w:pStyle w:val="Compact"/>
                    <w:jc w:val="center"/>
                  </w:pPr>
                  <w:r>
                    <w:t xml:space="preserve">Load pH</w:t>
                  </w:r>
                </w:p>
              </w:tc>
              <w:tc>
                <w:tcPr/>
                <w:p>
                  <w:pPr>
                    <w:pStyle w:val="Compact"/>
                    <w:jc w:val="center"/>
                  </w:pPr>
                  <w:r>
                    <w:t xml:space="preserve">pH</w:t>
                  </w:r>
                </w:p>
              </w:tc>
              <w:tc>
                <w:tcPr/>
                <w:p>
                  <w:pPr>
                    <w:pStyle w:val="Compact"/>
                    <w:jc w:val="center"/>
                  </w:pPr>
                  <w:r>
                    <w:t xml:space="preserve">7.5</w:t>
                  </w:r>
                </w:p>
              </w:tc>
              <w:tc>
                <w:tcPr/>
                <w:p>
                  <w:pPr>
                    <w:pStyle w:val="Compact"/>
                    <w:jc w:val="center"/>
                  </w:pPr>
                  <w:r>
                    <w:t xml:space="preserve">7.35–7.65</w:t>
                  </w:r>
                </w:p>
              </w:tc>
              <w:tc>
                <w:tcPr/>
                <w:p>
                  <w:pPr>
                    <w:pStyle w:val="Compact"/>
                    <w:jc w:val="center"/>
                  </w:pPr>
                  <w:r>
                    <w:t xml:space="preserve">7.2–7.8</w:t>
                  </w:r>
                </w:p>
              </w:tc>
              <w:tc>
                <w:tcPr/>
                <w:p>
                  <w:pPr>
                    <w:pStyle w:val="Compact"/>
                    <w:jc w:val="center"/>
                  </w:pPr>
                  <w:r>
                    <w:t xml:space="preserve">multivariate</w:t>
                  </w:r>
                </w:p>
              </w:tc>
              <w:tc>
                <w:tcPr/>
                <w:p>
                  <w:pPr>
                    <w:pStyle w:val="Compact"/>
                    <w:jc w:val="center"/>
                  </w:pPr>
                  <w:r>
                    <w:t xml:space="preserve">WC-CPP</w:t>
                  </w:r>
                </w:p>
              </w:tc>
            </w:tr>
            <w:tr>
              <w:tc>
                <w:tcPr>
                  <w:gridSpan w:val="1"/>
                  <w:vMerge w:val="continue"/>
                </w:tcPr>
                <w:p>
                  <w:pPr/>
                </w:p>
              </w:tc>
              <w:tc>
                <w:tcPr/>
                <w:p>
                  <w:pPr>
                    <w:pStyle w:val="Compact"/>
                    <w:jc w:val="center"/>
                  </w:pPr>
                  <w:r>
                    <w:t xml:space="preserve">Equil/Wash-1 conductivity</w:t>
                  </w:r>
                </w:p>
              </w:tc>
              <w:tc>
                <w:tcPr/>
                <w:p>
                  <w:pPr>
                    <w:pStyle w:val="Compact"/>
                    <w:jc w:val="center"/>
                  </w:pPr>
                  <w:r>
                    <w:t xml:space="preserve">mS/cm</w:t>
                  </w:r>
                </w:p>
              </w:tc>
              <w:tc>
                <w:tcPr/>
                <w:p>
                  <w:pPr>
                    <w:pStyle w:val="Compact"/>
                    <w:jc w:val="center"/>
                  </w:pPr>
                  <w:r>
                    <w:t xml:space="preserve">2.6</w:t>
                  </w:r>
                </w:p>
              </w:tc>
              <w:tc>
                <w:tcPr/>
                <w:p>
                  <w:pPr>
                    <w:pStyle w:val="Compact"/>
                    <w:jc w:val="center"/>
                  </w:pPr>
                  <w:r>
                    <w:t xml:space="preserve">2.1–3.1</w:t>
                  </w:r>
                </w:p>
              </w:tc>
              <w:tc>
                <w:tcPr/>
                <w:p>
                  <w:pPr>
                    <w:pStyle w:val="Compact"/>
                    <w:jc w:val="center"/>
                  </w:pPr>
                  <w:r>
                    <w:t xml:space="preserve">1.6–3.6</w:t>
                  </w:r>
                </w:p>
              </w:tc>
              <w:tc>
                <w:tcPr/>
                <w:p>
                  <w:pPr>
                    <w:pStyle w:val="Compact"/>
                    <w:jc w:val="center"/>
                  </w:pPr>
                  <w:r>
                    <w:t xml:space="preserve">multivariate</w:t>
                  </w:r>
                </w:p>
              </w:tc>
              <w:tc>
                <w:tcPr/>
                <w:p>
                  <w:pPr>
                    <w:pStyle w:val="Compact"/>
                    <w:jc w:val="center"/>
                  </w:pPr>
                  <w:r>
                    <w:t xml:space="preserve">WC-CPP</w:t>
                  </w:r>
                </w:p>
              </w:tc>
            </w:tr>
            <w:tr>
              <w:tc>
                <w:tcPr>
                  <w:gridSpan w:val="1"/>
                  <w:vMerge w:val="continue"/>
                </w:tcPr>
                <w:p>
                  <w:pPr/>
                </w:p>
              </w:tc>
              <w:tc>
                <w:tcPr/>
                <w:p>
                  <w:pPr>
                    <w:pStyle w:val="Compact"/>
                    <w:jc w:val="center"/>
                  </w:pPr>
                  <w:r>
                    <w:t xml:space="preserve">Load conductivity</w:t>
                  </w:r>
                </w:p>
              </w:tc>
              <w:tc>
                <w:tcPr/>
                <w:p>
                  <w:pPr>
                    <w:pStyle w:val="Compact"/>
                    <w:jc w:val="center"/>
                  </w:pPr>
                  <w:r>
                    <w:t xml:space="preserve">mS/cm</w:t>
                  </w:r>
                </w:p>
              </w:tc>
              <w:tc>
                <w:tcPr/>
                <w:p>
                  <w:pPr>
                    <w:pStyle w:val="Compact"/>
                    <w:jc w:val="center"/>
                  </w:pPr>
                  <w:r>
                    <w:t xml:space="preserve">5.5</w:t>
                  </w:r>
                </w:p>
              </w:tc>
              <w:tc>
                <w:tcPr/>
                <w:p>
                  <w:pPr>
                    <w:pStyle w:val="Compact"/>
                    <w:jc w:val="center"/>
                  </w:pPr>
                  <w:r>
                    <w:t xml:space="preserve">4–7</w:t>
                  </w:r>
                </w:p>
              </w:tc>
              <w:tc>
                <w:tcPr/>
                <w:p>
                  <w:pPr>
                    <w:pStyle w:val="Compact"/>
                    <w:jc w:val="center"/>
                  </w:pPr>
                  <w:r>
                    <w:t xml:space="preserve">3–8</w:t>
                  </w:r>
                </w:p>
              </w:tc>
              <w:tc>
                <w:tcPr/>
                <w:p>
                  <w:pPr>
                    <w:pStyle w:val="Compact"/>
                    <w:jc w:val="center"/>
                  </w:pPr>
                  <w:r>
                    <w:t xml:space="preserve">multivariate</w:t>
                  </w:r>
                </w:p>
              </w:tc>
              <w:tc>
                <w:tcPr/>
                <w:p>
                  <w:pPr>
                    <w:pStyle w:val="Compact"/>
                    <w:jc w:val="center"/>
                  </w:pPr>
                  <w:r>
                    <w:t xml:space="preserve">WC-CPP</w:t>
                  </w:r>
                </w:p>
              </w:tc>
            </w:tr>
            <w:tr>
              <w:tc>
                <w:tcPr>
                  <w:gridSpan w:val="1"/>
                  <w:vMerge w:val="continue"/>
                </w:tcPr>
                <w:p>
                  <w:pPr/>
                </w:p>
              </w:tc>
              <w:tc>
                <w:tcPr/>
                <w:p>
                  <w:pPr>
                    <w:pStyle w:val="Compact"/>
                    <w:jc w:val="center"/>
                  </w:pPr>
                  <w:r>
                    <w:t xml:space="preserve">Protein load</w:t>
                  </w:r>
                </w:p>
              </w:tc>
              <w:tc>
                <w:tcPr/>
                <w:p>
                  <w:pPr>
                    <w:pStyle w:val="Compact"/>
                    <w:jc w:val="center"/>
                  </w:pPr>
                  <w:r>
                    <w:t xml:space="preserve">g/L resin</w:t>
                  </w:r>
                </w:p>
              </w:tc>
              <w:tc>
                <w:tcPr/>
                <w:p>
                  <w:pPr>
                    <w:pStyle w:val="Compact"/>
                    <w:jc w:val="center"/>
                  </w:pPr>
                  <w:r>
                    <w:t xml:space="preserve">200</w:t>
                  </w:r>
                </w:p>
              </w:tc>
              <w:tc>
                <w:tcPr/>
                <w:p>
                  <w:pPr>
                    <w:pStyle w:val="Compact"/>
                    <w:jc w:val="center"/>
                  </w:pPr>
                  <w:r>
                    <w:t xml:space="preserve">120–280</w:t>
                  </w:r>
                </w:p>
              </w:tc>
              <w:tc>
                <w:tcPr/>
                <w:p>
                  <w:pPr>
                    <w:pStyle w:val="Compact"/>
                    <w:jc w:val="center"/>
                  </w:pPr>
                  <w:r>
                    <w:t xml:space="preserve">50–300</w:t>
                  </w:r>
                </w:p>
              </w:tc>
              <w:tc>
                <w:tcPr/>
                <w:p>
                  <w:pPr>
                    <w:pStyle w:val="Compact"/>
                    <w:jc w:val="center"/>
                  </w:pPr>
                  <w:r>
                    <w:t xml:space="preserve">multivariate</w:t>
                  </w:r>
                </w:p>
              </w:tc>
              <w:tc>
                <w:tcPr/>
                <w:p>
                  <w:pPr>
                    <w:pStyle w:val="Compact"/>
                    <w:jc w:val="center"/>
                  </w:pPr>
                  <w:r>
                    <w:t xml:space="preserve">WC-CPP</w:t>
                  </w:r>
                </w:p>
              </w:tc>
            </w:tr>
            <w:tr>
              <w:tc>
                <w:tcPr>
                  <w:gridSpan w:val="1"/>
                  <w:vMerge w:val="continue"/>
                </w:tcPr>
                <w:p>
                  <w:pPr/>
                </w:p>
              </w:tc>
              <w:tc>
                <w:tcPr/>
                <w:p>
                  <w:pPr>
                    <w:pStyle w:val="Compact"/>
                    <w:jc w:val="center"/>
                  </w:pPr>
                  <w:r>
                    <w:t xml:space="preserve">Operating flow rate</w:t>
                  </w:r>
                </w:p>
              </w:tc>
              <w:tc>
                <w:tcPr/>
                <w:p>
                  <w:pPr>
                    <w:pStyle w:val="Compact"/>
                    <w:jc w:val="center"/>
                  </w:pPr>
                  <w:r>
                    <w:t xml:space="preserve">cm/hr</w:t>
                  </w:r>
                </w:p>
              </w:tc>
              <w:tc>
                <w:tcPr/>
                <w:p>
                  <w:pPr>
                    <w:pStyle w:val="Compact"/>
                    <w:jc w:val="center"/>
                  </w:pPr>
                  <w:r>
                    <w:t xml:space="preserve">300</w:t>
                  </w:r>
                </w:p>
              </w:tc>
              <w:tc>
                <w:tcPr/>
                <w:p>
                  <w:pPr>
                    <w:pStyle w:val="Compact"/>
                    <w:jc w:val="center"/>
                  </w:pPr>
                  <w:r>
                    <w:t xml:space="preserve">200–400</w:t>
                  </w:r>
                </w:p>
              </w:tc>
              <w:tc>
                <w:tcPr/>
                <w:p>
                  <w:pPr>
                    <w:pStyle w:val="Compact"/>
                    <w:jc w:val="center"/>
                  </w:pPr>
                  <w:r>
                    <w:t xml:space="preserve">150–450</w:t>
                  </w:r>
                </w:p>
              </w:tc>
              <w:tc>
                <w:tcPr/>
                <w:p>
                  <w:pPr>
                    <w:pStyle w:val="Compact"/>
                    <w:jc w:val="center"/>
                  </w:pPr>
                  <w:r>
                    <w:t xml:space="preserve">univariate</w:t>
                  </w:r>
                  <w:r>
                    <w:rPr>
                      <w:vertAlign w:val="superscript"/>
                    </w:rPr>
                    <w:t xml:space="preserve">a)</w:t>
                  </w:r>
                </w:p>
              </w:tc>
              <w:tc>
                <w:tcPr/>
                <w:p>
                  <w:pPr>
                    <w:pStyle w:val="Compact"/>
                    <w:jc w:val="center"/>
                  </w:pPr>
                  <w:r>
                    <w:t xml:space="preserve">WC-CPP</w:t>
                  </w:r>
                </w:p>
              </w:tc>
            </w:tr>
            <w:tr>
              <w:tc>
                <w:tcPr>
                  <w:vMerge w:val="restart"/>
                </w:tcPr>
                <w:p>
                  <w:pPr>
                    <w:pStyle w:val="Compact"/>
                    <w:jc w:val="center"/>
                  </w:pPr>
                  <w:r>
                    <w:t xml:space="preserve">Virus filtration</w:t>
                  </w:r>
                </w:p>
              </w:tc>
              <w:tc>
                <w:tcPr/>
                <w:p>
                  <w:pPr>
                    <w:pStyle w:val="Compact"/>
                    <w:jc w:val="center"/>
                  </w:pPr>
                  <w:r>
                    <w:t xml:space="preserve">Filtration volume (load)</w:t>
                  </w:r>
                </w:p>
              </w:tc>
              <w:tc>
                <w:tcPr/>
                <w:p>
                  <w:pPr>
                    <w:pStyle w:val="Compact"/>
                    <w:jc w:val="center"/>
                  </w:pPr>
                  <w:r>
                    <w:t xml:space="preserve">L/m2</w:t>
                  </w:r>
                </w:p>
              </w:tc>
              <w:tc>
                <w:tcPr/>
                <w:p>
                  <w:pPr>
                    <w:pStyle w:val="Compact"/>
                    <w:jc w:val="center"/>
                  </w:pPr>
                  <w:r>
                    <w:t xml:space="preserve">90</w:t>
                  </w:r>
                </w:p>
              </w:tc>
              <w:tc>
                <w:tcPr/>
                <w:p>
                  <w:pPr>
                    <w:pStyle w:val="Compact"/>
                    <w:jc w:val="center"/>
                  </w:pPr>
                  <w:r>
                    <w:t xml:space="preserve">50–105</w:t>
                  </w:r>
                </w:p>
              </w:tc>
              <w:tc>
                <w:tcPr/>
                <w:p>
                  <w:pPr>
                    <w:pStyle w:val="Compact"/>
                    <w:jc w:val="center"/>
                  </w:pPr>
                  <w:r>
                    <w:t xml:space="preserve">50–140</w:t>
                  </w:r>
                </w:p>
              </w:tc>
              <w:tc>
                <w:tcPr/>
                <w:p>
                  <w:pPr>
                    <w:pStyle w:val="Compact"/>
                    <w:jc w:val="center"/>
                  </w:pPr>
                  <w:r>
                    <w:t xml:space="preserve">multivariate</w:t>
                  </w:r>
                </w:p>
              </w:tc>
              <w:tc>
                <w:tcPr/>
                <w:p>
                  <w:pPr>
                    <w:pStyle w:val="Compact"/>
                    <w:jc w:val="center"/>
                  </w:pPr>
                  <w:r>
                    <w:t xml:space="preserve">WC-CPP</w:t>
                  </w:r>
                </w:p>
              </w:tc>
            </w:tr>
            <w:tr>
              <w:tc>
                <w:tcPr>
                  <w:gridSpan w:val="1"/>
                  <w:vMerge w:val="continue"/>
                </w:tcPr>
                <w:p>
                  <w:pPr/>
                </w:p>
              </w:tc>
              <w:tc>
                <w:tcPr/>
                <w:p>
                  <w:pPr>
                    <w:pStyle w:val="Compact"/>
                    <w:jc w:val="center"/>
                  </w:pPr>
                  <w:r>
                    <w:t xml:space="preserve">Filtration pressure</w:t>
                  </w:r>
                </w:p>
              </w:tc>
              <w:tc>
                <w:tcPr/>
                <w:p>
                  <w:pPr>
                    <w:pStyle w:val="Compact"/>
                    <w:jc w:val="center"/>
                  </w:pPr>
                  <w:r>
                    <w:t xml:space="preserve">psi</w:t>
                  </w:r>
                </w:p>
              </w:tc>
              <w:tc>
                <w:tcPr/>
                <w:p>
                  <w:pPr>
                    <w:pStyle w:val="Compact"/>
                    <w:jc w:val="center"/>
                  </w:pPr>
                  <w:r>
                    <w:t xml:space="preserve">13</w:t>
                  </w:r>
                </w:p>
              </w:tc>
              <w:tc>
                <w:tcPr/>
                <w:p>
                  <w:pPr>
                    <w:pStyle w:val="Compact"/>
                    <w:jc w:val="center"/>
                  </w:pPr>
                  <w:r>
                    <w:t xml:space="preserve">10–20</w:t>
                  </w:r>
                </w:p>
              </w:tc>
              <w:tc>
                <w:tcPr/>
                <w:p>
                  <w:pPr>
                    <w:pStyle w:val="Compact"/>
                    <w:jc w:val="center"/>
                  </w:pPr>
                  <w:r>
                    <w:t xml:space="preserve">8–30</w:t>
                  </w:r>
                </w:p>
              </w:tc>
              <w:tc>
                <w:tcPr/>
                <w:p>
                  <w:pPr>
                    <w:pStyle w:val="Compact"/>
                    <w:jc w:val="center"/>
                  </w:pPr>
                  <w:r>
                    <w:t xml:space="preserve">multivariate</w:t>
                  </w:r>
                </w:p>
              </w:tc>
              <w:tc>
                <w:tcPr/>
                <w:p>
                  <w:pPr>
                    <w:pStyle w:val="Compact"/>
                    <w:jc w:val="center"/>
                  </w:pPr>
                  <w:r>
                    <w:t xml:space="preserve">WC-CPP</w:t>
                  </w:r>
                </w:p>
              </w:tc>
            </w:tr>
            <w:tr>
              <w:tc>
                <w:tcPr>
                  <w:vMerge w:val="restart"/>
                </w:tcPr>
                <w:p>
                  <w:pPr>
                    <w:pStyle w:val="Compact"/>
                    <w:jc w:val="center"/>
                  </w:pPr>
                  <w:r>
                    <w:t xml:space="preserve">UF/DF</w:t>
                  </w:r>
                </w:p>
              </w:tc>
              <w:tc>
                <w:tcPr/>
                <w:p>
                  <w:pPr>
                    <w:pStyle w:val="Compact"/>
                    <w:jc w:val="center"/>
                  </w:pPr>
                  <w:r>
                    <w:t xml:space="preserve">Number of diavolumes</w:t>
                  </w:r>
                </w:p>
              </w:tc>
              <w:tc>
                <w:tcPr/>
                <w:p>
                  <w:pPr>
                    <w:pStyle w:val="Compact"/>
                    <w:jc w:val="center"/>
                  </w:pPr>
                  <w:r>
                    <w:t xml:space="preserve">DV</w:t>
                  </w:r>
                </w:p>
              </w:tc>
              <w:tc>
                <w:tcPr/>
                <w:p>
                  <w:pPr>
                    <w:pStyle w:val="Compact"/>
                    <w:jc w:val="center"/>
                  </w:pPr>
                  <w:r>
                    <w:t xml:space="preserve">8</w:t>
                  </w:r>
                </w:p>
              </w:tc>
              <w:tc>
                <w:tcPr/>
                <w:p>
                  <w:pPr>
                    <w:pStyle w:val="Compact"/>
                    <w:jc w:val="center"/>
                  </w:pPr>
                  <w:r>
                    <w:t xml:space="preserve">7–9</w:t>
                  </w:r>
                </w:p>
              </w:tc>
              <w:tc>
                <w:tcPr/>
                <w:p>
                  <w:pPr>
                    <w:pStyle w:val="Compact"/>
                    <w:jc w:val="center"/>
                  </w:pPr>
                  <w:r>
                    <w:t xml:space="preserve">7–10</w:t>
                  </w:r>
                </w:p>
              </w:tc>
              <w:tc>
                <w:tcPr/>
                <w:p>
                  <w:pPr>
                    <w:pStyle w:val="Compact"/>
                    <w:jc w:val="center"/>
                  </w:pPr>
                  <w:r>
                    <w:t xml:space="preserve">univariate</w:t>
                  </w:r>
                  <w:r>
                    <w:rPr>
                      <w:vertAlign w:val="superscript"/>
                    </w:rPr>
                    <w:t xml:space="preserve">a)</w:t>
                  </w:r>
                </w:p>
              </w:tc>
              <w:tc>
                <w:tcPr/>
                <w:p>
                  <w:pPr>
                    <w:pStyle w:val="Compact"/>
                    <w:jc w:val="center"/>
                  </w:pPr>
                  <w:r>
                    <w:t xml:space="preserve">KPP</w:t>
                  </w:r>
                </w:p>
              </w:tc>
            </w:tr>
            <w:tr>
              <w:tc>
                <w:tcPr>
                  <w:gridSpan w:val="1"/>
                  <w:vMerge w:val="continue"/>
                </w:tcPr>
                <w:p>
                  <w:pPr/>
                </w:p>
              </w:tc>
              <w:tc>
                <w:tcPr/>
                <w:p>
                  <w:pPr>
                    <w:pStyle w:val="Compact"/>
                    <w:jc w:val="center"/>
                  </w:pPr>
                  <w:r>
                    <w:t xml:space="preserve">Transmembrane pressure</w:t>
                  </w:r>
                </w:p>
              </w:tc>
              <w:tc>
                <w:tcPr/>
                <w:p>
                  <w:pPr>
                    <w:pStyle w:val="Compact"/>
                    <w:jc w:val="center"/>
                  </w:pPr>
                  <w:r>
                    <w:t xml:space="preserve">psi</w:t>
                  </w:r>
                </w:p>
              </w:tc>
              <w:tc>
                <w:tcPr/>
                <w:p>
                  <w:pPr>
                    <w:pStyle w:val="Compact"/>
                    <w:jc w:val="center"/>
                  </w:pPr>
                  <w:r>
                    <w:t xml:space="preserve">12</w:t>
                  </w:r>
                </w:p>
              </w:tc>
              <w:tc>
                <w:tcPr/>
                <w:p>
                  <w:pPr>
                    <w:pStyle w:val="Compact"/>
                    <w:jc w:val="center"/>
                  </w:pPr>
                  <w:r>
                    <w:t xml:space="preserve">10–14</w:t>
                  </w:r>
                </w:p>
              </w:tc>
              <w:tc>
                <w:tcPr/>
                <w:p>
                  <w:pPr>
                    <w:pStyle w:val="Compact"/>
                    <w:jc w:val="center"/>
                  </w:pPr>
                  <w:r>
                    <w:t xml:space="preserve">10–15</w:t>
                  </w:r>
                </w:p>
              </w:tc>
              <w:tc>
                <w:tcPr/>
                <w:p>
                  <w:pPr>
                    <w:pStyle w:val="Compact"/>
                    <w:jc w:val="center"/>
                  </w:pPr>
                  <w:r>
                    <w:t xml:space="preserve">univariate</w:t>
                  </w:r>
                  <w:r>
                    <w:rPr>
                      <w:vertAlign w:val="superscript"/>
                    </w:rPr>
                    <w:t xml:space="preserve">a)</w:t>
                  </w:r>
                </w:p>
              </w:tc>
              <w:tc>
                <w:tcPr/>
                <w:p>
                  <w:pPr>
                    <w:pStyle w:val="Compact"/>
                    <w:jc w:val="center"/>
                  </w:pPr>
                  <w:r>
                    <w:t xml:space="preserve">KPP</w:t>
                  </w:r>
                </w:p>
              </w:tc>
            </w:tr>
            <w:tr>
              <w:tc>
                <w:tcPr>
                  <w:gridSpan w:val="1"/>
                  <w:vMerge w:val="continue"/>
                </w:tcPr>
                <w:p>
                  <w:pPr/>
                </w:p>
              </w:tc>
              <w:tc>
                <w:tcPr/>
                <w:p>
                  <w:pPr>
                    <w:pStyle w:val="Compact"/>
                    <w:jc w:val="center"/>
                  </w:pPr>
                  <w:r>
                    <w:t xml:space="preserve">Final DS concentration</w:t>
                  </w:r>
                </w:p>
              </w:tc>
              <w:tc>
                <w:tcPr/>
                <w:p>
                  <w:pPr>
                    <w:pStyle w:val="Compact"/>
                    <w:jc w:val="center"/>
                  </w:pPr>
                  <w:r>
                    <w:t xml:space="preserve">g/L</w:t>
                  </w:r>
                </w:p>
              </w:tc>
              <w:tc>
                <w:tcPr/>
                <w:p>
                  <w:pPr>
                    <w:pStyle w:val="Compact"/>
                    <w:jc w:val="center"/>
                  </w:pPr>
                  <w:r>
                    <w:t xml:space="preserve">75</w:t>
                  </w:r>
                </w:p>
              </w:tc>
              <w:tc>
                <w:tcPr/>
                <w:p>
                  <w:pPr>
                    <w:pStyle w:val="Compact"/>
                    <w:jc w:val="center"/>
                  </w:pPr>
                  <w:r>
                    <w:t xml:space="preserve">70–80</w:t>
                  </w:r>
                </w:p>
              </w:tc>
              <w:tc>
                <w:tcPr/>
                <w:p>
                  <w:pPr>
                    <w:pStyle w:val="Compact"/>
                    <w:jc w:val="center"/>
                  </w:pPr>
                  <w:r>
                    <w:t xml:space="preserve">65–85</w:t>
                  </w:r>
                </w:p>
              </w:tc>
              <w:tc>
                <w:tcPr/>
                <w:p>
                  <w:pPr>
                    <w:pStyle w:val="Compact"/>
                    <w:jc w:val="center"/>
                  </w:pPr>
                  <w:r>
                    <w:t xml:space="preserve">univariate</w:t>
                  </w:r>
                  <w:r>
                    <w:rPr>
                      <w:vertAlign w:val="superscript"/>
                    </w:rPr>
                    <w:t xml:space="preserve">a)</w:t>
                  </w:r>
                </w:p>
              </w:tc>
              <w:tc>
                <w:tcPr/>
                <w:p>
                  <w:pPr>
                    <w:pStyle w:val="Compact"/>
                    <w:jc w:val="center"/>
                  </w:pPr>
                  <w:r>
                    <w:t xml:space="preserve">KPP</w:t>
                  </w:r>
                </w:p>
              </w:tc>
            </w:tr>
            <w:tr>
              <w:tc>
                <w:tcPr>
                  <w:gridSpan w:val="8"/>
                </w:tcPr>
                <w:p>
                  <w:pPr>
                    <w:pStyle w:val="Compact"/>
                    <w:jc w:val="center"/>
                  </w:pPr>
                  <w:r>
                    <w:rPr>
                      <w:vertAlign w:val="superscript"/>
                    </w:rPr>
                    <w:t xml:space="preserve">a)</w:t>
                  </w:r>
                  <w:r>
                    <w:t xml:space="preserve"> </w:t>
                  </w:r>
                  <w:r>
                    <w:t xml:space="preserve">Studied one factor at a time.</w:t>
                  </w:r>
                </w:p>
              </w:tc>
            </w:tr>
            <w:tr>
              <w:tc>
                <w:tcPr>
                  <w:gridSpan w:val="8"/>
                </w:tcPr>
                <w:p>
                  <w:pPr>
                    <w:pStyle w:val="Compact"/>
                    <w:jc w:val="center"/>
                  </w:pPr>
                  <w:r>
                    <w:rPr>
                      <w:vertAlign w:val="superscript"/>
                    </w:rPr>
                    <w:t xml:space="preserve">b)</w:t>
                  </w:r>
                  <w:r>
                    <w:t xml:space="preserve"> </w:t>
                  </w:r>
                  <w:r>
                    <w:t xml:space="preserve">The normal operating range equals the characterized range.</w:t>
                  </w:r>
                </w:p>
              </w:tc>
            </w:tr>
            <w:tr>
              <w:tc>
                <w:tcPr>
                  <w:gridSpan w:val="8"/>
                </w:tcPr>
                <w:p>
                  <w:pPr>
                    <w:pStyle w:val="Compact"/>
                    <w:jc w:val="center"/>
                  </w:pPr>
                  <w:r>
                    <w:rPr>
                      <w:vertAlign w:val="superscript"/>
                    </w:rPr>
                    <w:t xml:space="preserve">c1)</w:t>
                  </w:r>
                  <w:r>
                    <w:t xml:space="preserve"> </w:t>
                  </w:r>
                  <w:r>
                    <w:t xml:space="preserve">Narrowed at Version 2.0 from 20–40 g/L resin, the NOR as characterized (PCR-005).</w:t>
                  </w:r>
                </w:p>
              </w:tc>
            </w:tr>
            <w:tr>
              <w:tc>
                <w:tcPr>
                  <w:gridSpan w:val="8"/>
                </w:tcPr>
                <w:p>
                  <w:pPr>
                    <w:pStyle w:val="Compact"/>
                    <w:jc w:val="center"/>
                  </w:pPr>
                  <w:r>
                    <w:rPr>
                      <w:vertAlign w:val="superscript"/>
                    </w:rPr>
                    <w:t xml:space="preserve">c2)</w:t>
                  </w:r>
                  <w:r>
                    <w:t xml:space="preserve"> </w:t>
                  </w:r>
                  <w:r>
                    <w:t xml:space="preserve">Narrowed at Version 2.0 from 60–120 min, the NOR as characterized (PCR-006).</w:t>
                  </w:r>
                </w:p>
              </w:tc>
            </w:tr>
            <w:tr>
              <w:tc>
                <w:tcPr>
                  <w:gridSpan w:val="8"/>
                </w:tcPr>
                <w:p>
                  <w:pPr>
                    <w:pStyle w:val="Compact"/>
                    <w:jc w:val="center"/>
                  </w:pPr>
                  <w:r>
                    <w:rPr>
                      <w:vertAlign w:val="superscript"/>
                    </w:rPr>
                    <w:t xml:space="preserve">c3)</w:t>
                  </w:r>
                  <w:r>
                    <w:t xml:space="preserve"> </w:t>
                  </w:r>
                  <w:r>
                    <w:t xml:space="preserve">Narrowed at Version 2.0 from 19–23 °C, the NOR as characterized (PCR-006).</w:t>
                  </w:r>
                </w:p>
              </w:tc>
            </w:tr>
          </w:tbl>
          <w:bookmarkEnd w:id="31"/>
          <w:p/>
        </w:tc>
      </w:tr>
    </w:tbl>
    <w:p>
      <w:pPr>
        <w:pStyle w:val="BodyText"/>
      </w:pPr>
      <w:r>
        <w:t xml:space="preserve">The range of a parameter studied univariately is supported by its own data, and its class is decided by the same rules as for a parameter studied in a design.</w:t>
      </w:r>
    </w:p>
    <w:bookmarkEnd w:id="32"/>
    <w:bookmarkStart w:id="35" w:name="sec-sdm"/>
    <w:p>
      <w:pPr>
        <w:pStyle w:val="Heading1"/>
      </w:pPr>
      <w:r>
        <w:t xml:space="preserve">5. Scale-down model strategy</w:t>
      </w:r>
    </w:p>
    <w:p>
      <w:pPr>
        <w:pStyle w:val="FirstParagraph"/>
      </w:pPr>
      <w:r>
        <w:t xml:space="preserve">Every characterization study is run in a scale-down model. The model is qualified under the scale-down model procedure SOP-1001 before its first characterization run. It is designed on the scaling principles of its unit operation. Parameters that do not depend on scale are held at their commercial values. Parameters that depend on scale are set so that the model matches the performance of the manufacturing scale.</w:t>
      </w:r>
    </w:p>
    <w:p>
      <w:pPr>
        <w:pStyle w:val="BodyText"/>
      </w:pPr>
      <w:r>
        <w:t xml:space="preserve">For the chromatography steps the model keeps the bed height and the residence time of the manufacturing column. Load, wash and elution volumes are normalized to column volumes, and column efficiency is checked by plate count and peak asymmetry. For the production bioreactor the model is a stirred tank with equivalent mixing, aeration and process control. In each study, the parameters not under study are held at their commercial set-points. The designs vary culture pH, culture temperature, dissolved CO2 (pCO2), osmolality and culture duration, and univariate studies vary dissolved oxygen, initial viable cell conc., basal medium concentration and nutrient feed-1 volume. Agitation and gas flow are set to match the oxygen transfer and carbon dioxide stripping of the commercial vessel. For virus filtration the model uses the same filter type as manufacturing, and load is scaled by membrane area. For UF/DF, membrane loading and cross flow are scaled by membrane area.</w:t>
      </w:r>
    </w:p>
    <w:p>
      <w:pPr>
        <w:pStyle w:val="BodyText"/>
      </w:pPr>
      <w:r>
        <w:t xml:space="preserve">Qualification compares the scale-down model, run at set-point, with manufacturing-scale batches. The outputs compared are those of the production bioreactor (afucosylation, galactosylation, high mannose, acidic variants, aggregate), Protein A (host cell protein, step yield, leached Protein A, plate count, peak asymmetry), low-pH viral inactivation (acidic variants, aggregate), cation exchange (step yield, plate count, peak asymmetry, aggregate, host cell protein), anion exchange (step yield, plate count, peak asymmetry, host cell protein) and virus filtration (step yield). A scale-down model need not reproduce the manufacturing mean. The difference between the two scales must instead be known precisely enough that no conclusion depends on its exact size. The rule is in</w:t>
      </w:r>
      <w:r>
        <w:t xml:space="preserve"> </w:t>
      </w:r>
      <w:hyperlink w:anchor="sec-acc-sdm">
        <w:r>
          <w:rPr>
            <w:rStyle w:val="Hyperlink"/>
          </w:rPr>
          <w:t xml:space="preserve">Section 7.1</w:t>
        </w:r>
      </w:hyperlink>
      <w:r>
        <w:t xml:space="preserve">, and each PCP-00N applies it to its own outputs. A model qualified for one output is not by that fact qualified for another. Where a model cannot be qualified for an output, the PCP-00N should say so and should state how that output is characterized instead.</w:t>
      </w:r>
    </w:p>
    <w:p>
      <w:pPr>
        <w:pStyle w:val="BodyText"/>
      </w:pPr>
      <w:r>
        <w:t xml:space="preserve">Viral clearance is studied in a spiking model of each claimed step, because virus cannot be introduced at manufacturing scale. The spiking model follows the same scaling principles as the characterization model of the step</w:t>
      </w:r>
      <w:r>
        <w:t xml:space="preserve"> </w:t>
      </w:r>
      <w:r>
        <w:t xml:space="preserve">(International Council for Harmonisation 2023)</w:t>
      </w:r>
      <w:r>
        <w:t xml:space="preserve">.</w:t>
      </w:r>
    </w:p>
    <w:p>
      <w:pPr>
        <w:pStyle w:val="BodyText"/>
      </w:pPr>
      <w:r>
        <w:t xml:space="preserve">The campaign used 3 instrumented scale-down systems under calibration and change control. They are the temperature-controlled chromatography chamber (EQ-CHR-118), the production scale-down bioreactor pCO2 probe (EQ-BRX-205) and the ultrafiltration / diafiltration TFF skid (EQ-TFF-142).</w:t>
      </w:r>
      <w:r>
        <w:t xml:space="preserve"> </w:t>
      </w:r>
      <w:hyperlink w:anchor="tbl-equipment">
        <w:r>
          <w:rPr>
            <w:rStyle w:val="Hyperlink"/>
          </w:rPr>
          <w:t xml:space="preserve">Table 6</w:t>
        </w:r>
      </w:hyperlink>
      <w:r>
        <w:t xml:space="preserve"> </w:t>
      </w:r>
      <w:r>
        <w:t xml:space="preserve">lists each with the studies that used it. Every study window closed before the next calibration due date of the equipment it used. Every study that the Version 1.0 reports analysed closed before those reports were approved on 2026-07-24. The last of them ended on 2026-05-15. One supplementary qualification study of the Protein A scale-down model, S-PA-SDM2 (2026-09-07 to 2026-09-11), ran afterwards, while INV-001 was open. Its runs were made to narrow the confidence interval of the offset for host cell protein in the Protein A pool (</w:t>
      </w:r>
      <w:hyperlink w:anchor="sec-acc-sdm">
        <w:r>
          <w:rPr>
            <w:rStyle w:val="Hyperlink"/>
          </w:rPr>
          <w:t xml:space="preserve">Section 7.1</w:t>
        </w:r>
      </w:hyperlink>
      <w:r>
        <w:t xml:space="preserve">). They are work that the Protein A plan PCP-005 did not foresee, and the Protein A report PCR-005 records them as discrepancy PD-005-01 from that plan. The augmentation studies S-BRX-AUG, S-AEX-AUG ran from 2026-09-03 to 2026-09-24 under INV-002, which added runs to response-surface designs whose models did not meet the model-adequacy criteria (</w:t>
      </w:r>
      <w:hyperlink w:anchor="sec-acc-model">
        <w:r>
          <w:rPr>
            <w:rStyle w:val="Hyperlink"/>
          </w:rPr>
          <w:t xml:space="preserve">Section 7.2</w:t>
        </w:r>
      </w:hyperlink>
      <w:r>
        <w:t xml:space="preserve">). The reports of their steps record them as discrepancies from the plans (PD-003-01, PD-008-01).</w:t>
      </w:r>
    </w:p>
    <w:tbl>
      <w:tblPr>
        <w:tblStyle w:val="Table"/>
        <w:tblW w:type="pct" w:w="5000"/>
        <w:tblLayout w:type="fixed"/>
        <w:tblLook w:firstRow="0" w:lastRow="0" w:firstColumn="0" w:lastColumn="0" w:noHBand="0" w:noVBand="0" w:val="0000"/>
      </w:tblPr>
      <w:tblGrid>
        <w:gridCol w:w="7920"/>
      </w:tblGrid>
      <w:tr>
        <w:tc>
          <w:tcPr/>
          <w:bookmarkStart w:id="33" w:name="tbl-equipment"/>
          <w:p>
            <w:pPr>
              <w:jc w:val="center"/>
            </w:pPr>
            <w:pPr>
              <w:jc w:val="start"/>
              <w:spacing w:before="200"/>
              <w:pStyle w:val="ImageCaption"/>
            </w:pPr>
            <w:r>
              <w:t xml:space="preserve">Table 6: Execution windows of the studies that used instrumented systems, against the calibration due date and the date in the Version 1.0 title blocks.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vMerge w:val="restart"/>
                </w:tcPr>
                <w:p>
                  <w:pPr>
                    <w:pStyle w:val="Compact"/>
                    <w:jc w:val="center"/>
                  </w:pPr>
                  <w:r>
                    <w:t xml:space="preserve">Equipment</w:t>
                  </w:r>
                </w:p>
              </w:tc>
              <w:tc>
                <w:tcPr>
                  <w:vMerge w:val="restart"/>
                </w:tcPr>
                <w:p>
                  <w:pPr>
                    <w:pStyle w:val="Compact"/>
                    <w:jc w:val="center"/>
                  </w:pPr>
                  <w:r>
                    <w:t xml:space="preserve">Description</w:t>
                  </w:r>
                </w:p>
              </w:tc>
              <w:tc>
                <w:tcPr>
                  <w:vMerge w:val="restart"/>
                </w:tcPr>
                <w:p>
                  <w:pPr>
                    <w:pStyle w:val="Compact"/>
                    <w:jc w:val="center"/>
                  </w:pPr>
                  <w:r>
                    <w:t xml:space="preserve">Next</w:t>
                  </w:r>
                  <w:r>
                    <w:br/>
                  </w:r>
                  <w:r>
                    <w:t xml:space="preserve">calibration due</w:t>
                  </w:r>
                </w:p>
              </w:tc>
              <w:tc>
                <w:tcPr>
                  <w:gridSpan w:val="3"/>
                </w:tcPr>
                <w:p>
                  <w:pPr>
                    <w:pStyle w:val="Compact"/>
                    <w:jc w:val="center"/>
                  </w:pPr>
                  <w:r>
                    <w:t xml:space="preserve">Study executed on the system</w:t>
                  </w:r>
                </w:p>
              </w:tc>
              <w:tc>
                <w:tcPr>
                  <w:vMerge w:val="restart"/>
                </w:tcPr>
                <w:p>
                  <w:pPr>
                    <w:pStyle w:val="Compact"/>
                    <w:jc w:val="center"/>
                  </w:pPr>
                  <w:r>
                    <w:t xml:space="preserve">Date in</w:t>
                  </w:r>
                  <w:r>
                    <w:br/>
                  </w:r>
                  <w:r>
                    <w:t xml:space="preserve">Version 1.0</w:t>
                  </w:r>
                  <w:r>
                    <w:br/>
                  </w:r>
                  <w:r>
                    <w:t xml:space="preserve">title block</w:t>
                  </w:r>
                </w:p>
              </w:tc>
            </w:tr>
            <w:tr>
              <w:trPr>
                <w:tblHeader w:val="on"/>
              </w:trP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Study</w:t>
                  </w:r>
                </w:p>
              </w:tc>
              <w:tc>
                <w:tcPr/>
                <w:p>
                  <w:pPr>
                    <w:pStyle w:val="Compact"/>
                    <w:jc w:val="center"/>
                  </w:pPr>
                  <w:r>
                    <w:t xml:space="preserve">Start</w:t>
                  </w:r>
                </w:p>
              </w:tc>
              <w:tc>
                <w:tcPr/>
                <w:p>
                  <w:pPr>
                    <w:pStyle w:val="Compact"/>
                    <w:jc w:val="center"/>
                  </w:pPr>
                  <w:r>
                    <w:t xml:space="preserve">End</w:t>
                  </w:r>
                </w:p>
              </w:tc>
              <w:tc>
                <w:tcPr>
                  <w:gridSpan w:val="1"/>
                  <w:vMerge w:val="continue"/>
                </w:tcPr>
                <w:p>
                  <w:pPr/>
                </w:p>
              </w:tc>
            </w:tr>
            <w:tr>
              <w:tc>
                <w:tcPr/>
                <w:p>
                  <w:pPr>
                    <w:pStyle w:val="Compact"/>
                    <w:jc w:val="center"/>
                  </w:pPr>
                  <w:r>
                    <w:t xml:space="preserve">EQ-CHR-118</w:t>
                  </w:r>
                </w:p>
              </w:tc>
              <w:tc>
                <w:tcPr/>
                <w:p>
                  <w:pPr>
                    <w:pStyle w:val="Compact"/>
                    <w:jc w:val="center"/>
                  </w:pPr>
                  <w:r>
                    <w:t xml:space="preserve">temperature-controlled chromatography chamber</w:t>
                  </w:r>
                </w:p>
              </w:tc>
              <w:tc>
                <w:tcPr/>
                <w:p>
                  <w:pPr>
                    <w:pStyle w:val="Compact"/>
                    <w:jc w:val="center"/>
                  </w:pPr>
                  <w:r>
                    <w:t xml:space="preserve">2026-05-30</w:t>
                  </w:r>
                </w:p>
              </w:tc>
              <w:tc>
                <w:tcPr/>
                <w:p>
                  <w:pPr>
                    <w:pStyle w:val="Compact"/>
                    <w:jc w:val="center"/>
                  </w:pPr>
                  <w:r>
                    <w:t xml:space="preserve">S-CEX-RSM</w:t>
                  </w:r>
                </w:p>
              </w:tc>
              <w:tc>
                <w:tcPr/>
                <w:p>
                  <w:pPr>
                    <w:pStyle w:val="Compact"/>
                    <w:jc w:val="center"/>
                  </w:pPr>
                  <w:r>
                    <w:t xml:space="preserve">2026-03-02</w:t>
                  </w:r>
                </w:p>
              </w:tc>
              <w:tc>
                <w:tcPr/>
                <w:p>
                  <w:pPr>
                    <w:pStyle w:val="Compact"/>
                    <w:jc w:val="center"/>
                  </w:pPr>
                  <w:r>
                    <w:t xml:space="preserve">2026-03-27</w:t>
                  </w:r>
                </w:p>
              </w:tc>
              <w:tc>
                <w:tcPr/>
                <w:p>
                  <w:pPr>
                    <w:pStyle w:val="Compact"/>
                    <w:jc w:val="center"/>
                  </w:pPr>
                  <w:r>
                    <w:t xml:space="preserve">2026-07-24</w:t>
                  </w:r>
                </w:p>
              </w:tc>
            </w:tr>
            <w:tr>
              <w:tc>
                <w:tcPr>
                  <w:vMerge w:val="restart"/>
                </w:tcPr>
                <w:p>
                  <w:pPr>
                    <w:pStyle w:val="Compact"/>
                    <w:jc w:val="center"/>
                  </w:pPr>
                  <w:r>
                    <w:t xml:space="preserve">EQ-BRX-205</w:t>
                  </w:r>
                </w:p>
              </w:tc>
              <w:tc>
                <w:tcPr>
                  <w:vMerge w:val="restart"/>
                </w:tcPr>
                <w:p>
                  <w:pPr>
                    <w:pStyle w:val="Compact"/>
                    <w:jc w:val="center"/>
                  </w:pPr>
                  <w:r>
                    <w:t xml:space="preserve">production scale-down bioreactor pCO2 probe</w:t>
                  </w:r>
                </w:p>
              </w:tc>
              <w:tc>
                <w:tcPr>
                  <w:vMerge w:val="restart"/>
                </w:tcPr>
                <w:p>
                  <w:pPr>
                    <w:pStyle w:val="Compact"/>
                    <w:jc w:val="center"/>
                  </w:pPr>
                  <w:r>
                    <w:t xml:space="preserve">2026-06-14</w:t>
                  </w:r>
                </w:p>
              </w:tc>
              <w:tc>
                <w:tcPr/>
                <w:p>
                  <w:pPr>
                    <w:pStyle w:val="Compact"/>
                    <w:jc w:val="center"/>
                  </w:pPr>
                  <w:r>
                    <w:t xml:space="preserve">S-BRX-SDM</w:t>
                  </w:r>
                </w:p>
              </w:tc>
              <w:tc>
                <w:tcPr/>
                <w:p>
                  <w:pPr>
                    <w:pStyle w:val="Compact"/>
                    <w:jc w:val="center"/>
                  </w:pPr>
                  <w:r>
                    <w:t xml:space="preserve">2025-08-27</w:t>
                  </w:r>
                </w:p>
              </w:tc>
              <w:tc>
                <w:tcPr/>
                <w:p>
                  <w:pPr>
                    <w:pStyle w:val="Compact"/>
                    <w:jc w:val="center"/>
                  </w:pPr>
                  <w:r>
                    <w:t xml:space="preserve">2025-09-05</w:t>
                  </w:r>
                </w:p>
              </w:tc>
              <w:tc>
                <w:tcPr>
                  <w:vMerge w:val="restart"/>
                </w:tcPr>
                <w:p>
                  <w:pPr>
                    <w:pStyle w:val="Compact"/>
                    <w:jc w:val="center"/>
                  </w:pPr>
                  <w:r>
                    <w:t xml:space="preserve">2026-07-24</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S-BRX-SCR</w:t>
                  </w:r>
                </w:p>
              </w:tc>
              <w:tc>
                <w:tcPr/>
                <w:p>
                  <w:pPr>
                    <w:pStyle w:val="Compact"/>
                    <w:jc w:val="center"/>
                  </w:pPr>
                  <w:r>
                    <w:t xml:space="preserve">2025-09-08</w:t>
                  </w:r>
                </w:p>
              </w:tc>
              <w:tc>
                <w:tcPr/>
                <w:p>
                  <w:pPr>
                    <w:pStyle w:val="Compact"/>
                    <w:jc w:val="center"/>
                  </w:pPr>
                  <w:r>
                    <w:t xml:space="preserve">2025-10-03</w:t>
                  </w:r>
                </w:p>
              </w:tc>
              <w:tc>
                <w:tcPr>
                  <w:gridSpan w:val="1"/>
                  <w:vMerge w:val="continue"/>
                </w:tcPr>
                <w:p>
                  <w:pP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S-BRX-UNI</w:t>
                  </w:r>
                </w:p>
              </w:tc>
              <w:tc>
                <w:tcPr/>
                <w:p>
                  <w:pPr>
                    <w:pStyle w:val="Compact"/>
                    <w:jc w:val="center"/>
                  </w:pPr>
                  <w:r>
                    <w:t xml:space="preserve">2025-10-06</w:t>
                  </w:r>
                </w:p>
              </w:tc>
              <w:tc>
                <w:tcPr/>
                <w:p>
                  <w:pPr>
                    <w:pStyle w:val="Compact"/>
                    <w:jc w:val="center"/>
                  </w:pPr>
                  <w:r>
                    <w:t xml:space="preserve">2025-10-17</w:t>
                  </w:r>
                </w:p>
              </w:tc>
              <w:tc>
                <w:tcPr>
                  <w:gridSpan w:val="1"/>
                  <w:vMerge w:val="continue"/>
                </w:tcPr>
                <w:p>
                  <w:pP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S-BRX-RSM</w:t>
                  </w:r>
                </w:p>
              </w:tc>
              <w:tc>
                <w:tcPr/>
                <w:p>
                  <w:pPr>
                    <w:pStyle w:val="Compact"/>
                    <w:jc w:val="center"/>
                  </w:pPr>
                  <w:r>
                    <w:t xml:space="preserve">2025-10-20</w:t>
                  </w:r>
                </w:p>
              </w:tc>
              <w:tc>
                <w:tcPr/>
                <w:p>
                  <w:pPr>
                    <w:pStyle w:val="Compact"/>
                    <w:jc w:val="center"/>
                  </w:pPr>
                  <w:r>
                    <w:t xml:space="preserve">2025-12-12</w:t>
                  </w:r>
                </w:p>
              </w:tc>
              <w:tc>
                <w:tcPr>
                  <w:gridSpan w:val="1"/>
                  <w:vMerge w:val="continue"/>
                </w:tcPr>
                <w:p>
                  <w:pPr/>
                </w:p>
              </w:tc>
            </w:tr>
            <w:tr>
              <w:tc>
                <w:tcPr>
                  <w:vMerge w:val="restart"/>
                </w:tcPr>
                <w:p>
                  <w:pPr>
                    <w:pStyle w:val="Compact"/>
                    <w:jc w:val="center"/>
                  </w:pPr>
                  <w:r>
                    <w:t xml:space="preserve">EQ-TFF-142</w:t>
                  </w:r>
                </w:p>
              </w:tc>
              <w:tc>
                <w:tcPr>
                  <w:vMerge w:val="restart"/>
                </w:tcPr>
                <w:p>
                  <w:pPr>
                    <w:pStyle w:val="Compact"/>
                    <w:jc w:val="center"/>
                  </w:pPr>
                  <w:r>
                    <w:t xml:space="preserve">ultrafiltration / diafiltration TFF skid</w:t>
                  </w:r>
                </w:p>
              </w:tc>
              <w:tc>
                <w:tcPr>
                  <w:vMerge w:val="restart"/>
                </w:tcPr>
                <w:p>
                  <w:pPr>
                    <w:pStyle w:val="Compact"/>
                    <w:jc w:val="center"/>
                  </w:pPr>
                  <w:r>
                    <w:t xml:space="preserve">2026-04-22</w:t>
                  </w:r>
                </w:p>
              </w:tc>
              <w:tc>
                <w:tcPr/>
                <w:p>
                  <w:pPr>
                    <w:pStyle w:val="Compact"/>
                    <w:jc w:val="center"/>
                  </w:pPr>
                  <w:r>
                    <w:t xml:space="preserve">S-UFDF-SDM</w:t>
                  </w:r>
                </w:p>
              </w:tc>
              <w:tc>
                <w:tcPr/>
                <w:p>
                  <w:pPr>
                    <w:pStyle w:val="Compact"/>
                    <w:jc w:val="center"/>
                  </w:pPr>
                  <w:r>
                    <w:t xml:space="preserve">2026-02-25</w:t>
                  </w:r>
                </w:p>
              </w:tc>
              <w:tc>
                <w:tcPr/>
                <w:p>
                  <w:pPr>
                    <w:pStyle w:val="Compact"/>
                    <w:jc w:val="center"/>
                  </w:pPr>
                  <w:r>
                    <w:t xml:space="preserve">2026-03-06</w:t>
                  </w:r>
                </w:p>
              </w:tc>
              <w:tc>
                <w:tcPr>
                  <w:vMerge w:val="restart"/>
                </w:tcPr>
                <w:p>
                  <w:pPr>
                    <w:pStyle w:val="Compact"/>
                    <w:jc w:val="center"/>
                  </w:pPr>
                  <w:r>
                    <w:t xml:space="preserve">2026-07-24</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S-UFDF-UNI</w:t>
                  </w:r>
                </w:p>
              </w:tc>
              <w:tc>
                <w:tcPr/>
                <w:p>
                  <w:pPr>
                    <w:pStyle w:val="Compact"/>
                    <w:jc w:val="center"/>
                  </w:pPr>
                  <w:r>
                    <w:t xml:space="preserve">2026-03-09</w:t>
                  </w:r>
                </w:p>
              </w:tc>
              <w:tc>
                <w:tcPr/>
                <w:p>
                  <w:pPr>
                    <w:pStyle w:val="Compact"/>
                    <w:jc w:val="center"/>
                  </w:pPr>
                  <w:r>
                    <w:t xml:space="preserve">2026-03-27</w:t>
                  </w:r>
                </w:p>
              </w:tc>
              <w:tc>
                <w:tcPr>
                  <w:gridSpan w:val="1"/>
                  <w:vMerge w:val="continue"/>
                </w:tcPr>
                <w:p>
                  <w:pPr/>
                </w:p>
              </w:tc>
            </w:tr>
          </w:tbl>
          <w:bookmarkEnd w:id="33"/>
          <w:p/>
        </w:tc>
      </w:tr>
    </w:tbl>
    <w:p>
      <w:pPr>
        <w:pStyle w:val="BodyText"/>
      </w:pPr>
      <w:r>
        <w:t xml:space="preserve">Intermediate pools are held between steps. During a hold, aggregate can form, asparagine residues can deamidate and raise the acidic variants, and proteases in the clarified harvest can clip the antibody into fragments. Each of these raises its attribute with time. The campaign includes 3 hold studies. The clarified harvest and the Protein A eluate (at elution pH) are each held at 2-8 °C and 21 °C, and the neutralized viral inactivation pool at 21 °C and 25 °C, for up to 7 days. The design of the viral inactivation pool study follows A-Mab Table 4.17</w:t>
      </w:r>
      <w:r>
        <w:t xml:space="preserve"> </w:t>
      </w:r>
      <w:r>
        <w:t xml:space="preserve">(CMC Biotech Working Group 2009)</w:t>
      </w:r>
      <w:r>
        <w:t xml:space="preserve">. Each hold study is planned in the PCP-00N of the step that produces the pool.</w:t>
      </w:r>
    </w:p>
    <w:p>
      <w:pPr>
        <w:pStyle w:val="BodyText"/>
      </w:pPr>
      <w:r>
        <w:t xml:space="preserve">Each response is measured by a validated method under its own SOP.</w:t>
      </w:r>
      <w:r>
        <w:t xml:space="preserve"> </w:t>
      </w:r>
      <w:hyperlink w:anchor="tbl-sops">
        <w:r>
          <w:rPr>
            <w:rStyle w:val="Hyperlink"/>
          </w:rPr>
          <w:t xml:space="preserve">Table 7</w:t>
        </w:r>
      </w:hyperlink>
      <w:r>
        <w:t xml:space="preserve"> </w:t>
      </w:r>
      <w:r>
        <w:t xml:space="preserve">lists every controlled procedure and method validation cited in the package. The SOP and AMV numbers are placeholders.</w:t>
      </w:r>
    </w:p>
    <w:tbl>
      <w:tblPr>
        <w:tblStyle w:val="Table"/>
        <w:tblW w:type="pct" w:w="5000"/>
        <w:tblLayout w:type="fixed"/>
        <w:tblLook w:firstRow="0" w:lastRow="0" w:firstColumn="0" w:lastColumn="0" w:noHBand="0" w:noVBand="0" w:val="0000"/>
      </w:tblPr>
      <w:tblGrid>
        <w:gridCol w:w="7920"/>
      </w:tblGrid>
      <w:tr>
        <w:tc>
          <w:tcPr/>
          <w:bookmarkStart w:id="34" w:name="tbl-sops"/>
          <w:p>
            <w:pPr>
              <w:jc w:val="center"/>
            </w:pPr>
            <w:pPr>
              <w:jc w:val="start"/>
              <w:spacing w:before="200"/>
              <w:pStyle w:val="ImageCaption"/>
            </w:pPr>
            <w:r>
              <w:t xml:space="preserve">Table 7: Procedures and method validations referenced in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Type</w:t>
                  </w:r>
                </w:p>
              </w:tc>
              <w:tc>
                <w:tcPr/>
                <w:p>
                  <w:pPr>
                    <w:pStyle w:val="Compact"/>
                    <w:jc w:val="center"/>
                  </w:pPr>
                  <w:r>
                    <w:t xml:space="preserve">Reference</w:t>
                  </w:r>
                </w:p>
              </w:tc>
              <w:tc>
                <w:tcPr/>
                <w:p>
                  <w:pPr>
                    <w:pStyle w:val="Compact"/>
                    <w:jc w:val="center"/>
                  </w:pPr>
                  <w:r>
                    <w:t xml:space="preserve">Title</w:t>
                  </w:r>
                </w:p>
              </w:tc>
            </w:tr>
            <w:tr>
              <w:tc>
                <w:tcPr>
                  <w:vMerge w:val="restart"/>
                </w:tcPr>
                <w:p>
                  <w:pPr>
                    <w:pStyle w:val="Compact"/>
                    <w:jc w:val="center"/>
                  </w:pPr>
                  <w:r>
                    <w:t xml:space="preserve">Standard operating procedure</w:t>
                  </w:r>
                </w:p>
              </w:tc>
              <w:tc>
                <w:tcPr/>
                <w:p>
                  <w:pPr>
                    <w:pStyle w:val="Compact"/>
                    <w:jc w:val="center"/>
                  </w:pPr>
                  <w:r>
                    <w:t xml:space="preserve">SOP-1001</w:t>
                  </w:r>
                </w:p>
              </w:tc>
              <w:tc>
                <w:tcPr/>
                <w:p>
                  <w:pPr>
                    <w:pStyle w:val="Compact"/>
                    <w:jc w:val="center"/>
                  </w:pPr>
                  <w:r>
                    <w:t xml:space="preserve">Qualification of Scale-Down Models</w:t>
                  </w:r>
                </w:p>
              </w:tc>
            </w:tr>
            <w:tr>
              <w:tc>
                <w:tcPr>
                  <w:gridSpan w:val="1"/>
                  <w:vMerge w:val="continue"/>
                </w:tcPr>
                <w:p>
                  <w:pPr/>
                </w:p>
              </w:tc>
              <w:tc>
                <w:tcPr/>
                <w:p>
                  <w:pPr>
                    <w:pStyle w:val="Compact"/>
                    <w:jc w:val="center"/>
                  </w:pPr>
                  <w:r>
                    <w:t xml:space="preserve">SOP-1002</w:t>
                  </w:r>
                </w:p>
              </w:tc>
              <w:tc>
                <w:tcPr/>
                <w:p>
                  <w:pPr>
                    <w:pStyle w:val="Compact"/>
                    <w:jc w:val="center"/>
                  </w:pPr>
                  <w:r>
                    <w:t xml:space="preserve">Design, Execution and Statistical Analysis of DoE Studies</w:t>
                  </w:r>
                </w:p>
              </w:tc>
            </w:tr>
            <w:tr>
              <w:tc>
                <w:tcPr>
                  <w:gridSpan w:val="1"/>
                  <w:vMerge w:val="continue"/>
                </w:tcPr>
                <w:p>
                  <w:pPr/>
                </w:p>
              </w:tc>
              <w:tc>
                <w:tcPr/>
                <w:p>
                  <w:pPr>
                    <w:pStyle w:val="Compact"/>
                    <w:jc w:val="center"/>
                  </w:pPr>
                  <w:r>
                    <w:t xml:space="preserve">SOP-2003</w:t>
                  </w:r>
                </w:p>
              </w:tc>
              <w:tc>
                <w:tcPr/>
                <w:p>
                  <w:pPr>
                    <w:pStyle w:val="Compact"/>
                    <w:jc w:val="center"/>
                  </w:pPr>
                  <w:r>
                    <w:t xml:space="preserve">Operation of the Production Bioreactor (Fed-Batch)</w:t>
                  </w:r>
                </w:p>
              </w:tc>
            </w:tr>
            <w:tr>
              <w:tc>
                <w:tcPr>
                  <w:gridSpan w:val="1"/>
                  <w:vMerge w:val="continue"/>
                </w:tcPr>
                <w:p>
                  <w:pPr/>
                </w:p>
              </w:tc>
              <w:tc>
                <w:tcPr/>
                <w:p>
                  <w:pPr>
                    <w:pStyle w:val="Compact"/>
                    <w:jc w:val="center"/>
                  </w:pPr>
                  <w:r>
                    <w:t xml:space="preserve">SOP-2004</w:t>
                  </w:r>
                </w:p>
              </w:tc>
              <w:tc>
                <w:tcPr/>
                <w:p>
                  <w:pPr>
                    <w:pStyle w:val="Compact"/>
                    <w:jc w:val="center"/>
                  </w:pPr>
                  <w:r>
                    <w:t xml:space="preserve">Cell-Culture Media and Feed Preparation</w:t>
                  </w:r>
                </w:p>
              </w:tc>
            </w:tr>
            <w:tr>
              <w:tc>
                <w:tcPr>
                  <w:gridSpan w:val="1"/>
                  <w:vMerge w:val="continue"/>
                </w:tcPr>
                <w:p>
                  <w:pPr/>
                </w:p>
              </w:tc>
              <w:tc>
                <w:tcPr/>
                <w:p>
                  <w:pPr>
                    <w:pStyle w:val="Compact"/>
                    <w:jc w:val="center"/>
                  </w:pPr>
                  <w:r>
                    <w:t xml:space="preserve">SOP-2005</w:t>
                  </w:r>
                </w:p>
              </w:tc>
              <w:tc>
                <w:tcPr/>
                <w:p>
                  <w:pPr>
                    <w:pStyle w:val="Compact"/>
                    <w:jc w:val="center"/>
                  </w:pPr>
                  <w:r>
                    <w:t xml:space="preserve">Harvest by Continuous Disk-Stack Centrifugation</w:t>
                  </w:r>
                </w:p>
              </w:tc>
            </w:tr>
            <w:tr>
              <w:tc>
                <w:tcPr>
                  <w:gridSpan w:val="1"/>
                  <w:vMerge w:val="continue"/>
                </w:tcPr>
                <w:p>
                  <w:pPr/>
                </w:p>
              </w:tc>
              <w:tc>
                <w:tcPr/>
                <w:p>
                  <w:pPr>
                    <w:pStyle w:val="Compact"/>
                    <w:jc w:val="center"/>
                  </w:pPr>
                  <w:r>
                    <w:t xml:space="preserve">SOP-2006</w:t>
                  </w:r>
                </w:p>
              </w:tc>
              <w:tc>
                <w:tcPr/>
                <w:p>
                  <w:pPr>
                    <w:pStyle w:val="Compact"/>
                    <w:jc w:val="center"/>
                  </w:pPr>
                  <w:r>
                    <w:t xml:space="preserve">Clarification by Depth and Sterile Filtration</w:t>
                  </w:r>
                </w:p>
              </w:tc>
            </w:tr>
            <w:tr>
              <w:tc>
                <w:tcPr>
                  <w:gridSpan w:val="1"/>
                  <w:vMerge w:val="continue"/>
                </w:tcPr>
                <w:p>
                  <w:pPr/>
                </w:p>
              </w:tc>
              <w:tc>
                <w:tcPr/>
                <w:p>
                  <w:pPr>
                    <w:pStyle w:val="Compact"/>
                    <w:jc w:val="center"/>
                  </w:pPr>
                  <w:r>
                    <w:t xml:space="preserve">SOP-2007</w:t>
                  </w:r>
                </w:p>
              </w:tc>
              <w:tc>
                <w:tcPr/>
                <w:p>
                  <w:pPr>
                    <w:pStyle w:val="Compact"/>
                    <w:jc w:val="center"/>
                  </w:pPr>
                  <w:r>
                    <w:t xml:space="preserve">Operation of the Protein A Capture Chromatography Step</w:t>
                  </w:r>
                </w:p>
              </w:tc>
            </w:tr>
            <w:tr>
              <w:tc>
                <w:tcPr>
                  <w:gridSpan w:val="1"/>
                  <w:vMerge w:val="continue"/>
                </w:tcPr>
                <w:p>
                  <w:pPr/>
                </w:p>
              </w:tc>
              <w:tc>
                <w:tcPr/>
                <w:p>
                  <w:pPr>
                    <w:pStyle w:val="Compact"/>
                    <w:jc w:val="center"/>
                  </w:pPr>
                  <w:r>
                    <w:t xml:space="preserve">SOP-2008</w:t>
                  </w:r>
                </w:p>
              </w:tc>
              <w:tc>
                <w:tcPr/>
                <w:p>
                  <w:pPr>
                    <w:pStyle w:val="Compact"/>
                    <w:jc w:val="center"/>
                  </w:pPr>
                  <w:r>
                    <w:t xml:space="preserve">Chromatography Resin Life-Cycle, Packing and Sanitization</w:t>
                  </w:r>
                </w:p>
              </w:tc>
            </w:tr>
            <w:tr>
              <w:tc>
                <w:tcPr>
                  <w:gridSpan w:val="1"/>
                  <w:vMerge w:val="continue"/>
                </w:tcPr>
                <w:p>
                  <w:pPr/>
                </w:p>
              </w:tc>
              <w:tc>
                <w:tcPr/>
                <w:p>
                  <w:pPr>
                    <w:pStyle w:val="Compact"/>
                    <w:jc w:val="center"/>
                  </w:pPr>
                  <w:r>
                    <w:t xml:space="preserve">SOP-2009</w:t>
                  </w:r>
                </w:p>
              </w:tc>
              <w:tc>
                <w:tcPr/>
                <w:p>
                  <w:pPr>
                    <w:pStyle w:val="Compact"/>
                    <w:jc w:val="center"/>
                  </w:pPr>
                  <w:r>
                    <w:t xml:space="preserve">Operation of the Low-pH Viral Inactivation Step</w:t>
                  </w:r>
                </w:p>
              </w:tc>
            </w:tr>
            <w:tr>
              <w:tc>
                <w:tcPr>
                  <w:gridSpan w:val="1"/>
                  <w:vMerge w:val="continue"/>
                </w:tcPr>
                <w:p>
                  <w:pPr/>
                </w:p>
              </w:tc>
              <w:tc>
                <w:tcPr/>
                <w:p>
                  <w:pPr>
                    <w:pStyle w:val="Compact"/>
                    <w:jc w:val="center"/>
                  </w:pPr>
                  <w:r>
                    <w:t xml:space="preserve">SOP-2010</w:t>
                  </w:r>
                </w:p>
              </w:tc>
              <w:tc>
                <w:tcPr/>
                <w:p>
                  <w:pPr>
                    <w:pStyle w:val="Compact"/>
                    <w:jc w:val="center"/>
                  </w:pPr>
                  <w:r>
                    <w:t xml:space="preserve">Operation of the Cation-Exchange Polishing Chromatography Step</w:t>
                  </w:r>
                </w:p>
              </w:tc>
            </w:tr>
            <w:tr>
              <w:tc>
                <w:tcPr>
                  <w:gridSpan w:val="1"/>
                  <w:vMerge w:val="continue"/>
                </w:tcPr>
                <w:p>
                  <w:pPr/>
                </w:p>
              </w:tc>
              <w:tc>
                <w:tcPr/>
                <w:p>
                  <w:pPr>
                    <w:pStyle w:val="Compact"/>
                    <w:jc w:val="center"/>
                  </w:pPr>
                  <w:r>
                    <w:t xml:space="preserve">SOP-2011</w:t>
                  </w:r>
                </w:p>
              </w:tc>
              <w:tc>
                <w:tcPr/>
                <w:p>
                  <w:pPr>
                    <w:pStyle w:val="Compact"/>
                    <w:jc w:val="center"/>
                  </w:pPr>
                  <w:r>
                    <w:t xml:space="preserve">Operation of the Anion-Exchange Polishing Chromatography Step</w:t>
                  </w:r>
                </w:p>
              </w:tc>
            </w:tr>
            <w:tr>
              <w:tc>
                <w:tcPr>
                  <w:gridSpan w:val="1"/>
                  <w:vMerge w:val="continue"/>
                </w:tcPr>
                <w:p>
                  <w:pPr/>
                </w:p>
              </w:tc>
              <w:tc>
                <w:tcPr/>
                <w:p>
                  <w:pPr>
                    <w:pStyle w:val="Compact"/>
                    <w:jc w:val="center"/>
                  </w:pPr>
                  <w:r>
                    <w:t xml:space="preserve">SOP-2012</w:t>
                  </w:r>
                </w:p>
              </w:tc>
              <w:tc>
                <w:tcPr/>
                <w:p>
                  <w:pPr>
                    <w:pStyle w:val="Compact"/>
                    <w:jc w:val="center"/>
                  </w:pPr>
                  <w:r>
                    <w:t xml:space="preserve">Operation and Post-Use Integrity Testing of the Small-Virus Retentive Filtration Step</w:t>
                  </w:r>
                </w:p>
              </w:tc>
            </w:tr>
            <w:tr>
              <w:tc>
                <w:tcPr>
                  <w:gridSpan w:val="1"/>
                  <w:vMerge w:val="continue"/>
                </w:tcPr>
                <w:p>
                  <w:pPr/>
                </w:p>
              </w:tc>
              <w:tc>
                <w:tcPr/>
                <w:p>
                  <w:pPr>
                    <w:pStyle w:val="Compact"/>
                    <w:jc w:val="center"/>
                  </w:pPr>
                  <w:r>
                    <w:t xml:space="preserve">SOP-2013</w:t>
                  </w:r>
                </w:p>
              </w:tc>
              <w:tc>
                <w:tcPr/>
                <w:p>
                  <w:pPr>
                    <w:pStyle w:val="Compact"/>
                    <w:jc w:val="center"/>
                  </w:pPr>
                  <w:r>
                    <w:t xml:space="preserve">Operation of the Ultrafiltration / Diafiltration (Formulation) Step</w:t>
                  </w:r>
                </w:p>
              </w:tc>
            </w:tr>
            <w:tr>
              <w:tc>
                <w:tcPr>
                  <w:gridSpan w:val="1"/>
                  <w:vMerge w:val="continue"/>
                </w:tcPr>
                <w:p>
                  <w:pPr/>
                </w:p>
              </w:tc>
              <w:tc>
                <w:tcPr/>
                <w:p>
                  <w:pPr>
                    <w:pStyle w:val="Compact"/>
                    <w:jc w:val="center"/>
                  </w:pPr>
                  <w:r>
                    <w:t xml:space="preserve">SOP-3010</w:t>
                  </w:r>
                </w:p>
              </w:tc>
              <w:tc>
                <w:tcPr/>
                <w:p>
                  <w:pPr>
                    <w:pStyle w:val="Compact"/>
                    <w:jc w:val="center"/>
                  </w:pPr>
                  <w:r>
                    <w:t xml:space="preserve">Released N-Glycan Mapping by 2-AB HILIC-UPLC</w:t>
                  </w:r>
                </w:p>
              </w:tc>
            </w:tr>
            <w:tr>
              <w:tc>
                <w:tcPr>
                  <w:gridSpan w:val="1"/>
                  <w:vMerge w:val="continue"/>
                </w:tcPr>
                <w:p>
                  <w:pPr/>
                </w:p>
              </w:tc>
              <w:tc>
                <w:tcPr/>
                <w:p>
                  <w:pPr>
                    <w:pStyle w:val="Compact"/>
                    <w:jc w:val="center"/>
                  </w:pPr>
                  <w:r>
                    <w:t xml:space="preserve">SOP-3011</w:t>
                  </w:r>
                </w:p>
              </w:tc>
              <w:tc>
                <w:tcPr/>
                <w:p>
                  <w:pPr>
                    <w:pStyle w:val="Compact"/>
                    <w:jc w:val="center"/>
                  </w:pPr>
                  <w:r>
                    <w:t xml:space="preserve">Size-Variant Analysis by SEC-HPLC</w:t>
                  </w:r>
                </w:p>
              </w:tc>
            </w:tr>
            <w:tr>
              <w:tc>
                <w:tcPr>
                  <w:gridSpan w:val="1"/>
                  <w:vMerge w:val="continue"/>
                </w:tcPr>
                <w:p>
                  <w:pPr/>
                </w:p>
              </w:tc>
              <w:tc>
                <w:tcPr/>
                <w:p>
                  <w:pPr>
                    <w:pStyle w:val="Compact"/>
                    <w:jc w:val="center"/>
                  </w:pPr>
                  <w:r>
                    <w:t xml:space="preserve">SOP-3012</w:t>
                  </w:r>
                </w:p>
              </w:tc>
              <w:tc>
                <w:tcPr/>
                <w:p>
                  <w:pPr>
                    <w:pStyle w:val="Compact"/>
                    <w:jc w:val="center"/>
                  </w:pPr>
                  <w:r>
                    <w:t xml:space="preserve">Host-Cell-Protein Quantitation by ELISA</w:t>
                  </w:r>
                </w:p>
              </w:tc>
            </w:tr>
            <w:tr>
              <w:tc>
                <w:tcPr>
                  <w:gridSpan w:val="1"/>
                  <w:vMerge w:val="continue"/>
                </w:tcPr>
                <w:p>
                  <w:pPr/>
                </w:p>
              </w:tc>
              <w:tc>
                <w:tcPr/>
                <w:p>
                  <w:pPr>
                    <w:pStyle w:val="Compact"/>
                    <w:jc w:val="center"/>
                  </w:pPr>
                  <w:r>
                    <w:t xml:space="preserve">SOP-3013</w:t>
                  </w:r>
                </w:p>
              </w:tc>
              <w:tc>
                <w:tcPr/>
                <w:p>
                  <w:pPr>
                    <w:pStyle w:val="Compact"/>
                    <w:jc w:val="center"/>
                  </w:pPr>
                  <w:r>
                    <w:t xml:space="preserve">Charge-Variant Analysis by icIEF</w:t>
                  </w:r>
                </w:p>
              </w:tc>
            </w:tr>
            <w:tr>
              <w:tc>
                <w:tcPr>
                  <w:gridSpan w:val="1"/>
                  <w:vMerge w:val="continue"/>
                </w:tcPr>
                <w:p>
                  <w:pPr/>
                </w:p>
              </w:tc>
              <w:tc>
                <w:tcPr/>
                <w:p>
                  <w:pPr>
                    <w:pStyle w:val="Compact"/>
                    <w:jc w:val="center"/>
                  </w:pPr>
                  <w:r>
                    <w:t xml:space="preserve">SOP-3014</w:t>
                  </w:r>
                </w:p>
              </w:tc>
              <w:tc>
                <w:tcPr/>
                <w:p>
                  <w:pPr>
                    <w:pStyle w:val="Compact"/>
                    <w:jc w:val="center"/>
                  </w:pPr>
                  <w:r>
                    <w:t xml:space="preserve">Residual Host-Cell DNA by qPCR</w:t>
                  </w:r>
                </w:p>
              </w:tc>
            </w:tr>
            <w:tr>
              <w:tc>
                <w:tcPr>
                  <w:gridSpan w:val="1"/>
                  <w:vMerge w:val="continue"/>
                </w:tcPr>
                <w:p>
                  <w:pPr/>
                </w:p>
              </w:tc>
              <w:tc>
                <w:tcPr/>
                <w:p>
                  <w:pPr>
                    <w:pStyle w:val="Compact"/>
                    <w:jc w:val="center"/>
                  </w:pPr>
                  <w:r>
                    <w:t xml:space="preserve">SOP-3015</w:t>
                  </w:r>
                </w:p>
              </w:tc>
              <w:tc>
                <w:tcPr/>
                <w:p>
                  <w:pPr>
                    <w:pStyle w:val="Compact"/>
                    <w:jc w:val="center"/>
                  </w:pPr>
                  <w:r>
                    <w:t xml:space="preserve">Purity by Non-Reduced CE-SDS</w:t>
                  </w:r>
                </w:p>
              </w:tc>
            </w:tr>
            <w:tr>
              <w:tc>
                <w:tcPr>
                  <w:gridSpan w:val="1"/>
                  <w:vMerge w:val="continue"/>
                </w:tcPr>
                <w:p>
                  <w:pPr/>
                </w:p>
              </w:tc>
              <w:tc>
                <w:tcPr/>
                <w:p>
                  <w:pPr>
                    <w:pStyle w:val="Compact"/>
                    <w:jc w:val="center"/>
                  </w:pPr>
                  <w:r>
                    <w:t xml:space="preserve">SOP-4001</w:t>
                  </w:r>
                </w:p>
              </w:tc>
              <w:tc>
                <w:tcPr/>
                <w:p>
                  <w:pPr>
                    <w:pStyle w:val="Compact"/>
                    <w:jc w:val="center"/>
                  </w:pPr>
                  <w:r>
                    <w:t xml:space="preserve">Process-Parameter Classification and Control-Strategy Definition</w:t>
                  </w:r>
                </w:p>
              </w:tc>
            </w:tr>
            <w:tr>
              <w:tc>
                <w:tcPr>
                  <w:vMerge w:val="restart"/>
                </w:tcPr>
                <w:p>
                  <w:pPr>
                    <w:pStyle w:val="Compact"/>
                    <w:jc w:val="center"/>
                  </w:pPr>
                  <w:r>
                    <w:t xml:space="preserve">Analytical method validation</w:t>
                  </w:r>
                </w:p>
              </w:tc>
              <w:tc>
                <w:tcPr/>
                <w:p>
                  <w:pPr>
                    <w:pStyle w:val="Compact"/>
                    <w:jc w:val="center"/>
                  </w:pPr>
                  <w:r>
                    <w:t xml:space="preserve">AMV-3010</w:t>
                  </w:r>
                </w:p>
              </w:tc>
              <w:tc>
                <w:tcPr/>
                <w:p>
                  <w:pPr>
                    <w:pStyle w:val="Compact"/>
                    <w:jc w:val="center"/>
                  </w:pPr>
                  <w:r>
                    <w:t xml:space="preserve">N-Glycan Map (2-AB HILIC-UPLC)</w:t>
                  </w:r>
                </w:p>
              </w:tc>
            </w:tr>
            <w:tr>
              <w:tc>
                <w:tcPr>
                  <w:gridSpan w:val="1"/>
                  <w:vMerge w:val="continue"/>
                </w:tcPr>
                <w:p>
                  <w:pPr/>
                </w:p>
              </w:tc>
              <w:tc>
                <w:tcPr/>
                <w:p>
                  <w:pPr>
                    <w:pStyle w:val="Compact"/>
                    <w:jc w:val="center"/>
                  </w:pPr>
                  <w:r>
                    <w:t xml:space="preserve">AMV-3011</w:t>
                  </w:r>
                </w:p>
              </w:tc>
              <w:tc>
                <w:tcPr/>
                <w:p>
                  <w:pPr>
                    <w:pStyle w:val="Compact"/>
                    <w:jc w:val="center"/>
                  </w:pPr>
                  <w:r>
                    <w:t xml:space="preserve">Size-Variants (SEC-HPLC)</w:t>
                  </w:r>
                </w:p>
              </w:tc>
            </w:tr>
            <w:tr>
              <w:tc>
                <w:tcPr>
                  <w:gridSpan w:val="1"/>
                  <w:vMerge w:val="continue"/>
                </w:tcPr>
                <w:p>
                  <w:pPr/>
                </w:p>
              </w:tc>
              <w:tc>
                <w:tcPr/>
                <w:p>
                  <w:pPr>
                    <w:pStyle w:val="Compact"/>
                    <w:jc w:val="center"/>
                  </w:pPr>
                  <w:r>
                    <w:t xml:space="preserve">AMV-3012</w:t>
                  </w:r>
                </w:p>
              </w:tc>
              <w:tc>
                <w:tcPr/>
                <w:p>
                  <w:pPr>
                    <w:pStyle w:val="Compact"/>
                    <w:jc w:val="center"/>
                  </w:pPr>
                  <w:r>
                    <w:t xml:space="preserve">Host-Cell Protein ELISA</w:t>
                  </w:r>
                </w:p>
              </w:tc>
            </w:tr>
            <w:tr>
              <w:tc>
                <w:tcPr>
                  <w:gridSpan w:val="1"/>
                  <w:vMerge w:val="continue"/>
                </w:tcPr>
                <w:p>
                  <w:pPr/>
                </w:p>
              </w:tc>
              <w:tc>
                <w:tcPr/>
                <w:p>
                  <w:pPr>
                    <w:pStyle w:val="Compact"/>
                    <w:jc w:val="center"/>
                  </w:pPr>
                  <w:r>
                    <w:t xml:space="preserve">AMV-3013</w:t>
                  </w:r>
                </w:p>
              </w:tc>
              <w:tc>
                <w:tcPr/>
                <w:p>
                  <w:pPr>
                    <w:pStyle w:val="Compact"/>
                    <w:jc w:val="center"/>
                  </w:pPr>
                  <w:r>
                    <w:t xml:space="preserve">Charge Variants (icIEF)</w:t>
                  </w:r>
                </w:p>
              </w:tc>
            </w:tr>
            <w:tr>
              <w:tc>
                <w:tcPr>
                  <w:gridSpan w:val="1"/>
                  <w:vMerge w:val="continue"/>
                </w:tcPr>
                <w:p>
                  <w:pPr/>
                </w:p>
              </w:tc>
              <w:tc>
                <w:tcPr/>
                <w:p>
                  <w:pPr>
                    <w:pStyle w:val="Compact"/>
                    <w:jc w:val="center"/>
                  </w:pPr>
                  <w:r>
                    <w:t xml:space="preserve">AMV-3014</w:t>
                  </w:r>
                </w:p>
              </w:tc>
              <w:tc>
                <w:tcPr/>
                <w:p>
                  <w:pPr>
                    <w:pStyle w:val="Compact"/>
                    <w:jc w:val="center"/>
                  </w:pPr>
                  <w:r>
                    <w:t xml:space="preserve">Residual DNA (qPCR)</w:t>
                  </w:r>
                </w:p>
              </w:tc>
            </w:tr>
            <w:tr>
              <w:tc>
                <w:tcPr>
                  <w:gridSpan w:val="1"/>
                  <w:vMerge w:val="continue"/>
                </w:tcPr>
                <w:p>
                  <w:pPr/>
                </w:p>
              </w:tc>
              <w:tc>
                <w:tcPr/>
                <w:p>
                  <w:pPr>
                    <w:pStyle w:val="Compact"/>
                    <w:jc w:val="center"/>
                  </w:pPr>
                  <w:r>
                    <w:t xml:space="preserve">AMV-3015</w:t>
                  </w:r>
                </w:p>
              </w:tc>
              <w:tc>
                <w:tcPr/>
                <w:p>
                  <w:pPr>
                    <w:pStyle w:val="Compact"/>
                    <w:jc w:val="center"/>
                  </w:pPr>
                  <w:r>
                    <w:t xml:space="preserve">Turbidity by Nephelometry (NTU)</w:t>
                  </w:r>
                </w:p>
              </w:tc>
            </w:tr>
            <w:tr>
              <w:tc>
                <w:tcPr>
                  <w:gridSpan w:val="1"/>
                  <w:vMerge w:val="continue"/>
                </w:tcPr>
                <w:p>
                  <w:pPr/>
                </w:p>
              </w:tc>
              <w:tc>
                <w:tcPr/>
                <w:p>
                  <w:pPr>
                    <w:pStyle w:val="Compact"/>
                    <w:jc w:val="center"/>
                  </w:pPr>
                  <w:r>
                    <w:t xml:space="preserve">AMV-3016</w:t>
                  </w:r>
                </w:p>
              </w:tc>
              <w:tc>
                <w:tcPr/>
                <w:p>
                  <w:pPr>
                    <w:pStyle w:val="Compact"/>
                    <w:jc w:val="center"/>
                  </w:pPr>
                  <w:r>
                    <w:t xml:space="preserve">Leached Protein A by ELISA (ppm)</w:t>
                  </w:r>
                </w:p>
              </w:tc>
            </w:tr>
            <w:tr>
              <w:tc>
                <w:tcPr>
                  <w:gridSpan w:val="1"/>
                  <w:vMerge w:val="continue"/>
                </w:tcPr>
                <w:p>
                  <w:pPr/>
                </w:p>
              </w:tc>
              <w:tc>
                <w:tcPr/>
                <w:p>
                  <w:pPr>
                    <w:pStyle w:val="Compact"/>
                    <w:jc w:val="center"/>
                  </w:pPr>
                  <w:r>
                    <w:t xml:space="preserve">AMV-3017</w:t>
                  </w:r>
                </w:p>
              </w:tc>
              <w:tc>
                <w:tcPr/>
                <w:p>
                  <w:pPr>
                    <w:pStyle w:val="Compact"/>
                    <w:jc w:val="center"/>
                  </w:pPr>
                  <w:r>
                    <w:t xml:space="preserve">XMuLV Infectivity Titre (TCID50)</w:t>
                  </w:r>
                </w:p>
              </w:tc>
            </w:tr>
            <w:tr>
              <w:tc>
                <w:tcPr>
                  <w:gridSpan w:val="1"/>
                  <w:vMerge w:val="continue"/>
                </w:tcPr>
                <w:p>
                  <w:pPr/>
                </w:p>
              </w:tc>
              <w:tc>
                <w:tcPr/>
                <w:p>
                  <w:pPr>
                    <w:pStyle w:val="Compact"/>
                    <w:jc w:val="center"/>
                  </w:pPr>
                  <w:r>
                    <w:t xml:space="preserve">AMV-3018</w:t>
                  </w:r>
                </w:p>
              </w:tc>
              <w:tc>
                <w:tcPr/>
                <w:p>
                  <w:pPr>
                    <w:pStyle w:val="Compact"/>
                    <w:jc w:val="center"/>
                  </w:pPr>
                  <w:r>
                    <w:t xml:space="preserve">MVM Infectivity Titre (TCID50/qPCR)</w:t>
                  </w:r>
                </w:p>
              </w:tc>
            </w:tr>
            <w:tr>
              <w:tc>
                <w:tcPr>
                  <w:gridSpan w:val="1"/>
                  <w:vMerge w:val="continue"/>
                </w:tcPr>
                <w:p>
                  <w:pPr/>
                </w:p>
              </w:tc>
              <w:tc>
                <w:tcPr/>
                <w:p>
                  <w:pPr>
                    <w:pStyle w:val="Compact"/>
                    <w:jc w:val="center"/>
                  </w:pPr>
                  <w:r>
                    <w:t xml:space="preserve">AMV-3019</w:t>
                  </w:r>
                </w:p>
              </w:tc>
              <w:tc>
                <w:tcPr/>
                <w:p>
                  <w:pPr>
                    <w:pStyle w:val="Compact"/>
                    <w:jc w:val="center"/>
                  </w:pPr>
                  <w:r>
                    <w:t xml:space="preserve">Protein Concentration by A280 (UV)</w:t>
                  </w:r>
                </w:p>
              </w:tc>
            </w:tr>
            <w:tr>
              <w:tc>
                <w:tcPr>
                  <w:gridSpan w:val="1"/>
                  <w:vMerge w:val="continue"/>
                </w:tcPr>
                <w:p>
                  <w:pPr/>
                </w:p>
              </w:tc>
              <w:tc>
                <w:tcPr/>
                <w:p>
                  <w:pPr>
                    <w:pStyle w:val="Compact"/>
                    <w:jc w:val="center"/>
                  </w:pPr>
                  <w:r>
                    <w:t xml:space="preserve">AMV-3020</w:t>
                  </w:r>
                </w:p>
              </w:tc>
              <w:tc>
                <w:tcPr/>
                <w:p>
                  <w:pPr>
                    <w:pStyle w:val="Compact"/>
                    <w:jc w:val="center"/>
                  </w:pPr>
                  <w:r>
                    <w:t xml:space="preserve">Purity (non-reduced CE-SDS)</w:t>
                  </w:r>
                </w:p>
              </w:tc>
            </w:tr>
          </w:tbl>
          <w:bookmarkEnd w:id="34"/>
          <w:p/>
        </w:tc>
      </w:tr>
    </w:tbl>
    <w:bookmarkEnd w:id="35"/>
    <w:bookmarkStart w:id="42" w:name="sec-stats"/>
    <w:p>
      <w:pPr>
        <w:pStyle w:val="Heading1"/>
      </w:pPr>
      <w:r>
        <w:t xml:space="preserve">6. Common statistical approach</w:t>
      </w:r>
    </w:p>
    <w:bookmarkStart w:id="37" w:name="designs"/>
    <w:p>
      <w:pPr>
        <w:pStyle w:val="Heading2"/>
      </w:pPr>
      <w:r>
        <w:t xml:space="preserve">6.1 Designs</w:t>
      </w:r>
    </w:p>
    <w:p>
      <w:pPr>
        <w:pStyle w:val="FirstParagraph"/>
      </w:pPr>
      <w:r>
        <w:t xml:space="preserve">Each step with a multivariate scope is studied in two stages, under the design of experiments procedure SOP-1002. A screening design comes first. It is a two-level factorial design, full or fractional as the number of factors requires, with replicated centre points. A response-surface design follows. It is a central composite design over the factors that screening showed, or RA-001 expected, to affect a CQA with a criterion at the step. It also has replicated centre points.</w:t>
      </w:r>
      <w:r>
        <w:t xml:space="preserve"> </w:t>
      </w:r>
      <w:hyperlink w:anchor="tbl-designs">
        <w:r>
          <w:rPr>
            <w:rStyle w:val="Hyperlink"/>
          </w:rPr>
          <w:t xml:space="preserve">Table 8</w:t>
        </w:r>
      </w:hyperlink>
      <w:r>
        <w:t xml:space="preserve"> </w:t>
      </w:r>
      <w:r>
        <w:t xml:space="preserve">gives the structure of each design. Every design has at least 3 centre points. The centre points estimate pure error and allow a test for curvature and for lack of fit.</w:t>
      </w:r>
    </w:p>
    <w:tbl>
      <w:tblPr>
        <w:tblStyle w:val="Table"/>
        <w:tblW w:type="pct" w:w="5000"/>
        <w:tblLayout w:type="fixed"/>
        <w:tblLook w:firstRow="0" w:lastRow="0" w:firstColumn="0" w:lastColumn="0" w:noHBand="0" w:noVBand="0" w:val="0000"/>
      </w:tblPr>
      <w:tblGrid>
        <w:gridCol w:w="7920"/>
      </w:tblGrid>
      <w:tr>
        <w:tc>
          <w:tcPr/>
          <w:bookmarkStart w:id="36" w:name="tbl-designs"/>
          <w:p>
            <w:pPr>
              <w:jc w:val="center"/>
            </w:pPr>
            <w:pPr>
              <w:jc w:val="start"/>
              <w:spacing w:before="200"/>
              <w:pStyle w:val="ImageCaption"/>
            </w:pPr>
            <w:r>
              <w:t xml:space="preserve">Table 8: Designed experiments per step. Runs are given with the number of centre points in brackets.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jc w:val="center"/>
                  </w:pPr>
                  <w:r>
                    <w:t xml:space="preserve">Step</w:t>
                  </w:r>
                </w:p>
              </w:tc>
              <w:tc>
                <w:tcPr>
                  <w:vMerge w:val="restart"/>
                </w:tcPr>
                <w:p>
                  <w:pPr>
                    <w:pStyle w:val="Compact"/>
                    <w:jc w:val="center"/>
                  </w:pPr>
                  <w:r>
                    <w:t xml:space="preserve">Unit operation</w:t>
                  </w:r>
                </w:p>
              </w:tc>
              <w:tc>
                <w:tcPr>
                  <w:gridSpan w:val="3"/>
                </w:tcPr>
                <w:p>
                  <w:pPr>
                    <w:pStyle w:val="Compact"/>
                    <w:jc w:val="center"/>
                  </w:pPr>
                  <w:r>
                    <w:t xml:space="preserve">Screening</w:t>
                  </w:r>
                </w:p>
              </w:tc>
              <w:tc>
                <w:tcPr>
                  <w:gridSpan w:val="2"/>
                </w:tcPr>
                <w:p>
                  <w:pPr>
                    <w:pStyle w:val="Compact"/>
                    <w:jc w:val="center"/>
                  </w:pPr>
                  <w:r>
                    <w:t xml:space="preserve">Response surface</w:t>
                  </w:r>
                </w:p>
              </w:tc>
              <w:tc>
                <w:tcPr>
                  <w:vMerge w:val="restart"/>
                </w:tcPr>
                <w:p>
                  <w:pPr>
                    <w:pStyle w:val="Compact"/>
                    <w:jc w:val="center"/>
                  </w:pPr>
                  <w:r>
                    <w:t xml:space="preserve">Responses</w:t>
                  </w:r>
                </w:p>
              </w:tc>
            </w:tr>
            <w:tr>
              <w:trPr>
                <w:tblHeader w:val="on"/>
              </w:trPr>
              <w:tc>
                <w:tcPr>
                  <w:gridSpan w:val="1"/>
                  <w:vMerge w:val="continue"/>
                </w:tcPr>
                <w:p>
                  <w:pPr/>
                </w:p>
              </w:tc>
              <w:tc>
                <w:tcPr>
                  <w:gridSpan w:val="1"/>
                  <w:vMerge w:val="continue"/>
                </w:tcPr>
                <w:p>
                  <w:pPr/>
                </w:p>
              </w:tc>
              <w:tc>
                <w:tcPr/>
                <w:p>
                  <w:pPr>
                    <w:pStyle w:val="Compact"/>
                    <w:jc w:val="center"/>
                  </w:pPr>
                  <w:r>
                    <w:t xml:space="preserve">Factors</w:t>
                  </w:r>
                </w:p>
              </w:tc>
              <w:tc>
                <w:tcPr/>
                <w:p>
                  <w:pPr>
                    <w:pStyle w:val="Compact"/>
                    <w:jc w:val="center"/>
                  </w:pPr>
                  <w:r>
                    <w:t xml:space="preserve">Runs</w:t>
                  </w:r>
                </w:p>
              </w:tc>
              <w:tc>
                <w:tcPr/>
                <w:p>
                  <w:pPr>
                    <w:pStyle w:val="Compact"/>
                    <w:jc w:val="center"/>
                  </w:pPr>
                  <w:r>
                    <w:t xml:space="preserve">Model terms</w:t>
                  </w:r>
                </w:p>
              </w:tc>
              <w:tc>
                <w:tcPr/>
                <w:p>
                  <w:pPr>
                    <w:pStyle w:val="Compact"/>
                    <w:jc w:val="center"/>
                  </w:pPr>
                  <w:r>
                    <w:t xml:space="preserve">Factors</w:t>
                  </w:r>
                </w:p>
              </w:tc>
              <w:tc>
                <w:tcPr/>
                <w:p>
                  <w:pPr>
                    <w:pStyle w:val="Compact"/>
                    <w:jc w:val="center"/>
                  </w:pPr>
                  <w:r>
                    <w:t xml:space="preserve">Runs</w:t>
                  </w:r>
                </w:p>
              </w:tc>
              <w:tc>
                <w:tcPr>
                  <w:gridSpan w:val="1"/>
                  <w:vMerge w:val="continue"/>
                </w:tcPr>
                <w:p>
                  <w:pPr/>
                </w:p>
              </w:tc>
            </w:tr>
            <w:tr>
              <w:tc>
                <w:tcPr/>
                <w:p>
                  <w:pPr>
                    <w:pStyle w:val="Compact"/>
                    <w:jc w:val="center"/>
                  </w:pPr>
                  <w:r>
                    <w:t xml:space="preserve">3</w:t>
                  </w:r>
                </w:p>
              </w:tc>
              <w:tc>
                <w:tcPr/>
                <w:p>
                  <w:pPr>
                    <w:pStyle w:val="Compact"/>
                    <w:jc w:val="center"/>
                  </w:pPr>
                  <w:r>
                    <w:t xml:space="preserve">Production Bioreactor</w:t>
                  </w:r>
                </w:p>
              </w:tc>
              <w:tc>
                <w:tcPr/>
                <w:p>
                  <w:pPr>
                    <w:pStyle w:val="Compact"/>
                    <w:jc w:val="center"/>
                  </w:pPr>
                  <w:r>
                    <w:t xml:space="preserve">5</w:t>
                  </w:r>
                </w:p>
              </w:tc>
              <w:tc>
                <w:tcPr/>
                <w:p>
                  <w:pPr>
                    <w:pStyle w:val="Compact"/>
                    <w:jc w:val="center"/>
                  </w:pPr>
                  <w:r>
                    <w:t xml:space="preserve">19 (3)</w:t>
                  </w:r>
                </w:p>
              </w:tc>
              <w:tc>
                <w:tcPr/>
                <w:p>
                  <w:pPr>
                    <w:pStyle w:val="Compact"/>
                    <w:jc w:val="center"/>
                  </w:pPr>
                  <w:r>
                    <w:t xml:space="preserve">16</w:t>
                  </w:r>
                </w:p>
              </w:tc>
              <w:tc>
                <w:tcPr/>
                <w:p>
                  <w:pPr>
                    <w:pStyle w:val="Compact"/>
                    <w:jc w:val="center"/>
                  </w:pPr>
                  <w:r>
                    <w:t xml:space="preserve">4</w:t>
                  </w:r>
                </w:p>
              </w:tc>
              <w:tc>
                <w:tcPr/>
                <w:p>
                  <w:pPr>
                    <w:pStyle w:val="Compact"/>
                    <w:jc w:val="center"/>
                  </w:pPr>
                  <w:r>
                    <w:t xml:space="preserve">28 (4)</w:t>
                  </w:r>
                </w:p>
              </w:tc>
              <w:tc>
                <w:tcPr/>
                <w:p>
                  <w:pPr>
                    <w:pStyle w:val="Compact"/>
                    <w:jc w:val="center"/>
                  </w:pPr>
                  <w:r>
                    <w:t xml:space="preserve">Afucosylation, Galactosylation, High mannose, Acidic variants, Aggregates (HMW)</w:t>
                  </w:r>
                </w:p>
              </w:tc>
            </w:tr>
            <w:tr>
              <w:tc>
                <w:tcPr/>
                <w:p>
                  <w:pPr>
                    <w:pStyle w:val="Compact"/>
                    <w:jc w:val="center"/>
                  </w:pPr>
                  <w:r>
                    <w:t xml:space="preserve">5</w:t>
                  </w:r>
                </w:p>
              </w:tc>
              <w:tc>
                <w:tcPr/>
                <w:p>
                  <w:pPr>
                    <w:pStyle w:val="Compact"/>
                    <w:jc w:val="center"/>
                  </w:pPr>
                  <w:r>
                    <w:t xml:space="preserve">Protein A</w:t>
                  </w:r>
                </w:p>
              </w:tc>
              <w:tc>
                <w:tcPr/>
                <w:p>
                  <w:pPr>
                    <w:pStyle w:val="Compact"/>
                    <w:jc w:val="center"/>
                  </w:pPr>
                  <w:r>
                    <w:t xml:space="preserve">4</w:t>
                  </w:r>
                </w:p>
              </w:tc>
              <w:tc>
                <w:tcPr/>
                <w:p>
                  <w:pPr>
                    <w:pStyle w:val="Compact"/>
                    <w:jc w:val="center"/>
                  </w:pPr>
                  <w:r>
                    <w:t xml:space="preserve">19 (3)</w:t>
                  </w:r>
                </w:p>
              </w:tc>
              <w:tc>
                <w:tcPr/>
                <w:p>
                  <w:pPr>
                    <w:pStyle w:val="Compact"/>
                    <w:jc w:val="center"/>
                  </w:pPr>
                  <w:r>
                    <w:t xml:space="preserve">11</w:t>
                  </w:r>
                </w:p>
              </w:tc>
              <w:tc>
                <w:tcPr/>
                <w:p>
                  <w:pPr>
                    <w:pStyle w:val="Compact"/>
                    <w:jc w:val="center"/>
                  </w:pPr>
                  <w:r>
                    <w:t xml:space="preserve">4</w:t>
                  </w:r>
                </w:p>
              </w:tc>
              <w:tc>
                <w:tcPr/>
                <w:p>
                  <w:pPr>
                    <w:pStyle w:val="Compact"/>
                    <w:jc w:val="center"/>
                  </w:pPr>
                  <w:r>
                    <w:t xml:space="preserve">28 (4)</w:t>
                  </w:r>
                </w:p>
              </w:tc>
              <w:tc>
                <w:tcPr/>
                <w:p>
                  <w:pPr>
                    <w:pStyle w:val="Compact"/>
                    <w:jc w:val="center"/>
                  </w:pPr>
                  <w:r>
                    <w:t xml:space="preserve">Pool HCP (ng/mg), Step yield, Leached Protein A (ppm), Fragments (LMW, %, nrCE-SDS)</w:t>
                  </w:r>
                </w:p>
              </w:tc>
            </w:tr>
            <w:tr>
              <w:tc>
                <w:tcPr/>
                <w:p>
                  <w:pPr>
                    <w:pStyle w:val="Compact"/>
                    <w:jc w:val="center"/>
                  </w:pPr>
                  <w:r>
                    <w:t xml:space="preserve">6</w:t>
                  </w:r>
                </w:p>
              </w:tc>
              <w:tc>
                <w:tcPr/>
                <w:p>
                  <w:pPr>
                    <w:pStyle w:val="Compact"/>
                    <w:jc w:val="center"/>
                  </w:pPr>
                  <w:r>
                    <w:t xml:space="preserve">Low-pH Viral Inactivation</w:t>
                  </w:r>
                </w:p>
              </w:tc>
              <w:tc>
                <w:tcPr/>
                <w:p>
                  <w:pPr>
                    <w:pStyle w:val="Compact"/>
                    <w:jc w:val="center"/>
                  </w:pPr>
                  <w:r>
                    <w:t xml:space="preserve">3</w:t>
                  </w:r>
                </w:p>
              </w:tc>
              <w:tc>
                <w:tcPr/>
                <w:p>
                  <w:pPr>
                    <w:pStyle w:val="Compact"/>
                    <w:jc w:val="center"/>
                  </w:pPr>
                  <w:r>
                    <w:t xml:space="preserve">11 (3)</w:t>
                  </w:r>
                </w:p>
              </w:tc>
              <w:tc>
                <w:tcPr/>
                <w:p>
                  <w:pPr>
                    <w:pStyle w:val="Compact"/>
                    <w:jc w:val="center"/>
                  </w:pPr>
                  <w:r>
                    <w:t xml:space="preserve">7</w:t>
                  </w:r>
                </w:p>
              </w:tc>
              <w:tc>
                <w:tcPr/>
                <w:p>
                  <w:pPr>
                    <w:pStyle w:val="Compact"/>
                    <w:jc w:val="center"/>
                  </w:pPr>
                  <w:r>
                    <w:t xml:space="preserve">3</w:t>
                  </w:r>
                </w:p>
              </w:tc>
              <w:tc>
                <w:tcPr/>
                <w:p>
                  <w:pPr>
                    <w:pStyle w:val="Compact"/>
                    <w:jc w:val="center"/>
                  </w:pPr>
                  <w:r>
                    <w:t xml:space="preserve">18 (4)</w:t>
                  </w:r>
                </w:p>
              </w:tc>
              <w:tc>
                <w:tcPr/>
                <w:p>
                  <w:pPr>
                    <w:pStyle w:val="Compact"/>
                    <w:jc w:val="center"/>
                  </w:pPr>
                  <w:r>
                    <w:t xml:space="preserve">Aggregates (HMW, %), XMuLV LRF (log₁₀), Acidic variants, Fragments (LMW, %, nrCE-SDS)</w:t>
                  </w:r>
                </w:p>
              </w:tc>
            </w:tr>
            <w:tr>
              <w:tc>
                <w:tcPr/>
                <w:p>
                  <w:pPr>
                    <w:pStyle w:val="Compact"/>
                    <w:jc w:val="center"/>
                  </w:pPr>
                  <w:r>
                    <w:t xml:space="preserve">7</w:t>
                  </w:r>
                </w:p>
              </w:tc>
              <w:tc>
                <w:tcPr/>
                <w:p>
                  <w:pPr>
                    <w:pStyle w:val="Compact"/>
                    <w:jc w:val="center"/>
                  </w:pPr>
                  <w:r>
                    <w:t xml:space="preserve">Cation Exchange</w:t>
                  </w:r>
                </w:p>
              </w:tc>
              <w:tc>
                <w:tcPr/>
                <w:p>
                  <w:pPr>
                    <w:pStyle w:val="Compact"/>
                    <w:jc w:val="center"/>
                  </w:pPr>
                  <w:r>
                    <w:t xml:space="preserve">4</w:t>
                  </w:r>
                </w:p>
              </w:tc>
              <w:tc>
                <w:tcPr/>
                <w:p>
                  <w:pPr>
                    <w:pStyle w:val="Compact"/>
                    <w:jc w:val="center"/>
                  </w:pPr>
                  <w:r>
                    <w:t xml:space="preserve">19 (3)</w:t>
                  </w:r>
                </w:p>
              </w:tc>
              <w:tc>
                <w:tcPr/>
                <w:p>
                  <w:pPr>
                    <w:pStyle w:val="Compact"/>
                    <w:jc w:val="center"/>
                  </w:pPr>
                  <w:r>
                    <w:t xml:space="preserve">11</w:t>
                  </w:r>
                </w:p>
              </w:tc>
              <w:tc>
                <w:tcPr/>
                <w:p>
                  <w:pPr>
                    <w:pStyle w:val="Compact"/>
                    <w:jc w:val="center"/>
                  </w:pPr>
                  <w:r>
                    <w:t xml:space="preserve">4</w:t>
                  </w:r>
                </w:p>
              </w:tc>
              <w:tc>
                <w:tcPr/>
                <w:p>
                  <w:pPr>
                    <w:pStyle w:val="Compact"/>
                    <w:jc w:val="center"/>
                  </w:pPr>
                  <w:r>
                    <w:t xml:space="preserve">28 (4)</w:t>
                  </w:r>
                </w:p>
              </w:tc>
              <w:tc>
                <w:tcPr/>
                <w:p>
                  <w:pPr>
                    <w:pStyle w:val="Compact"/>
                    <w:jc w:val="center"/>
                  </w:pPr>
                  <w:r>
                    <w:t xml:space="preserve">Aggregates (HMW, %), Pool HCP (ng/mg), Step yield, Fragments (LMW, %, nrCE-SDS)</w:t>
                  </w:r>
                </w:p>
              </w:tc>
            </w:tr>
            <w:tr>
              <w:tc>
                <w:tcPr/>
                <w:p>
                  <w:pPr>
                    <w:pStyle w:val="Compact"/>
                    <w:jc w:val="center"/>
                  </w:pPr>
                  <w:r>
                    <w:t xml:space="preserve">8</w:t>
                  </w:r>
                </w:p>
              </w:tc>
              <w:tc>
                <w:tcPr/>
                <w:p>
                  <w:pPr>
                    <w:pStyle w:val="Compact"/>
                    <w:jc w:val="center"/>
                  </w:pPr>
                  <w:r>
                    <w:t xml:space="preserve">Anion Exchange</w:t>
                  </w:r>
                </w:p>
              </w:tc>
              <w:tc>
                <w:tcPr/>
                <w:p>
                  <w:pPr>
                    <w:pStyle w:val="Compact"/>
                    <w:jc w:val="center"/>
                  </w:pPr>
                  <w:r>
                    <w:t xml:space="preserve">4</w:t>
                  </w:r>
                </w:p>
              </w:tc>
              <w:tc>
                <w:tcPr/>
                <w:p>
                  <w:pPr>
                    <w:pStyle w:val="Compact"/>
                    <w:jc w:val="center"/>
                  </w:pPr>
                  <w:r>
                    <w:t xml:space="preserve">19 (3)</w:t>
                  </w:r>
                </w:p>
              </w:tc>
              <w:tc>
                <w:tcPr/>
                <w:p>
                  <w:pPr>
                    <w:pStyle w:val="Compact"/>
                    <w:jc w:val="center"/>
                  </w:pPr>
                  <w:r>
                    <w:t xml:space="preserve">11</w:t>
                  </w:r>
                </w:p>
              </w:tc>
              <w:tc>
                <w:tcPr/>
                <w:p>
                  <w:pPr>
                    <w:pStyle w:val="Compact"/>
                    <w:jc w:val="center"/>
                  </w:pPr>
                  <w:r>
                    <w:t xml:space="preserve">4</w:t>
                  </w:r>
                </w:p>
              </w:tc>
              <w:tc>
                <w:tcPr/>
                <w:p>
                  <w:pPr>
                    <w:pStyle w:val="Compact"/>
                    <w:jc w:val="center"/>
                  </w:pPr>
                  <w:r>
                    <w:t xml:space="preserve">28 (4)</w:t>
                  </w:r>
                </w:p>
              </w:tc>
              <w:tc>
                <w:tcPr/>
                <w:p>
                  <w:pPr>
                    <w:pStyle w:val="Compact"/>
                    <w:jc w:val="center"/>
                  </w:pPr>
                  <w:r>
                    <w:t xml:space="preserve">Pool HCP (ng/mg), XMuLV LRF (log₁₀), MVM LRF (log₁₀), Step yield, Fragments (LMW, %, nrCE-SDS)</w:t>
                  </w:r>
                </w:p>
              </w:tc>
            </w:tr>
            <w:tr>
              <w:tc>
                <w:tcPr/>
                <w:p>
                  <w:pPr>
                    <w:pStyle w:val="Compact"/>
                    <w:jc w:val="center"/>
                  </w:pPr>
                  <w:r>
                    <w:t xml:space="preserve">9</w:t>
                  </w:r>
                </w:p>
              </w:tc>
              <w:tc>
                <w:tcPr/>
                <w:p>
                  <w:pPr>
                    <w:pStyle w:val="Compact"/>
                    <w:jc w:val="center"/>
                  </w:pPr>
                  <w:r>
                    <w:t xml:space="preserve">Small-Virus Retentive Filtration</w:t>
                  </w:r>
                </w:p>
              </w:tc>
              <w:tc>
                <w:tcPr/>
                <w:p>
                  <w:pPr>
                    <w:pStyle w:val="Compact"/>
                    <w:jc w:val="center"/>
                  </w:pPr>
                  <w:r>
                    <w:t xml:space="preserve">2</w:t>
                  </w:r>
                </w:p>
              </w:tc>
              <w:tc>
                <w:tcPr/>
                <w:p>
                  <w:pPr>
                    <w:pStyle w:val="Compact"/>
                    <w:jc w:val="center"/>
                  </w:pPr>
                  <w:r>
                    <w:t xml:space="preserve">7 (3)</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12 (4)</w:t>
                  </w:r>
                </w:p>
              </w:tc>
              <w:tc>
                <w:tcPr/>
                <w:p>
                  <w:pPr>
                    <w:pStyle w:val="Compact"/>
                    <w:jc w:val="center"/>
                  </w:pPr>
                  <w:r>
                    <w:t xml:space="preserve">MVM LRF (log₁₀), XMuLV LRF (log₁₀), Step yield, Fragments (LMW, %, nrCE-SDS)</w:t>
                  </w:r>
                </w:p>
              </w:tc>
            </w:tr>
          </w:tbl>
          <w:bookmarkEnd w:id="36"/>
          <w:p/>
        </w:tc>
      </w:tr>
    </w:tbl>
    <w:p>
      <w:pPr>
        <w:pStyle w:val="BodyText"/>
      </w:pPr>
      <w:r>
        <w:t xml:space="preserve">Runs are executed in random order within each design. Where a run is lost or invalidated, the PCR-00N should report it and state whether the design was repaired or re-executed.</w:t>
      </w:r>
    </w:p>
    <w:bookmarkEnd w:id="37"/>
    <w:bookmarkStart w:id="38" w:name="models-and-what-each-model-is-for"/>
    <w:p>
      <w:pPr>
        <w:pStyle w:val="Heading2"/>
      </w:pPr>
      <w:r>
        <w:t xml:space="preserve">6.2 Models, and what each model is for</w:t>
      </w:r>
    </w:p>
    <w:p>
      <w:pPr>
        <w:pStyle w:val="FirstParagraph"/>
      </w:pPr>
      <w:r>
        <w:t xml:space="preserve">The screening data are fitted with a model of main effects and two-factor interactions in coded units. The response-surface data are fitted with a full quadratic model. Effects are reported as the change in the response over the coded range of the factor, and a model term is significant when its p-value is below α = 0.05. This is the conventional level. Its consequence is that about one term in twenty with no real effect is called significant by chance. An attribute is called affected by a parameter when a term that contains the parameter is significant at that level.</w:t>
      </w:r>
    </w:p>
    <w:p>
      <w:pPr>
        <w:pStyle w:val="BodyText"/>
      </w:pPr>
      <w:r>
        <w:t xml:space="preserve">The screening model identifies effects. Its centre points detect curvature but cannot attribute it to a factor, and the model still interpolates linearly between the corners of the design. In the production bioreactor and small-virus retentive filtration screening designs the interaction model also leaves only 1 degree of freedom for lack of fit (</w:t>
      </w:r>
      <w:hyperlink w:anchor="tbl-designs">
        <w:r>
          <w:rPr>
            <w:rStyle w:val="Hyperlink"/>
          </w:rPr>
          <w:t xml:space="preserve">Table 8</w:t>
        </w:r>
      </w:hyperlink>
      <w:r>
        <w:t xml:space="preserve">), so its fit statistics overstate how well it fits. The response-surface model is the predictive model. Every prediction, every PAR and every design space in the package comes from it. No report should claim prediction from a screening model.</w:t>
      </w:r>
    </w:p>
    <w:p>
      <w:pPr>
        <w:pStyle w:val="BodyText"/>
      </w:pPr>
      <w:r>
        <w:t xml:space="preserve">A response-surface model predicts the mean response over the range studied. At the edge of an acceptable region defined on mean predictions, a single batch meets its criterion about half the time if variability is symmetrical. For this reason a quality attribute is judged on a single batch, not on the mean prediction, in two analyses. The NOR-propagated proven acceptable range (</w:t>
      </w:r>
      <w:hyperlink w:anchor="sec-par">
        <w:r>
          <w:rPr>
            <w:rStyle w:val="Hyperlink"/>
          </w:rPr>
          <w:t xml:space="preserve">Section 6.4</w:t>
        </w:r>
      </w:hyperlink>
      <w:r>
        <w:t xml:space="preserve">) is computed by Monte Carlo, and its interval includes the model residual, the uncertainty of the fitted coefficients and the variation of the other parameters within their NOR. The judgement of an output over the NOR in the scale-down qualification (</w:t>
      </w:r>
      <w:hyperlink w:anchor="sec-acc-sdm">
        <w:r>
          <w:rPr>
            <w:rStyle w:val="Hyperlink"/>
          </w:rPr>
          <w:t xml:space="preserve">Section 7.1</w:t>
        </w:r>
      </w:hyperlink>
      <w:r>
        <w:t xml:space="preserve">) uses the exact 95 % prediction interval of a single run at each combination of NOR low, set-point and NOR high.</w:t>
      </w:r>
    </w:p>
    <w:bookmarkEnd w:id="38"/>
    <w:bookmarkStart w:id="39" w:name="model-adequacy"/>
    <w:p>
      <w:pPr>
        <w:pStyle w:val="Heading2"/>
      </w:pPr>
      <w:r>
        <w:t xml:space="preserve">6.3 Model adequacy</w:t>
      </w:r>
    </w:p>
    <w:p>
      <w:pPr>
        <w:pStyle w:val="FirstParagraph"/>
      </w:pPr>
      <w:r>
        <w:t xml:space="preserve">Each fitted model is reported with R², adjusted R² and predicted R², the model F-test, and the lack-of-fit test against pure error from the centre points. Residuals are inspected against predicted values and on a normal probability plot. A model is used for prediction only if it meets the adequacy criteria in</w:t>
      </w:r>
      <w:r>
        <w:t xml:space="preserve"> </w:t>
      </w:r>
      <w:hyperlink w:anchor="sec-acc-model">
        <w:r>
          <w:rPr>
            <w:rStyle w:val="Hyperlink"/>
          </w:rPr>
          <w:t xml:space="preserve">Section 7.2</w:t>
        </w:r>
      </w:hyperlink>
      <w:r>
        <w:t xml:space="preserve">.</w:t>
      </w:r>
    </w:p>
    <w:bookmarkEnd w:id="39"/>
    <w:bookmarkStart w:id="40" w:name="sec-par"/>
    <w:p>
      <w:pPr>
        <w:pStyle w:val="Heading2"/>
      </w:pPr>
      <w:r>
        <w:t xml:space="preserve">6.4 Proven acceptable ranges</w:t>
      </w:r>
    </w:p>
    <w:p>
      <w:pPr>
        <w:pStyle w:val="FirstParagraph"/>
      </w:pPr>
      <w:r>
        <w:t xml:space="preserve">A PAR is computed for each CQA that has a criterion at the step and for each factor of the response-surface model.</w:t>
      </w:r>
    </w:p>
    <w:p>
      <w:pPr>
        <w:pStyle w:val="Compact"/>
        <w:numPr>
          <w:ilvl w:val="0"/>
          <w:numId w:val="1002"/>
        </w:numPr>
      </w:pPr>
      <w:r>
        <w:t xml:space="preserve">The set-point analysis is a univariate proven acceptable range with the other parameters at their set-points. It scans the factor across its characterized range. The PAR is the contiguous range around the set-point over which the mean prediction meets the criterion.</w:t>
      </w:r>
    </w:p>
    <w:p>
      <w:pPr>
        <w:pStyle w:val="Compact"/>
        <w:numPr>
          <w:ilvl w:val="0"/>
          <w:numId w:val="1002"/>
        </w:numPr>
      </w:pPr>
      <w:r>
        <w:t xml:space="preserve">The NOR-propagated analysis is the same range with the other parameters varying within their NORs. It scans the factor across 81 grid points. The PAR is the contiguous range around the set-point over which the predicted result meets the criterion.</w:t>
      </w:r>
    </w:p>
    <w:p>
      <w:pPr>
        <w:pStyle w:val="FirstParagraph"/>
      </w:pPr>
      <w:r>
        <w:t xml:space="preserve">What the NOR-propagated analysis compares with the criterion depends on the kind of attribute.</w:t>
      </w:r>
    </w:p>
    <w:p>
      <w:pPr>
        <w:pStyle w:val="Compact"/>
        <w:numPr>
          <w:ilvl w:val="0"/>
          <w:numId w:val="1003"/>
        </w:numPr>
      </w:pPr>
      <w:r>
        <w:t xml:space="preserve">For a quality attribute it compares the 95 % prediction interval of a single batch, because a single batch is what must meet the criterion. At each grid point the analysis draws 2,000 operating points for the other factors. Each factor is drawn from a normal distribution centred on its set-point, with a standard deviation of one sixth of the width of its NOR, and clipped to the characterized range. This assumes that the NOR spans ±3 standard deviations of the routine variation of the parameter. The interval includes the model residual and the uncertainty of the fitted coefficients. It runs from the 2.5th to the 97.5th percentile of the simulated batches. For an upper limit the 97.5th percentile must not exceed the limit, for a lower limit the 2.5th percentile must not fall below it, and for a two-sided criterion both apply.</w:t>
      </w:r>
    </w:p>
    <w:p>
      <w:pPr>
        <w:pStyle w:val="Compact"/>
        <w:numPr>
          <w:ilvl w:val="0"/>
          <w:numId w:val="1003"/>
        </w:numPr>
      </w:pPr>
      <w:r>
        <w:t xml:space="preserve">For viral clearance it compares the worst case within the NOR. At each grid point the other factors are set to every combination of their NOR low, set-point and NOR high. The lowest mean predicted log reduction among these combinations must meet the claim of the step. Viral clearance is validated at worst-case conditions, so a claim that held only on average over the NOR would not support a validated log reduction.</w:t>
      </w:r>
    </w:p>
    <w:p>
      <w:pPr>
        <w:pStyle w:val="FirstParagraph"/>
      </w:pPr>
      <w:r>
        <w:t xml:space="preserve">The NOR-propagated PAR is the one that supports a claim. It is in general narrower than the set-point PAR, because the range must hold while the rest of the operating point moves within its NOR.</w:t>
      </w:r>
    </w:p>
    <w:bookmarkEnd w:id="40"/>
    <w:bookmarkStart w:id="41" w:name="sec-capability"/>
    <w:p>
      <w:pPr>
        <w:pStyle w:val="Heading2"/>
      </w:pPr>
      <w:r>
        <w:t xml:space="preserve">6.5 Capability, and the integrated model</w:t>
      </w:r>
    </w:p>
    <w:p>
      <w:pPr>
        <w:pStyle w:val="FirstParagraph"/>
      </w:pPr>
      <w:r>
        <w:t xml:space="preserve">Capability at commercial scale is estimated from an integrated model of the train. The model runs 2,000 simulated batches through every step in sequence. Each process parameter of each batch is drawn from the same normal distribution as in the NOR-propagated analysis of a quality attribute (</w:t>
      </w:r>
      <w:hyperlink w:anchor="sec-par">
        <w:r>
          <w:rPr>
            <w:rStyle w:val="Hyperlink"/>
          </w:rPr>
          <w:t xml:space="preserve">Section 6.4</w:t>
        </w:r>
      </w:hyperlink>
      <w:r>
        <w:t xml:space="preserve">). The drug substance attributes of each batch are recorded.</w:t>
      </w:r>
    </w:p>
    <w:p>
      <w:pPr>
        <w:pStyle w:val="BodyText"/>
      </w:pPr>
      <w:r>
        <w:t xml:space="preserve">Capability is reported as Cpk against the drug substance criterion. For a criterion with one limit, Cpk is computed against that limit. For a two-sided criterion it is the lower of the two one-sided indices. Acidic variants have a two-sided criterion (18 to 40 %), and their capability is assessed against both ends. The criteria for capability are in</w:t>
      </w:r>
      <w:r>
        <w:t xml:space="preserve"> </w:t>
      </w:r>
      <w:hyperlink w:anchor="sec-acc-capability">
        <w:r>
          <w:rPr>
            <w:rStyle w:val="Hyperlink"/>
          </w:rPr>
          <w:t xml:space="preserve">Section 7.9</w:t>
        </w:r>
      </w:hyperlink>
      <w:r>
        <w:t xml:space="preserve">.</w:t>
      </w:r>
    </w:p>
    <w:p>
      <w:pPr>
        <w:pStyle w:val="BodyText"/>
      </w:pPr>
      <w:r>
        <w:t xml:space="preserve">The same simulation gives the probability of an out-of-specification drug substance for each attribute. Two figures are reported, because a few thousand simulated batches cannot resolve a rare event. These are the count of simulated batches outside the criterion, and the tail probability of a normal distribution with the simulated mean and standard deviation, one- or two-sided as the criterion is. The intermediate acceptance criteria judge each step separately, and the integrated model shows whether the steps together deliver the drug substance.</w:t>
      </w:r>
    </w:p>
    <w:bookmarkEnd w:id="41"/>
    <w:bookmarkEnd w:id="42"/>
    <w:bookmarkStart w:id="55" w:name="sec-acceptance"/>
    <w:p>
      <w:pPr>
        <w:pStyle w:val="Heading1"/>
      </w:pPr>
      <w:r>
        <w:t xml:space="preserve">7. Acceptance criteria framework</w:t>
      </w:r>
    </w:p>
    <w:p>
      <w:pPr>
        <w:pStyle w:val="FirstParagraph"/>
      </w:pPr>
      <w:r>
        <w:t xml:space="preserve">Each PCP-00N applies the criteria below to its own step. They define when a scale-down model is qualified, a model adequate, a step output acceptable, a range proven and a parameter classified. Where a value depends on the step, this plan defines the form of the criterion and the step plan sets its value. In Version 1.0 each step plan was approved before its studies ran. The a priori derivation of the Version 2.0 criteria came after the studies, and for that reason it uses platform data and the drug substance criteria only (</w:t>
      </w:r>
      <w:hyperlink w:anchor="sec-iac">
        <w:r>
          <w:rPr>
            <w:rStyle w:val="Hyperlink"/>
          </w:rPr>
          <w:t xml:space="preserve">Section 7.3</w:t>
        </w:r>
      </w:hyperlink>
      <w:r>
        <w:t xml:space="preserve">). Verification then replaced some platform values with A-Mab confidence bounds, and 4 of the 22 criteria in force include such a bound (</w:t>
      </w:r>
      <w:hyperlink w:anchor="sec-verification">
        <w:r>
          <w:rPr>
            <w:rStyle w:val="Hyperlink"/>
          </w:rPr>
          <w:t xml:space="preserve">Section 7.5</w:t>
        </w:r>
      </w:hyperlink>
      <w:r>
        <w:t xml:space="preserve">).</w:t>
      </w:r>
    </w:p>
    <w:bookmarkStart w:id="43" w:name="sec-acc-sdm"/>
    <w:p>
      <w:pPr>
        <w:pStyle w:val="Heading2"/>
      </w:pPr>
      <w:r>
        <w:t xml:space="preserve">7.1 Scale-down model qualification</w:t>
      </w:r>
    </w:p>
    <w:p>
      <w:pPr>
        <w:pStyle w:val="FirstParagraph"/>
      </w:pPr>
      <w:r>
        <w:t xml:space="preserve">A scale-down model is qualified for each output separately. It is qualified by the offset between the scales, not by a test of equivalence. A model may differ in mean from manufacturing scale, provided the difference is known precisely enough. The rule has four parts.</w:t>
      </w:r>
    </w:p>
    <w:p>
      <w:pPr>
        <w:pStyle w:val="Compact"/>
        <w:numPr>
          <w:ilvl w:val="0"/>
          <w:numId w:val="1004"/>
        </w:numPr>
      </w:pPr>
      <w:r>
        <w:t xml:space="preserve">The offset of an output is the mean of the scale-down runs at set-point minus the mean of the manufacturing-scale batches. It is reported with its two-sided 90 % confidence interval. Each end of that interval is a one-sided 95 % confidence bound, which is the level used to compare two means at 5 % on each side.</w:t>
      </w:r>
    </w:p>
    <w:p>
      <w:pPr>
        <w:pStyle w:val="Compact"/>
        <w:numPr>
          <w:ilvl w:val="0"/>
          <w:numId w:val="1004"/>
        </w:numPr>
      </w:pPr>
      <w:r>
        <w:t xml:space="preserve">Where the qualification compared an output at both scales, every judgement of a scale-down result for that output against a criterion first subtracts its offset. Ranges and conclusions are therefore stated at manufacturing scale.</w:t>
      </w:r>
    </w:p>
    <w:p>
      <w:pPr>
        <w:pStyle w:val="Compact"/>
        <w:numPr>
          <w:ilvl w:val="0"/>
          <w:numId w:val="1004"/>
        </w:numPr>
      </w:pPr>
      <w:r>
        <w:t xml:space="preserve">The model is qualified for an output when the conclusion against its criterion over the NOR is the same with the offset at either end of its confidence interval. The conclusion is whether the output meets its criterion at every combination of NOR low, set-point and NOR high of the response-surface factors.</w:t>
      </w:r>
    </w:p>
    <w:p>
      <w:pPr>
        <w:pStyle w:val="Compact"/>
        <w:numPr>
          <w:ilvl w:val="0"/>
          <w:numId w:val="1004"/>
        </w:numPr>
      </w:pPr>
      <w:r>
        <w:t xml:space="preserve">An output with no criterion at the step, such as step yield, has its offset recorded only. No conclusion depends on it.</w:t>
      </w:r>
    </w:p>
    <w:p>
      <w:pPr>
        <w:pStyle w:val="FirstParagraph"/>
      </w:pPr>
      <w:r>
        <w:t xml:space="preserve">Where the cause of an offset is known, the report states it. A model whose conclusion for an output changes between the two ends of the offset interval is not used for that output. The qualification studies do not compare fragments or viral clearance at both scales. Their offset is unknown, not zero. These outputs are judged as the model predicts them because the qualification did not compare them, and their representativeness rests on what each step plan states, which is the mechanism of the step for fragments and the spiking model for viral clearance.</w:t>
      </w:r>
    </w:p>
    <w:p>
      <w:pPr>
        <w:pStyle w:val="BodyText"/>
      </w:pPr>
      <w:r>
        <w:t xml:space="preserve">Each PCP-00N names the outputs, the number of runs at each scale and the manufacturing-scale data set before its first characterization run. Each PCR-00N tabulates the offsets of its step, and PCMR-001 summarises them for the whole train.</w:t>
      </w:r>
    </w:p>
    <w:bookmarkEnd w:id="43"/>
    <w:bookmarkStart w:id="44" w:name="sec-acc-model"/>
    <w:p>
      <w:pPr>
        <w:pStyle w:val="Heading2"/>
      </w:pPr>
      <w:r>
        <w:t xml:space="preserve">7.2 Model adequacy</w:t>
      </w:r>
    </w:p>
    <w:p>
      <w:pPr>
        <w:pStyle w:val="FirstParagraph"/>
      </w:pPr>
      <w:r>
        <w:t xml:space="preserve">A response-surface model is adequate for prediction when the following hold.</w:t>
      </w:r>
    </w:p>
    <w:p>
      <w:pPr>
        <w:pStyle w:val="Compact"/>
        <w:numPr>
          <w:ilvl w:val="0"/>
          <w:numId w:val="1005"/>
        </w:numPr>
      </w:pPr>
      <w:r>
        <w:t xml:space="preserve">The model F-test is significant at the level set for model terms, α = 0.05 (</w:t>
      </w:r>
      <w:hyperlink w:anchor="sec-stats">
        <w:r>
          <w:rPr>
            <w:rStyle w:val="Hyperlink"/>
          </w:rPr>
          <w:t xml:space="preserve">Section 6</w:t>
        </w:r>
      </w:hyperlink>
      <w:r>
        <w:t xml:space="preserve">).</w:t>
      </w:r>
    </w:p>
    <w:p>
      <w:pPr>
        <w:pStyle w:val="Compact"/>
        <w:numPr>
          <w:ilvl w:val="0"/>
          <w:numId w:val="1005"/>
        </w:numPr>
      </w:pPr>
      <w:r>
        <w:t xml:space="preserve">Lack of fit against pure error is not significant at α = 0.05.</w:t>
      </w:r>
    </w:p>
    <w:p>
      <w:pPr>
        <w:pStyle w:val="Compact"/>
        <w:numPr>
          <w:ilvl w:val="0"/>
          <w:numId w:val="1005"/>
        </w:numPr>
      </w:pPr>
      <w:r>
        <w:t xml:space="preserve">Predicted R² falls short of R² by no more than 0.20. This is a limit on overfitting, because a model that fits its own runs much better than it predicts left-out runs has more terms than the data support.</w:t>
      </w:r>
    </w:p>
    <w:p>
      <w:pPr>
        <w:pStyle w:val="Compact"/>
        <w:numPr>
          <w:ilvl w:val="0"/>
          <w:numId w:val="1005"/>
        </w:numPr>
      </w:pPr>
      <w:r>
        <w:t xml:space="preserve">The residuals show no pattern against predicted values or run order, and no single run dominates the fit.</w:t>
      </w:r>
    </w:p>
    <w:p>
      <w:pPr>
        <w:pStyle w:val="FirstParagraph"/>
      </w:pPr>
      <w:r>
        <w:t xml:space="preserve">A model that fails the lack-of-fit test or the limit on overfitting is either refitted with a justified change of terms or transformation, or it is not used to set a range. The refit removes terms by backward elimination at α = 0.05. The least significant term goes first, a main effect stays while an interaction or square of it remains, and a block term is kept. Where a design is too small for the model a decision needs, the design may instead be augmented with further runs as a second block. The investigation INV-002 states when, and how the number of runs is calculated.</w:t>
      </w:r>
    </w:p>
    <w:p>
      <w:pPr>
        <w:pStyle w:val="BodyText"/>
      </w:pPr>
      <w:r>
        <w:t xml:space="preserve">Where no adequate model results, the PCR-00N should report the response descriptively, against the criterion, over the runs of the design.</w:t>
      </w:r>
    </w:p>
    <w:bookmarkEnd w:id="44"/>
    <w:bookmarkStart w:id="46" w:name="sec-iac"/>
    <w:p>
      <w:pPr>
        <w:pStyle w:val="Heading2"/>
      </w:pPr>
      <w:r>
        <w:t xml:space="preserve">7.3 Intermediate acceptance criteria</w:t>
      </w:r>
    </w:p>
    <w:p>
      <w:pPr>
        <w:pStyle w:val="FirstParagraph"/>
      </w:pPr>
      <w:r>
        <w:t xml:space="preserve">A drug substance criterion does not say what the output of an upstream step must meet. Protein A, for example, leaves host cell protein in its pool that cation exchange and anion exchange will remove. The Protein A pool is expected to carry far more host cell protein than the drug substance limit of 100 ng/mg, so that limit cannot judge it. Each step output is therefore judged against an intermediate acceptance criterion.</w:t>
      </w:r>
    </w:p>
    <w:p>
      <w:pPr>
        <w:pStyle w:val="BodyText"/>
      </w:pPr>
      <w:r>
        <w:t xml:space="preserve">The rule is the following. Each drug substance criterion is carried backward through the train, step by step, using the worst case that each downstream step showed on the platform. For a step that removes an attribute, the worst case is the lowest clearance fold observed for X-Mab, Y-Mab and Z-Mab. For a step that adds to an attribute, it is the largest increase observed. No margin is applied. An attribute that no downstream step changes keeps its drug substance criterion. This is the case for afucosylation, galactosylation and high mannose.</w:t>
      </w:r>
    </w:p>
    <w:p>
      <w:pPr>
        <w:pStyle w:val="BodyText"/>
      </w:pPr>
      <w:r>
        <w:t xml:space="preserve">For host cell protein the rule gives the Protein A pool an a priori criterion of 16,000 ng/mg. The drug substance limit of 100 ng/mg is carried back through the platform worst case of anion exchange (4-fold) and then of cation exchange (40-fold). The cation exchange pool is judged against the limit carried back through anion exchange alone, 400 ng/mg a priori. For A-Mab, the 95 % confidence bounds of the host cell protein clearance were 40.9-fold for cation exchange and 4.84-fold for anion exchange. Both are better than the platform worst cases. The cation exchange bound replaced its platform value (</w:t>
      </w:r>
      <w:hyperlink w:anchor="sec-verification">
        <w:r>
          <w:rPr>
            <w:rStyle w:val="Hyperlink"/>
          </w:rPr>
          <w:t xml:space="preserve">Section 7.5</w:t>
        </w:r>
      </w:hyperlink>
      <w:r>
        <w:t xml:space="preserve">). The anion exchange host cell protein model does not meet the adequacy criteria of</w:t>
      </w:r>
      <w:r>
        <w:t xml:space="preserve"> </w:t>
      </w:r>
      <w:hyperlink w:anchor="sec-acc-model">
        <w:r>
          <w:rPr>
            <w:rStyle w:val="Hyperlink"/>
          </w:rPr>
          <w:t xml:space="preserve">Section 7.2</w:t>
        </w:r>
      </w:hyperlink>
      <w:r>
        <w:t xml:space="preserve">, so its platform value stands. The Protein A pool criterion is therefore 16,379 ng/mg, and the cation exchange pool criterion stays at 400 ng/mg.</w:t>
      </w:r>
    </w:p>
    <w:p>
      <w:pPr>
        <w:pStyle w:val="BodyText"/>
      </w:pPr>
      <w:hyperlink w:anchor="tbl-iac">
        <w:r>
          <w:rPr>
            <w:rStyle w:val="Hyperlink"/>
          </w:rPr>
          <w:t xml:space="preserve">Table 9</w:t>
        </w:r>
      </w:hyperlink>
      <w:r>
        <w:t xml:space="preserve"> </w:t>
      </w:r>
      <w:r>
        <w:t xml:space="preserve">gives all 22 criteria across 6 steps, with the downstream worst case each one is derived from. The downstream worst case shown is the cumulative fold or increase of all steps after the step output. In a tightened or a widened row it includes the A-Mab confidence bound that replaced a platform worst case (</w:t>
      </w:r>
      <w:hyperlink w:anchor="sec-verification">
        <w:r>
          <w:rPr>
            <w:rStyle w:val="Hyperlink"/>
          </w:rPr>
          <w:t xml:space="preserve">Section 7.5</w:t>
        </w:r>
      </w:hyperlink>
      <w:r>
        <w:t xml:space="preserve">). The footnotes of the table mark these rows. The source of each platform value is recorded in the configuration of the process model and in the verification table of each report.</w:t>
      </w:r>
    </w:p>
    <w:tbl>
      <w:tblPr>
        <w:tblStyle w:val="Table"/>
        <w:tblW w:type="pct" w:w="5000"/>
        <w:tblLayout w:type="fixed"/>
        <w:tblLook w:firstRow="0" w:lastRow="0" w:firstColumn="0" w:lastColumn="0" w:noHBand="0" w:noVBand="0" w:val="0000"/>
      </w:tblPr>
      <w:tblGrid>
        <w:gridCol w:w="7920"/>
      </w:tblGrid>
      <w:tr>
        <w:tc>
          <w:tcPr/>
          <w:bookmarkStart w:id="45" w:name="tbl-iac"/>
          <w:p>
            <w:pPr>
              <w:jc w:val="center"/>
            </w:pPr>
            <w:pPr>
              <w:jc w:val="start"/>
              <w:spacing w:before="200"/>
              <w:pStyle w:val="ImageCaption"/>
            </w:pPr>
            <w:r>
              <w:t xml:space="preserve">Table 9: Intermediate acceptance criteria and their derivation from the drug-substance criteria.</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vMerge w:val="restart"/>
                </w:tcPr>
                <w:p>
                  <w:pPr>
                    <w:pStyle w:val="Compact"/>
                    <w:jc w:val="center"/>
                  </w:pPr>
                  <w:r>
                    <w:t xml:space="preserve">Attribute</w:t>
                  </w:r>
                </w:p>
              </w:tc>
              <w:tc>
                <w:tcPr>
                  <w:vMerge w:val="restart"/>
                </w:tcPr>
                <w:p>
                  <w:pPr>
                    <w:pStyle w:val="Compact"/>
                    <w:jc w:val="center"/>
                  </w:pPr>
                  <w:r>
                    <w:t xml:space="preserve">DS criterion</w:t>
                  </w:r>
                </w:p>
              </w:tc>
              <w:tc>
                <w:tcPr>
                  <w:vMerge w:val="restart"/>
                </w:tcPr>
                <w:p>
                  <w:pPr>
                    <w:pStyle w:val="Compact"/>
                    <w:jc w:val="center"/>
                  </w:pPr>
                  <w:r>
                    <w:t xml:space="preserve">Step output</w:t>
                  </w:r>
                </w:p>
              </w:tc>
              <w:tc>
                <w:tcPr>
                  <w:gridSpan w:val="2"/>
                </w:tcPr>
                <w:p>
                  <w:pPr>
                    <w:pStyle w:val="Compact"/>
                    <w:jc w:val="center"/>
                  </w:pPr>
                  <w:r>
                    <w:t xml:space="preserve">Downstream worst case</w:t>
                  </w:r>
                </w:p>
              </w:tc>
              <w:tc>
                <w:tcPr>
                  <w:vMerge w:val="restart"/>
                </w:tcPr>
                <w:p>
                  <w:pPr>
                    <w:pStyle w:val="Compact"/>
                    <w:jc w:val="center"/>
                  </w:pPr>
                  <w:r>
                    <w:t xml:space="preserve">IAC</w:t>
                  </w:r>
                </w:p>
              </w:tc>
              <w:tc>
                <w:tcPr>
                  <w:vMerge w:val="restart"/>
                </w:tcPr>
                <w:p>
                  <w:pPr>
                    <w:pStyle w:val="Compact"/>
                    <w:jc w:val="center"/>
                  </w:pPr>
                  <w:r>
                    <w:t xml:space="preserve">Basis</w:t>
                  </w:r>
                </w:p>
              </w:tc>
            </w:tr>
            <w:tr>
              <w:trPr>
                <w:tblHeader w:val="on"/>
              </w:trP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Clearance fold</w:t>
                  </w:r>
                </w:p>
              </w:tc>
              <w:tc>
                <w:tcPr/>
                <w:p>
                  <w:pPr>
                    <w:pStyle w:val="Compact"/>
                    <w:jc w:val="center"/>
                  </w:pPr>
                  <w:r>
                    <w:t xml:space="preserve">Increase</w:t>
                  </w:r>
                </w:p>
              </w:tc>
              <w:tc>
                <w:tcPr>
                  <w:gridSpan w:val="1"/>
                  <w:vMerge w:val="continue"/>
                </w:tcPr>
                <w:p>
                  <w:pPr/>
                </w:p>
              </w:tc>
              <w:tc>
                <w:tcPr>
                  <w:gridSpan w:val="1"/>
                  <w:vMerge w:val="continue"/>
                </w:tcPr>
                <w:p>
                  <w:pPr/>
                </w:p>
              </w:tc>
            </w:tr>
            <w:tr>
              <w:tc>
                <w:tcPr>
                  <w:vMerge w:val="restart"/>
                </w:tcPr>
                <w:p>
                  <w:pPr>
                    <w:pStyle w:val="Compact"/>
                    <w:jc w:val="center"/>
                  </w:pPr>
                  <w:r>
                    <w:t xml:space="preserve">Host cell protein (ng/mg)</w:t>
                  </w:r>
                </w:p>
              </w:tc>
              <w:tc>
                <w:tcPr>
                  <w:vMerge w:val="restart"/>
                </w:tcPr>
                <w:p>
                  <w:pPr>
                    <w:pStyle w:val="Compact"/>
                    <w:jc w:val="center"/>
                  </w:pPr>
                  <w:r>
                    <w:t xml:space="preserve">≤ 100</w:t>
                  </w:r>
                </w:p>
              </w:tc>
              <w:tc>
                <w:tcPr/>
                <w:p>
                  <w:pPr>
                    <w:pStyle w:val="Compact"/>
                    <w:jc w:val="center"/>
                  </w:pPr>
                  <w:r>
                    <w:t xml:space="preserve">Protein A</w:t>
                  </w:r>
                </w:p>
              </w:tc>
              <w:tc>
                <w:tcPr/>
                <w:p>
                  <w:pPr>
                    <w:pStyle w:val="Compact"/>
                    <w:jc w:val="center"/>
                  </w:pPr>
                  <w:r>
                    <w:t xml:space="preserve">164</w:t>
                  </w:r>
                </w:p>
              </w:tc>
              <w:tc>
                <w:tcPr/>
                <w:p>
                  <w:pPr>
                    <w:pStyle w:val="Compact"/>
                    <w:jc w:val="center"/>
                  </w:pPr>
                  <w:r>
                    <w:t xml:space="preserve">0.00</w:t>
                  </w:r>
                </w:p>
              </w:tc>
              <w:tc>
                <w:tcPr/>
                <w:p>
                  <w:pPr>
                    <w:pStyle w:val="Compact"/>
                    <w:jc w:val="center"/>
                  </w:pPr>
                  <w:r>
                    <w:t xml:space="preserve">≤ 16,379</w:t>
                  </w:r>
                </w:p>
              </w:tc>
              <w:tc>
                <w:tcPr/>
                <w:p>
                  <w:pPr>
                    <w:pStyle w:val="Compact"/>
                    <w:jc w:val="center"/>
                  </w:pPr>
                  <w:r>
                    <w:t xml:space="preserve">Carried back, widened</w:t>
                  </w:r>
                  <w:r>
                    <w:rPr>
                      <w:vertAlign w:val="superscript"/>
                    </w:rPr>
                    <w:t xml:space="preserve">a)</w:t>
                  </w:r>
                </w:p>
              </w:tc>
            </w:tr>
            <w:tr>
              <w:tc>
                <w:tcPr>
                  <w:gridSpan w:val="1"/>
                  <w:vMerge w:val="continue"/>
                </w:tcPr>
                <w:p>
                  <w:pPr/>
                </w:p>
              </w:tc>
              <w:tc>
                <w:tcPr>
                  <w:gridSpan w:val="1"/>
                  <w:vMerge w:val="continue"/>
                </w:tcPr>
                <w:p>
                  <w:pPr/>
                </w:p>
              </w:tc>
              <w:tc>
                <w:tcPr/>
                <w:p>
                  <w:pPr>
                    <w:pStyle w:val="Compact"/>
                    <w:jc w:val="center"/>
                  </w:pPr>
                  <w:r>
                    <w:t xml:space="preserve">Cation exchange</w:t>
                  </w:r>
                </w:p>
              </w:tc>
              <w:tc>
                <w:tcPr/>
                <w:p>
                  <w:pPr>
                    <w:pStyle w:val="Compact"/>
                    <w:jc w:val="center"/>
                  </w:pPr>
                  <w:r>
                    <w:t xml:space="preserve">4.00</w:t>
                  </w:r>
                </w:p>
              </w:tc>
              <w:tc>
                <w:tcPr/>
                <w:p>
                  <w:pPr>
                    <w:pStyle w:val="Compact"/>
                    <w:jc w:val="center"/>
                  </w:pPr>
                  <w:r>
                    <w:t xml:space="preserve">0.00</w:t>
                  </w:r>
                </w:p>
              </w:tc>
              <w:tc>
                <w:tcPr/>
                <w:p>
                  <w:pPr>
                    <w:pStyle w:val="Compact"/>
                    <w:jc w:val="center"/>
                  </w:pPr>
                  <w:r>
                    <w:t xml:space="preserve">≤ 400</w:t>
                  </w:r>
                </w:p>
              </w:tc>
              <w:tc>
                <w:tcPr/>
                <w:p>
                  <w:pPr>
                    <w:pStyle w:val="Compact"/>
                    <w:jc w:val="center"/>
                  </w:pPr>
                  <w:r>
                    <w:t xml:space="preserve">Carried back</w:t>
                  </w:r>
                </w:p>
              </w:tc>
            </w:tr>
            <w:tr>
              <w:tc>
                <w:tcPr>
                  <w:gridSpan w:val="1"/>
                  <w:vMerge w:val="continue"/>
                </w:tcPr>
                <w:p>
                  <w:pPr/>
                </w:p>
              </w:tc>
              <w:tc>
                <w:tcPr>
                  <w:gridSpan w:val="1"/>
                  <w:vMerge w:val="continue"/>
                </w:tcPr>
                <w:p>
                  <w:pPr/>
                </w:p>
              </w:tc>
              <w:tc>
                <w:tcPr/>
                <w:p>
                  <w:pPr>
                    <w:pStyle w:val="Compact"/>
                    <w:jc w:val="center"/>
                  </w:pPr>
                  <w:r>
                    <w:t xml:space="preserve">Anion exchange</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100</w:t>
                  </w:r>
                </w:p>
              </w:tc>
              <w:tc>
                <w:tcPr/>
                <w:p>
                  <w:pPr>
                    <w:pStyle w:val="Compact"/>
                    <w:jc w:val="center"/>
                  </w:pPr>
                  <w:r>
                    <w:t xml:space="preserve">DS criterion</w:t>
                  </w:r>
                  <w:r>
                    <w:rPr>
                      <w:vertAlign w:val="superscript"/>
                    </w:rPr>
                    <w:t xml:space="preserve">b)</w:t>
                  </w:r>
                </w:p>
              </w:tc>
            </w:tr>
            <w:tr>
              <w:tc>
                <w:tcPr>
                  <w:vMerge w:val="restart"/>
                </w:tcPr>
                <w:p>
                  <w:pPr>
                    <w:pStyle w:val="Compact"/>
                    <w:jc w:val="center"/>
                  </w:pPr>
                  <w:r>
                    <w:t xml:space="preserve">Aggregates, HMW (%)</w:t>
                  </w:r>
                </w:p>
              </w:tc>
              <w:tc>
                <w:tcPr>
                  <w:vMerge w:val="restart"/>
                </w:tcPr>
                <w:p>
                  <w:pPr>
                    <w:pStyle w:val="Compact"/>
                    <w:jc w:val="center"/>
                  </w:pPr>
                  <w:r>
                    <w:t xml:space="preserve">≤ 5.00</w:t>
                  </w:r>
                </w:p>
              </w:tc>
              <w:tc>
                <w:tcPr/>
                <w:p>
                  <w:pPr>
                    <w:pStyle w:val="Compact"/>
                    <w:jc w:val="center"/>
                  </w:pPr>
                  <w:r>
                    <w:t xml:space="preserve">Production bioreactor</w:t>
                  </w:r>
                </w:p>
              </w:tc>
              <w:tc>
                <w:tcPr/>
                <w:p>
                  <w:pPr>
                    <w:pStyle w:val="Compact"/>
                    <w:jc w:val="center"/>
                  </w:pPr>
                  <w:r>
                    <w:t xml:space="preserve">1.44</w:t>
                  </w:r>
                </w:p>
              </w:tc>
              <w:tc>
                <w:tcPr/>
                <w:p>
                  <w:pPr>
                    <w:pStyle w:val="Compact"/>
                    <w:jc w:val="center"/>
                  </w:pPr>
                  <w:r>
                    <w:t xml:space="preserve">0.54</w:t>
                  </w:r>
                </w:p>
              </w:tc>
              <w:tc>
                <w:tcPr/>
                <w:p>
                  <w:pPr>
                    <w:pStyle w:val="Compact"/>
                    <w:jc w:val="center"/>
                  </w:pPr>
                  <w:r>
                    <w:t xml:space="preserve">≤ 6.64</w:t>
                  </w:r>
                </w:p>
              </w:tc>
              <w:tc>
                <w:tcPr/>
                <w:p>
                  <w:pPr>
                    <w:pStyle w:val="Compact"/>
                    <w:jc w:val="center"/>
                  </w:pPr>
                  <w:r>
                    <w:t xml:space="preserve">Carried back, tightened</w:t>
                  </w:r>
                  <w:r>
                    <w:rPr>
                      <w:vertAlign w:val="superscript"/>
                    </w:rPr>
                    <w:t xml:space="preserve">c)</w:t>
                  </w:r>
                  <w:r>
                    <w:t xml:space="preserve"> </w:t>
                  </w:r>
                  <w:r>
                    <w:t xml:space="preserve">and widened</w:t>
                  </w:r>
                  <w:r>
                    <w:rPr>
                      <w:vertAlign w:val="superscript"/>
                    </w:rPr>
                    <w:t xml:space="preserve">a)</w:t>
                  </w:r>
                </w:p>
              </w:tc>
            </w:tr>
            <w:tr>
              <w:tc>
                <w:tcPr>
                  <w:gridSpan w:val="1"/>
                  <w:vMerge w:val="continue"/>
                </w:tcPr>
                <w:p>
                  <w:pPr/>
                </w:p>
              </w:tc>
              <w:tc>
                <w:tcPr>
                  <w:gridSpan w:val="1"/>
                  <w:vMerge w:val="continue"/>
                </w:tcPr>
                <w:p>
                  <w:pPr/>
                </w:p>
              </w:tc>
              <w:tc>
                <w:tcPr/>
                <w:p>
                  <w:pPr>
                    <w:pStyle w:val="Compact"/>
                    <w:jc w:val="center"/>
                  </w:pPr>
                  <w:r>
                    <w:t xml:space="preserve">Low-pH viral inactivation</w:t>
                  </w:r>
                </w:p>
              </w:tc>
              <w:tc>
                <w:tcPr/>
                <w:p>
                  <w:pPr>
                    <w:pStyle w:val="Compact"/>
                    <w:jc w:val="center"/>
                  </w:pPr>
                  <w:r>
                    <w:t xml:space="preserve">1.44</w:t>
                  </w:r>
                </w:p>
              </w:tc>
              <w:tc>
                <w:tcPr/>
                <w:p>
                  <w:pPr>
                    <w:pStyle w:val="Compact"/>
                    <w:jc w:val="center"/>
                  </w:pPr>
                  <w:r>
                    <w:t xml:space="preserve">0.00</w:t>
                  </w:r>
                </w:p>
              </w:tc>
              <w:tc>
                <w:tcPr/>
                <w:p>
                  <w:pPr>
                    <w:pStyle w:val="Compact"/>
                    <w:jc w:val="center"/>
                  </w:pPr>
                  <w:r>
                    <w:t xml:space="preserve">≤ 7.18</w:t>
                  </w:r>
                </w:p>
              </w:tc>
              <w:tc>
                <w:tcPr/>
                <w:p>
                  <w:pPr>
                    <w:pStyle w:val="Compact"/>
                    <w:jc w:val="center"/>
                  </w:pPr>
                  <w:r>
                    <w:t xml:space="preserve">Carried back, tightened</w:t>
                  </w:r>
                  <w:r>
                    <w:rPr>
                      <w:vertAlign w:val="superscript"/>
                    </w:rPr>
                    <w:t xml:space="preserve">c)</w:t>
                  </w:r>
                </w:p>
              </w:tc>
            </w:tr>
            <w:tr>
              <w:tc>
                <w:tcPr>
                  <w:gridSpan w:val="1"/>
                  <w:vMerge w:val="continue"/>
                </w:tcPr>
                <w:p>
                  <w:pPr/>
                </w:p>
              </w:tc>
              <w:tc>
                <w:tcPr>
                  <w:gridSpan w:val="1"/>
                  <w:vMerge w:val="continue"/>
                </w:tcPr>
                <w:p>
                  <w:pPr/>
                </w:p>
              </w:tc>
              <w:tc>
                <w:tcPr/>
                <w:p>
                  <w:pPr>
                    <w:pStyle w:val="Compact"/>
                    <w:jc w:val="center"/>
                  </w:pPr>
                  <w:r>
                    <w:t xml:space="preserve">Cation exchange</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5.00</w:t>
                  </w:r>
                </w:p>
              </w:tc>
              <w:tc>
                <w:tcPr/>
                <w:p>
                  <w:pPr>
                    <w:pStyle w:val="Compact"/>
                    <w:jc w:val="center"/>
                  </w:pPr>
                  <w:r>
                    <w:t xml:space="preserve">DS criterion</w:t>
                  </w:r>
                  <w:r>
                    <w:rPr>
                      <w:vertAlign w:val="superscript"/>
                    </w:rPr>
                    <w:t xml:space="preserve">b)</w:t>
                  </w:r>
                </w:p>
              </w:tc>
            </w:tr>
            <w:tr>
              <w:tc>
                <w:tcPr>
                  <w:vMerge w:val="restart"/>
                </w:tcPr>
                <w:p>
                  <w:pPr>
                    <w:pStyle w:val="Compact"/>
                    <w:jc w:val="center"/>
                  </w:pPr>
                  <w:r>
                    <w:t xml:space="preserve">Fragments, LMW (%)</w:t>
                  </w:r>
                </w:p>
              </w:tc>
              <w:tc>
                <w:tcPr>
                  <w:vMerge w:val="restart"/>
                </w:tcPr>
                <w:p>
                  <w:pPr>
                    <w:pStyle w:val="Compact"/>
                    <w:jc w:val="center"/>
                  </w:pPr>
                  <w:r>
                    <w:t xml:space="preserve">≤ 2.00</w:t>
                  </w:r>
                </w:p>
              </w:tc>
              <w:tc>
                <w:tcPr/>
                <w:p>
                  <w:pPr>
                    <w:pStyle w:val="Compact"/>
                    <w:jc w:val="center"/>
                  </w:pPr>
                  <w:r>
                    <w:t xml:space="preserve">Protein A</w:t>
                  </w:r>
                </w:p>
              </w:tc>
              <w:tc>
                <w:tcPr/>
                <w:p>
                  <w:pPr>
                    <w:pStyle w:val="Compact"/>
                    <w:jc w:val="center"/>
                  </w:pPr>
                  <w:r>
                    <w:t xml:space="preserve">1.30</w:t>
                  </w:r>
                </w:p>
              </w:tc>
              <w:tc>
                <w:tcPr/>
                <w:p>
                  <w:pPr>
                    <w:pStyle w:val="Compact"/>
                    <w:jc w:val="center"/>
                  </w:pPr>
                  <w:r>
                    <w:t xml:space="preserve">0.15</w:t>
                  </w:r>
                </w:p>
              </w:tc>
              <w:tc>
                <w:tcPr/>
                <w:p>
                  <w:pPr>
                    <w:pStyle w:val="Compact"/>
                    <w:jc w:val="center"/>
                  </w:pPr>
                  <w:r>
                    <w:t xml:space="preserve">≤ 2.45</w:t>
                  </w:r>
                </w:p>
              </w:tc>
              <w:tc>
                <w:tcPr/>
                <w:p>
                  <w:pPr>
                    <w:pStyle w:val="Compact"/>
                    <w:jc w:val="center"/>
                  </w:pPr>
                  <w:r>
                    <w:t xml:space="preserve">Carried back</w:t>
                  </w:r>
                </w:p>
              </w:tc>
            </w:tr>
            <w:tr>
              <w:tc>
                <w:tcPr>
                  <w:gridSpan w:val="1"/>
                  <w:vMerge w:val="continue"/>
                </w:tcPr>
                <w:p>
                  <w:pPr/>
                </w:p>
              </w:tc>
              <w:tc>
                <w:tcPr>
                  <w:gridSpan w:val="1"/>
                  <w:vMerge w:val="continue"/>
                </w:tcPr>
                <w:p>
                  <w:pPr/>
                </w:p>
              </w:tc>
              <w:tc>
                <w:tcPr/>
                <w:p>
                  <w:pPr>
                    <w:pStyle w:val="Compact"/>
                    <w:jc w:val="center"/>
                  </w:pPr>
                  <w:r>
                    <w:t xml:space="preserve">Low-pH viral inactivation</w:t>
                  </w:r>
                </w:p>
              </w:tc>
              <w:tc>
                <w:tcPr/>
                <w:p>
                  <w:pPr>
                    <w:pStyle w:val="Compact"/>
                    <w:jc w:val="center"/>
                  </w:pPr>
                  <w:r>
                    <w:t xml:space="preserve">1.30</w:t>
                  </w:r>
                </w:p>
              </w:tc>
              <w:tc>
                <w:tcPr/>
                <w:p>
                  <w:pPr>
                    <w:pStyle w:val="Compact"/>
                    <w:jc w:val="center"/>
                  </w:pPr>
                  <w:r>
                    <w:t xml:space="preserve">0.00</w:t>
                  </w:r>
                </w:p>
              </w:tc>
              <w:tc>
                <w:tcPr/>
                <w:p>
                  <w:pPr>
                    <w:pStyle w:val="Compact"/>
                    <w:jc w:val="center"/>
                  </w:pPr>
                  <w:r>
                    <w:t xml:space="preserve">≤ 2.60</w:t>
                  </w:r>
                </w:p>
              </w:tc>
              <w:tc>
                <w:tcPr/>
                <w:p>
                  <w:pPr>
                    <w:pStyle w:val="Compact"/>
                    <w:jc w:val="center"/>
                  </w:pPr>
                  <w:r>
                    <w:t xml:space="preserve">Carried back</w:t>
                  </w:r>
                </w:p>
              </w:tc>
            </w:tr>
            <w:tr>
              <w:tc>
                <w:tcPr>
                  <w:gridSpan w:val="1"/>
                  <w:vMerge w:val="continue"/>
                </w:tcPr>
                <w:p>
                  <w:pPr/>
                </w:p>
              </w:tc>
              <w:tc>
                <w:tcPr>
                  <w:gridSpan w:val="1"/>
                  <w:vMerge w:val="continue"/>
                </w:tcPr>
                <w:p>
                  <w:pPr/>
                </w:p>
              </w:tc>
              <w:tc>
                <w:tcPr/>
                <w:p>
                  <w:pPr>
                    <w:pStyle w:val="Compact"/>
                    <w:jc w:val="center"/>
                  </w:pPr>
                  <w:r>
                    <w:t xml:space="preserve">Cation exchange</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2.00</w:t>
                  </w:r>
                </w:p>
              </w:tc>
              <w:tc>
                <w:tcPr/>
                <w:p>
                  <w:pPr>
                    <w:pStyle w:val="Compact"/>
                    <w:jc w:val="center"/>
                  </w:pPr>
                  <w:r>
                    <w:t xml:space="preserve">DS criterion</w:t>
                  </w:r>
                  <w:r>
                    <w:rPr>
                      <w:vertAlign w:val="superscript"/>
                    </w:rPr>
                    <w:t xml:space="preserve">b)</w:t>
                  </w:r>
                </w:p>
              </w:tc>
            </w:tr>
            <w:tr>
              <w:tc>
                <w:tcPr>
                  <w:gridSpan w:val="1"/>
                  <w:vMerge w:val="continue"/>
                </w:tcPr>
                <w:p>
                  <w:pPr/>
                </w:p>
              </w:tc>
              <w:tc>
                <w:tcPr>
                  <w:gridSpan w:val="1"/>
                  <w:vMerge w:val="continue"/>
                </w:tcPr>
                <w:p>
                  <w:pPr/>
                </w:p>
              </w:tc>
              <w:tc>
                <w:tcPr/>
                <w:p>
                  <w:pPr>
                    <w:pStyle w:val="Compact"/>
                    <w:jc w:val="center"/>
                  </w:pPr>
                  <w:r>
                    <w:t xml:space="preserve">Anion exchange</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2.00</w:t>
                  </w:r>
                </w:p>
              </w:tc>
              <w:tc>
                <w:tcPr/>
                <w:p>
                  <w:pPr>
                    <w:pStyle w:val="Compact"/>
                    <w:jc w:val="center"/>
                  </w:pPr>
                  <w:r>
                    <w:t xml:space="preserve">DS criterion</w:t>
                  </w:r>
                  <w:r>
                    <w:rPr>
                      <w:vertAlign w:val="superscript"/>
                    </w:rPr>
                    <w:t xml:space="preserve">b)</w:t>
                  </w:r>
                </w:p>
              </w:tc>
            </w:tr>
            <w:tr>
              <w:tc>
                <w:tcPr>
                  <w:gridSpan w:val="1"/>
                  <w:vMerge w:val="continue"/>
                </w:tcPr>
                <w:p>
                  <w:pPr/>
                </w:p>
              </w:tc>
              <w:tc>
                <w:tcPr>
                  <w:gridSpan w:val="1"/>
                  <w:vMerge w:val="continue"/>
                </w:tcPr>
                <w:p>
                  <w:pPr/>
                </w:p>
              </w:tc>
              <w:tc>
                <w:tcPr/>
                <w:p>
                  <w:pPr>
                    <w:pStyle w:val="Compact"/>
                    <w:jc w:val="center"/>
                  </w:pPr>
                  <w:r>
                    <w:t xml:space="preserve">Virus filtration</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2.00</w:t>
                  </w:r>
                </w:p>
              </w:tc>
              <w:tc>
                <w:tcPr/>
                <w:p>
                  <w:pPr>
                    <w:pStyle w:val="Compact"/>
                    <w:jc w:val="center"/>
                  </w:pPr>
                  <w:r>
                    <w:t xml:space="preserve">DS criterion</w:t>
                  </w:r>
                  <w:r>
                    <w:rPr>
                      <w:vertAlign w:val="superscript"/>
                    </w:rPr>
                    <w:t xml:space="preserve">b)</w:t>
                  </w:r>
                </w:p>
              </w:tc>
            </w:tr>
            <w:tr>
              <w:tc>
                <w:tcPr/>
                <w:p>
                  <w:pPr>
                    <w:pStyle w:val="Compact"/>
                    <w:jc w:val="center"/>
                  </w:pPr>
                  <w:r>
                    <w:t xml:space="preserve">Leached Protein A (ppm)</w:t>
                  </w:r>
                </w:p>
              </w:tc>
              <w:tc>
                <w:tcPr/>
                <w:p>
                  <w:pPr>
                    <w:pStyle w:val="Compact"/>
                    <w:jc w:val="center"/>
                  </w:pPr>
                  <w:r>
                    <w:t xml:space="preserve">≤ 5.00</w:t>
                  </w:r>
                </w:p>
              </w:tc>
              <w:tc>
                <w:tcPr/>
                <w:p>
                  <w:pPr>
                    <w:pStyle w:val="Compact"/>
                    <w:jc w:val="center"/>
                  </w:pPr>
                  <w:r>
                    <w:t xml:space="preserve">Protein A</w:t>
                  </w:r>
                </w:p>
              </w:tc>
              <w:tc>
                <w:tcPr/>
                <w:p>
                  <w:pPr>
                    <w:pStyle w:val="Compact"/>
                    <w:jc w:val="center"/>
                  </w:pPr>
                  <w:r>
                    <w:t xml:space="preserve">31.6</w:t>
                  </w:r>
                </w:p>
              </w:tc>
              <w:tc>
                <w:tcPr/>
                <w:p>
                  <w:pPr>
                    <w:pStyle w:val="Compact"/>
                    <w:jc w:val="center"/>
                  </w:pPr>
                  <w:r>
                    <w:t xml:space="preserve">0.00</w:t>
                  </w:r>
                </w:p>
              </w:tc>
              <w:tc>
                <w:tcPr/>
                <w:p>
                  <w:pPr>
                    <w:pStyle w:val="Compact"/>
                    <w:jc w:val="center"/>
                  </w:pPr>
                  <w:r>
                    <w:t xml:space="preserve">≤ 158</w:t>
                  </w:r>
                </w:p>
              </w:tc>
              <w:tc>
                <w:tcPr/>
                <w:p>
                  <w:pPr>
                    <w:pStyle w:val="Compact"/>
                    <w:jc w:val="center"/>
                  </w:pPr>
                  <w:r>
                    <w:t xml:space="preserve">Carried back</w:t>
                  </w:r>
                </w:p>
              </w:tc>
            </w:tr>
            <w:tr>
              <w:tc>
                <w:tcPr>
                  <w:vMerge w:val="restart"/>
                </w:tcPr>
                <w:p>
                  <w:pPr>
                    <w:pStyle w:val="Compact"/>
                    <w:jc w:val="center"/>
                  </w:pPr>
                  <w:r>
                    <w:t xml:space="preserve">Acidic variants (%)</w:t>
                  </w:r>
                </w:p>
              </w:tc>
              <w:tc>
                <w:tcPr>
                  <w:vMerge w:val="restart"/>
                </w:tcPr>
                <w:p>
                  <w:pPr>
                    <w:pStyle w:val="Compact"/>
                    <w:jc w:val="center"/>
                  </w:pPr>
                  <w:r>
                    <w:t xml:space="preserve">18.0–40.0</w:t>
                  </w:r>
                </w:p>
              </w:tc>
              <w:tc>
                <w:tcPr/>
                <w:p>
                  <w:pPr>
                    <w:pStyle w:val="Compact"/>
                    <w:jc w:val="center"/>
                  </w:pPr>
                  <w:r>
                    <w:t xml:space="preserve">Production bioreactor</w:t>
                  </w:r>
                </w:p>
              </w:tc>
              <w:tc>
                <w:tcPr/>
                <w:p>
                  <w:pPr>
                    <w:pStyle w:val="Compact"/>
                    <w:jc w:val="center"/>
                  </w:pPr>
                  <w:r>
                    <w:t xml:space="preserve">1.00</w:t>
                  </w:r>
                </w:p>
              </w:tc>
              <w:tc>
                <w:tcPr/>
                <w:p>
                  <w:pPr>
                    <w:pStyle w:val="Compact"/>
                    <w:jc w:val="center"/>
                  </w:pPr>
                  <w:r>
                    <w:t xml:space="preserve">0.40</w:t>
                  </w:r>
                </w:p>
              </w:tc>
              <w:tc>
                <w:tcPr/>
                <w:p>
                  <w:pPr>
                    <w:pStyle w:val="Compact"/>
                    <w:jc w:val="center"/>
                  </w:pPr>
                  <w:r>
                    <w:t xml:space="preserve">18.0–39.6</w:t>
                  </w:r>
                </w:p>
              </w:tc>
              <w:tc>
                <w:tcPr/>
                <w:p>
                  <w:pPr>
                    <w:pStyle w:val="Compact"/>
                    <w:jc w:val="center"/>
                  </w:pPr>
                  <w:r>
                    <w:t xml:space="preserve">Carried back, widened</w:t>
                  </w:r>
                  <w:r>
                    <w:rPr>
                      <w:vertAlign w:val="superscript"/>
                    </w:rPr>
                    <w:t xml:space="preserve">a)</w:t>
                  </w:r>
                </w:p>
              </w:tc>
            </w:tr>
            <w:tr>
              <w:tc>
                <w:tcPr>
                  <w:gridSpan w:val="1"/>
                  <w:vMerge w:val="continue"/>
                </w:tcPr>
                <w:p>
                  <w:pPr/>
                </w:p>
              </w:tc>
              <w:tc>
                <w:tcPr>
                  <w:gridSpan w:val="1"/>
                  <w:vMerge w:val="continue"/>
                </w:tcPr>
                <w:p>
                  <w:pPr/>
                </w:p>
              </w:tc>
              <w:tc>
                <w:tcPr/>
                <w:p>
                  <w:pPr>
                    <w:pStyle w:val="Compact"/>
                    <w:jc w:val="center"/>
                  </w:pPr>
                  <w:r>
                    <w:t xml:space="preserve">Low-pH viral inactivation</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18.0–40.0</w:t>
                  </w:r>
                </w:p>
              </w:tc>
              <w:tc>
                <w:tcPr/>
                <w:p>
                  <w:pPr>
                    <w:pStyle w:val="Compact"/>
                    <w:jc w:val="center"/>
                  </w:pPr>
                  <w:r>
                    <w:t xml:space="preserve">DS criterion</w:t>
                  </w:r>
                  <w:r>
                    <w:rPr>
                      <w:vertAlign w:val="superscript"/>
                    </w:rPr>
                    <w:t xml:space="preserve">b)</w:t>
                  </w:r>
                </w:p>
              </w:tc>
            </w:tr>
            <w:tr>
              <w:tc>
                <w:tcPr/>
                <w:p>
                  <w:pPr>
                    <w:pStyle w:val="Compact"/>
                    <w:jc w:val="center"/>
                  </w:pPr>
                  <w:r>
                    <w:t xml:space="preserve">Afucosylation (%)</w:t>
                  </w:r>
                </w:p>
              </w:tc>
              <w:tc>
                <w:tcPr/>
                <w:p>
                  <w:pPr>
                    <w:pStyle w:val="Compact"/>
                    <w:jc w:val="center"/>
                  </w:pPr>
                  <w:r>
                    <w:t xml:space="preserve">2.00–13.0</w:t>
                  </w:r>
                </w:p>
              </w:tc>
              <w:tc>
                <w:tcPr/>
                <w:p>
                  <w:pPr>
                    <w:pStyle w:val="Compact"/>
                    <w:jc w:val="center"/>
                  </w:pPr>
                  <w:r>
                    <w:t xml:space="preserve">Production bioreactor</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2.00–13.0</w:t>
                  </w:r>
                </w:p>
              </w:tc>
              <w:tc>
                <w:tcPr/>
                <w:p>
                  <w:pPr>
                    <w:pStyle w:val="Compact"/>
                    <w:jc w:val="center"/>
                  </w:pPr>
                  <w:r>
                    <w:t xml:space="preserve">DS criterion</w:t>
                  </w:r>
                  <w:r>
                    <w:rPr>
                      <w:vertAlign w:val="superscript"/>
                    </w:rPr>
                    <w:t xml:space="preserve">b)</w:t>
                  </w:r>
                </w:p>
              </w:tc>
            </w:tr>
            <w:tr>
              <w:tc>
                <w:tcPr/>
                <w:p>
                  <w:pPr>
                    <w:pStyle w:val="Compact"/>
                    <w:jc w:val="center"/>
                  </w:pPr>
                  <w:r>
                    <w:t xml:space="preserve">Galactosylation (%)</w:t>
                  </w:r>
                </w:p>
              </w:tc>
              <w:tc>
                <w:tcPr/>
                <w:p>
                  <w:pPr>
                    <w:pStyle w:val="Compact"/>
                    <w:jc w:val="center"/>
                  </w:pPr>
                  <w:r>
                    <w:t xml:space="preserve">10.0–40.0</w:t>
                  </w:r>
                </w:p>
              </w:tc>
              <w:tc>
                <w:tcPr/>
                <w:p>
                  <w:pPr>
                    <w:pStyle w:val="Compact"/>
                    <w:jc w:val="center"/>
                  </w:pPr>
                  <w:r>
                    <w:t xml:space="preserve">Production bioreactor</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10.0–40.0</w:t>
                  </w:r>
                </w:p>
              </w:tc>
              <w:tc>
                <w:tcPr/>
                <w:p>
                  <w:pPr>
                    <w:pStyle w:val="Compact"/>
                    <w:jc w:val="center"/>
                  </w:pPr>
                  <w:r>
                    <w:t xml:space="preserve">DS criterion</w:t>
                  </w:r>
                  <w:r>
                    <w:rPr>
                      <w:vertAlign w:val="superscript"/>
                    </w:rPr>
                    <w:t xml:space="preserve">b)</w:t>
                  </w:r>
                </w:p>
              </w:tc>
            </w:tr>
            <w:tr>
              <w:tc>
                <w:tcPr/>
                <w:p>
                  <w:pPr>
                    <w:pStyle w:val="Compact"/>
                    <w:jc w:val="center"/>
                  </w:pPr>
                  <w:r>
                    <w:t xml:space="preserve">High mannose (%)</w:t>
                  </w:r>
                </w:p>
              </w:tc>
              <w:tc>
                <w:tcPr/>
                <w:p>
                  <w:pPr>
                    <w:pStyle w:val="Compact"/>
                    <w:jc w:val="center"/>
                  </w:pPr>
                  <w:r>
                    <w:t xml:space="preserve">3.00–10.0</w:t>
                  </w:r>
                </w:p>
              </w:tc>
              <w:tc>
                <w:tcPr/>
                <w:p>
                  <w:pPr>
                    <w:pStyle w:val="Compact"/>
                    <w:jc w:val="center"/>
                  </w:pPr>
                  <w:r>
                    <w:t xml:space="preserve">Production bioreactor</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3.00–10.0</w:t>
                  </w:r>
                </w:p>
              </w:tc>
              <w:tc>
                <w:tcPr/>
                <w:p>
                  <w:pPr>
                    <w:pStyle w:val="Compact"/>
                    <w:jc w:val="center"/>
                  </w:pPr>
                  <w:r>
                    <w:t xml:space="preserve">DS criterion</w:t>
                  </w:r>
                  <w:r>
                    <w:rPr>
                      <w:vertAlign w:val="superscript"/>
                    </w:rPr>
                    <w:t xml:space="preserve">b)</w:t>
                  </w:r>
                </w:p>
              </w:tc>
            </w:tr>
            <w:tr>
              <w:tc>
                <w:tcPr>
                  <w:vMerge w:val="restart"/>
                </w:tcPr>
                <w:p>
                  <w:pPr>
                    <w:pStyle w:val="Compact"/>
                    <w:jc w:val="center"/>
                  </w:pPr>
                  <w:r>
                    <w:t xml:space="preserve">XMuLV clearance (log10)</w:t>
                  </w:r>
                </w:p>
              </w:tc>
              <w:tc>
                <w:tcPr>
                  <w:vMerge w:val="restart"/>
                </w:tcPr>
                <w:p>
                  <w:pPr>
                    <w:pStyle w:val="Compact"/>
                    <w:jc w:val="center"/>
                  </w:pPr>
                  <w:r>
                    <w:t xml:space="preserve">≥ 16.7</w:t>
                  </w:r>
                  <w:r>
                    <w:rPr>
                      <w:vertAlign w:val="superscript"/>
                    </w:rPr>
                    <w:t xml:space="preserve">d)</w:t>
                  </w:r>
                </w:p>
              </w:tc>
              <w:tc>
                <w:tcPr/>
                <w:p>
                  <w:pPr>
                    <w:pStyle w:val="Compact"/>
                    <w:jc w:val="center"/>
                  </w:pPr>
                  <w:r>
                    <w:t xml:space="preserve">Low-pH viral inactivation</w:t>
                  </w:r>
                </w:p>
              </w:tc>
              <w:tc>
                <w:tcPr>
                  <w:gridSpan w:val="2"/>
                </w:tcPr>
                <w:p>
                  <w:pPr>
                    <w:pStyle w:val="Compact"/>
                    <w:jc w:val="center"/>
                  </w:pPr>
                  <w:r>
                    <w:t xml:space="preserve">not applicable</w:t>
                  </w:r>
                </w:p>
              </w:tc>
              <w:tc>
                <w:tcPr/>
                <w:p>
                  <w:pPr>
                    <w:pStyle w:val="Compact"/>
                    <w:jc w:val="center"/>
                  </w:pPr>
                  <w:r>
                    <w:t xml:space="preserve">≥ 6.60</w:t>
                  </w:r>
                </w:p>
              </w:tc>
              <w:tc>
                <w:tcPr/>
                <w:p>
                  <w:pPr>
                    <w:pStyle w:val="Compact"/>
                    <w:jc w:val="center"/>
                  </w:pPr>
                  <w:r>
                    <w:t xml:space="preserve">Platform claim</w:t>
                  </w:r>
                  <w:r>
                    <w:rPr>
                      <w:vertAlign w:val="superscript"/>
                    </w:rPr>
                    <w:t xml:space="preserve">e)</w:t>
                  </w:r>
                </w:p>
              </w:tc>
            </w:tr>
            <w:tr>
              <w:tc>
                <w:tcPr>
                  <w:gridSpan w:val="1"/>
                  <w:vMerge w:val="continue"/>
                </w:tcPr>
                <w:p>
                  <w:pPr/>
                </w:p>
              </w:tc>
              <w:tc>
                <w:tcPr>
                  <w:gridSpan w:val="1"/>
                  <w:vMerge w:val="continue"/>
                </w:tcPr>
                <w:p>
                  <w:pPr/>
                </w:p>
              </w:tc>
              <w:tc>
                <w:tcPr/>
                <w:p>
                  <w:pPr>
                    <w:pStyle w:val="Compact"/>
                    <w:jc w:val="center"/>
                  </w:pPr>
                  <w:r>
                    <w:t xml:space="preserve">Anion exchange</w:t>
                  </w:r>
                </w:p>
              </w:tc>
              <w:tc>
                <w:tcPr>
                  <w:gridSpan w:val="2"/>
                </w:tcPr>
                <w:p>
                  <w:pPr>
                    <w:pStyle w:val="Compact"/>
                    <w:jc w:val="center"/>
                  </w:pPr>
                  <w:r>
                    <w:t xml:space="preserve">not applicable</w:t>
                  </w:r>
                </w:p>
              </w:tc>
              <w:tc>
                <w:tcPr/>
                <w:p>
                  <w:pPr>
                    <w:pStyle w:val="Compact"/>
                    <w:jc w:val="center"/>
                  </w:pPr>
                  <w:r>
                    <w:t xml:space="preserve">≥ 5.50</w:t>
                  </w:r>
                </w:p>
              </w:tc>
              <w:tc>
                <w:tcPr/>
                <w:p>
                  <w:pPr>
                    <w:pStyle w:val="Compact"/>
                    <w:jc w:val="center"/>
                  </w:pPr>
                  <w:r>
                    <w:t xml:space="preserve">Platform claim</w:t>
                  </w:r>
                  <w:r>
                    <w:rPr>
                      <w:vertAlign w:val="superscript"/>
                    </w:rPr>
                    <w:t xml:space="preserve">e)</w:t>
                  </w:r>
                </w:p>
              </w:tc>
            </w:tr>
            <w:tr>
              <w:tc>
                <w:tcPr>
                  <w:gridSpan w:val="1"/>
                  <w:vMerge w:val="continue"/>
                </w:tcPr>
                <w:p>
                  <w:pPr/>
                </w:p>
              </w:tc>
              <w:tc>
                <w:tcPr>
                  <w:gridSpan w:val="1"/>
                  <w:vMerge w:val="continue"/>
                </w:tcPr>
                <w:p>
                  <w:pPr/>
                </w:p>
              </w:tc>
              <w:tc>
                <w:tcPr/>
                <w:p>
                  <w:pPr>
                    <w:pStyle w:val="Compact"/>
                    <w:jc w:val="center"/>
                  </w:pPr>
                  <w:r>
                    <w:t xml:space="preserve">Virus filtration</w:t>
                  </w:r>
                </w:p>
              </w:tc>
              <w:tc>
                <w:tcPr>
                  <w:gridSpan w:val="2"/>
                </w:tcPr>
                <w:p>
                  <w:pPr>
                    <w:pStyle w:val="Compact"/>
                    <w:jc w:val="center"/>
                  </w:pPr>
                  <w:r>
                    <w:t xml:space="preserve">not applicable</w:t>
                  </w:r>
                </w:p>
              </w:tc>
              <w:tc>
                <w:tcPr/>
                <w:p>
                  <w:pPr>
                    <w:pStyle w:val="Compact"/>
                    <w:jc w:val="center"/>
                  </w:pPr>
                  <w:r>
                    <w:t xml:space="preserve">≥ 4.62</w:t>
                  </w:r>
                </w:p>
              </w:tc>
              <w:tc>
                <w:tcPr/>
                <w:p>
                  <w:pPr>
                    <w:pStyle w:val="Compact"/>
                    <w:jc w:val="center"/>
                  </w:pPr>
                  <w:r>
                    <w:t xml:space="preserve">Platform claim</w:t>
                  </w:r>
                  <w:r>
                    <w:rPr>
                      <w:vertAlign w:val="superscript"/>
                    </w:rPr>
                    <w:t xml:space="preserve">e)</w:t>
                  </w:r>
                </w:p>
              </w:tc>
            </w:tr>
            <w:tr>
              <w:tc>
                <w:tcPr>
                  <w:vMerge w:val="restart"/>
                </w:tcPr>
                <w:p>
                  <w:pPr>
                    <w:pStyle w:val="Compact"/>
                    <w:jc w:val="center"/>
                  </w:pPr>
                  <w:r>
                    <w:t xml:space="preserve">MVM clearance (log10)</w:t>
                  </w:r>
                </w:p>
              </w:tc>
              <w:tc>
                <w:tcPr>
                  <w:vMerge w:val="restart"/>
                </w:tcPr>
                <w:p>
                  <w:pPr>
                    <w:pStyle w:val="Compact"/>
                    <w:jc w:val="center"/>
                  </w:pPr>
                  <w:r>
                    <w:t xml:space="preserve">≥ 8.60</w:t>
                  </w:r>
                  <w:r>
                    <w:rPr>
                      <w:vertAlign w:val="superscript"/>
                    </w:rPr>
                    <w:t xml:space="preserve">d)</w:t>
                  </w:r>
                </w:p>
              </w:tc>
              <w:tc>
                <w:tcPr/>
                <w:p>
                  <w:pPr>
                    <w:pStyle w:val="Compact"/>
                    <w:jc w:val="center"/>
                  </w:pPr>
                  <w:r>
                    <w:t xml:space="preserve">Anion exchange</w:t>
                  </w:r>
                </w:p>
              </w:tc>
              <w:tc>
                <w:tcPr>
                  <w:gridSpan w:val="2"/>
                </w:tcPr>
                <w:p>
                  <w:pPr>
                    <w:pStyle w:val="Compact"/>
                    <w:jc w:val="center"/>
                  </w:pPr>
                  <w:r>
                    <w:t xml:space="preserve">not applicable</w:t>
                  </w:r>
                </w:p>
              </w:tc>
              <w:tc>
                <w:tcPr/>
                <w:p>
                  <w:pPr>
                    <w:pStyle w:val="Compact"/>
                    <w:jc w:val="center"/>
                  </w:pPr>
                  <w:r>
                    <w:t xml:space="preserve">≥ 4.00</w:t>
                  </w:r>
                </w:p>
              </w:tc>
              <w:tc>
                <w:tcPr/>
                <w:p>
                  <w:pPr>
                    <w:pStyle w:val="Compact"/>
                    <w:jc w:val="center"/>
                  </w:pPr>
                  <w:r>
                    <w:t xml:space="preserve">Platform claim</w:t>
                  </w:r>
                  <w:r>
                    <w:rPr>
                      <w:vertAlign w:val="superscript"/>
                    </w:rPr>
                    <w:t xml:space="preserve">e)</w:t>
                  </w:r>
                </w:p>
              </w:tc>
            </w:tr>
            <w:tr>
              <w:tc>
                <w:tcPr>
                  <w:gridSpan w:val="1"/>
                  <w:vMerge w:val="continue"/>
                </w:tcPr>
                <w:p>
                  <w:pPr/>
                </w:p>
              </w:tc>
              <w:tc>
                <w:tcPr>
                  <w:gridSpan w:val="1"/>
                  <w:vMerge w:val="continue"/>
                </w:tcPr>
                <w:p>
                  <w:pPr/>
                </w:p>
              </w:tc>
              <w:tc>
                <w:tcPr/>
                <w:p>
                  <w:pPr>
                    <w:pStyle w:val="Compact"/>
                    <w:jc w:val="center"/>
                  </w:pPr>
                  <w:r>
                    <w:t xml:space="preserve">Virus filtration</w:t>
                  </w:r>
                </w:p>
              </w:tc>
              <w:tc>
                <w:tcPr>
                  <w:gridSpan w:val="2"/>
                </w:tcPr>
                <w:p>
                  <w:pPr>
                    <w:pStyle w:val="Compact"/>
                    <w:jc w:val="center"/>
                  </w:pPr>
                  <w:r>
                    <w:t xml:space="preserve">not applicable</w:t>
                  </w:r>
                </w:p>
              </w:tc>
              <w:tc>
                <w:tcPr/>
                <w:p>
                  <w:pPr>
                    <w:pStyle w:val="Compact"/>
                    <w:jc w:val="center"/>
                  </w:pPr>
                  <w:r>
                    <w:t xml:space="preserve">≥ 4.62</w:t>
                  </w:r>
                </w:p>
              </w:tc>
              <w:tc>
                <w:tcPr/>
                <w:p>
                  <w:pPr>
                    <w:pStyle w:val="Compact"/>
                    <w:jc w:val="center"/>
                  </w:pPr>
                  <w:r>
                    <w:t xml:space="preserve">Platform claim</w:t>
                  </w:r>
                  <w:r>
                    <w:rPr>
                      <w:vertAlign w:val="superscript"/>
                    </w:rPr>
                    <w:t xml:space="preserve">e)</w:t>
                  </w:r>
                </w:p>
              </w:tc>
            </w:tr>
            <w:tr>
              <w:tc>
                <w:tcPr>
                  <w:gridSpan w:val="7"/>
                </w:tcPr>
                <w:p>
                  <w:pPr>
                    <w:pStyle w:val="Compact"/>
                    <w:jc w:val="center"/>
                  </w:pPr>
                  <w:r>
                    <w:rPr>
                      <w:vertAlign w:val="superscript"/>
                    </w:rPr>
                    <w:t xml:space="preserve">a)</w:t>
                  </w:r>
                  <w:r>
                    <w:t xml:space="preserve"> </w:t>
                  </w:r>
                  <w:r>
                    <w:t xml:space="preserve">The 95 % confidence bound of a downstream step's A-Mab worst case within its NOR was better than the platform worst case. The bound replaced it.</w:t>
                  </w:r>
                </w:p>
              </w:tc>
            </w:tr>
            <w:tr>
              <w:tc>
                <w:tcPr>
                  <w:gridSpan w:val="7"/>
                </w:tcPr>
                <w:p>
                  <w:pPr>
                    <w:pStyle w:val="Compact"/>
                    <w:jc w:val="center"/>
                  </w:pPr>
                  <w:r>
                    <w:rPr>
                      <w:vertAlign w:val="superscript"/>
                    </w:rPr>
                    <w:t xml:space="preserve">b)</w:t>
                  </w:r>
                  <w:r>
                    <w:t xml:space="preserve"> </w:t>
                  </w:r>
                  <w:r>
                    <w:t xml:space="preserve">No downstream step changes the attribute, so the drug-substance criterion applies.</w:t>
                  </w:r>
                </w:p>
              </w:tc>
            </w:tr>
            <w:tr>
              <w:tc>
                <w:tcPr>
                  <w:gridSpan w:val="7"/>
                </w:tcPr>
                <w:p>
                  <w:pPr>
                    <w:pStyle w:val="Compact"/>
                    <w:jc w:val="center"/>
                  </w:pPr>
                  <w:r>
                    <w:rPr>
                      <w:vertAlign w:val="superscript"/>
                    </w:rPr>
                    <w:t xml:space="preserve">c)</w:t>
                  </w:r>
                  <w:r>
                    <w:t xml:space="preserve"> </w:t>
                  </w:r>
                  <w:r>
                    <w:t xml:space="preserve">The response-surface model of a downstream step predicted, within its NOR, a worse value than the platform worst case. The 95 % confidence bound of that prediction replaced it.</w:t>
                  </w:r>
                </w:p>
              </w:tc>
            </w:tr>
            <w:tr>
              <w:tc>
                <w:tcPr>
                  <w:gridSpan w:val="7"/>
                </w:tcPr>
                <w:p>
                  <w:pPr>
                    <w:pStyle w:val="Compact"/>
                    <w:jc w:val="center"/>
                  </w:pPr>
                  <w:r>
                    <w:rPr>
                      <w:vertAlign w:val="superscript"/>
                    </w:rPr>
                    <w:t xml:space="preserve">d)</w:t>
                  </w:r>
                  <w:r>
                    <w:t xml:space="preserve"> </w:t>
                  </w:r>
                  <w:r>
                    <w:t xml:space="preserve">Cumulative requirement across the steps that clear the virus.</w:t>
                  </w:r>
                </w:p>
              </w:tc>
            </w:tr>
            <w:tr>
              <w:tc>
                <w:tcPr>
                  <w:gridSpan w:val="7"/>
                </w:tcPr>
                <w:p>
                  <w:pPr>
                    <w:pStyle w:val="Compact"/>
                    <w:jc w:val="center"/>
                  </w:pPr>
                  <w:r>
                    <w:rPr>
                      <w:vertAlign w:val="superscript"/>
                    </w:rPr>
                    <w:t xml:space="preserve">e)</w:t>
                  </w:r>
                  <w:r>
                    <w:t xml:space="preserve"> </w:t>
                  </w:r>
                  <w:r>
                    <w:t xml:space="preserve">Log reduction claimed for this step in the modular viral clearance claim.</w:t>
                  </w:r>
                </w:p>
              </w:tc>
            </w:tr>
            <w:tr>
              <w:tc>
                <w:tcPr>
                  <w:gridSpan w:val="7"/>
                </w:tcPr>
                <w:p>
                  <w:pPr>
                    <w:pStyle w:val="Compact"/>
                    <w:jc w:val="center"/>
                  </w:pPr>
                  <w:r>
                    <w:t xml:space="preserve">DS, drug substance. IAC, intermediate acceptance criterion. Increase, in the unit of the criterion.</w:t>
                  </w:r>
                </w:p>
              </w:tc>
            </w:tr>
            <w:tr>
              <w:tc>
                <w:tcPr>
                  <w:gridSpan w:val="7"/>
                </w:tcPr>
                <w:p>
                  <w:pPr>
                    <w:pStyle w:val="Compact"/>
                    <w:jc w:val="center"/>
                  </w:pPr>
                  <w:r>
                    <w:t xml:space="preserve">Computed from unrounded values. A criterion recomputed from the rounded values shown can differ in its last digit.</w:t>
                  </w:r>
                </w:p>
              </w:tc>
            </w:tr>
          </w:tbl>
          <w:bookmarkEnd w:id="45"/>
          <w:p/>
        </w:tc>
      </w:tr>
    </w:tbl>
    <w:p>
      <w:pPr>
        <w:pStyle w:val="BodyText"/>
      </w:pPr>
      <w:r>
        <w:t xml:space="preserve">The rule above credits each downstream step only with the clearance or increase in its platform history and assumes no other change in its operation. Note b) of</w:t>
      </w:r>
      <w:r>
        <w:t xml:space="preserve"> </w:t>
      </w:r>
      <w:hyperlink w:anchor="tbl-iac">
        <w:r>
          <w:rPr>
            <w:rStyle w:val="Hyperlink"/>
          </w:rPr>
          <w:t xml:space="preserve">Table 9</w:t>
        </w:r>
      </w:hyperlink>
      <w:r>
        <w:t xml:space="preserve"> </w:t>
      </w:r>
      <w:r>
        <w:t xml:space="preserve">marks the rows where no downstream step is credited, so the drug substance criterion applies. A hold between steps can still raise aggregate and acidic variants (</w:t>
      </w:r>
      <w:hyperlink w:anchor="sec-sdm">
        <w:r>
          <w:rPr>
            <w:rStyle w:val="Hyperlink"/>
          </w:rPr>
          <w:t xml:space="preserve">Section 5</w:t>
        </w:r>
      </w:hyperlink>
      <w:r>
        <w:t xml:space="preserve">). Holds are covered by the hold studies, each planned in the PCP-00N of the step that produces the pool and judged against a hold criterion set in that plan.</w:t>
      </w:r>
    </w:p>
    <w:p>
      <w:pPr>
        <w:pStyle w:val="BodyText"/>
      </w:pPr>
      <w:r>
        <w:t xml:space="preserve">Residual DNA has a drug substance criterion but no intermediate acceptance criterion. The Protein A designs measure DNA in the load and the pool, but the platform history used here gives no worst-case DNA clearance for the steps after Protein A, so no criterion can be carried back. Residual DNA is therefore judged on the drug substance only, and its capability is assessed in the integrated model (</w:t>
      </w:r>
      <w:hyperlink w:anchor="sec-capability">
        <w:r>
          <w:rPr>
            <w:rStyle w:val="Hyperlink"/>
          </w:rPr>
          <w:t xml:space="preserve">Section 6.5</w:t>
        </w:r>
      </w:hyperlink>
      <w:r>
        <w:t xml:space="preserve">).</w:t>
      </w:r>
    </w:p>
    <w:p>
      <w:pPr>
        <w:pStyle w:val="BodyText"/>
      </w:pPr>
      <w:r>
        <w:t xml:space="preserve">Of the 22 criteria in</w:t>
      </w:r>
      <w:r>
        <w:t xml:space="preserve"> </w:t>
      </w:r>
      <w:hyperlink w:anchor="tbl-iac">
        <w:r>
          <w:rPr>
            <w:rStyle w:val="Hyperlink"/>
          </w:rPr>
          <w:t xml:space="preserve">Table 9</w:t>
        </w:r>
      </w:hyperlink>
      <w:r>
        <w:t xml:space="preserve">, 18 are in force at their a priori value and verification changed 4. The tightened criteria are the aggregate criteria upstream of cation exchange, because the cation exchange model gave a lower aggregate clearance than the platform worst case. One of them, the criterion for aggregate in the production bioreactor harvest (from 9.30 % to 6.64 %), was also widened, because the low-pH viral inactivation model gave a smaller aggregate increase (0.54 % at the 95 % bound, against 0.70 % on the platform). The result is a stricter criterion than the a priori one. The other tightened criterion is the criterion for aggregate in the viral inactivation pool (from 10.0 % to 7.18 %). The criteria only widened are the upper limit for acidic variants in the production bioreactor harvest (from 39.0 % to 39.6 %) and the criterion for host cell protein in the Protein A pool (from 16,000 ng/mg to 16,379 ng/mg). The report that relies on a widened criterion gives the argument for it (</w:t>
      </w:r>
      <w:hyperlink w:anchor="sec-verification">
        <w:r>
          <w:rPr>
            <w:rStyle w:val="Hyperlink"/>
          </w:rPr>
          <w:t xml:space="preserve">Section 7.5</w:t>
        </w:r>
      </w:hyperlink>
      <w:r>
        <w:t xml:space="preserve">).</w:t>
      </w:r>
    </w:p>
    <w:p>
      <w:pPr>
        <w:pStyle w:val="BodyText"/>
      </w:pPr>
      <w:r>
        <w:t xml:space="preserve">Applying these criteria to studies already executed is acceptable because the a priori derivation uses no data from the studies it judges. The drug substance criteria come from the CQA register. The worst cases come from the platform history of X-Mab, Y-Mab and Z-Mab. A-Mab data enter a criterion only when verification replaces a platform worst case with the 95 % confidence bound of the A-Mab worst case of the same step (</w:t>
      </w:r>
      <w:hyperlink w:anchor="sec-verification">
        <w:r>
          <w:rPr>
            <w:rStyle w:val="Hyperlink"/>
          </w:rPr>
          <w:t xml:space="preserve">Section 7.5</w:t>
        </w:r>
      </w:hyperlink>
      <w:r>
        <w:t xml:space="preserve">).</w:t>
      </w:r>
    </w:p>
    <w:bookmarkEnd w:id="46"/>
    <w:bookmarkStart w:id="48" w:name="sec-viral"/>
    <w:p>
      <w:pPr>
        <w:pStyle w:val="Heading2"/>
      </w:pPr>
      <w:r>
        <w:t xml:space="preserve">7.4 Viral clearance claims</w:t>
      </w:r>
    </w:p>
    <w:p>
      <w:pPr>
        <w:pStyle w:val="FirstParagraph"/>
      </w:pPr>
      <w:r>
        <w:t xml:space="preserve">Each step that clears virus is held to its platform claim. The claim is the log reduction that the step has delivered for that virus on the platform, with X-Mab, Y-Mab and Z-Mab. The sum of the claims is then checked against the cumulative requirement of the drug substance.</w:t>
      </w:r>
      <w:r>
        <w:t xml:space="preserve"> </w:t>
      </w:r>
      <w:hyperlink w:anchor="tbl-viral">
        <w:r>
          <w:rPr>
            <w:rStyle w:val="Hyperlink"/>
          </w:rPr>
          <w:t xml:space="preserve">Table 10</w:t>
        </w:r>
      </w:hyperlink>
      <w:r>
        <w:t xml:space="preserve"> </w:t>
      </w:r>
      <w:r>
        <w:t xml:space="preserve">shows that check for each model virus. Each step is then judged against its own claim at the worst case within its NOR, as</w:t>
      </w:r>
      <w:r>
        <w:t xml:space="preserve"> </w:t>
      </w:r>
      <w:hyperlink w:anchor="sec-par">
        <w:r>
          <w:rPr>
            <w:rStyle w:val="Hyperlink"/>
          </w:rPr>
          <w:t xml:space="preserve">Section 6.4</w:t>
        </w:r>
      </w:hyperlink>
      <w:r>
        <w:t xml:space="preserve"> </w:t>
      </w:r>
      <w:r>
        <w:t xml:space="preserve">defines it.</w:t>
      </w:r>
    </w:p>
    <w:tbl>
      <w:tblPr>
        <w:tblStyle w:val="Table"/>
        <w:tblW w:type="pct" w:w="5000"/>
        <w:tblLayout w:type="fixed"/>
        <w:tblLook w:firstRow="0" w:lastRow="0" w:firstColumn="0" w:lastColumn="0" w:noHBand="0" w:noVBand="0" w:val="0000"/>
      </w:tblPr>
      <w:tblGrid>
        <w:gridCol w:w="7920"/>
      </w:tblGrid>
      <w:tr>
        <w:tc>
          <w:tcPr/>
          <w:bookmarkStart w:id="47" w:name="tbl-viral"/>
          <w:p>
            <w:pPr>
              <w:jc w:val="center"/>
            </w:pPr>
            <w:pPr>
              <w:jc w:val="start"/>
              <w:spacing w:before="200"/>
              <w:pStyle w:val="ImageCaption"/>
            </w:pPr>
            <w:r>
              <w:t xml:space="preserve">Table 10: Platform claims per step (log10) and their sum against the cumulative requirement of the drug substance.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Virus</w:t>
                  </w:r>
                </w:p>
              </w:tc>
              <w:tc>
                <w:tcPr/>
                <w:p>
                  <w:pPr>
                    <w:pStyle w:val="Compact"/>
                    <w:jc w:val="center"/>
                  </w:pPr>
                  <w:r>
                    <w:t xml:space="preserve">Low-pH viral</w:t>
                  </w:r>
                  <w:r>
                    <w:br/>
                  </w:r>
                  <w:r>
                    <w:t xml:space="preserve">inactivation</w:t>
                  </w:r>
                </w:p>
              </w:tc>
              <w:tc>
                <w:tcPr/>
                <w:p>
                  <w:pPr>
                    <w:pStyle w:val="Compact"/>
                    <w:jc w:val="center"/>
                  </w:pPr>
                  <w:r>
                    <w:t xml:space="preserve">Anion</w:t>
                  </w:r>
                  <w:r>
                    <w:br/>
                  </w:r>
                  <w:r>
                    <w:t xml:space="preserve">exchange</w:t>
                  </w:r>
                </w:p>
              </w:tc>
              <w:tc>
                <w:tcPr/>
                <w:p>
                  <w:pPr>
                    <w:pStyle w:val="Compact"/>
                    <w:jc w:val="center"/>
                  </w:pPr>
                  <w:r>
                    <w:t xml:space="preserve">Virus</w:t>
                  </w:r>
                  <w:r>
                    <w:br/>
                  </w:r>
                  <w:r>
                    <w:t xml:space="preserve">filtration</w:t>
                  </w:r>
                </w:p>
              </w:tc>
              <w:tc>
                <w:tcPr/>
                <w:p>
                  <w:pPr>
                    <w:pStyle w:val="Compact"/>
                    <w:jc w:val="center"/>
                  </w:pPr>
                  <w:r>
                    <w:t xml:space="preserve">Sum of</w:t>
                  </w:r>
                  <w:r>
                    <w:br/>
                  </w:r>
                  <w:r>
                    <w:t xml:space="preserve">claims</w:t>
                  </w:r>
                </w:p>
              </w:tc>
              <w:tc>
                <w:tcPr/>
                <w:p>
                  <w:pPr>
                    <w:pStyle w:val="Compact"/>
                    <w:jc w:val="center"/>
                  </w:pPr>
                  <w:r>
                    <w:t xml:space="preserve">Cumulative</w:t>
                  </w:r>
                  <w:r>
                    <w:br/>
                  </w:r>
                  <w:r>
                    <w:t xml:space="preserve">requirement</w:t>
                  </w:r>
                </w:p>
              </w:tc>
              <w:tc>
                <w:tcPr/>
                <w:p>
                  <w:pPr>
                    <w:pStyle w:val="Compact"/>
                    <w:jc w:val="center"/>
                  </w:pPr>
                  <w:r>
                    <w:t xml:space="preserve">Met</w:t>
                  </w:r>
                </w:p>
              </w:tc>
            </w:tr>
            <w:tr>
              <w:tc>
                <w:tcPr/>
                <w:p>
                  <w:pPr>
                    <w:pStyle w:val="Compact"/>
                    <w:jc w:val="center"/>
                  </w:pPr>
                  <w:r>
                    <w:t xml:space="preserve">XMuLV (enveloped)</w:t>
                  </w:r>
                </w:p>
              </w:tc>
              <w:tc>
                <w:tcPr/>
                <w:p>
                  <w:pPr>
                    <w:pStyle w:val="Compact"/>
                    <w:jc w:val="center"/>
                  </w:pPr>
                  <w:r>
                    <w:t xml:space="preserve">6.6</w:t>
                  </w:r>
                </w:p>
              </w:tc>
              <w:tc>
                <w:tcPr/>
                <w:p>
                  <w:pPr>
                    <w:pStyle w:val="Compact"/>
                    <w:jc w:val="center"/>
                  </w:pPr>
                  <w:r>
                    <w:t xml:space="preserve">5.5</w:t>
                  </w:r>
                </w:p>
              </w:tc>
              <w:tc>
                <w:tcPr/>
                <w:p>
                  <w:pPr>
                    <w:pStyle w:val="Compact"/>
                    <w:jc w:val="center"/>
                  </w:pPr>
                  <w:r>
                    <w:t xml:space="preserve">4.62</w:t>
                  </w:r>
                </w:p>
              </w:tc>
              <w:tc>
                <w:tcPr/>
                <w:p>
                  <w:pPr>
                    <w:pStyle w:val="Compact"/>
                    <w:jc w:val="center"/>
                  </w:pPr>
                  <w:r>
                    <w:t xml:space="preserve">16.72</w:t>
                  </w:r>
                </w:p>
              </w:tc>
              <w:tc>
                <w:tcPr/>
                <w:p>
                  <w:pPr>
                    <w:pStyle w:val="Compact"/>
                    <w:jc w:val="center"/>
                  </w:pPr>
                  <w:r>
                    <w:t xml:space="preserve">16.7</w:t>
                  </w:r>
                </w:p>
              </w:tc>
              <w:tc>
                <w:tcPr/>
                <w:p>
                  <w:pPr>
                    <w:pStyle w:val="Compact"/>
                    <w:jc w:val="center"/>
                  </w:pPr>
                  <w:r>
                    <w:t xml:space="preserve">yes</w:t>
                  </w:r>
                </w:p>
              </w:tc>
            </w:tr>
            <w:tr>
              <w:tc>
                <w:tcPr/>
                <w:p>
                  <w:pPr>
                    <w:pStyle w:val="Compact"/>
                    <w:jc w:val="center"/>
                  </w:pPr>
                  <w:r>
                    <w:t xml:space="preserve">MVM (parvovirus)</w:t>
                  </w:r>
                </w:p>
              </w:tc>
              <w:tc>
                <w:tcPr/>
                <w:p>
                  <w:pPr>
                    <w:pStyle w:val="Compact"/>
                    <w:jc w:val="center"/>
                  </w:pPr>
                  <w:r>
                    <w:t xml:space="preserve">no claim</w:t>
                  </w:r>
                </w:p>
              </w:tc>
              <w:tc>
                <w:tcPr/>
                <w:p>
                  <w:pPr>
                    <w:pStyle w:val="Compact"/>
                    <w:jc w:val="center"/>
                  </w:pPr>
                  <w:r>
                    <w:t xml:space="preserve">4</w:t>
                  </w:r>
                </w:p>
              </w:tc>
              <w:tc>
                <w:tcPr/>
                <w:p>
                  <w:pPr>
                    <w:pStyle w:val="Compact"/>
                    <w:jc w:val="center"/>
                  </w:pPr>
                  <w:r>
                    <w:t xml:space="preserve">4.62</w:t>
                  </w:r>
                </w:p>
              </w:tc>
              <w:tc>
                <w:tcPr/>
                <w:p>
                  <w:pPr>
                    <w:pStyle w:val="Compact"/>
                    <w:jc w:val="center"/>
                  </w:pPr>
                  <w:r>
                    <w:t xml:space="preserve">8.62</w:t>
                  </w:r>
                </w:p>
              </w:tc>
              <w:tc>
                <w:tcPr/>
                <w:p>
                  <w:pPr>
                    <w:pStyle w:val="Compact"/>
                    <w:jc w:val="center"/>
                  </w:pPr>
                  <w:r>
                    <w:t xml:space="preserve">8.6</w:t>
                  </w:r>
                </w:p>
              </w:tc>
              <w:tc>
                <w:tcPr/>
                <w:p>
                  <w:pPr>
                    <w:pStyle w:val="Compact"/>
                    <w:jc w:val="center"/>
                  </w:pPr>
                  <w:r>
                    <w:t xml:space="preserve">yes</w:t>
                  </w:r>
                </w:p>
              </w:tc>
            </w:tr>
          </w:tbl>
          <w:bookmarkEnd w:id="47"/>
          <w:p/>
        </w:tc>
      </w:tr>
    </w:tbl>
    <w:p>
      <w:pPr>
        <w:pStyle w:val="BodyText"/>
      </w:pPr>
      <w:r>
        <w:t xml:space="preserve">The claims for XMuLV sum to 16.72 log10 against a requirement of 16.7. For MVM they sum to 8.62 against 8.6. Both requirements are met by the claims alone, with little room above them. A step that falls short of its claim therefore cannot be made up by the surplus of another step. Low-pH viral inactivation makes no claim for MVM, because a parvovirus has no lipid envelope for low pH to disrupt.</w:t>
      </w:r>
    </w:p>
    <w:bookmarkEnd w:id="48"/>
    <w:bookmarkStart w:id="49" w:name="sec-verification"/>
    <w:p>
      <w:pPr>
        <w:pStyle w:val="Heading2"/>
      </w:pPr>
      <w:r>
        <w:t xml:space="preserve">7.5 Verification of the platform worst cases</w:t>
      </w:r>
    </w:p>
    <w:p>
      <w:pPr>
        <w:pStyle w:val="FirstParagraph"/>
      </w:pPr>
      <w:r>
        <w:t xml:space="preserve">Each intermediate acceptance criterion assumes that every downstream step performs at least as well as its platform worst case. That is, the step clears at least the lowest fold, or adds no more than the largest increase, seen for X-Mab, Y-Mab and Z-Mab. Each report checks the platform worst cases of its own step. The check uses the response-surface model of the step. The model gives the worst clearance fold, or the largest increase, that it predicts within the NOR, and the one-sided 95 % confidence bound of that worst case, on its unfavourable side. An assumption is confirmed when the predicted worst case is no worse than the platform worst case. The values observed at the edges of the characterized range are reported beside it for information.</w:t>
      </w:r>
    </w:p>
    <w:p>
      <w:pPr>
        <w:pStyle w:val="BodyText"/>
      </w:pPr>
      <w:r>
        <w:t xml:space="preserve">Verification may change a criterion in either direction, by the following rule.</w:t>
      </w:r>
    </w:p>
    <w:p>
      <w:pPr>
        <w:pStyle w:val="Compact"/>
        <w:numPr>
          <w:ilvl w:val="0"/>
          <w:numId w:val="1006"/>
        </w:numPr>
      </w:pPr>
      <w:r>
        <w:t xml:space="preserve">Where the A-Mab worst case predicted within the NOR is worse than the platform worst case, its 95 % confidence bound replaces the platform value. Every criterion upstream of that step is recalculated with it and becomes stricter.</w:t>
      </w:r>
    </w:p>
    <w:p>
      <w:pPr>
        <w:pStyle w:val="Compact"/>
        <w:numPr>
          <w:ilvl w:val="0"/>
          <w:numId w:val="1006"/>
        </w:numPr>
      </w:pPr>
      <w:r>
        <w:t xml:space="preserve">Where the 95 % confidence bound of the A-Mab worst case within the NOR is better than the platform value, and the response-surface model behind it meets the adequacy criteria of</w:t>
      </w:r>
      <w:r>
        <w:t xml:space="preserve"> </w:t>
      </w:r>
      <w:hyperlink w:anchor="sec-acc-model">
        <w:r>
          <w:rPr>
            <w:rStyle w:val="Hyperlink"/>
          </w:rPr>
          <w:t xml:space="preserve">Section 7.2</w:t>
        </w:r>
      </w:hyperlink>
      <w:r>
        <w:t xml:space="preserve">, the bound replaces the platform value. Every criterion upstream of that step is recalculated with it and becomes wider.</w:t>
      </w:r>
    </w:p>
    <w:p>
      <w:pPr>
        <w:pStyle w:val="Compact"/>
        <w:numPr>
          <w:ilvl w:val="0"/>
          <w:numId w:val="1006"/>
        </w:numPr>
      </w:pPr>
      <w:r>
        <w:t xml:space="preserve">Otherwise the platform value stands.</w:t>
      </w:r>
    </w:p>
    <w:p>
      <w:pPr>
        <w:pStyle w:val="FirstParagraph"/>
      </w:pPr>
      <w:r>
        <w:t xml:space="preserve">In both directions the bound, on its unfavourable side, replaces the platform value, and the point prediction never does.</w:t>
      </w:r>
    </w:p>
    <w:p>
      <w:pPr>
        <w:pStyle w:val="BodyText"/>
      </w:pPr>
      <w:r>
        <w:t xml:space="preserve">A report that relies on a widened criterion gives the argument for it, with the bound, the runs behind it, and the reason why the performance of the downstream step for A-Mab is known well enough to replace the platform value. The rule was written into this plan before any Version 2.0 step report used it. This reissue of the plan also records what the rule gave, in</w:t>
      </w:r>
      <w:r>
        <w:t xml:space="preserve"> </w:t>
      </w:r>
      <w:hyperlink w:anchor="sec-iac">
        <w:r>
          <w:rPr>
            <w:rStyle w:val="Hyperlink"/>
          </w:rPr>
          <w:t xml:space="preserve">Section 7.3</w:t>
        </w:r>
      </w:hyperlink>
      <w:r>
        <w:t xml:space="preserve"> </w:t>
      </w:r>
      <w:r>
        <w:t xml:space="preserve">and below.</w:t>
      </w:r>
    </w:p>
    <w:p>
      <w:pPr>
        <w:pStyle w:val="BodyText"/>
      </w:pPr>
      <w:r>
        <w:t xml:space="preserve">The criteria assume 9 platform worst cases. Of these, 7 are responses of the response-surface designs of low-pH viral inactivation, cation exchange and anion exchange, and they can be checked. The other 2 are the leached Protein A clearance of cation exchange and of anion exchange. Leached Protein A is not a response of those designs, so the platform values stand. The 95 % confidence bound was better than the platform worst case for the aggregate increase of low-pH viral inactivation, the acidic variants increase of low-pH viral inactivation and the host cell protein clearance of cation exchange, and these bounds replaced the platform values. For the fragments increase of low-pH viral inactivation, the fragments clearance of cation exchange and the host cell protein clearance of anion exchange the bound was also better, but the model does not meet the adequacy criteria, so the platform values stand. Verification found that the aggregate clearance of cation exchange within its NOR is lower than the platform worst case. That tightened the aggregate criteria upstream of cation exchange (</w:t>
      </w:r>
      <w:hyperlink w:anchor="sec-iac">
        <w:r>
          <w:rPr>
            <w:rStyle w:val="Hyperlink"/>
          </w:rPr>
          <w:t xml:space="preserve">Section 7.3</w:t>
        </w:r>
      </w:hyperlink>
      <w:r>
        <w:t xml:space="preserve">). The cation exchange report PCR-007 gives the values and their analysis.</w:t>
      </w:r>
    </w:p>
    <w:bookmarkEnd w:id="49"/>
    <w:bookmarkStart w:id="50" w:name="proven-acceptable-ranges"/>
    <w:p>
      <w:pPr>
        <w:pStyle w:val="Heading2"/>
      </w:pPr>
      <w:r>
        <w:t xml:space="preserve">7.6 Proven acceptable ranges</w:t>
      </w:r>
    </w:p>
    <w:p>
      <w:pPr>
        <w:pStyle w:val="FirstParagraph"/>
      </w:pPr>
      <w:r>
        <w:t xml:space="preserve">A range of a parameter is proven acceptable for an attribute when the NOR-propagated analysis (</w:t>
      </w:r>
      <w:hyperlink w:anchor="sec-par">
        <w:r>
          <w:rPr>
            <w:rStyle w:val="Hyperlink"/>
          </w:rPr>
          <w:t xml:space="preserve">Section 6.4</w:t>
        </w:r>
      </w:hyperlink>
      <w:r>
        <w:t xml:space="preserve">) meets the criterion of that attribute across it. The criterion is the IAC where</w:t>
      </w:r>
      <w:r>
        <w:t xml:space="preserve"> </w:t>
      </w:r>
      <w:hyperlink w:anchor="tbl-iac">
        <w:r>
          <w:rPr>
            <w:rStyle w:val="Hyperlink"/>
          </w:rPr>
          <w:t xml:space="preserve">Table 9</w:t>
        </w:r>
      </w:hyperlink>
      <w:r>
        <w:t xml:space="preserve"> </w:t>
      </w:r>
      <w:r>
        <w:t xml:space="preserve">defines one, and the drug substance criterion otherwise. A parameter that affects several attributes has a PAR for each, and the range carried into the control strategy is their intersection. Where the output does not meet its criterion even at the set-point, the PCR-00N reports that no PAR exists for the attribute and states the consequence for the NOR.</w:t>
      </w:r>
    </w:p>
    <w:p>
      <w:pPr>
        <w:pStyle w:val="BodyText"/>
      </w:pPr>
      <w:r>
        <w:t xml:space="preserve">A PAR that reaches the edge of the characterized range is reported as reaching it, and no claim is made beyond it.</w:t>
      </w:r>
    </w:p>
    <w:bookmarkEnd w:id="50"/>
    <w:bookmarkStart w:id="51" w:name="sec-classification"/>
    <w:p>
      <w:pPr>
        <w:pStyle w:val="Heading2"/>
      </w:pPr>
      <w:r>
        <w:t xml:space="preserve">7.7 Parameter classification</w:t>
      </w:r>
    </w:p>
    <w:p>
      <w:pPr>
        <w:pStyle w:val="FirstParagraph"/>
      </w:pPr>
      <w:r>
        <w:t xml:space="preserve">Parameters are classified under the parameter classification procedure SOP-4001 by the decision logic of the A-Mab case study</w:t>
      </w:r>
      <w:r>
        <w:t xml:space="preserve"> </w:t>
      </w:r>
      <w:r>
        <w:t xml:space="preserve">(CMC Biotech Working Group 2009)</w:t>
      </w:r>
      <w:r>
        <w:t xml:space="preserve">.</w:t>
      </w:r>
    </w:p>
    <w:p>
      <w:pPr>
        <w:pStyle w:val="Compact"/>
        <w:numPr>
          <w:ilvl w:val="0"/>
          <w:numId w:val="1007"/>
        </w:numPr>
      </w:pPr>
      <w:r>
        <w:t xml:space="preserve">A critical process parameter (CPP) has an effect on a CQA that is significant and practically relevant within the characterized range, and a high risk of falling outside its acceptable range in operation.</w:t>
      </w:r>
    </w:p>
    <w:p>
      <w:pPr>
        <w:pStyle w:val="Compact"/>
        <w:numPr>
          <w:ilvl w:val="0"/>
          <w:numId w:val="1007"/>
        </w:numPr>
      </w:pPr>
      <w:r>
        <w:t xml:space="preserve">A well-controlled critical process parameter (WC-CPP) has the same kind of effect on a CQA but a low risk of falling outside its acceptable range, because it is readily controlled and its PAR is wide against its NOR.</w:t>
      </w:r>
    </w:p>
    <w:p>
      <w:pPr>
        <w:pStyle w:val="Compact"/>
        <w:numPr>
          <w:ilvl w:val="0"/>
          <w:numId w:val="1007"/>
        </w:numPr>
      </w:pPr>
      <w:r>
        <w:t xml:space="preserve">A key process parameter (KPP) affects process performance, such as yield or concentration, and has no effect on a CQA within its range.</w:t>
      </w:r>
    </w:p>
    <w:p>
      <w:pPr>
        <w:pStyle w:val="Compact"/>
        <w:numPr>
          <w:ilvl w:val="0"/>
          <w:numId w:val="1007"/>
        </w:numPr>
      </w:pPr>
      <w:r>
        <w:t xml:space="preserve">A general process parameter (GPP) has no relevant effect on a CQA or on process performance within its range.</w:t>
      </w:r>
    </w:p>
    <w:p>
      <w:pPr>
        <w:pStyle w:val="FirstParagraph"/>
      </w:pPr>
      <w:r>
        <w:t xml:space="preserve">A significant effect that is too small to move the attribute appreciably within the PAR does not by itself make a parameter critical. The PCR-00N should state the size of the effect beside its significance and give the reason for each class. The classification at this revision counts 1 CPP, 20 WC-CPP, 10 KPP and 6 GPP, and is consolidated in PCMR-001.</w:t>
      </w:r>
    </w:p>
    <w:bookmarkEnd w:id="51"/>
    <w:bookmarkStart w:id="53" w:name="sec-fragments"/>
    <w:p>
      <w:pPr>
        <w:pStyle w:val="Heading2"/>
      </w:pPr>
      <w:r>
        <w:t xml:space="preserve">7.8 Method for fragments</w:t>
      </w:r>
    </w:p>
    <w:p>
      <w:pPr>
        <w:pStyle w:val="FirstParagraph"/>
      </w:pPr>
      <w:r>
        <w:t xml:space="preserve">From 2026-03-20, fragments are measured by nrCE-SDS (AMV-3020, under SOP-3015) in every study at every step. This follows the decision to change the fragment method to nrCE-SDS (AMD-001). One method across the train is needed because fragment results are compared across steps, and a comparison between two methods would mix method bias with step performance. Designs executed before that date measured fragments by SEC (</w:t>
      </w:r>
      <w:hyperlink w:anchor="tbl-methods-by-study">
        <w:r>
          <w:rPr>
            <w:rStyle w:val="Hyperlink"/>
          </w:rPr>
          <w:t xml:space="preserve">Table 11</w:t>
        </w:r>
      </w:hyperlink>
      <w:r>
        <w:t xml:space="preserve">). The screening designs of Protein A, low-pH viral inactivation and cation exchange and the invalidated first execution of the anion exchange design have SEC results only. The response-surface designs of Protein A and low-pH viral inactivation were measured by SEC, and their retained samples were later re-tested by nrCE-SDS. The cation exchange response-surface design ran across the decision date and measured fragments by both methods on every run.</w:t>
      </w:r>
    </w:p>
    <w:p>
      <w:pPr>
        <w:pStyle w:val="BodyText"/>
      </w:pPr>
      <w:r>
        <w:t xml:space="preserve">The decision followed the comparability study S-CEX-FRC (2026-03-02 to 2026-03-13), in which SEC (AMV-3011) and nrCE-SDS were run on the same samples. SEC read fragments high wherever the sample still carried host cell protein, because the part of the host cell protein that elutes in the low molecular weight window of SEC is counted as fragment. The excess can never exceed the host cell protein present. It was a few tenths of a percent in the Protein A and viral inactivation pools and close to zero from the cation exchange pool onward. From the cation exchange pool onward the two methods agreed (INV-001 finding 6). SEC remains the method for aggregate (HMW), where no such interference applies.</w:t>
      </w:r>
    </w:p>
    <w:p>
      <w:pPr>
        <w:pStyle w:val="BodyText"/>
      </w:pPr>
      <w:hyperlink w:anchor="tbl-methods-by-study">
        <w:r>
          <w:rPr>
            <w:rStyle w:val="Hyperlink"/>
          </w:rPr>
          <w:t xml:space="preserve">Table 11</w:t>
        </w:r>
      </w:hyperlink>
      <w:r>
        <w:t xml:space="preserve"> </w:t>
      </w:r>
      <w:r>
        <w:t xml:space="preserve">shows which method measured fragments in which study. Retained response-surface samples of Protein A and low-pH viral inactivation were re-tested by nrCE-SDS between 2026-04-06 and 2026-04-17. Screening samples were not retained. Their SEC fragment results are kept in the record but are not used for any decision. The re-executed anion exchange design ran after the decision and measured fragments by nrCE-SDS.</w:t>
      </w:r>
    </w:p>
    <w:tbl>
      <w:tblPr>
        <w:tblStyle w:val="Table"/>
        <w:tblW w:type="pct" w:w="5000"/>
        <w:tblLayout w:type="fixed"/>
        <w:tblLook w:firstRow="0" w:lastRow="0" w:firstColumn="0" w:lastColumn="0" w:noHBand="0" w:noVBand="0" w:val="0000"/>
      </w:tblPr>
      <w:tblGrid>
        <w:gridCol w:w="7920"/>
      </w:tblGrid>
      <w:tr>
        <w:tc>
          <w:tcPr/>
          <w:bookmarkStart w:id="52" w:name="tbl-methods-by-study"/>
          <w:p>
            <w:pPr>
              <w:jc w:val="center"/>
            </w:pPr>
            <w:pPr>
              <w:jc w:val="start"/>
              <w:spacing w:before="200"/>
              <w:pStyle w:val="ImageCaption"/>
            </w:pPr>
            <w:r>
              <w:t xml:space="preserve">Table 11: Methods used for size variants in the designed studies, by step.</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vMerge w:val="restart"/>
                </w:tcPr>
                <w:p>
                  <w:pPr>
                    <w:pStyle w:val="Compact"/>
                    <w:jc w:val="center"/>
                  </w:pPr>
                  <w:r>
                    <w:t xml:space="preserve">Step</w:t>
                  </w:r>
                </w:p>
              </w:tc>
              <w:tc>
                <w:tcPr>
                  <w:vMerge w:val="restart"/>
                </w:tcPr>
                <w:p>
                  <w:pPr>
                    <w:pStyle w:val="Compact"/>
                    <w:jc w:val="center"/>
                  </w:pPr>
                  <w:r>
                    <w:t xml:space="preserve">Attribute</w:t>
                  </w:r>
                </w:p>
              </w:tc>
              <w:tc>
                <w:tcPr>
                  <w:gridSpan w:val="2"/>
                </w:tcPr>
                <w:p>
                  <w:pPr>
                    <w:pStyle w:val="Compact"/>
                    <w:jc w:val="center"/>
                  </w:pPr>
                  <w:r>
                    <w:t xml:space="preserve">Method used in study</w:t>
                  </w:r>
                </w:p>
              </w:tc>
            </w:tr>
            <w:tr>
              <w:trPr>
                <w:tblHeader w:val="on"/>
              </w:trPr>
              <w:tc>
                <w:tcPr>
                  <w:gridSpan w:val="1"/>
                  <w:vMerge w:val="continue"/>
                </w:tcPr>
                <w:p>
                  <w:pPr/>
                </w:p>
              </w:tc>
              <w:tc>
                <w:tcPr>
                  <w:gridSpan w:val="1"/>
                  <w:vMerge w:val="continue"/>
                </w:tcPr>
                <w:p>
                  <w:pPr/>
                </w:p>
              </w:tc>
              <w:tc>
                <w:tcPr/>
                <w:p>
                  <w:pPr>
                    <w:pStyle w:val="Compact"/>
                    <w:jc w:val="center"/>
                  </w:pPr>
                  <w:r>
                    <w:t xml:space="preserve">Screening</w:t>
                  </w:r>
                </w:p>
              </w:tc>
              <w:tc>
                <w:tcPr/>
                <w:p>
                  <w:pPr>
                    <w:pStyle w:val="Compact"/>
                    <w:jc w:val="center"/>
                  </w:pPr>
                  <w:r>
                    <w:t xml:space="preserve">Response surface</w:t>
                  </w:r>
                </w:p>
              </w:tc>
            </w:tr>
            <w:tr>
              <w:tc>
                <w:tcPr>
                  <w:vMerge w:val="restart"/>
                </w:tcPr>
                <w:p>
                  <w:pPr>
                    <w:pStyle w:val="Compact"/>
                    <w:jc w:val="center"/>
                  </w:pPr>
                  <w:r>
                    <w:t xml:space="preserve">Production bioreactor</w:t>
                  </w:r>
                </w:p>
              </w:tc>
              <w:tc>
                <w:tcPr/>
                <w:p>
                  <w:pPr>
                    <w:pStyle w:val="Compact"/>
                    <w:jc w:val="center"/>
                  </w:pPr>
                  <w:r>
                    <w:t xml:space="preserve">Aggregates, HMW</w:t>
                  </w:r>
                </w:p>
              </w:tc>
              <w:tc>
                <w:tcPr>
                  <w:gridSpan w:val="2"/>
                </w:tcPr>
                <w:p>
                  <w:pPr>
                    <w:pStyle w:val="Compact"/>
                    <w:jc w:val="center"/>
                  </w:pPr>
                  <w:r>
                    <w:t xml:space="preserve">SEC</w:t>
                  </w:r>
                </w:p>
              </w:tc>
            </w:tr>
            <w:tr>
              <w:tc>
                <w:tcPr>
                  <w:gridSpan w:val="1"/>
                  <w:vMerge w:val="continue"/>
                </w:tcPr>
                <w:p>
                  <w:pPr/>
                </w:p>
              </w:tc>
              <w:tc>
                <w:tcPr/>
                <w:p>
                  <w:pPr>
                    <w:pStyle w:val="Compact"/>
                    <w:jc w:val="center"/>
                  </w:pPr>
                  <w:r>
                    <w:t xml:space="preserve">Fragments, LMW</w:t>
                  </w:r>
                </w:p>
              </w:tc>
              <w:tc>
                <w:tcPr>
                  <w:gridSpan w:val="2"/>
                </w:tcPr>
                <w:p>
                  <w:pPr>
                    <w:pStyle w:val="Compact"/>
                    <w:jc w:val="center"/>
                  </w:pPr>
                  <w:r>
                    <w:t xml:space="preserve">not in scope</w:t>
                  </w:r>
                  <w:r>
                    <w:rPr>
                      <w:vertAlign w:val="superscript"/>
                    </w:rPr>
                    <w:t xml:space="preserve">a)</w:t>
                  </w:r>
                </w:p>
              </w:tc>
            </w:tr>
            <w:tr>
              <w:tc>
                <w:tcPr>
                  <w:vMerge w:val="restart"/>
                </w:tcPr>
                <w:p>
                  <w:pPr>
                    <w:pStyle w:val="Compact"/>
                    <w:jc w:val="center"/>
                  </w:pPr>
                  <w:r>
                    <w:t xml:space="preserve">Harvest</w:t>
                  </w:r>
                </w:p>
              </w:tc>
              <w:tc>
                <w:tcPr/>
                <w:p>
                  <w:pPr>
                    <w:pStyle w:val="Compact"/>
                    <w:jc w:val="center"/>
                  </w:pPr>
                  <w:r>
                    <w:t xml:space="preserve">Aggregates, HMW</w:t>
                  </w:r>
                </w:p>
              </w:tc>
              <w:tc>
                <w:tcPr>
                  <w:gridSpan w:val="2"/>
                </w:tcPr>
                <w:p>
                  <w:pPr>
                    <w:pStyle w:val="Compact"/>
                    <w:jc w:val="center"/>
                  </w:pPr>
                  <w:r>
                    <w:t xml:space="preserve">no DoE</w:t>
                  </w:r>
                  <w:r>
                    <w:rPr>
                      <w:vertAlign w:val="superscript"/>
                    </w:rPr>
                    <w:t xml:space="preserve">b)</w:t>
                  </w:r>
                </w:p>
              </w:tc>
            </w:tr>
            <w:tr>
              <w:tc>
                <w:tcPr>
                  <w:gridSpan w:val="1"/>
                  <w:vMerge w:val="continue"/>
                </w:tcPr>
                <w:p>
                  <w:pPr/>
                </w:p>
              </w:tc>
              <w:tc>
                <w:tcPr/>
                <w:p>
                  <w:pPr>
                    <w:pStyle w:val="Compact"/>
                    <w:jc w:val="center"/>
                  </w:pPr>
                  <w:r>
                    <w:t xml:space="preserve">Fragments, LMW</w:t>
                  </w:r>
                </w:p>
              </w:tc>
              <w:tc>
                <w:tcPr>
                  <w:gridSpan w:val="2"/>
                </w:tcPr>
                <w:p>
                  <w:pPr>
                    <w:pStyle w:val="Compact"/>
                    <w:jc w:val="center"/>
                  </w:pPr>
                  <w:r>
                    <w:t xml:space="preserve">no DoE</w:t>
                  </w:r>
                  <w:r>
                    <w:rPr>
                      <w:vertAlign w:val="superscript"/>
                    </w:rPr>
                    <w:t xml:space="preserve">b)</w:t>
                  </w:r>
                </w:p>
              </w:tc>
            </w:tr>
            <w:tr>
              <w:tc>
                <w:tcPr>
                  <w:vMerge w:val="restart"/>
                </w:tcPr>
                <w:p>
                  <w:pPr>
                    <w:pStyle w:val="Compact"/>
                    <w:jc w:val="center"/>
                  </w:pPr>
                  <w:r>
                    <w:t xml:space="preserve">Protein A</w:t>
                  </w:r>
                </w:p>
              </w:tc>
              <w:tc>
                <w:tcPr/>
                <w:p>
                  <w:pPr>
                    <w:pStyle w:val="Compact"/>
                    <w:jc w:val="center"/>
                  </w:pPr>
                  <w:r>
                    <w:t xml:space="preserve">Aggregates, HMW</w:t>
                  </w:r>
                </w:p>
              </w:tc>
              <w:tc>
                <w:tcPr>
                  <w:gridSpan w:val="2"/>
                </w:tcPr>
                <w:p>
                  <w:pPr>
                    <w:pStyle w:val="Compact"/>
                    <w:jc w:val="center"/>
                  </w:pPr>
                  <w:r>
                    <w:t xml:space="preserve">SEC</w:t>
                  </w:r>
                </w:p>
              </w:tc>
            </w:tr>
            <w:tr>
              <w:tc>
                <w:tcPr>
                  <w:gridSpan w:val="1"/>
                  <w:vMerge w:val="continue"/>
                </w:tcPr>
                <w:p>
                  <w:pPr/>
                </w:p>
              </w:tc>
              <w:tc>
                <w:tcPr/>
                <w:p>
                  <w:pPr>
                    <w:pStyle w:val="Compact"/>
                    <w:jc w:val="center"/>
                  </w:pPr>
                  <w:r>
                    <w:t xml:space="preserve">Fragments, LMW</w:t>
                  </w:r>
                </w:p>
              </w:tc>
              <w:tc>
                <w:tcPr/>
                <w:p>
                  <w:pPr>
                    <w:pStyle w:val="Compact"/>
                    <w:jc w:val="center"/>
                  </w:pPr>
                  <w:r>
                    <w:t xml:space="preserve">SEC</w:t>
                  </w:r>
                  <w:r>
                    <w:rPr>
                      <w:vertAlign w:val="superscript"/>
                    </w:rPr>
                    <w:t xml:space="preserve">c)</w:t>
                  </w:r>
                </w:p>
              </w:tc>
              <w:tc>
                <w:tcPr/>
                <w:p>
                  <w:pPr>
                    <w:pStyle w:val="Compact"/>
                    <w:jc w:val="center"/>
                  </w:pPr>
                  <w:r>
                    <w:t xml:space="preserve">SEC</w:t>
                  </w:r>
                  <w:r>
                    <w:rPr>
                      <w:vertAlign w:val="superscript"/>
                    </w:rPr>
                    <w:t xml:space="preserve">c)</w:t>
                  </w:r>
                  <w:r>
                    <w:t xml:space="preserve">, nrCE-SDS</w:t>
                  </w:r>
                  <w:r>
                    <w:rPr>
                      <w:vertAlign w:val="superscript"/>
                    </w:rPr>
                    <w:t xml:space="preserve">d)</w:t>
                  </w:r>
                </w:p>
              </w:tc>
            </w:tr>
            <w:tr>
              <w:tc>
                <w:tcPr>
                  <w:vMerge w:val="restart"/>
                </w:tcPr>
                <w:p>
                  <w:pPr>
                    <w:pStyle w:val="Compact"/>
                    <w:jc w:val="center"/>
                  </w:pPr>
                  <w:r>
                    <w:t xml:space="preserve">Low-pH viral inactivation</w:t>
                  </w:r>
                </w:p>
              </w:tc>
              <w:tc>
                <w:tcPr/>
                <w:p>
                  <w:pPr>
                    <w:pStyle w:val="Compact"/>
                    <w:jc w:val="center"/>
                  </w:pPr>
                  <w:r>
                    <w:t xml:space="preserve">Aggregates, HMW</w:t>
                  </w:r>
                </w:p>
              </w:tc>
              <w:tc>
                <w:tcPr>
                  <w:gridSpan w:val="2"/>
                </w:tcPr>
                <w:p>
                  <w:pPr>
                    <w:pStyle w:val="Compact"/>
                    <w:jc w:val="center"/>
                  </w:pPr>
                  <w:r>
                    <w:t xml:space="preserve">SEC</w:t>
                  </w:r>
                </w:p>
              </w:tc>
            </w:tr>
            <w:tr>
              <w:tc>
                <w:tcPr>
                  <w:gridSpan w:val="1"/>
                  <w:vMerge w:val="continue"/>
                </w:tcPr>
                <w:p>
                  <w:pPr/>
                </w:p>
              </w:tc>
              <w:tc>
                <w:tcPr/>
                <w:p>
                  <w:pPr>
                    <w:pStyle w:val="Compact"/>
                    <w:jc w:val="center"/>
                  </w:pPr>
                  <w:r>
                    <w:t xml:space="preserve">Fragments, LMW</w:t>
                  </w:r>
                </w:p>
              </w:tc>
              <w:tc>
                <w:tcPr/>
                <w:p>
                  <w:pPr>
                    <w:pStyle w:val="Compact"/>
                    <w:jc w:val="center"/>
                  </w:pPr>
                  <w:r>
                    <w:t xml:space="preserve">SEC</w:t>
                  </w:r>
                  <w:r>
                    <w:rPr>
                      <w:vertAlign w:val="superscript"/>
                    </w:rPr>
                    <w:t xml:space="preserve">c)</w:t>
                  </w:r>
                </w:p>
              </w:tc>
              <w:tc>
                <w:tcPr/>
                <w:p>
                  <w:pPr>
                    <w:pStyle w:val="Compact"/>
                    <w:jc w:val="center"/>
                  </w:pPr>
                  <w:r>
                    <w:t xml:space="preserve">SEC</w:t>
                  </w:r>
                  <w:r>
                    <w:rPr>
                      <w:vertAlign w:val="superscript"/>
                    </w:rPr>
                    <w:t xml:space="preserve">c)</w:t>
                  </w:r>
                  <w:r>
                    <w:t xml:space="preserve">, nrCE-SDS</w:t>
                  </w:r>
                  <w:r>
                    <w:rPr>
                      <w:vertAlign w:val="superscript"/>
                    </w:rPr>
                    <w:t xml:space="preserve">d)</w:t>
                  </w:r>
                </w:p>
              </w:tc>
            </w:tr>
            <w:tr>
              <w:tc>
                <w:tcPr>
                  <w:vMerge w:val="restart"/>
                </w:tcPr>
                <w:p>
                  <w:pPr>
                    <w:pStyle w:val="Compact"/>
                    <w:jc w:val="center"/>
                  </w:pPr>
                  <w:r>
                    <w:t xml:space="preserve">Cation exchange</w:t>
                  </w:r>
                </w:p>
              </w:tc>
              <w:tc>
                <w:tcPr/>
                <w:p>
                  <w:pPr>
                    <w:pStyle w:val="Compact"/>
                    <w:jc w:val="center"/>
                  </w:pPr>
                  <w:r>
                    <w:t xml:space="preserve">Aggregates, HMW</w:t>
                  </w:r>
                </w:p>
              </w:tc>
              <w:tc>
                <w:tcPr>
                  <w:gridSpan w:val="2"/>
                </w:tcPr>
                <w:p>
                  <w:pPr>
                    <w:pStyle w:val="Compact"/>
                    <w:jc w:val="center"/>
                  </w:pPr>
                  <w:r>
                    <w:t xml:space="preserve">SEC</w:t>
                  </w:r>
                </w:p>
              </w:tc>
            </w:tr>
            <w:tr>
              <w:tc>
                <w:tcPr>
                  <w:gridSpan w:val="1"/>
                  <w:vMerge w:val="continue"/>
                </w:tcPr>
                <w:p>
                  <w:pPr/>
                </w:p>
              </w:tc>
              <w:tc>
                <w:tcPr/>
                <w:p>
                  <w:pPr>
                    <w:pStyle w:val="Compact"/>
                    <w:jc w:val="center"/>
                  </w:pPr>
                  <w:r>
                    <w:t xml:space="preserve">Fragments, LMW</w:t>
                  </w:r>
                </w:p>
              </w:tc>
              <w:tc>
                <w:tcPr/>
                <w:p>
                  <w:pPr>
                    <w:pStyle w:val="Compact"/>
                    <w:jc w:val="center"/>
                  </w:pPr>
                  <w:r>
                    <w:t xml:space="preserve">SEC</w:t>
                  </w:r>
                </w:p>
              </w:tc>
              <w:tc>
                <w:tcPr/>
                <w:p>
                  <w:pPr>
                    <w:pStyle w:val="Compact"/>
                    <w:jc w:val="center"/>
                  </w:pPr>
                  <w:r>
                    <w:t xml:space="preserve">SEC, nrCE-SDS</w:t>
                  </w:r>
                  <w:r>
                    <w:rPr>
                      <w:vertAlign w:val="superscript"/>
                    </w:rPr>
                    <w:t xml:space="preserve">e)</w:t>
                  </w:r>
                </w:p>
              </w:tc>
            </w:tr>
            <w:tr>
              <w:tc>
                <w:tcPr>
                  <w:vMerge w:val="restart"/>
                </w:tcPr>
                <w:p>
                  <w:pPr>
                    <w:pStyle w:val="Compact"/>
                    <w:jc w:val="center"/>
                  </w:pPr>
                  <w:r>
                    <w:t xml:space="preserve">Anion exchange</w:t>
                  </w:r>
                </w:p>
              </w:tc>
              <w:tc>
                <w:tcPr/>
                <w:p>
                  <w:pPr>
                    <w:pStyle w:val="Compact"/>
                    <w:jc w:val="center"/>
                  </w:pPr>
                  <w:r>
                    <w:t xml:space="preserve">Aggregates, HMW</w:t>
                  </w:r>
                </w:p>
              </w:tc>
              <w:tc>
                <w:tcPr>
                  <w:gridSpan w:val="2"/>
                </w:tcPr>
                <w:p>
                  <w:pPr>
                    <w:pStyle w:val="Compact"/>
                    <w:jc w:val="center"/>
                  </w:pPr>
                  <w:r>
                    <w:t xml:space="preserve">not measured</w:t>
                  </w:r>
                  <w:r>
                    <w:rPr>
                      <w:vertAlign w:val="superscript"/>
                    </w:rPr>
                    <w:t xml:space="preserve">f)</w:t>
                  </w:r>
                </w:p>
              </w:tc>
            </w:tr>
            <w:tr>
              <w:tc>
                <w:tcPr>
                  <w:gridSpan w:val="1"/>
                  <w:vMerge w:val="continue"/>
                </w:tcPr>
                <w:p>
                  <w:pPr/>
                </w:p>
              </w:tc>
              <w:tc>
                <w:tcPr/>
                <w:p>
                  <w:pPr>
                    <w:pStyle w:val="Compact"/>
                    <w:jc w:val="center"/>
                  </w:pPr>
                  <w:r>
                    <w:t xml:space="preserve">Fragments, LMW</w:t>
                  </w:r>
                </w:p>
              </w:tc>
              <w:tc>
                <w:tcPr/>
                <w:p>
                  <w:pPr>
                    <w:pStyle w:val="Compact"/>
                    <w:jc w:val="center"/>
                  </w:pPr>
                  <w:r>
                    <w:t xml:space="preserve">nrCE-SDS</w:t>
                  </w:r>
                  <w:r>
                    <w:rPr>
                      <w:vertAlign w:val="superscript"/>
                    </w:rPr>
                    <w:t xml:space="preserve">g)</w:t>
                  </w:r>
                </w:p>
              </w:tc>
              <w:tc>
                <w:tcPr/>
                <w:p>
                  <w:pPr>
                    <w:pStyle w:val="Compact"/>
                    <w:jc w:val="center"/>
                  </w:pPr>
                  <w:r>
                    <w:t xml:space="preserve">nrCE-SDS</w:t>
                  </w:r>
                  <w:r>
                    <w:rPr>
                      <w:vertAlign w:val="superscript"/>
                    </w:rPr>
                    <w:t xml:space="preserve">g)</w:t>
                  </w:r>
                </w:p>
              </w:tc>
            </w:tr>
            <w:tr>
              <w:tc>
                <w:tcPr>
                  <w:vMerge w:val="restart"/>
                </w:tcPr>
                <w:p>
                  <w:pPr>
                    <w:pStyle w:val="Compact"/>
                    <w:jc w:val="center"/>
                  </w:pPr>
                  <w:r>
                    <w:t xml:space="preserve">Virus filtration</w:t>
                  </w:r>
                </w:p>
              </w:tc>
              <w:tc>
                <w:tcPr/>
                <w:p>
                  <w:pPr>
                    <w:pStyle w:val="Compact"/>
                    <w:jc w:val="center"/>
                  </w:pPr>
                  <w:r>
                    <w:t xml:space="preserve">Aggregates, HMW</w:t>
                  </w:r>
                </w:p>
              </w:tc>
              <w:tc>
                <w:tcPr>
                  <w:gridSpan w:val="2"/>
                </w:tcPr>
                <w:p>
                  <w:pPr>
                    <w:pStyle w:val="Compact"/>
                    <w:jc w:val="center"/>
                  </w:pPr>
                  <w:r>
                    <w:t xml:space="preserve">not measured</w:t>
                  </w:r>
                  <w:r>
                    <w:rPr>
                      <w:vertAlign w:val="superscript"/>
                    </w:rPr>
                    <w:t xml:space="preserve">f)</w:t>
                  </w:r>
                </w:p>
              </w:tc>
            </w:tr>
            <w:tr>
              <w:tc>
                <w:tcPr>
                  <w:gridSpan w:val="1"/>
                  <w:vMerge w:val="continue"/>
                </w:tcPr>
                <w:p>
                  <w:pPr/>
                </w:p>
              </w:tc>
              <w:tc>
                <w:tcPr/>
                <w:p>
                  <w:pPr>
                    <w:pStyle w:val="Compact"/>
                    <w:jc w:val="center"/>
                  </w:pPr>
                  <w:r>
                    <w:t xml:space="preserve">Fragments, LMW</w:t>
                  </w:r>
                </w:p>
              </w:tc>
              <w:tc>
                <w:tcPr/>
                <w:p>
                  <w:pPr>
                    <w:pStyle w:val="Compact"/>
                    <w:jc w:val="center"/>
                  </w:pPr>
                  <w:r>
                    <w:t xml:space="preserve">nrCE-SDS</w:t>
                  </w:r>
                </w:p>
              </w:tc>
              <w:tc>
                <w:tcPr/>
                <w:p>
                  <w:pPr>
                    <w:pStyle w:val="Compact"/>
                    <w:jc w:val="center"/>
                  </w:pPr>
                  <w:r>
                    <w:t xml:space="preserve">nrCE-SDS</w:t>
                  </w:r>
                </w:p>
              </w:tc>
            </w:tr>
            <w:tr>
              <w:tc>
                <w:tcPr>
                  <w:vMerge w:val="restart"/>
                </w:tcPr>
                <w:p>
                  <w:pPr>
                    <w:pStyle w:val="Compact"/>
                    <w:jc w:val="center"/>
                  </w:pPr>
                  <w:r>
                    <w:t xml:space="preserve">UF/DF</w:t>
                  </w:r>
                </w:p>
              </w:tc>
              <w:tc>
                <w:tcPr/>
                <w:p>
                  <w:pPr>
                    <w:pStyle w:val="Compact"/>
                    <w:jc w:val="center"/>
                  </w:pPr>
                  <w:r>
                    <w:t xml:space="preserve">Aggregates, HMW</w:t>
                  </w:r>
                </w:p>
              </w:tc>
              <w:tc>
                <w:tcPr>
                  <w:gridSpan w:val="2"/>
                </w:tcPr>
                <w:p>
                  <w:pPr>
                    <w:pStyle w:val="Compact"/>
                    <w:jc w:val="center"/>
                  </w:pPr>
                  <w:r>
                    <w:t xml:space="preserve">no DoE</w:t>
                  </w:r>
                  <w:r>
                    <w:rPr>
                      <w:vertAlign w:val="superscript"/>
                    </w:rPr>
                    <w:t xml:space="preserve">b)</w:t>
                  </w:r>
                </w:p>
              </w:tc>
            </w:tr>
            <w:tr>
              <w:tc>
                <w:tcPr>
                  <w:gridSpan w:val="1"/>
                  <w:vMerge w:val="continue"/>
                </w:tcPr>
                <w:p>
                  <w:pPr/>
                </w:p>
              </w:tc>
              <w:tc>
                <w:tcPr/>
                <w:p>
                  <w:pPr>
                    <w:pStyle w:val="Compact"/>
                    <w:jc w:val="center"/>
                  </w:pPr>
                  <w:r>
                    <w:t xml:space="preserve">Fragments, LMW</w:t>
                  </w:r>
                </w:p>
              </w:tc>
              <w:tc>
                <w:tcPr>
                  <w:gridSpan w:val="2"/>
                </w:tcPr>
                <w:p>
                  <w:pPr>
                    <w:pStyle w:val="Compact"/>
                    <w:jc w:val="center"/>
                  </w:pPr>
                  <w:r>
                    <w:t xml:space="preserve">no DoE</w:t>
                  </w:r>
                  <w:r>
                    <w:rPr>
                      <w:vertAlign w:val="superscript"/>
                    </w:rPr>
                    <w:t xml:space="preserve">b)</w:t>
                  </w:r>
                </w:p>
              </w:tc>
            </w:tr>
            <w:tr>
              <w:tc>
                <w:tcPr>
                  <w:gridSpan w:val="4"/>
                </w:tcPr>
                <w:p>
                  <w:pPr>
                    <w:pStyle w:val="Compact"/>
                    <w:jc w:val="center"/>
                  </w:pPr>
                  <w:r>
                    <w:rPr>
                      <w:vertAlign w:val="superscript"/>
                    </w:rPr>
                    <w:t xml:space="preserve">a)</w:t>
                  </w:r>
                  <w:r>
                    <w:t xml:space="preserve"> </w:t>
                  </w:r>
                  <w:r>
                    <w:t xml:space="preserve">Fragments were not an attribute of this study.</w:t>
                  </w:r>
                </w:p>
              </w:tc>
            </w:tr>
            <w:tr>
              <w:tc>
                <w:tcPr>
                  <w:gridSpan w:val="4"/>
                </w:tcPr>
                <w:p>
                  <w:pPr>
                    <w:pStyle w:val="Compact"/>
                    <w:jc w:val="center"/>
                  </w:pPr>
                  <w:r>
                    <w:rPr>
                      <w:vertAlign w:val="superscript"/>
                    </w:rPr>
                    <w:t xml:space="preserve">b)</w:t>
                  </w:r>
                  <w:r>
                    <w:t xml:space="preserve"> </w:t>
                  </w:r>
                  <w:r>
                    <w:t xml:space="preserve">Univariate characterization only.</w:t>
                  </w:r>
                </w:p>
              </w:tc>
            </w:tr>
            <w:tr>
              <w:tc>
                <w:tcPr>
                  <w:gridSpan w:val="4"/>
                </w:tcPr>
                <w:p>
                  <w:pPr>
                    <w:pStyle w:val="Compact"/>
                    <w:jc w:val="center"/>
                  </w:pPr>
                  <w:r>
                    <w:rPr>
                      <w:vertAlign w:val="superscript"/>
                    </w:rPr>
                    <w:t xml:space="preserve">c)</w:t>
                  </w:r>
                  <w:r>
                    <w:t xml:space="preserve"> </w:t>
                  </w:r>
                  <w:r>
                    <w:t xml:space="preserve">In this matrix part of the host cell protein elutes in the SEC low molecular weight window. Reported for information only (AMD-001).</w:t>
                  </w:r>
                </w:p>
              </w:tc>
            </w:tr>
            <w:tr>
              <w:tc>
                <w:tcPr>
                  <w:gridSpan w:val="4"/>
                </w:tcPr>
                <w:p>
                  <w:pPr>
                    <w:pStyle w:val="Compact"/>
                    <w:jc w:val="center"/>
                  </w:pPr>
                  <w:r>
                    <w:rPr>
                      <w:vertAlign w:val="superscript"/>
                    </w:rPr>
                    <w:t xml:space="preserve">d)</w:t>
                  </w:r>
                  <w:r>
                    <w:t xml:space="preserve"> </w:t>
                  </w:r>
                  <w:r>
                    <w:t xml:space="preserve">Retained response-surface samples, tested 2026-04-06 to 2026-04-17.</w:t>
                  </w:r>
                </w:p>
              </w:tc>
            </w:tr>
            <w:tr>
              <w:tc>
                <w:tcPr>
                  <w:gridSpan w:val="4"/>
                </w:tcPr>
                <w:p>
                  <w:pPr>
                    <w:pStyle w:val="Compact"/>
                    <w:jc w:val="center"/>
                  </w:pPr>
                  <w:r>
                    <w:rPr>
                      <w:vertAlign w:val="superscript"/>
                    </w:rPr>
                    <w:t xml:space="preserve">e)</w:t>
                  </w:r>
                  <w:r>
                    <w:t xml:space="preserve"> </w:t>
                  </w:r>
                  <w:r>
                    <w:t xml:space="preserve">Both methods on the same samples of this design.</w:t>
                  </w:r>
                </w:p>
              </w:tc>
            </w:tr>
            <w:tr>
              <w:tc>
                <w:tcPr>
                  <w:gridSpan w:val="4"/>
                </w:tcPr>
                <w:p>
                  <w:pPr>
                    <w:pStyle w:val="Compact"/>
                    <w:jc w:val="center"/>
                  </w:pPr>
                  <w:r>
                    <w:rPr>
                      <w:vertAlign w:val="superscript"/>
                    </w:rPr>
                    <w:t xml:space="preserve">f)</w:t>
                  </w:r>
                  <w:r>
                    <w:t xml:space="preserve"> </w:t>
                  </w:r>
                  <w:r>
                    <w:t xml:space="preserve">Aggregate was not measured in the designs at this step.</w:t>
                  </w:r>
                </w:p>
              </w:tc>
            </w:tr>
            <w:tr>
              <w:tc>
                <w:tcPr>
                  <w:gridSpan w:val="4"/>
                </w:tcPr>
                <w:p>
                  <w:pPr>
                    <w:pStyle w:val="Compact"/>
                    <w:jc w:val="center"/>
                  </w:pPr>
                  <w:r>
                    <w:rPr>
                      <w:vertAlign w:val="superscript"/>
                    </w:rPr>
                    <w:t xml:space="preserve">g)</w:t>
                  </w:r>
                  <w:r>
                    <w:t xml:space="preserve"> </w:t>
                  </w:r>
                  <w:r>
                    <w:t xml:space="preserve">Re-executed design (DEV-008-01). The invalidated first execution measured fragments by SEC.</w:t>
                  </w:r>
                </w:p>
              </w:tc>
            </w:tr>
          </w:tbl>
          <w:bookmarkEnd w:id="52"/>
          <w:p/>
        </w:tc>
      </w:tr>
    </w:tbl>
    <w:bookmarkEnd w:id="53"/>
    <w:bookmarkStart w:id="54" w:name="sec-acc-capability"/>
    <w:p>
      <w:pPr>
        <w:pStyle w:val="Heading2"/>
      </w:pPr>
      <w:r>
        <w:t xml:space="preserve">7.9 Capability and the probability of an out-of-specification drug substance</w:t>
      </w:r>
    </w:p>
    <w:p>
      <w:pPr>
        <w:pStyle w:val="FirstParagraph"/>
      </w:pPr>
      <w:r>
        <w:t xml:space="preserve">Capability is estimated as in</w:t>
      </w:r>
      <w:r>
        <w:t xml:space="preserve"> </w:t>
      </w:r>
      <w:hyperlink w:anchor="sec-capability">
        <w:r>
          <w:rPr>
            <w:rStyle w:val="Hyperlink"/>
          </w:rPr>
          <w:t xml:space="preserve">Section 6.5</w:t>
        </w:r>
      </w:hyperlink>
      <w:r>
        <w:t xml:space="preserve"> </w:t>
      </w:r>
      <w:r>
        <w:t xml:space="preserve">and judged for each CQA in PCMR-001 against two values.</w:t>
      </w:r>
    </w:p>
    <w:p>
      <w:pPr>
        <w:pStyle w:val="Compact"/>
        <w:numPr>
          <w:ilvl w:val="0"/>
          <w:numId w:val="1008"/>
        </w:numPr>
      </w:pPr>
      <w:r>
        <w:t xml:space="preserve">A Cpk of at least 1.33 is expected of a CQA in routine manufacture. At that value the nearest limit lies 3.99 standard deviations from the process mean, and a normal process would put about 33 batches per million beyond that limit.</w:t>
      </w:r>
    </w:p>
    <w:p>
      <w:pPr>
        <w:pStyle w:val="Compact"/>
        <w:numPr>
          <w:ilvl w:val="0"/>
          <w:numId w:val="1008"/>
        </w:numPr>
      </w:pPr>
      <w:r>
        <w:t xml:space="preserve">A CQA with a Cpk below 1 needs an action in the control strategy. At that value the process spread, at three standard deviations on the limiting side, just reaches the criterion. The action may be a tighter NOR, an added in-process control or added testing. PCMR-001 should name the action.</w:t>
      </w:r>
    </w:p>
    <w:p>
      <w:pPr>
        <w:pStyle w:val="FirstParagraph"/>
      </w:pPr>
      <w:r>
        <w:t xml:space="preserve">A Cpk between the two values is acceptable. PCMR-001 should then state the side of the criterion that limits it and the parameters that drive it. For the probability of an out-of-specification drug substance, PCMR-001 should report the count of simulated batches outside each criterion and the tail probability, and should discuss every attribute with a simulated batch outside its criterion.</w:t>
      </w:r>
    </w:p>
    <w:bookmarkEnd w:id="54"/>
    <w:bookmarkEnd w:id="55"/>
    <w:bookmarkStart w:id="57" w:name="sec-register"/>
    <w:p>
      <w:pPr>
        <w:pStyle w:val="Heading1"/>
      </w:pPr>
      <w:r>
        <w:t xml:space="preserve">8. Register of characterization plans</w:t>
      </w:r>
    </w:p>
    <w:p>
      <w:pPr>
        <w:pStyle w:val="FirstParagraph"/>
      </w:pPr>
      <w:hyperlink w:anchor="tbl-plans">
        <w:r>
          <w:rPr>
            <w:rStyle w:val="Hyperlink"/>
          </w:rPr>
          <w:t xml:space="preserve">Table 12</w:t>
        </w:r>
      </w:hyperlink>
      <w:r>
        <w:t xml:space="preserve"> </w:t>
      </w:r>
      <w:r>
        <w:t xml:space="preserve">lists the step plans that apply this master plan, with the study type each one carries and its paired report.</w:t>
      </w:r>
    </w:p>
    <w:tbl>
      <w:tblPr>
        <w:tblStyle w:val="Table"/>
        <w:tblW w:type="pct" w:w="5000"/>
        <w:tblLayout w:type="fixed"/>
        <w:tblLook w:firstRow="0" w:lastRow="0" w:firstColumn="0" w:lastColumn="0" w:noHBand="0" w:noVBand="0" w:val="0000"/>
      </w:tblPr>
      <w:tblGrid>
        <w:gridCol w:w="7920"/>
      </w:tblGrid>
      <w:tr>
        <w:tc>
          <w:tcPr/>
          <w:bookmarkStart w:id="56" w:name="tbl-plans"/>
          <w:p>
            <w:pPr>
              <w:jc w:val="center"/>
            </w:pPr>
            <w:pPr>
              <w:jc w:val="start"/>
              <w:spacing w:before="200"/>
              <w:pStyle w:val="ImageCaption"/>
            </w:pPr>
            <w:r>
              <w:t xml:space="preserve">Table 12: Process Characterization Plans under PCMP-001.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Plan</w:t>
                  </w:r>
                </w:p>
              </w:tc>
              <w:tc>
                <w:tcPr/>
                <w:p>
                  <w:pPr>
                    <w:pStyle w:val="Compact"/>
                    <w:jc w:val="center"/>
                  </w:pPr>
                  <w:r>
                    <w:t xml:space="preserve">Subject</w:t>
                  </w:r>
                </w:p>
              </w:tc>
              <w:tc>
                <w:tcPr/>
                <w:p>
                  <w:pPr>
                    <w:pStyle w:val="Compact"/>
                    <w:jc w:val="center"/>
                  </w:pPr>
                  <w:r>
                    <w:t xml:space="preserve">Study type</w:t>
                  </w:r>
                </w:p>
              </w:tc>
              <w:tc>
                <w:tcPr/>
                <w:p>
                  <w:pPr>
                    <w:pStyle w:val="Compact"/>
                    <w:jc w:val="center"/>
                  </w:pPr>
                  <w:r>
                    <w:t xml:space="preserve">Paired report</w:t>
                  </w:r>
                </w:p>
              </w:tc>
            </w:tr>
            <w:tr>
              <w:tc>
                <w:tcPr/>
                <w:p>
                  <w:pPr>
                    <w:pStyle w:val="Compact"/>
                    <w:jc w:val="center"/>
                  </w:pPr>
                  <w:r>
                    <w:t xml:space="preserve">PCP-003</w:t>
                  </w:r>
                </w:p>
              </w:tc>
              <w:tc>
                <w:tcPr/>
                <w:p>
                  <w:pPr>
                    <w:pStyle w:val="Compact"/>
                    <w:jc w:val="center"/>
                  </w:pPr>
                  <w:r>
                    <w:t xml:space="preserve">Production Bioreactor (Step 3)</w:t>
                  </w:r>
                </w:p>
              </w:tc>
              <w:tc>
                <w:tcPr/>
                <w:p>
                  <w:pPr>
                    <w:pStyle w:val="Compact"/>
                    <w:jc w:val="center"/>
                  </w:pPr>
                  <w:r>
                    <w:t xml:space="preserve">screening and response surface</w:t>
                  </w:r>
                </w:p>
              </w:tc>
              <w:tc>
                <w:tcPr/>
                <w:p>
                  <w:pPr>
                    <w:pStyle w:val="Compact"/>
                    <w:jc w:val="center"/>
                  </w:pPr>
                  <w:r>
                    <w:t xml:space="preserve">PCR-003</w:t>
                  </w:r>
                </w:p>
              </w:tc>
            </w:tr>
            <w:tr>
              <w:tc>
                <w:tcPr/>
                <w:p>
                  <w:pPr>
                    <w:pStyle w:val="Compact"/>
                    <w:jc w:val="center"/>
                  </w:pPr>
                  <w:r>
                    <w:t xml:space="preserve">PCP-004</w:t>
                  </w:r>
                </w:p>
              </w:tc>
              <w:tc>
                <w:tcPr/>
                <w:p>
                  <w:pPr>
                    <w:pStyle w:val="Compact"/>
                    <w:jc w:val="center"/>
                  </w:pPr>
                  <w:r>
                    <w:t xml:space="preserve">Harvest and Clarification (Step 4)</w:t>
                  </w:r>
                </w:p>
              </w:tc>
              <w:tc>
                <w:tcPr/>
                <w:p>
                  <w:pPr>
                    <w:pStyle w:val="Compact"/>
                    <w:jc w:val="center"/>
                  </w:pPr>
                  <w:r>
                    <w:t xml:space="preserve">univariate and qualitative</w:t>
                  </w:r>
                </w:p>
              </w:tc>
              <w:tc>
                <w:tcPr/>
                <w:p>
                  <w:pPr>
                    <w:pStyle w:val="Compact"/>
                    <w:jc w:val="center"/>
                  </w:pPr>
                  <w:r>
                    <w:t xml:space="preserve">PCR-004</w:t>
                  </w:r>
                </w:p>
              </w:tc>
            </w:tr>
            <w:tr>
              <w:tc>
                <w:tcPr/>
                <w:p>
                  <w:pPr>
                    <w:pStyle w:val="Compact"/>
                    <w:jc w:val="center"/>
                  </w:pPr>
                  <w:r>
                    <w:t xml:space="preserve">PCP-005</w:t>
                  </w:r>
                </w:p>
              </w:tc>
              <w:tc>
                <w:tcPr/>
                <w:p>
                  <w:pPr>
                    <w:pStyle w:val="Compact"/>
                    <w:jc w:val="center"/>
                  </w:pPr>
                  <w:r>
                    <w:t xml:space="preserve">Protein A Chromatography (Step 5)</w:t>
                  </w:r>
                </w:p>
              </w:tc>
              <w:tc>
                <w:tcPr/>
                <w:p>
                  <w:pPr>
                    <w:pStyle w:val="Compact"/>
                    <w:jc w:val="center"/>
                  </w:pPr>
                  <w:r>
                    <w:t xml:space="preserve">screening and response surface</w:t>
                  </w:r>
                </w:p>
              </w:tc>
              <w:tc>
                <w:tcPr/>
                <w:p>
                  <w:pPr>
                    <w:pStyle w:val="Compact"/>
                    <w:jc w:val="center"/>
                  </w:pPr>
                  <w:r>
                    <w:t xml:space="preserve">PCR-005</w:t>
                  </w:r>
                </w:p>
              </w:tc>
            </w:tr>
            <w:tr>
              <w:tc>
                <w:tcPr/>
                <w:p>
                  <w:pPr>
                    <w:pStyle w:val="Compact"/>
                    <w:jc w:val="center"/>
                  </w:pPr>
                  <w:r>
                    <w:t xml:space="preserve">PCP-006</w:t>
                  </w:r>
                </w:p>
              </w:tc>
              <w:tc>
                <w:tcPr/>
                <w:p>
                  <w:pPr>
                    <w:pStyle w:val="Compact"/>
                    <w:jc w:val="center"/>
                  </w:pPr>
                  <w:r>
                    <w:t xml:space="preserve">Low-pH Viral Inactivation (Step 6)</w:t>
                  </w:r>
                </w:p>
              </w:tc>
              <w:tc>
                <w:tcPr/>
                <w:p>
                  <w:pPr>
                    <w:pStyle w:val="Compact"/>
                    <w:jc w:val="center"/>
                  </w:pPr>
                  <w:r>
                    <w:t xml:space="preserve">screening and response surface</w:t>
                  </w:r>
                </w:p>
              </w:tc>
              <w:tc>
                <w:tcPr/>
                <w:p>
                  <w:pPr>
                    <w:pStyle w:val="Compact"/>
                    <w:jc w:val="center"/>
                  </w:pPr>
                  <w:r>
                    <w:t xml:space="preserve">PCR-006</w:t>
                  </w:r>
                </w:p>
              </w:tc>
            </w:tr>
            <w:tr>
              <w:tc>
                <w:tcPr/>
                <w:p>
                  <w:pPr>
                    <w:pStyle w:val="Compact"/>
                    <w:jc w:val="center"/>
                  </w:pPr>
                  <w:r>
                    <w:t xml:space="preserve">PCP-007</w:t>
                  </w:r>
                </w:p>
              </w:tc>
              <w:tc>
                <w:tcPr/>
                <w:p>
                  <w:pPr>
                    <w:pStyle w:val="Compact"/>
                    <w:jc w:val="center"/>
                  </w:pPr>
                  <w:r>
                    <w:t xml:space="preserve">Cation Exchange Chromatography (Step 7)</w:t>
                  </w:r>
                </w:p>
              </w:tc>
              <w:tc>
                <w:tcPr/>
                <w:p>
                  <w:pPr>
                    <w:pStyle w:val="Compact"/>
                    <w:jc w:val="center"/>
                  </w:pPr>
                  <w:r>
                    <w:t xml:space="preserve">screening and response surface</w:t>
                  </w:r>
                </w:p>
              </w:tc>
              <w:tc>
                <w:tcPr/>
                <w:p>
                  <w:pPr>
                    <w:pStyle w:val="Compact"/>
                    <w:jc w:val="center"/>
                  </w:pPr>
                  <w:r>
                    <w:t xml:space="preserve">PCR-007</w:t>
                  </w:r>
                </w:p>
              </w:tc>
            </w:tr>
            <w:tr>
              <w:tc>
                <w:tcPr/>
                <w:p>
                  <w:pPr>
                    <w:pStyle w:val="Compact"/>
                    <w:jc w:val="center"/>
                  </w:pPr>
                  <w:r>
                    <w:t xml:space="preserve">PCP-008</w:t>
                  </w:r>
                </w:p>
              </w:tc>
              <w:tc>
                <w:tcPr/>
                <w:p>
                  <w:pPr>
                    <w:pStyle w:val="Compact"/>
                    <w:jc w:val="center"/>
                  </w:pPr>
                  <w:r>
                    <w:t xml:space="preserve">Anion Exchange Chromatography (Step 8)</w:t>
                  </w:r>
                </w:p>
              </w:tc>
              <w:tc>
                <w:tcPr/>
                <w:p>
                  <w:pPr>
                    <w:pStyle w:val="Compact"/>
                    <w:jc w:val="center"/>
                  </w:pPr>
                  <w:r>
                    <w:t xml:space="preserve">screening and response surface</w:t>
                  </w:r>
                </w:p>
              </w:tc>
              <w:tc>
                <w:tcPr/>
                <w:p>
                  <w:pPr>
                    <w:pStyle w:val="Compact"/>
                    <w:jc w:val="center"/>
                  </w:pPr>
                  <w:r>
                    <w:t xml:space="preserve">PCR-008</w:t>
                  </w:r>
                </w:p>
              </w:tc>
            </w:tr>
            <w:tr>
              <w:tc>
                <w:tcPr/>
                <w:p>
                  <w:pPr>
                    <w:pStyle w:val="Compact"/>
                    <w:jc w:val="center"/>
                  </w:pPr>
                  <w:r>
                    <w:t xml:space="preserve">PCP-009</w:t>
                  </w:r>
                </w:p>
              </w:tc>
              <w:tc>
                <w:tcPr/>
                <w:p>
                  <w:pPr>
                    <w:pStyle w:val="Compact"/>
                    <w:jc w:val="center"/>
                  </w:pPr>
                  <w:r>
                    <w:t xml:space="preserve">Small-Virus Retentive Filtration (Step 9)</w:t>
                  </w:r>
                </w:p>
              </w:tc>
              <w:tc>
                <w:tcPr/>
                <w:p>
                  <w:pPr>
                    <w:pStyle w:val="Compact"/>
                    <w:jc w:val="center"/>
                  </w:pPr>
                  <w:r>
                    <w:t xml:space="preserve">screening and response surface</w:t>
                  </w:r>
                </w:p>
              </w:tc>
              <w:tc>
                <w:tcPr/>
                <w:p>
                  <w:pPr>
                    <w:pStyle w:val="Compact"/>
                    <w:jc w:val="center"/>
                  </w:pPr>
                  <w:r>
                    <w:t xml:space="preserve">PCR-009</w:t>
                  </w:r>
                </w:p>
              </w:tc>
            </w:tr>
            <w:tr>
              <w:tc>
                <w:tcPr/>
                <w:p>
                  <w:pPr>
                    <w:pStyle w:val="Compact"/>
                    <w:jc w:val="center"/>
                  </w:pPr>
                  <w:r>
                    <w:t xml:space="preserve">PCP-010</w:t>
                  </w:r>
                </w:p>
              </w:tc>
              <w:tc>
                <w:tcPr/>
                <w:p>
                  <w:pPr>
                    <w:pStyle w:val="Compact"/>
                    <w:jc w:val="center"/>
                  </w:pPr>
                  <w:r>
                    <w:t xml:space="preserve">Ultrafiltration / Diafiltration (Step 10)</w:t>
                  </w:r>
                </w:p>
              </w:tc>
              <w:tc>
                <w:tcPr/>
                <w:p>
                  <w:pPr>
                    <w:pStyle w:val="Compact"/>
                    <w:jc w:val="center"/>
                  </w:pPr>
                  <w:r>
                    <w:t xml:space="preserve">univariate and qualitative</w:t>
                  </w:r>
                </w:p>
              </w:tc>
              <w:tc>
                <w:tcPr/>
                <w:p>
                  <w:pPr>
                    <w:pStyle w:val="Compact"/>
                    <w:jc w:val="center"/>
                  </w:pPr>
                  <w:r>
                    <w:t xml:space="preserve">PCR-010</w:t>
                  </w:r>
                </w:p>
              </w:tc>
            </w:tr>
          </w:tbl>
          <w:bookmarkEnd w:id="56"/>
          <w:p/>
        </w:tc>
      </w:tr>
    </w:tbl>
    <w:p>
      <w:pPr>
        <w:pStyle w:val="BodyText"/>
      </w:pPr>
      <w:r>
        <w:t xml:space="preserve">Each step plan has the same sections, for the purpose and scope, the objectives, the prior knowledge and risk basis, the materials and methods, the study design, the acceptance and decision criteria, data management, roles, deliverables, and the risks and assumptions of the study. The criteria section of each plan states the criteria of</w:t>
      </w:r>
      <w:r>
        <w:t xml:space="preserve"> </w:t>
      </w:r>
      <w:hyperlink w:anchor="sec-acceptance">
        <w:r>
          <w:rPr>
            <w:rStyle w:val="Hyperlink"/>
          </w:rPr>
          <w:t xml:space="preserve">Section 7</w:t>
        </w:r>
      </w:hyperlink>
      <w:r>
        <w:t xml:space="preserve"> </w:t>
      </w:r>
      <w:r>
        <w:t xml:space="preserve">for its own outputs and adds the values that this plan leaves to the step.</w:t>
      </w:r>
    </w:p>
    <w:bookmarkEnd w:id="57"/>
    <w:bookmarkStart w:id="59" w:name="sec-schedule"/>
    <w:p>
      <w:pPr>
        <w:pStyle w:val="Heading1"/>
      </w:pPr>
      <w:r>
        <w:t xml:space="preserve">9. Deliverables and schedule</w:t>
      </w:r>
    </w:p>
    <w:p>
      <w:pPr>
        <w:pStyle w:val="FirstParagraph"/>
      </w:pPr>
      <w:r>
        <w:t xml:space="preserve">The campaign delivers the following documents.</w:t>
      </w:r>
    </w:p>
    <w:p>
      <w:pPr>
        <w:pStyle w:val="Compact"/>
        <w:numPr>
          <w:ilvl w:val="0"/>
          <w:numId w:val="1009"/>
        </w:numPr>
      </w:pPr>
      <w:r>
        <w:t xml:space="preserve">One PCP-00N and one PCR-00N for each of the 8 steps, each report paired with its plan.</w:t>
      </w:r>
    </w:p>
    <w:p>
      <w:pPr>
        <w:pStyle w:val="Compact"/>
        <w:numPr>
          <w:ilvl w:val="0"/>
          <w:numId w:val="1009"/>
        </w:numPr>
      </w:pPr>
      <w:r>
        <w:t xml:space="preserve">PCMR-001, which consolidates the reports into the design spaces, the PARs, the parameter classes, the capability of the drug substance and the control strategy.</w:t>
      </w:r>
    </w:p>
    <w:p>
      <w:pPr>
        <w:pStyle w:val="Compact"/>
        <w:numPr>
          <w:ilvl w:val="0"/>
          <w:numId w:val="1009"/>
        </w:numPr>
      </w:pPr>
      <w:r>
        <w:t xml:space="preserve">A ground-truth annex for each controlled document, built from the same data as the document.</w:t>
      </w:r>
    </w:p>
    <w:p>
      <w:pPr>
        <w:pStyle w:val="FirstParagraph"/>
      </w:pPr>
      <w:r>
        <w:t xml:space="preserve">In Version 1.0 each step plan was approved before the first characterization run of its step, and each report after the data of all its studies were complete. PCMR-001 is written last.</w:t>
      </w:r>
    </w:p>
    <w:p>
      <w:pPr>
        <w:pStyle w:val="BodyText"/>
      </w:pPr>
      <w:hyperlink w:anchor="tbl-chronology">
        <w:r>
          <w:rPr>
            <w:rStyle w:val="Hyperlink"/>
          </w:rPr>
          <w:t xml:space="preserve">Table 13</w:t>
        </w:r>
      </w:hyperlink>
      <w:r>
        <w:t xml:space="preserve"> </w:t>
      </w:r>
      <w:r>
        <w:t xml:space="preserve">records the execution window of every study, in order of start. The campaign ran from 2025-08-27 to 2026-09-24 across 36 studies. Some steps were studied in parallel, because their scale-down models are independent of each other. The first execution of the anion exchange design (S-AEX-SUP) was invalidated under deviation DEV-008-01, because its load material had been deamidated during an extended hold after neutralization and did not represent the process. The design was re-executed as S-AEX-SCR and S-AEX-RSM.</w:t>
      </w:r>
    </w:p>
    <w:tbl>
      <w:tblPr>
        <w:tblStyle w:val="Table"/>
        <w:tblW w:type="pct" w:w="5000"/>
        <w:tblLayout w:type="fixed"/>
        <w:tblLook w:firstRow="0" w:lastRow="0" w:firstColumn="0" w:lastColumn="0" w:noHBand="0" w:noVBand="0" w:val="0000"/>
      </w:tblPr>
      <w:tblGrid>
        <w:gridCol w:w="7920"/>
      </w:tblGrid>
      <w:tr>
        <w:tc>
          <w:tcPr/>
          <w:bookmarkStart w:id="58" w:name="tbl-chronology"/>
          <w:p>
            <w:pPr>
              <w:jc w:val="center"/>
            </w:pPr>
            <w:pPr>
              <w:jc w:val="start"/>
              <w:spacing w:before="200"/>
              <w:pStyle w:val="ImageCaption"/>
            </w:pPr>
            <w:r>
              <w:t xml:space="preserve">Table 13: Execution window of every characterization study.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Study</w:t>
                  </w:r>
                </w:p>
              </w:tc>
              <w:tc>
                <w:tcPr/>
                <w:p>
                  <w:pPr>
                    <w:pStyle w:val="Compact"/>
                    <w:jc w:val="center"/>
                  </w:pPr>
                  <w:r>
                    <w:t xml:space="preserve">Step</w:t>
                  </w:r>
                </w:p>
              </w:tc>
              <w:tc>
                <w:tcPr/>
                <w:p>
                  <w:pPr>
                    <w:pStyle w:val="Compact"/>
                    <w:jc w:val="center"/>
                  </w:pPr>
                  <w:r>
                    <w:t xml:space="preserve">Study type</w:t>
                  </w:r>
                </w:p>
              </w:tc>
              <w:tc>
                <w:tcPr/>
                <w:p>
                  <w:pPr>
                    <w:pStyle w:val="Compact"/>
                    <w:jc w:val="center"/>
                  </w:pPr>
                  <w:r>
                    <w:t xml:space="preserve">Start</w:t>
                  </w:r>
                </w:p>
              </w:tc>
              <w:tc>
                <w:tcPr/>
                <w:p>
                  <w:pPr>
                    <w:pStyle w:val="Compact"/>
                    <w:jc w:val="center"/>
                  </w:pPr>
                  <w:r>
                    <w:t xml:space="preserve">End</w:t>
                  </w:r>
                </w:p>
              </w:tc>
            </w:tr>
            <w:tr>
              <w:tc>
                <w:tcPr/>
                <w:p>
                  <w:pPr>
                    <w:pStyle w:val="Compact"/>
                    <w:jc w:val="center"/>
                  </w:pPr>
                  <w:r>
                    <w:t xml:space="preserve">S-BRX-SDM</w:t>
                  </w:r>
                </w:p>
              </w:tc>
              <w:tc>
                <w:tcPr/>
                <w:p>
                  <w:pPr>
                    <w:pStyle w:val="Compact"/>
                    <w:jc w:val="center"/>
                  </w:pPr>
                  <w:r>
                    <w:t xml:space="preserve">Production Bioreactor</w:t>
                  </w:r>
                </w:p>
              </w:tc>
              <w:tc>
                <w:tcPr/>
                <w:p>
                  <w:pPr>
                    <w:pStyle w:val="Compact"/>
                    <w:jc w:val="center"/>
                  </w:pPr>
                  <w:r>
                    <w:t xml:space="preserve">scale-down model qualification</w:t>
                  </w:r>
                </w:p>
              </w:tc>
              <w:tc>
                <w:tcPr/>
                <w:p>
                  <w:pPr>
                    <w:pStyle w:val="Compact"/>
                    <w:jc w:val="center"/>
                  </w:pPr>
                  <w:r>
                    <w:t xml:space="preserve">2025-08-27</w:t>
                  </w:r>
                </w:p>
              </w:tc>
              <w:tc>
                <w:tcPr/>
                <w:p>
                  <w:pPr>
                    <w:pStyle w:val="Compact"/>
                    <w:jc w:val="center"/>
                  </w:pPr>
                  <w:r>
                    <w:t xml:space="preserve">2025-09-05</w:t>
                  </w:r>
                </w:p>
              </w:tc>
            </w:tr>
            <w:tr>
              <w:tc>
                <w:tcPr/>
                <w:p>
                  <w:pPr>
                    <w:pStyle w:val="Compact"/>
                    <w:jc w:val="center"/>
                  </w:pPr>
                  <w:r>
                    <w:t xml:space="preserve">S-BRX-SCR</w:t>
                  </w:r>
                </w:p>
              </w:tc>
              <w:tc>
                <w:tcPr/>
                <w:p>
                  <w:pPr>
                    <w:pStyle w:val="Compact"/>
                    <w:jc w:val="center"/>
                  </w:pPr>
                  <w:r>
                    <w:t xml:space="preserve">Production Bioreactor</w:t>
                  </w:r>
                </w:p>
              </w:tc>
              <w:tc>
                <w:tcPr/>
                <w:p>
                  <w:pPr>
                    <w:pStyle w:val="Compact"/>
                    <w:jc w:val="center"/>
                  </w:pPr>
                  <w:r>
                    <w:t xml:space="preserve">screening design</w:t>
                  </w:r>
                </w:p>
              </w:tc>
              <w:tc>
                <w:tcPr/>
                <w:p>
                  <w:pPr>
                    <w:pStyle w:val="Compact"/>
                    <w:jc w:val="center"/>
                  </w:pPr>
                  <w:r>
                    <w:t xml:space="preserve">2025-09-08</w:t>
                  </w:r>
                </w:p>
              </w:tc>
              <w:tc>
                <w:tcPr/>
                <w:p>
                  <w:pPr>
                    <w:pStyle w:val="Compact"/>
                    <w:jc w:val="center"/>
                  </w:pPr>
                  <w:r>
                    <w:t xml:space="preserve">2025-10-03</w:t>
                  </w:r>
                </w:p>
              </w:tc>
            </w:tr>
            <w:tr>
              <w:tc>
                <w:tcPr/>
                <w:p>
                  <w:pPr>
                    <w:pStyle w:val="Compact"/>
                    <w:jc w:val="center"/>
                  </w:pPr>
                  <w:r>
                    <w:t xml:space="preserve">S-BRX-UNI</w:t>
                  </w:r>
                </w:p>
              </w:tc>
              <w:tc>
                <w:tcPr/>
                <w:p>
                  <w:pPr>
                    <w:pStyle w:val="Compact"/>
                    <w:jc w:val="center"/>
                  </w:pPr>
                  <w:r>
                    <w:t xml:space="preserve">Production Bioreactor</w:t>
                  </w:r>
                </w:p>
              </w:tc>
              <w:tc>
                <w:tcPr/>
                <w:p>
                  <w:pPr>
                    <w:pStyle w:val="Compact"/>
                    <w:jc w:val="center"/>
                  </w:pPr>
                  <w:r>
                    <w:t xml:space="preserve">univariate</w:t>
                  </w:r>
                </w:p>
              </w:tc>
              <w:tc>
                <w:tcPr/>
                <w:p>
                  <w:pPr>
                    <w:pStyle w:val="Compact"/>
                    <w:jc w:val="center"/>
                  </w:pPr>
                  <w:r>
                    <w:t xml:space="preserve">2025-10-06</w:t>
                  </w:r>
                </w:p>
              </w:tc>
              <w:tc>
                <w:tcPr/>
                <w:p>
                  <w:pPr>
                    <w:pStyle w:val="Compact"/>
                    <w:jc w:val="center"/>
                  </w:pPr>
                  <w:r>
                    <w:t xml:space="preserve">2025-10-17</w:t>
                  </w:r>
                </w:p>
              </w:tc>
            </w:tr>
            <w:tr>
              <w:tc>
                <w:tcPr/>
                <w:p>
                  <w:pPr>
                    <w:pStyle w:val="Compact"/>
                    <w:jc w:val="center"/>
                  </w:pPr>
                  <w:r>
                    <w:t xml:space="preserve">S-BRX-RSM</w:t>
                  </w:r>
                </w:p>
              </w:tc>
              <w:tc>
                <w:tcPr/>
                <w:p>
                  <w:pPr>
                    <w:pStyle w:val="Compact"/>
                    <w:jc w:val="center"/>
                  </w:pPr>
                  <w:r>
                    <w:t xml:space="preserve">Production Bioreactor</w:t>
                  </w:r>
                </w:p>
              </w:tc>
              <w:tc>
                <w:tcPr/>
                <w:p>
                  <w:pPr>
                    <w:pStyle w:val="Compact"/>
                    <w:jc w:val="center"/>
                  </w:pPr>
                  <w:r>
                    <w:t xml:space="preserve">response-surface design</w:t>
                  </w:r>
                </w:p>
              </w:tc>
              <w:tc>
                <w:tcPr/>
                <w:p>
                  <w:pPr>
                    <w:pStyle w:val="Compact"/>
                    <w:jc w:val="center"/>
                  </w:pPr>
                  <w:r>
                    <w:t xml:space="preserve">2025-10-20</w:t>
                  </w:r>
                </w:p>
              </w:tc>
              <w:tc>
                <w:tcPr/>
                <w:p>
                  <w:pPr>
                    <w:pStyle w:val="Compact"/>
                    <w:jc w:val="center"/>
                  </w:pPr>
                  <w:r>
                    <w:t xml:space="preserve">2025-12-12</w:t>
                  </w:r>
                </w:p>
              </w:tc>
            </w:tr>
            <w:tr>
              <w:tc>
                <w:tcPr/>
                <w:p>
                  <w:pPr>
                    <w:pStyle w:val="Compact"/>
                    <w:jc w:val="center"/>
                  </w:pPr>
                  <w:r>
                    <w:t xml:space="preserve">S-HAR-UNI</w:t>
                  </w:r>
                </w:p>
              </w:tc>
              <w:tc>
                <w:tcPr/>
                <w:p>
                  <w:pPr>
                    <w:pStyle w:val="Compact"/>
                    <w:jc w:val="center"/>
                  </w:pPr>
                  <w:r>
                    <w:t xml:space="preserve">Harvest and Clarification</w:t>
                  </w:r>
                </w:p>
              </w:tc>
              <w:tc>
                <w:tcPr/>
                <w:p>
                  <w:pPr>
                    <w:pStyle w:val="Compact"/>
                    <w:jc w:val="center"/>
                  </w:pPr>
                  <w:r>
                    <w:t xml:space="preserve">univariate</w:t>
                  </w:r>
                </w:p>
              </w:tc>
              <w:tc>
                <w:tcPr/>
                <w:p>
                  <w:pPr>
                    <w:pStyle w:val="Compact"/>
                    <w:jc w:val="center"/>
                  </w:pPr>
                  <w:r>
                    <w:t xml:space="preserve">2025-11-03</w:t>
                  </w:r>
                </w:p>
              </w:tc>
              <w:tc>
                <w:tcPr/>
                <w:p>
                  <w:pPr>
                    <w:pStyle w:val="Compact"/>
                    <w:jc w:val="center"/>
                  </w:pPr>
                  <w:r>
                    <w:t xml:space="preserve">2025-11-21</w:t>
                  </w:r>
                </w:p>
              </w:tc>
            </w:tr>
            <w:tr>
              <w:tc>
                <w:tcPr/>
                <w:p>
                  <w:pPr>
                    <w:pStyle w:val="Compact"/>
                    <w:jc w:val="center"/>
                  </w:pPr>
                  <w:r>
                    <w:t xml:space="preserve">S-PA-SDM</w:t>
                  </w:r>
                </w:p>
              </w:tc>
              <w:tc>
                <w:tcPr/>
                <w:p>
                  <w:pPr>
                    <w:pStyle w:val="Compact"/>
                    <w:jc w:val="center"/>
                  </w:pPr>
                  <w:r>
                    <w:t xml:space="preserve">Protein A Chromatography</w:t>
                  </w:r>
                </w:p>
              </w:tc>
              <w:tc>
                <w:tcPr/>
                <w:p>
                  <w:pPr>
                    <w:pStyle w:val="Compact"/>
                    <w:jc w:val="center"/>
                  </w:pPr>
                  <w:r>
                    <w:t xml:space="preserve">scale-down model qualification</w:t>
                  </w:r>
                </w:p>
              </w:tc>
              <w:tc>
                <w:tcPr/>
                <w:p>
                  <w:pPr>
                    <w:pStyle w:val="Compact"/>
                    <w:jc w:val="center"/>
                  </w:pPr>
                  <w:r>
                    <w:t xml:space="preserve">2025-11-05</w:t>
                  </w:r>
                </w:p>
              </w:tc>
              <w:tc>
                <w:tcPr/>
                <w:p>
                  <w:pPr>
                    <w:pStyle w:val="Compact"/>
                    <w:jc w:val="center"/>
                  </w:pPr>
                  <w:r>
                    <w:t xml:space="preserve">2025-11-14</w:t>
                  </w:r>
                </w:p>
              </w:tc>
            </w:tr>
            <w:tr>
              <w:tc>
                <w:tcPr/>
                <w:p>
                  <w:pPr>
                    <w:pStyle w:val="Compact"/>
                    <w:jc w:val="center"/>
                  </w:pPr>
                  <w:r>
                    <w:t xml:space="preserve">S-PA-SCR</w:t>
                  </w:r>
                </w:p>
              </w:tc>
              <w:tc>
                <w:tcPr/>
                <w:p>
                  <w:pPr>
                    <w:pStyle w:val="Compact"/>
                    <w:jc w:val="center"/>
                  </w:pPr>
                  <w:r>
                    <w:t xml:space="preserve">Protein A Chromatography</w:t>
                  </w:r>
                </w:p>
              </w:tc>
              <w:tc>
                <w:tcPr/>
                <w:p>
                  <w:pPr>
                    <w:pStyle w:val="Compact"/>
                    <w:jc w:val="center"/>
                  </w:pPr>
                  <w:r>
                    <w:t xml:space="preserve">screening design</w:t>
                  </w:r>
                </w:p>
              </w:tc>
              <w:tc>
                <w:tcPr/>
                <w:p>
                  <w:pPr>
                    <w:pStyle w:val="Compact"/>
                    <w:jc w:val="center"/>
                  </w:pPr>
                  <w:r>
                    <w:t xml:space="preserve">2025-11-17</w:t>
                  </w:r>
                </w:p>
              </w:tc>
              <w:tc>
                <w:tcPr/>
                <w:p>
                  <w:pPr>
                    <w:pStyle w:val="Compact"/>
                    <w:jc w:val="center"/>
                  </w:pPr>
                  <w:r>
                    <w:t xml:space="preserve">2025-12-05</w:t>
                  </w:r>
                </w:p>
              </w:tc>
            </w:tr>
            <w:tr>
              <w:tc>
                <w:tcPr/>
                <w:p>
                  <w:pPr>
                    <w:pStyle w:val="Compact"/>
                    <w:jc w:val="center"/>
                  </w:pPr>
                  <w:r>
                    <w:t xml:space="preserve">S-HAR-HLD</w:t>
                  </w:r>
                </w:p>
              </w:tc>
              <w:tc>
                <w:tcPr/>
                <w:p>
                  <w:pPr>
                    <w:pStyle w:val="Compact"/>
                    <w:jc w:val="center"/>
                  </w:pPr>
                  <w:r>
                    <w:t xml:space="preserve">Harvest and Clarification</w:t>
                  </w:r>
                </w:p>
              </w:tc>
              <w:tc>
                <w:tcPr/>
                <w:p>
                  <w:pPr>
                    <w:pStyle w:val="Compact"/>
                    <w:jc w:val="center"/>
                  </w:pPr>
                  <w:r>
                    <w:t xml:space="preserve">hold study</w:t>
                  </w:r>
                </w:p>
              </w:tc>
              <w:tc>
                <w:tcPr/>
                <w:p>
                  <w:pPr>
                    <w:pStyle w:val="Compact"/>
                    <w:jc w:val="center"/>
                  </w:pPr>
                  <w:r>
                    <w:t xml:space="preserve">2025-11-24</w:t>
                  </w:r>
                </w:p>
              </w:tc>
              <w:tc>
                <w:tcPr/>
                <w:p>
                  <w:pPr>
                    <w:pStyle w:val="Compact"/>
                    <w:jc w:val="center"/>
                  </w:pPr>
                  <w:r>
                    <w:t xml:space="preserve">2025-12-05</w:t>
                  </w:r>
                </w:p>
              </w:tc>
            </w:tr>
            <w:tr>
              <w:tc>
                <w:tcPr/>
                <w:p>
                  <w:pPr>
                    <w:pStyle w:val="Compact"/>
                    <w:jc w:val="center"/>
                  </w:pPr>
                  <w:r>
                    <w:t xml:space="preserve">S-PA-UNI</w:t>
                  </w:r>
                </w:p>
              </w:tc>
              <w:tc>
                <w:tcPr/>
                <w:p>
                  <w:pPr>
                    <w:pStyle w:val="Compact"/>
                    <w:jc w:val="center"/>
                  </w:pPr>
                  <w:r>
                    <w:t xml:space="preserve">Protein A Chromatography</w:t>
                  </w:r>
                </w:p>
              </w:tc>
              <w:tc>
                <w:tcPr/>
                <w:p>
                  <w:pPr>
                    <w:pStyle w:val="Compact"/>
                    <w:jc w:val="center"/>
                  </w:pPr>
                  <w:r>
                    <w:t xml:space="preserve">univariate</w:t>
                  </w:r>
                </w:p>
              </w:tc>
              <w:tc>
                <w:tcPr/>
                <w:p>
                  <w:pPr>
                    <w:pStyle w:val="Compact"/>
                    <w:jc w:val="center"/>
                  </w:pPr>
                  <w:r>
                    <w:t xml:space="preserve">2025-12-08</w:t>
                  </w:r>
                </w:p>
              </w:tc>
              <w:tc>
                <w:tcPr/>
                <w:p>
                  <w:pPr>
                    <w:pStyle w:val="Compact"/>
                    <w:jc w:val="center"/>
                  </w:pPr>
                  <w:r>
                    <w:t xml:space="preserve">2025-12-12</w:t>
                  </w:r>
                </w:p>
              </w:tc>
            </w:tr>
            <w:tr>
              <w:tc>
                <w:tcPr/>
                <w:p>
                  <w:pPr>
                    <w:pStyle w:val="Compact"/>
                    <w:jc w:val="center"/>
                  </w:pPr>
                  <w:r>
                    <w:t xml:space="preserve">S-VI-SDM</w:t>
                  </w:r>
                </w:p>
              </w:tc>
              <w:tc>
                <w:tcPr/>
                <w:p>
                  <w:pPr>
                    <w:pStyle w:val="Compact"/>
                    <w:jc w:val="center"/>
                  </w:pPr>
                  <w:r>
                    <w:t xml:space="preserve">Low-pH Viral Inactivation</w:t>
                  </w:r>
                </w:p>
              </w:tc>
              <w:tc>
                <w:tcPr/>
                <w:p>
                  <w:pPr>
                    <w:pStyle w:val="Compact"/>
                    <w:jc w:val="center"/>
                  </w:pPr>
                  <w:r>
                    <w:t xml:space="preserve">scale-down model qualification</w:t>
                  </w:r>
                </w:p>
              </w:tc>
              <w:tc>
                <w:tcPr/>
                <w:p>
                  <w:pPr>
                    <w:pStyle w:val="Compact"/>
                    <w:jc w:val="center"/>
                  </w:pPr>
                  <w:r>
                    <w:t xml:space="preserve">2026-01-07</w:t>
                  </w:r>
                </w:p>
              </w:tc>
              <w:tc>
                <w:tcPr/>
                <w:p>
                  <w:pPr>
                    <w:pStyle w:val="Compact"/>
                    <w:jc w:val="center"/>
                  </w:pPr>
                  <w:r>
                    <w:t xml:space="preserve">2026-01-16</w:t>
                  </w:r>
                </w:p>
              </w:tc>
            </w:tr>
            <w:tr>
              <w:tc>
                <w:tcPr/>
                <w:p>
                  <w:pPr>
                    <w:pStyle w:val="Compact"/>
                    <w:jc w:val="center"/>
                  </w:pPr>
                  <w:r>
                    <w:t xml:space="preserve">S-PA-RSM</w:t>
                  </w:r>
                </w:p>
              </w:tc>
              <w:tc>
                <w:tcPr/>
                <w:p>
                  <w:pPr>
                    <w:pStyle w:val="Compact"/>
                    <w:jc w:val="center"/>
                  </w:pPr>
                  <w:r>
                    <w:t xml:space="preserve">Protein A Chromatography</w:t>
                  </w:r>
                </w:p>
              </w:tc>
              <w:tc>
                <w:tcPr/>
                <w:p>
                  <w:pPr>
                    <w:pStyle w:val="Compact"/>
                    <w:jc w:val="center"/>
                  </w:pPr>
                  <w:r>
                    <w:t xml:space="preserve">response-surface design</w:t>
                  </w:r>
                </w:p>
              </w:tc>
              <w:tc>
                <w:tcPr/>
                <w:p>
                  <w:pPr>
                    <w:pStyle w:val="Compact"/>
                    <w:jc w:val="center"/>
                  </w:pPr>
                  <w:r>
                    <w:t xml:space="preserve">2026-01-12</w:t>
                  </w:r>
                </w:p>
              </w:tc>
              <w:tc>
                <w:tcPr/>
                <w:p>
                  <w:pPr>
                    <w:pStyle w:val="Compact"/>
                    <w:jc w:val="center"/>
                  </w:pPr>
                  <w:r>
                    <w:t xml:space="preserve">2026-02-06</w:t>
                  </w:r>
                </w:p>
              </w:tc>
            </w:tr>
            <w:tr>
              <w:tc>
                <w:tcPr/>
                <w:p>
                  <w:pPr>
                    <w:pStyle w:val="Compact"/>
                    <w:jc w:val="center"/>
                  </w:pPr>
                  <w:r>
                    <w:t xml:space="preserve">S-VI-SCR</w:t>
                  </w:r>
                </w:p>
              </w:tc>
              <w:tc>
                <w:tcPr/>
                <w:p>
                  <w:pPr>
                    <w:pStyle w:val="Compact"/>
                    <w:jc w:val="center"/>
                  </w:pPr>
                  <w:r>
                    <w:t xml:space="preserve">Low-pH Viral Inactivation</w:t>
                  </w:r>
                </w:p>
              </w:tc>
              <w:tc>
                <w:tcPr/>
                <w:p>
                  <w:pPr>
                    <w:pStyle w:val="Compact"/>
                    <w:jc w:val="center"/>
                  </w:pPr>
                  <w:r>
                    <w:t xml:space="preserve">screening design</w:t>
                  </w:r>
                </w:p>
              </w:tc>
              <w:tc>
                <w:tcPr/>
                <w:p>
                  <w:pPr>
                    <w:pStyle w:val="Compact"/>
                    <w:jc w:val="center"/>
                  </w:pPr>
                  <w:r>
                    <w:t xml:space="preserve">2026-01-19</w:t>
                  </w:r>
                </w:p>
              </w:tc>
              <w:tc>
                <w:tcPr/>
                <w:p>
                  <w:pPr>
                    <w:pStyle w:val="Compact"/>
                    <w:jc w:val="center"/>
                  </w:pPr>
                  <w:r>
                    <w:t xml:space="preserve">2026-01-30</w:t>
                  </w:r>
                </w:p>
              </w:tc>
            </w:tr>
            <w:tr>
              <w:tc>
                <w:tcPr/>
                <w:p>
                  <w:pPr>
                    <w:pStyle w:val="Compact"/>
                    <w:jc w:val="center"/>
                  </w:pPr>
                  <w:r>
                    <w:t xml:space="preserve">S-PA-HLD</w:t>
                  </w:r>
                </w:p>
              </w:tc>
              <w:tc>
                <w:tcPr/>
                <w:p>
                  <w:pPr>
                    <w:pStyle w:val="Compact"/>
                    <w:jc w:val="center"/>
                  </w:pPr>
                  <w:r>
                    <w:t xml:space="preserve">Protein A Chromatography</w:t>
                  </w:r>
                </w:p>
              </w:tc>
              <w:tc>
                <w:tcPr/>
                <w:p>
                  <w:pPr>
                    <w:pStyle w:val="Compact"/>
                    <w:jc w:val="center"/>
                  </w:pPr>
                  <w:r>
                    <w:t xml:space="preserve">hold study</w:t>
                  </w:r>
                </w:p>
              </w:tc>
              <w:tc>
                <w:tcPr/>
                <w:p>
                  <w:pPr>
                    <w:pStyle w:val="Compact"/>
                    <w:jc w:val="center"/>
                  </w:pPr>
                  <w:r>
                    <w:t xml:space="preserve">2026-02-02</w:t>
                  </w:r>
                </w:p>
              </w:tc>
              <w:tc>
                <w:tcPr/>
                <w:p>
                  <w:pPr>
                    <w:pStyle w:val="Compact"/>
                    <w:jc w:val="center"/>
                  </w:pPr>
                  <w:r>
                    <w:t xml:space="preserve">2026-02-16</w:t>
                  </w:r>
                </w:p>
              </w:tc>
            </w:tr>
            <w:tr>
              <w:tc>
                <w:tcPr/>
                <w:p>
                  <w:pPr>
                    <w:pStyle w:val="Compact"/>
                    <w:jc w:val="center"/>
                  </w:pPr>
                  <w:r>
                    <w:t xml:space="preserve">S-VI-RSM</w:t>
                  </w:r>
                </w:p>
              </w:tc>
              <w:tc>
                <w:tcPr/>
                <w:p>
                  <w:pPr>
                    <w:pStyle w:val="Compact"/>
                    <w:jc w:val="center"/>
                  </w:pPr>
                  <w:r>
                    <w:t xml:space="preserve">Low-pH Viral Inactivation</w:t>
                  </w:r>
                </w:p>
              </w:tc>
              <w:tc>
                <w:tcPr/>
                <w:p>
                  <w:pPr>
                    <w:pStyle w:val="Compact"/>
                    <w:jc w:val="center"/>
                  </w:pPr>
                  <w:r>
                    <w:t xml:space="preserve">response-surface design</w:t>
                  </w:r>
                </w:p>
              </w:tc>
              <w:tc>
                <w:tcPr/>
                <w:p>
                  <w:pPr>
                    <w:pStyle w:val="Compact"/>
                    <w:jc w:val="center"/>
                  </w:pPr>
                  <w:r>
                    <w:t xml:space="preserve">2026-02-02</w:t>
                  </w:r>
                </w:p>
              </w:tc>
              <w:tc>
                <w:tcPr/>
                <w:p>
                  <w:pPr>
                    <w:pStyle w:val="Compact"/>
                    <w:jc w:val="center"/>
                  </w:pPr>
                  <w:r>
                    <w:t xml:space="preserve">2026-02-13</w:t>
                  </w:r>
                </w:p>
              </w:tc>
            </w:tr>
            <w:tr>
              <w:tc>
                <w:tcPr/>
                <w:p>
                  <w:pPr>
                    <w:pStyle w:val="Compact"/>
                    <w:jc w:val="center"/>
                  </w:pPr>
                  <w:r>
                    <w:t xml:space="preserve">S-VI-UNI</w:t>
                  </w:r>
                </w:p>
              </w:tc>
              <w:tc>
                <w:tcPr/>
                <w:p>
                  <w:pPr>
                    <w:pStyle w:val="Compact"/>
                    <w:jc w:val="center"/>
                  </w:pPr>
                  <w:r>
                    <w:t xml:space="preserve">Low-pH Viral Inactivation</w:t>
                  </w:r>
                </w:p>
              </w:tc>
              <w:tc>
                <w:tcPr/>
                <w:p>
                  <w:pPr>
                    <w:pStyle w:val="Compact"/>
                    <w:jc w:val="center"/>
                  </w:pPr>
                  <w:r>
                    <w:t xml:space="preserve">univariate</w:t>
                  </w:r>
                </w:p>
              </w:tc>
              <w:tc>
                <w:tcPr/>
                <w:p>
                  <w:pPr>
                    <w:pStyle w:val="Compact"/>
                    <w:jc w:val="center"/>
                  </w:pPr>
                  <w:r>
                    <w:t xml:space="preserve">2026-02-02</w:t>
                  </w:r>
                </w:p>
              </w:tc>
              <w:tc>
                <w:tcPr/>
                <w:p>
                  <w:pPr>
                    <w:pStyle w:val="Compact"/>
                    <w:jc w:val="center"/>
                  </w:pPr>
                  <w:r>
                    <w:t xml:space="preserve">2026-02-06</w:t>
                  </w:r>
                </w:p>
              </w:tc>
            </w:tr>
            <w:tr>
              <w:tc>
                <w:tcPr/>
                <w:p>
                  <w:pPr>
                    <w:pStyle w:val="Compact"/>
                    <w:jc w:val="center"/>
                  </w:pPr>
                  <w:r>
                    <w:t xml:space="preserve">S-AEX-SDM</w:t>
                  </w:r>
                </w:p>
              </w:tc>
              <w:tc>
                <w:tcPr/>
                <w:p>
                  <w:pPr>
                    <w:pStyle w:val="Compact"/>
                    <w:jc w:val="center"/>
                  </w:pPr>
                  <w:r>
                    <w:t xml:space="preserve">Anion Exchange Chromatography</w:t>
                  </w:r>
                </w:p>
              </w:tc>
              <w:tc>
                <w:tcPr/>
                <w:p>
                  <w:pPr>
                    <w:pStyle w:val="Compact"/>
                    <w:jc w:val="center"/>
                  </w:pPr>
                  <w:r>
                    <w:t xml:space="preserve">scale-down model qualification</w:t>
                  </w:r>
                </w:p>
              </w:tc>
              <w:tc>
                <w:tcPr/>
                <w:p>
                  <w:pPr>
                    <w:pStyle w:val="Compact"/>
                    <w:jc w:val="center"/>
                  </w:pPr>
                  <w:r>
                    <w:t xml:space="preserve">2026-02-04</w:t>
                  </w:r>
                </w:p>
              </w:tc>
              <w:tc>
                <w:tcPr/>
                <w:p>
                  <w:pPr>
                    <w:pStyle w:val="Compact"/>
                    <w:jc w:val="center"/>
                  </w:pPr>
                  <w:r>
                    <w:t xml:space="preserve">2026-02-13</w:t>
                  </w:r>
                </w:p>
              </w:tc>
            </w:tr>
            <w:tr>
              <w:tc>
                <w:tcPr/>
                <w:p>
                  <w:pPr>
                    <w:pStyle w:val="Compact"/>
                    <w:jc w:val="center"/>
                  </w:pPr>
                  <w:r>
                    <w:t xml:space="preserve">S-CEX-SDM</w:t>
                  </w:r>
                </w:p>
              </w:tc>
              <w:tc>
                <w:tcPr/>
                <w:p>
                  <w:pPr>
                    <w:pStyle w:val="Compact"/>
                    <w:jc w:val="center"/>
                  </w:pPr>
                  <w:r>
                    <w:t xml:space="preserve">Cation Exchange Chromatography</w:t>
                  </w:r>
                </w:p>
              </w:tc>
              <w:tc>
                <w:tcPr/>
                <w:p>
                  <w:pPr>
                    <w:pStyle w:val="Compact"/>
                    <w:jc w:val="center"/>
                  </w:pPr>
                  <w:r>
                    <w:t xml:space="preserve">scale-down model qualification</w:t>
                  </w:r>
                </w:p>
              </w:tc>
              <w:tc>
                <w:tcPr/>
                <w:p>
                  <w:pPr>
                    <w:pStyle w:val="Compact"/>
                    <w:jc w:val="center"/>
                  </w:pPr>
                  <w:r>
                    <w:t xml:space="preserve">2026-02-04</w:t>
                  </w:r>
                </w:p>
              </w:tc>
              <w:tc>
                <w:tcPr/>
                <w:p>
                  <w:pPr>
                    <w:pStyle w:val="Compact"/>
                    <w:jc w:val="center"/>
                  </w:pPr>
                  <w:r>
                    <w:t xml:space="preserve">2026-02-13</w:t>
                  </w:r>
                </w:p>
              </w:tc>
            </w:tr>
            <w:tr>
              <w:tc>
                <w:tcPr/>
                <w:p>
                  <w:pPr>
                    <w:pStyle w:val="Compact"/>
                    <w:jc w:val="center"/>
                  </w:pPr>
                  <w:r>
                    <w:t xml:space="preserve">S-AEX-SUP</w:t>
                  </w:r>
                </w:p>
              </w:tc>
              <w:tc>
                <w:tcPr/>
                <w:p>
                  <w:pPr>
                    <w:pStyle w:val="Compact"/>
                    <w:jc w:val="center"/>
                  </w:pPr>
                  <w:r>
                    <w:t xml:space="preserve">Anion Exchange Chromatography</w:t>
                  </w:r>
                </w:p>
              </w:tc>
              <w:tc>
                <w:tcPr/>
                <w:p>
                  <w:pPr>
                    <w:pStyle w:val="Compact"/>
                    <w:jc w:val="center"/>
                  </w:pPr>
                  <w:r>
                    <w:t xml:space="preserve">first execution (invalidated)</w:t>
                  </w:r>
                </w:p>
              </w:tc>
              <w:tc>
                <w:tcPr/>
                <w:p>
                  <w:pPr>
                    <w:pStyle w:val="Compact"/>
                    <w:jc w:val="center"/>
                  </w:pPr>
                  <w:r>
                    <w:t xml:space="preserve">2026-02-16</w:t>
                  </w:r>
                </w:p>
              </w:tc>
              <w:tc>
                <w:tcPr/>
                <w:p>
                  <w:pPr>
                    <w:pStyle w:val="Compact"/>
                    <w:jc w:val="center"/>
                  </w:pPr>
                  <w:r>
                    <w:t xml:space="preserve">2026-03-04</w:t>
                  </w:r>
                </w:p>
              </w:tc>
            </w:tr>
            <w:tr>
              <w:tc>
                <w:tcPr/>
                <w:p>
                  <w:pPr>
                    <w:pStyle w:val="Compact"/>
                    <w:jc w:val="center"/>
                  </w:pPr>
                  <w:r>
                    <w:t xml:space="preserve">S-CEX-SCR</w:t>
                  </w:r>
                </w:p>
              </w:tc>
              <w:tc>
                <w:tcPr/>
                <w:p>
                  <w:pPr>
                    <w:pStyle w:val="Compact"/>
                    <w:jc w:val="center"/>
                  </w:pPr>
                  <w:r>
                    <w:t xml:space="preserve">Cation Exchange Chromatography</w:t>
                  </w:r>
                </w:p>
              </w:tc>
              <w:tc>
                <w:tcPr/>
                <w:p>
                  <w:pPr>
                    <w:pStyle w:val="Compact"/>
                    <w:jc w:val="center"/>
                  </w:pPr>
                  <w:r>
                    <w:t xml:space="preserve">screening design</w:t>
                  </w:r>
                </w:p>
              </w:tc>
              <w:tc>
                <w:tcPr/>
                <w:p>
                  <w:pPr>
                    <w:pStyle w:val="Compact"/>
                    <w:jc w:val="center"/>
                  </w:pPr>
                  <w:r>
                    <w:t xml:space="preserve">2026-02-16</w:t>
                  </w:r>
                </w:p>
              </w:tc>
              <w:tc>
                <w:tcPr/>
                <w:p>
                  <w:pPr>
                    <w:pStyle w:val="Compact"/>
                    <w:jc w:val="center"/>
                  </w:pPr>
                  <w:r>
                    <w:t xml:space="preserve">2026-02-27</w:t>
                  </w:r>
                </w:p>
              </w:tc>
            </w:tr>
            <w:tr>
              <w:tc>
                <w:tcPr/>
                <w:p>
                  <w:pPr>
                    <w:pStyle w:val="Compact"/>
                    <w:jc w:val="center"/>
                  </w:pPr>
                  <w:r>
                    <w:t xml:space="preserve">S-VI-HLD</w:t>
                  </w:r>
                </w:p>
              </w:tc>
              <w:tc>
                <w:tcPr/>
                <w:p>
                  <w:pPr>
                    <w:pStyle w:val="Compact"/>
                    <w:jc w:val="center"/>
                  </w:pPr>
                  <w:r>
                    <w:t xml:space="preserve">Low-pH Viral Inactivation</w:t>
                  </w:r>
                </w:p>
              </w:tc>
              <w:tc>
                <w:tcPr/>
                <w:p>
                  <w:pPr>
                    <w:pStyle w:val="Compact"/>
                    <w:jc w:val="center"/>
                  </w:pPr>
                  <w:r>
                    <w:t xml:space="preserve">hold study</w:t>
                  </w:r>
                </w:p>
              </w:tc>
              <w:tc>
                <w:tcPr/>
                <w:p>
                  <w:pPr>
                    <w:pStyle w:val="Compact"/>
                    <w:jc w:val="center"/>
                  </w:pPr>
                  <w:r>
                    <w:t xml:space="preserve">2026-02-16</w:t>
                  </w:r>
                </w:p>
              </w:tc>
              <w:tc>
                <w:tcPr/>
                <w:p>
                  <w:pPr>
                    <w:pStyle w:val="Compact"/>
                    <w:jc w:val="center"/>
                  </w:pPr>
                  <w:r>
                    <w:t xml:space="preserve">2026-02-27</w:t>
                  </w:r>
                </w:p>
              </w:tc>
            </w:tr>
            <w:tr>
              <w:tc>
                <w:tcPr/>
                <w:p>
                  <w:pPr>
                    <w:pStyle w:val="Compact"/>
                    <w:jc w:val="center"/>
                  </w:pPr>
                  <w:r>
                    <w:t xml:space="preserve">S-UFDF-SDM</w:t>
                  </w:r>
                </w:p>
              </w:tc>
              <w:tc>
                <w:tcPr/>
                <w:p>
                  <w:pPr>
                    <w:pStyle w:val="Compact"/>
                    <w:jc w:val="center"/>
                  </w:pPr>
                  <w:r>
                    <w:t xml:space="preserve">Ultrafiltration / Diafiltration</w:t>
                  </w:r>
                </w:p>
              </w:tc>
              <w:tc>
                <w:tcPr/>
                <w:p>
                  <w:pPr>
                    <w:pStyle w:val="Compact"/>
                    <w:jc w:val="center"/>
                  </w:pPr>
                  <w:r>
                    <w:t xml:space="preserve">scale-down model qualification</w:t>
                  </w:r>
                </w:p>
              </w:tc>
              <w:tc>
                <w:tcPr/>
                <w:p>
                  <w:pPr>
                    <w:pStyle w:val="Compact"/>
                    <w:jc w:val="center"/>
                  </w:pPr>
                  <w:r>
                    <w:t xml:space="preserve">2026-02-25</w:t>
                  </w:r>
                </w:p>
              </w:tc>
              <w:tc>
                <w:tcPr/>
                <w:p>
                  <w:pPr>
                    <w:pStyle w:val="Compact"/>
                    <w:jc w:val="center"/>
                  </w:pPr>
                  <w:r>
                    <w:t xml:space="preserve">2026-03-06</w:t>
                  </w:r>
                </w:p>
              </w:tc>
            </w:tr>
            <w:tr>
              <w:tc>
                <w:tcPr/>
                <w:p>
                  <w:pPr>
                    <w:pStyle w:val="Compact"/>
                    <w:jc w:val="center"/>
                  </w:pPr>
                  <w:r>
                    <w:t xml:space="preserve">S-CEX-FRC</w:t>
                  </w:r>
                </w:p>
              </w:tc>
              <w:tc>
                <w:tcPr/>
                <w:p>
                  <w:pPr>
                    <w:pStyle w:val="Compact"/>
                    <w:jc w:val="center"/>
                  </w:pPr>
                  <w:r>
                    <w:t xml:space="preserve">Cation Exchange Chromatography</w:t>
                  </w:r>
                </w:p>
              </w:tc>
              <w:tc>
                <w:tcPr/>
                <w:p>
                  <w:pPr>
                    <w:pStyle w:val="Compact"/>
                    <w:jc w:val="center"/>
                  </w:pPr>
                  <w:r>
                    <w:t xml:space="preserve">method comparability</w:t>
                  </w:r>
                </w:p>
              </w:tc>
              <w:tc>
                <w:tcPr/>
                <w:p>
                  <w:pPr>
                    <w:pStyle w:val="Compact"/>
                    <w:jc w:val="center"/>
                  </w:pPr>
                  <w:r>
                    <w:t xml:space="preserve">2026-03-02</w:t>
                  </w:r>
                </w:p>
              </w:tc>
              <w:tc>
                <w:tcPr/>
                <w:p>
                  <w:pPr>
                    <w:pStyle w:val="Compact"/>
                    <w:jc w:val="center"/>
                  </w:pPr>
                  <w:r>
                    <w:t xml:space="preserve">2026-03-13</w:t>
                  </w:r>
                </w:p>
              </w:tc>
            </w:tr>
            <w:tr>
              <w:tc>
                <w:tcPr/>
                <w:p>
                  <w:pPr>
                    <w:pStyle w:val="Compact"/>
                    <w:jc w:val="center"/>
                  </w:pPr>
                  <w:r>
                    <w:t xml:space="preserve">S-CEX-RSM</w:t>
                  </w:r>
                </w:p>
              </w:tc>
              <w:tc>
                <w:tcPr/>
                <w:p>
                  <w:pPr>
                    <w:pStyle w:val="Compact"/>
                    <w:jc w:val="center"/>
                  </w:pPr>
                  <w:r>
                    <w:t xml:space="preserve">Cation Exchange Chromatography</w:t>
                  </w:r>
                </w:p>
              </w:tc>
              <w:tc>
                <w:tcPr/>
                <w:p>
                  <w:pPr>
                    <w:pStyle w:val="Compact"/>
                    <w:jc w:val="center"/>
                  </w:pPr>
                  <w:r>
                    <w:t xml:space="preserve">response-surface design</w:t>
                  </w:r>
                </w:p>
              </w:tc>
              <w:tc>
                <w:tcPr/>
                <w:p>
                  <w:pPr>
                    <w:pStyle w:val="Compact"/>
                    <w:jc w:val="center"/>
                  </w:pPr>
                  <w:r>
                    <w:t xml:space="preserve">2026-03-02</w:t>
                  </w:r>
                </w:p>
              </w:tc>
              <w:tc>
                <w:tcPr/>
                <w:p>
                  <w:pPr>
                    <w:pStyle w:val="Compact"/>
                    <w:jc w:val="center"/>
                  </w:pPr>
                  <w:r>
                    <w:t xml:space="preserve">2026-03-27</w:t>
                  </w:r>
                </w:p>
              </w:tc>
            </w:tr>
            <w:tr>
              <w:tc>
                <w:tcPr/>
                <w:p>
                  <w:pPr>
                    <w:pStyle w:val="Compact"/>
                    <w:jc w:val="center"/>
                  </w:pPr>
                  <w:r>
                    <w:t xml:space="preserve">S-UFDF-UNI</w:t>
                  </w:r>
                </w:p>
              </w:tc>
              <w:tc>
                <w:tcPr/>
                <w:p>
                  <w:pPr>
                    <w:pStyle w:val="Compact"/>
                    <w:jc w:val="center"/>
                  </w:pPr>
                  <w:r>
                    <w:t xml:space="preserve">Ultrafiltration / Diafiltration</w:t>
                  </w:r>
                </w:p>
              </w:tc>
              <w:tc>
                <w:tcPr/>
                <w:p>
                  <w:pPr>
                    <w:pStyle w:val="Compact"/>
                    <w:jc w:val="center"/>
                  </w:pPr>
                  <w:r>
                    <w:t xml:space="preserve">univariate</w:t>
                  </w:r>
                </w:p>
              </w:tc>
              <w:tc>
                <w:tcPr/>
                <w:p>
                  <w:pPr>
                    <w:pStyle w:val="Compact"/>
                    <w:jc w:val="center"/>
                  </w:pPr>
                  <w:r>
                    <w:t xml:space="preserve">2026-03-09</w:t>
                  </w:r>
                </w:p>
              </w:tc>
              <w:tc>
                <w:tcPr/>
                <w:p>
                  <w:pPr>
                    <w:pStyle w:val="Compact"/>
                    <w:jc w:val="center"/>
                  </w:pPr>
                  <w:r>
                    <w:t xml:space="preserve">2026-03-27</w:t>
                  </w:r>
                </w:p>
              </w:tc>
            </w:tr>
            <w:tr>
              <w:tc>
                <w:tcPr/>
                <w:p>
                  <w:pPr>
                    <w:pStyle w:val="Compact"/>
                    <w:jc w:val="center"/>
                  </w:pPr>
                  <w:r>
                    <w:t xml:space="preserve">S-CEX-UNI</w:t>
                  </w:r>
                </w:p>
              </w:tc>
              <w:tc>
                <w:tcPr/>
                <w:p>
                  <w:pPr>
                    <w:pStyle w:val="Compact"/>
                    <w:jc w:val="center"/>
                  </w:pPr>
                  <w:r>
                    <w:t xml:space="preserve">Cation Exchange Chromatography</w:t>
                  </w:r>
                </w:p>
              </w:tc>
              <w:tc>
                <w:tcPr/>
                <w:p>
                  <w:pPr>
                    <w:pStyle w:val="Compact"/>
                    <w:jc w:val="center"/>
                  </w:pPr>
                  <w:r>
                    <w:t xml:space="preserve">univariate</w:t>
                  </w:r>
                </w:p>
              </w:tc>
              <w:tc>
                <w:tcPr/>
                <w:p>
                  <w:pPr>
                    <w:pStyle w:val="Compact"/>
                    <w:jc w:val="center"/>
                  </w:pPr>
                  <w:r>
                    <w:t xml:space="preserve">2026-03-16</w:t>
                  </w:r>
                </w:p>
              </w:tc>
              <w:tc>
                <w:tcPr/>
                <w:p>
                  <w:pPr>
                    <w:pStyle w:val="Compact"/>
                    <w:jc w:val="center"/>
                  </w:pPr>
                  <w:r>
                    <w:t xml:space="preserve">2026-03-20</w:t>
                  </w:r>
                </w:p>
              </w:tc>
            </w:tr>
            <w:tr>
              <w:tc>
                <w:tcPr/>
                <w:p>
                  <w:pPr>
                    <w:pStyle w:val="Compact"/>
                    <w:jc w:val="center"/>
                  </w:pPr>
                  <w:r>
                    <w:t xml:space="preserve">S-AEX-SCR</w:t>
                  </w:r>
                </w:p>
              </w:tc>
              <w:tc>
                <w:tcPr/>
                <w:p>
                  <w:pPr>
                    <w:pStyle w:val="Compact"/>
                    <w:jc w:val="center"/>
                  </w:pPr>
                  <w:r>
                    <w:t xml:space="preserve">Anion Exchange Chromatography</w:t>
                  </w:r>
                </w:p>
              </w:tc>
              <w:tc>
                <w:tcPr/>
                <w:p>
                  <w:pPr>
                    <w:pStyle w:val="Compact"/>
                    <w:jc w:val="center"/>
                  </w:pPr>
                  <w:r>
                    <w:t xml:space="preserve">screening design</w:t>
                  </w:r>
                </w:p>
              </w:tc>
              <w:tc>
                <w:tcPr/>
                <w:p>
                  <w:pPr>
                    <w:pStyle w:val="Compact"/>
                    <w:jc w:val="center"/>
                  </w:pPr>
                  <w:r>
                    <w:t xml:space="preserve">2026-03-23</w:t>
                  </w:r>
                </w:p>
              </w:tc>
              <w:tc>
                <w:tcPr/>
                <w:p>
                  <w:pPr>
                    <w:pStyle w:val="Compact"/>
                    <w:jc w:val="center"/>
                  </w:pPr>
                  <w:r>
                    <w:t xml:space="preserve">2026-03-31</w:t>
                  </w:r>
                </w:p>
              </w:tc>
            </w:tr>
            <w:tr>
              <w:tc>
                <w:tcPr/>
                <w:p>
                  <w:pPr>
                    <w:pStyle w:val="Compact"/>
                    <w:jc w:val="center"/>
                  </w:pPr>
                  <w:r>
                    <w:t xml:space="preserve">S-AEX-RSM</w:t>
                  </w:r>
                </w:p>
              </w:tc>
              <w:tc>
                <w:tcPr/>
                <w:p>
                  <w:pPr>
                    <w:pStyle w:val="Compact"/>
                    <w:jc w:val="center"/>
                  </w:pPr>
                  <w:r>
                    <w:t xml:space="preserve">Anion Exchange Chromatography</w:t>
                  </w:r>
                </w:p>
              </w:tc>
              <w:tc>
                <w:tcPr/>
                <w:p>
                  <w:pPr>
                    <w:pStyle w:val="Compact"/>
                    <w:jc w:val="center"/>
                  </w:pPr>
                  <w:r>
                    <w:t xml:space="preserve">response-surface design</w:t>
                  </w:r>
                </w:p>
              </w:tc>
              <w:tc>
                <w:tcPr/>
                <w:p>
                  <w:pPr>
                    <w:pStyle w:val="Compact"/>
                    <w:jc w:val="center"/>
                  </w:pPr>
                  <w:r>
                    <w:t xml:space="preserve">2026-04-01</w:t>
                  </w:r>
                </w:p>
              </w:tc>
              <w:tc>
                <w:tcPr/>
                <w:p>
                  <w:pPr>
                    <w:pStyle w:val="Compact"/>
                    <w:jc w:val="center"/>
                  </w:pPr>
                  <w:r>
                    <w:t xml:space="preserve">2026-04-10</w:t>
                  </w:r>
                </w:p>
              </w:tc>
            </w:tr>
            <w:tr>
              <w:tc>
                <w:tcPr/>
                <w:p>
                  <w:pPr>
                    <w:pStyle w:val="Compact"/>
                    <w:jc w:val="center"/>
                  </w:pPr>
                  <w:r>
                    <w:t xml:space="preserve">S-PA-RET</w:t>
                  </w:r>
                </w:p>
              </w:tc>
              <w:tc>
                <w:tcPr/>
                <w:p>
                  <w:pPr>
                    <w:pStyle w:val="Compact"/>
                    <w:jc w:val="center"/>
                  </w:pPr>
                  <w:r>
                    <w:t xml:space="preserve">Protein A Chromatography</w:t>
                  </w:r>
                </w:p>
              </w:tc>
              <w:tc>
                <w:tcPr/>
                <w:p>
                  <w:pPr>
                    <w:pStyle w:val="Compact"/>
                    <w:jc w:val="center"/>
                  </w:pPr>
                  <w:r>
                    <w:t xml:space="preserve">retest of retained samples</w:t>
                  </w:r>
                </w:p>
              </w:tc>
              <w:tc>
                <w:tcPr/>
                <w:p>
                  <w:pPr>
                    <w:pStyle w:val="Compact"/>
                    <w:jc w:val="center"/>
                  </w:pPr>
                  <w:r>
                    <w:t xml:space="preserve">2026-04-06</w:t>
                  </w:r>
                </w:p>
              </w:tc>
              <w:tc>
                <w:tcPr/>
                <w:p>
                  <w:pPr>
                    <w:pStyle w:val="Compact"/>
                    <w:jc w:val="center"/>
                  </w:pPr>
                  <w:r>
                    <w:t xml:space="preserve">2026-04-17</w:t>
                  </w:r>
                </w:p>
              </w:tc>
            </w:tr>
            <w:tr>
              <w:tc>
                <w:tcPr/>
                <w:p>
                  <w:pPr>
                    <w:pStyle w:val="Compact"/>
                    <w:jc w:val="center"/>
                  </w:pPr>
                  <w:r>
                    <w:t xml:space="preserve">S-VI-RET</w:t>
                  </w:r>
                </w:p>
              </w:tc>
              <w:tc>
                <w:tcPr/>
                <w:p>
                  <w:pPr>
                    <w:pStyle w:val="Compact"/>
                    <w:jc w:val="center"/>
                  </w:pPr>
                  <w:r>
                    <w:t xml:space="preserve">Low-pH Viral Inactivation</w:t>
                  </w:r>
                </w:p>
              </w:tc>
              <w:tc>
                <w:tcPr/>
                <w:p>
                  <w:pPr>
                    <w:pStyle w:val="Compact"/>
                    <w:jc w:val="center"/>
                  </w:pPr>
                  <w:r>
                    <w:t xml:space="preserve">retest of retained samples</w:t>
                  </w:r>
                </w:p>
              </w:tc>
              <w:tc>
                <w:tcPr/>
                <w:p>
                  <w:pPr>
                    <w:pStyle w:val="Compact"/>
                    <w:jc w:val="center"/>
                  </w:pPr>
                  <w:r>
                    <w:t xml:space="preserve">2026-04-06</w:t>
                  </w:r>
                </w:p>
              </w:tc>
              <w:tc>
                <w:tcPr/>
                <w:p>
                  <w:pPr>
                    <w:pStyle w:val="Compact"/>
                    <w:jc w:val="center"/>
                  </w:pPr>
                  <w:r>
                    <w:t xml:space="preserve">2026-04-17</w:t>
                  </w:r>
                </w:p>
              </w:tc>
            </w:tr>
            <w:tr>
              <w:tc>
                <w:tcPr/>
                <w:p>
                  <w:pPr>
                    <w:pStyle w:val="Compact"/>
                    <w:jc w:val="center"/>
                  </w:pPr>
                  <w:r>
                    <w:t xml:space="preserve">S-AEX-UNI</w:t>
                  </w:r>
                </w:p>
              </w:tc>
              <w:tc>
                <w:tcPr/>
                <w:p>
                  <w:pPr>
                    <w:pStyle w:val="Compact"/>
                    <w:jc w:val="center"/>
                  </w:pPr>
                  <w:r>
                    <w:t xml:space="preserve">Anion Exchange Chromatography</w:t>
                  </w:r>
                </w:p>
              </w:tc>
              <w:tc>
                <w:tcPr/>
                <w:p>
                  <w:pPr>
                    <w:pStyle w:val="Compact"/>
                    <w:jc w:val="center"/>
                  </w:pPr>
                  <w:r>
                    <w:t xml:space="preserve">univariate</w:t>
                  </w:r>
                </w:p>
              </w:tc>
              <w:tc>
                <w:tcPr/>
                <w:p>
                  <w:pPr>
                    <w:pStyle w:val="Compact"/>
                    <w:jc w:val="center"/>
                  </w:pPr>
                  <w:r>
                    <w:t xml:space="preserve">2026-04-13</w:t>
                  </w:r>
                </w:p>
              </w:tc>
              <w:tc>
                <w:tcPr/>
                <w:p>
                  <w:pPr>
                    <w:pStyle w:val="Compact"/>
                    <w:jc w:val="center"/>
                  </w:pPr>
                  <w:r>
                    <w:t xml:space="preserve">2026-04-17</w:t>
                  </w:r>
                </w:p>
              </w:tc>
            </w:tr>
            <w:tr>
              <w:tc>
                <w:tcPr/>
                <w:p>
                  <w:pPr>
                    <w:pStyle w:val="Compact"/>
                    <w:jc w:val="center"/>
                  </w:pPr>
                  <w:r>
                    <w:t xml:space="preserve">S-VF-SDM</w:t>
                  </w:r>
                </w:p>
              </w:tc>
              <w:tc>
                <w:tcPr/>
                <w:p>
                  <w:pPr>
                    <w:pStyle w:val="Compact"/>
                    <w:jc w:val="center"/>
                  </w:pPr>
                  <w:r>
                    <w:t xml:space="preserve">Small-Virus Retentive Filtration</w:t>
                  </w:r>
                </w:p>
              </w:tc>
              <w:tc>
                <w:tcPr/>
                <w:p>
                  <w:pPr>
                    <w:pStyle w:val="Compact"/>
                    <w:jc w:val="center"/>
                  </w:pPr>
                  <w:r>
                    <w:t xml:space="preserve">scale-down model qualification</w:t>
                  </w:r>
                </w:p>
              </w:tc>
              <w:tc>
                <w:tcPr/>
                <w:p>
                  <w:pPr>
                    <w:pStyle w:val="Compact"/>
                    <w:jc w:val="center"/>
                  </w:pPr>
                  <w:r>
                    <w:t xml:space="preserve">2026-04-15</w:t>
                  </w:r>
                </w:p>
              </w:tc>
              <w:tc>
                <w:tcPr/>
                <w:p>
                  <w:pPr>
                    <w:pStyle w:val="Compact"/>
                    <w:jc w:val="center"/>
                  </w:pPr>
                  <w:r>
                    <w:t xml:space="preserve">2026-04-24</w:t>
                  </w:r>
                </w:p>
              </w:tc>
            </w:tr>
            <w:tr>
              <w:tc>
                <w:tcPr/>
                <w:p>
                  <w:pPr>
                    <w:pStyle w:val="Compact"/>
                    <w:jc w:val="center"/>
                  </w:pPr>
                  <w:r>
                    <w:t xml:space="preserve">S-VF-DOE</w:t>
                  </w:r>
                </w:p>
              </w:tc>
              <w:tc>
                <w:tcPr/>
                <w:p>
                  <w:pPr>
                    <w:pStyle w:val="Compact"/>
                    <w:jc w:val="center"/>
                  </w:pPr>
                  <w:r>
                    <w:t xml:space="preserve">Small-Virus Retentive Filtration</w:t>
                  </w:r>
                </w:p>
              </w:tc>
              <w:tc>
                <w:tcPr/>
                <w:p>
                  <w:pPr>
                    <w:pStyle w:val="Compact"/>
                    <w:jc w:val="center"/>
                  </w:pPr>
                  <w:r>
                    <w:t xml:space="preserve">screening design</w:t>
                  </w:r>
                </w:p>
              </w:tc>
              <w:tc>
                <w:tcPr/>
                <w:p>
                  <w:pPr>
                    <w:pStyle w:val="Compact"/>
                    <w:jc w:val="center"/>
                  </w:pPr>
                  <w:r>
                    <w:t xml:space="preserve">2026-04-27</w:t>
                  </w:r>
                </w:p>
              </w:tc>
              <w:tc>
                <w:tcPr/>
                <w:p>
                  <w:pPr>
                    <w:pStyle w:val="Compact"/>
                    <w:jc w:val="center"/>
                  </w:pPr>
                  <w:r>
                    <w:t xml:space="preserve">2026-05-05</w:t>
                  </w:r>
                </w:p>
              </w:tc>
            </w:tr>
            <w:tr>
              <w:tc>
                <w:tcPr/>
                <w:p>
                  <w:pPr>
                    <w:pStyle w:val="Compact"/>
                    <w:jc w:val="center"/>
                  </w:pPr>
                  <w:r>
                    <w:t xml:space="preserve">S-VF-RSM</w:t>
                  </w:r>
                </w:p>
              </w:tc>
              <w:tc>
                <w:tcPr/>
                <w:p>
                  <w:pPr>
                    <w:pStyle w:val="Compact"/>
                    <w:jc w:val="center"/>
                  </w:pPr>
                  <w:r>
                    <w:t xml:space="preserve">Small-Virus Retentive Filtration</w:t>
                  </w:r>
                </w:p>
              </w:tc>
              <w:tc>
                <w:tcPr/>
                <w:p>
                  <w:pPr>
                    <w:pStyle w:val="Compact"/>
                    <w:jc w:val="center"/>
                  </w:pPr>
                  <w:r>
                    <w:t xml:space="preserve">response-surface design</w:t>
                  </w:r>
                </w:p>
              </w:tc>
              <w:tc>
                <w:tcPr/>
                <w:p>
                  <w:pPr>
                    <w:pStyle w:val="Compact"/>
                    <w:jc w:val="center"/>
                  </w:pPr>
                  <w:r>
                    <w:t xml:space="preserve">2026-05-06</w:t>
                  </w:r>
                </w:p>
              </w:tc>
              <w:tc>
                <w:tcPr/>
                <w:p>
                  <w:pPr>
                    <w:pStyle w:val="Compact"/>
                    <w:jc w:val="center"/>
                  </w:pPr>
                  <w:r>
                    <w:t xml:space="preserve">2026-05-15</w:t>
                  </w:r>
                </w:p>
              </w:tc>
            </w:tr>
            <w:tr>
              <w:tc>
                <w:tcPr/>
                <w:p>
                  <w:pPr>
                    <w:pStyle w:val="Compact"/>
                    <w:jc w:val="center"/>
                  </w:pPr>
                  <w:r>
                    <w:t xml:space="preserve">S-BRX-AUG</w:t>
                  </w:r>
                </w:p>
              </w:tc>
              <w:tc>
                <w:tcPr/>
                <w:p>
                  <w:pPr>
                    <w:pStyle w:val="Compact"/>
                    <w:jc w:val="center"/>
                  </w:pPr>
                  <w:r>
                    <w:t xml:space="preserve">Production Bioreactor</w:t>
                  </w:r>
                </w:p>
              </w:tc>
              <w:tc>
                <w:tcPr/>
                <w:p>
                  <w:pPr>
                    <w:pStyle w:val="Compact"/>
                    <w:jc w:val="center"/>
                  </w:pPr>
                  <w:r>
                    <w:t xml:space="preserve">design augmentation</w:t>
                  </w:r>
                </w:p>
              </w:tc>
              <w:tc>
                <w:tcPr/>
                <w:p>
                  <w:pPr>
                    <w:pStyle w:val="Compact"/>
                    <w:jc w:val="center"/>
                  </w:pPr>
                  <w:r>
                    <w:t xml:space="preserve">2026-09-03</w:t>
                  </w:r>
                </w:p>
              </w:tc>
              <w:tc>
                <w:tcPr/>
                <w:p>
                  <w:pPr>
                    <w:pStyle w:val="Compact"/>
                    <w:jc w:val="center"/>
                  </w:pPr>
                  <w:r>
                    <w:t xml:space="preserve">2026-09-24</w:t>
                  </w:r>
                </w:p>
              </w:tc>
            </w:tr>
            <w:tr>
              <w:tc>
                <w:tcPr/>
                <w:p>
                  <w:pPr>
                    <w:pStyle w:val="Compact"/>
                    <w:jc w:val="center"/>
                  </w:pPr>
                  <w:r>
                    <w:t xml:space="preserve">S-PA-SDM2</w:t>
                  </w:r>
                </w:p>
              </w:tc>
              <w:tc>
                <w:tcPr/>
                <w:p>
                  <w:pPr>
                    <w:pStyle w:val="Compact"/>
                    <w:jc w:val="center"/>
                  </w:pPr>
                  <w:r>
                    <w:t xml:space="preserve">Protein A Chromatography</w:t>
                  </w:r>
                </w:p>
              </w:tc>
              <w:tc>
                <w:tcPr/>
                <w:p>
                  <w:pPr>
                    <w:pStyle w:val="Compact"/>
                    <w:jc w:val="center"/>
                  </w:pPr>
                  <w:r>
                    <w:t xml:space="preserve">scale-down model qualification</w:t>
                  </w:r>
                </w:p>
              </w:tc>
              <w:tc>
                <w:tcPr/>
                <w:p>
                  <w:pPr>
                    <w:pStyle w:val="Compact"/>
                    <w:jc w:val="center"/>
                  </w:pPr>
                  <w:r>
                    <w:t xml:space="preserve">2026-09-07</w:t>
                  </w:r>
                </w:p>
              </w:tc>
              <w:tc>
                <w:tcPr/>
                <w:p>
                  <w:pPr>
                    <w:pStyle w:val="Compact"/>
                    <w:jc w:val="center"/>
                  </w:pPr>
                  <w:r>
                    <w:t xml:space="preserve">2026-09-11</w:t>
                  </w:r>
                </w:p>
              </w:tc>
            </w:tr>
            <w:tr>
              <w:tc>
                <w:tcPr/>
                <w:p>
                  <w:pPr>
                    <w:pStyle w:val="Compact"/>
                    <w:jc w:val="center"/>
                  </w:pPr>
                  <w:r>
                    <w:t xml:space="preserve">S-AEX-AUG</w:t>
                  </w:r>
                </w:p>
              </w:tc>
              <w:tc>
                <w:tcPr/>
                <w:p>
                  <w:pPr>
                    <w:pStyle w:val="Compact"/>
                    <w:jc w:val="center"/>
                  </w:pPr>
                  <w:r>
                    <w:t xml:space="preserve">Anion Exchange Chromatography</w:t>
                  </w:r>
                </w:p>
              </w:tc>
              <w:tc>
                <w:tcPr/>
                <w:p>
                  <w:pPr>
                    <w:pStyle w:val="Compact"/>
                    <w:jc w:val="center"/>
                  </w:pPr>
                  <w:r>
                    <w:t xml:space="preserve">design augmentation</w:t>
                  </w:r>
                </w:p>
              </w:tc>
              <w:tc>
                <w:tcPr/>
                <w:p>
                  <w:pPr>
                    <w:pStyle w:val="Compact"/>
                    <w:jc w:val="center"/>
                  </w:pPr>
                  <w:r>
                    <w:t xml:space="preserve">2026-09-21</w:t>
                  </w:r>
                </w:p>
              </w:tc>
              <w:tc>
                <w:tcPr/>
                <w:p>
                  <w:pPr>
                    <w:pStyle w:val="Compact"/>
                    <w:jc w:val="center"/>
                  </w:pPr>
                  <w:r>
                    <w:t xml:space="preserve">2026-09-24</w:t>
                  </w:r>
                </w:p>
              </w:tc>
            </w:tr>
          </w:tbl>
          <w:bookmarkEnd w:id="58"/>
          <w:p/>
        </w:tc>
      </w:tr>
    </w:tbl>
    <w:bookmarkEnd w:id="59"/>
    <w:bookmarkStart w:id="61" w:name="sec-approvals"/>
    <w:p>
      <w:pPr>
        <w:pStyle w:val="Heading1"/>
      </w:pPr>
      <w:r>
        <w:t xml:space="preserve">10. Approvals</w:t>
      </w:r>
    </w:p>
    <w:p>
      <w:pPr>
        <w:pStyle w:val="FirstParagraph"/>
      </w:pPr>
      <w:r>
        <w:t xml:space="preserve">This plan is approved by the functions listed in the approval record at the front of this document, and each step plan is approved by the same functions.</w:t>
      </w:r>
    </w:p>
    <w:tbl>
      <w:tblPr>
        <w:tblStyle w:val="Table"/>
        <w:tblW w:type="pct" w:w="5000"/>
        <w:tblLayout w:type="fixed"/>
        <w:tblLook w:firstRow="0" w:lastRow="0" w:firstColumn="0" w:lastColumn="0" w:noHBand="0" w:noVBand="0" w:val="0000"/>
      </w:tblPr>
      <w:tblGrid>
        <w:gridCol w:w="7920"/>
      </w:tblGrid>
      <w:tr>
        <w:tc>
          <w:tcPr/>
          <w:bookmarkStart w:id="60" w:name="tbl-approval-roles"/>
          <w:p>
            <w:pPr>
              <w:jc w:val="center"/>
            </w:pPr>
            <w:pPr>
              <w:jc w:val="start"/>
              <w:spacing w:before="200"/>
              <w:pStyle w:val="ImageCaption"/>
            </w:pPr>
            <w:r>
              <w:t xml:space="preserve">Table 14: Responsibilities of the approving functions.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Function</w:t>
                  </w:r>
                </w:p>
              </w:tc>
              <w:tc>
                <w:tcPr/>
                <w:p>
                  <w:pPr>
                    <w:pStyle w:val="Compact"/>
                    <w:jc w:val="center"/>
                  </w:pPr>
                  <w:r>
                    <w:t xml:space="preserve">Responsibility for this plan</w:t>
                  </w:r>
                </w:p>
              </w:tc>
            </w:tr>
            <w:tr>
              <w:tc>
                <w:tcPr/>
                <w:p>
                  <w:pPr>
                    <w:pStyle w:val="Compact"/>
                    <w:jc w:val="center"/>
                  </w:pPr>
                  <w:r>
                    <w:t xml:space="preserve">Process Development / MSAT</w:t>
                  </w:r>
                </w:p>
              </w:tc>
              <w:tc>
                <w:tcPr/>
                <w:p>
                  <w:pPr>
                    <w:pStyle w:val="Compact"/>
                    <w:jc w:val="center"/>
                  </w:pPr>
                  <w:r>
                    <w:t xml:space="preserve">Author. Owns the strategy, the designs and the acceptance framework</w:t>
                  </w:r>
                </w:p>
              </w:tc>
            </w:tr>
            <w:tr>
              <w:tc>
                <w:tcPr/>
                <w:p>
                  <w:pPr>
                    <w:pStyle w:val="Compact"/>
                    <w:jc w:val="center"/>
                  </w:pPr>
                  <w:r>
                    <w:t xml:space="preserve">Analytical Development</w:t>
                  </w:r>
                </w:p>
              </w:tc>
              <w:tc>
                <w:tcPr/>
                <w:p>
                  <w:pPr>
                    <w:pStyle w:val="Compact"/>
                    <w:jc w:val="center"/>
                  </w:pPr>
                  <w:r>
                    <w:t xml:space="preserve">Methods, method validations and the fragment method decision</w:t>
                  </w:r>
                </w:p>
              </w:tc>
            </w:tr>
            <w:tr>
              <w:tc>
                <w:tcPr/>
                <w:p>
                  <w:pPr>
                    <w:pStyle w:val="Compact"/>
                    <w:jc w:val="center"/>
                  </w:pPr>
                  <w:r>
                    <w:t xml:space="preserve">Manufacturing Science</w:t>
                  </w:r>
                </w:p>
              </w:tc>
              <w:tc>
                <w:tcPr/>
                <w:p>
                  <w:pPr>
                    <w:pStyle w:val="Compact"/>
                    <w:jc w:val="center"/>
                  </w:pPr>
                  <w:r>
                    <w:t xml:space="preserve">Scale-down model qualification and transfer to the receiving site</w:t>
                  </w:r>
                </w:p>
              </w:tc>
            </w:tr>
            <w:tr>
              <w:tc>
                <w:tcPr/>
                <w:p>
                  <w:pPr>
                    <w:pStyle w:val="Compact"/>
                    <w:jc w:val="center"/>
                  </w:pPr>
                  <w:r>
                    <w:t xml:space="preserve">Statistics</w:t>
                  </w:r>
                </w:p>
              </w:tc>
              <w:tc>
                <w:tcPr/>
                <w:p>
                  <w:pPr>
                    <w:pStyle w:val="Compact"/>
                    <w:jc w:val="center"/>
                  </w:pPr>
                  <w:r>
                    <w:t xml:space="preserve">Designs, models, PAR analysis and the integrated model</w:t>
                  </w:r>
                </w:p>
              </w:tc>
            </w:tr>
            <w:tr>
              <w:tc>
                <w:tcPr/>
                <w:p>
                  <w:pPr>
                    <w:pStyle w:val="Compact"/>
                    <w:jc w:val="center"/>
                  </w:pPr>
                  <w:r>
                    <w:t xml:space="preserve">Quality Assurance</w:t>
                  </w:r>
                </w:p>
              </w:tc>
              <w:tc>
                <w:tcPr/>
                <w:p>
                  <w:pPr>
                    <w:pStyle w:val="Compact"/>
                    <w:jc w:val="center"/>
                  </w:pPr>
                  <w:r>
                    <w:t xml:space="preserve">Approval, and closure of the actions from INV-001</w:t>
                  </w:r>
                </w:p>
              </w:tc>
            </w:tr>
          </w:tbl>
          <w:bookmarkEnd w:id="60"/>
          <w:p/>
        </w:tc>
      </w:tr>
    </w:tbl>
    <w:bookmarkEnd w:id="61"/>
    <w:bookmarkStart w:id="68" w:name="references"/>
    <w:p>
      <w:pPr>
        <w:pStyle w:val="Heading1"/>
      </w:pPr>
      <w:r>
        <w:t xml:space="preserve">References</w:t>
      </w:r>
    </w:p>
    <w:bookmarkStart w:id="67" w:name="refs"/>
    <w:bookmarkStart w:id="62"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62"/>
    <w:bookmarkStart w:id="63" w:name="ref-ichq8"/>
    <w:p>
      <w:pPr>
        <w:pStyle w:val="Bibliography"/>
      </w:pPr>
      <w:r>
        <w:t xml:space="preserve">International Council for Harmonisation. 2009.</w:t>
      </w:r>
      <w:r>
        <w:t xml:space="preserve"> </w:t>
      </w:r>
      <w:r>
        <w:t xml:space="preserve">“ICH Q8(R2): Pharmaceutical Development.”</w:t>
      </w:r>
      <w:r>
        <w:t xml:space="preserve"> </w:t>
      </w:r>
      <w:r>
        <w:t xml:space="preserve">ICH.</w:t>
      </w:r>
    </w:p>
    <w:bookmarkEnd w:id="63"/>
    <w:bookmarkStart w:id="64" w:name="ref-ichq11"/>
    <w:p>
      <w:pPr>
        <w:pStyle w:val="Bibliography"/>
      </w:pPr>
      <w:r>
        <w:t xml:space="preserve">———. 2012.</w:t>
      </w:r>
      <w:r>
        <w:t xml:space="preserve"> </w:t>
      </w:r>
      <w:r>
        <w:t xml:space="preserve">“ICH Q11: Development and Manufacture of Drug Substances.”</w:t>
      </w:r>
      <w:r>
        <w:t xml:space="preserve"> </w:t>
      </w:r>
      <w:r>
        <w:t xml:space="preserve">ICH.</w:t>
      </w:r>
    </w:p>
    <w:bookmarkEnd w:id="64"/>
    <w:bookmarkStart w:id="65" w:name="ref-ichq5a"/>
    <w:p>
      <w:pPr>
        <w:pStyle w:val="Bibliography"/>
      </w:pPr>
      <w:r>
        <w:t xml:space="preserve">———. 2023.</w:t>
      </w:r>
      <w:r>
        <w:t xml:space="preserve"> </w:t>
      </w:r>
      <w:r>
        <w:t xml:space="preserve">“ICH Q5A(R2): Viral Safety Evaluation of Biotechnology Products Derived from Cell Lines of Human or Animal Origin.”</w:t>
      </w:r>
      <w:r>
        <w:t xml:space="preserve"> </w:t>
      </w:r>
      <w:r>
        <w:t xml:space="preserve">ICH.</w:t>
      </w:r>
    </w:p>
    <w:bookmarkEnd w:id="65"/>
    <w:bookmarkStart w:id="66"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66"/>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Master Plan</dc:title>
  <dc:creator>Process Development / Manufacturing Science &amp; Technology (MSAT)</dc:creator>
  <cp:keywords/>
  <dcterms:created xsi:type="dcterms:W3CDTF">2026-10-08T21:07:36Z</dcterms:created>
  <dcterms:modified xsi:type="dcterms:W3CDTF">2026-10-08T21:07:36Z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PCMP-001</vt:lpwstr>
  </property>
  <property fmtid="{D5CDD505-2E9C-101B-9397-08002B2CF9AE}" pid="15" name="tbl-cap-location">
    <vt:lpwstr>top</vt:lpwstr>
  </property>
  <property fmtid="{D5CDD505-2E9C-101B-9397-08002B2CF9AE}" pid="16" name="toc-title">
    <vt:lpwstr>Table of contents</vt:lpwstr>
  </property>
</Properties>
</file>