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6.png" ContentType="image/png"/>
  <Override PartName="/word/media/rId45.png" ContentType="image/png"/>
  <Override PartName="/word/media/rId49.png" ContentType="image/png"/>
  <Override PartName="/word/media/rId78.png" ContentType="image/png"/>
  <Override PartName="/word/media/rId70.png" ContentType="image/png"/>
  <Override PartName="/word/media/rId74.png" ContentType="image/png"/>
  <Override PartName="/word/media/rId62.png" ContentType="image/png"/>
  <Override PartName="/word/media/rId6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Process Characterization Report</w:t>
      </w:r>
    </w:p>
    <w:p>
      <w:pPr>
        <w:pStyle w:val="Subtitle"/>
      </w:pPr>
      <w:r>
        <w:t xml:space="preserve">A-Mab Drug Substance — Production Bioreactor (Step 3) — PCR-003</w:t>
      </w:r>
    </w:p>
    <w:p>
      <w:pPr>
        <w:pStyle w:val="Author"/>
      </w:pPr>
      <w:r>
        <w:t xml:space="preserve">Process Development / Manufacturing Science &amp; Technology (MSAT)</w:t>
      </w:r>
    </w:p>
    <w:p>
      <w:pPr>
        <w:pStyle w:val="Date"/>
      </w:pPr>
      <w:r>
        <w:t xml:space="preserve">2026-07-24</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PCR-003</w:t>
            </w:r>
          </w:p>
        </w:tc>
      </w:tr>
      <w:tr>
        <w:tc>
          <w:tcPr/>
          <w:p>
            <w:pPr>
              <w:pStyle w:val="Compact"/>
              <w:jc w:val="left"/>
            </w:pPr>
            <w:r>
              <w:t xml:space="preserve">Document class</w:t>
            </w:r>
          </w:p>
        </w:tc>
        <w:tc>
          <w:tcPr/>
          <w:p>
            <w:pPr>
              <w:pStyle w:val="Compact"/>
              <w:jc w:val="left"/>
            </w:pPr>
            <w:r>
              <w:t xml:space="preserve">Process Characterization Report</w:t>
            </w:r>
          </w:p>
        </w:tc>
      </w:tr>
      <w:tr>
        <w:tc>
          <w:tcPr/>
          <w:p>
            <w:pPr>
              <w:pStyle w:val="Compact"/>
              <w:jc w:val="left"/>
            </w:pPr>
            <w:r>
              <w:t xml:space="preserve">Title</w:t>
            </w:r>
          </w:p>
        </w:tc>
        <w:tc>
          <w:tcPr/>
          <w:p>
            <w:pPr>
              <w:pStyle w:val="Compact"/>
              <w:jc w:val="left"/>
            </w:pPr>
            <w:r>
              <w:t xml:space="preserve">Process Characterization Report: Production Bioreactor (Step 3)</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2026-07-24</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Manufacturing Science &amp; Technology (MSAT)</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10"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9" w:name="tbl-appr"/>
          <w:p>
            <w:pPr>
              <w:jc w:val="center"/>
            </w:pPr>
            <w:pPr>
              <w:jc w:val="lef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Process Development / MSAT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Quality Assurance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9"/>
          <w:p/>
        </w:tc>
      </w:tr>
    </w:tbl>
    <w:bookmarkEnd w:id="10"/>
    <w:bookmarkStart w:id="11" w:name="abbreviations"/>
    <w:p>
      <w:pPr>
        <w:pStyle w:val="Heading2"/>
      </w:pPr>
      <w:r>
        <w:t xml:space="preserve">Abbreviations</w:t>
      </w:r>
    </w:p>
    <w:p>
      <w:pPr>
        <w:pStyle w:val="FirstParagraph"/>
      </w:pPr>
      <w:r>
        <w:t xml:space="preserve">2-AB, 2-aminobenzamide; ADCC, antibody-dependent cell-mediated cytotoxicity; AMV, analytical method validation; ANOVA, analysis of variance; BLA, Biologics License Application; CCD, central composite design; Cpk, one-sided process capability index; CPP, critical process parameter; CQA, critical quality attribute; DoE, design of experiments; DS, drug substance; ELISA, enzyme-linked immunosorbent assay; GPP, general process parameter; HCP, host cell protein; HILIC, hydrophilic interaction liquid chromatography; HMW, high molecular weight; icIEF, imaged capillary isoelectric focusing; IgG1, immunoglobulin G subclass 1; KPP, key process parameter; MSAT, Manufacturing Science and Technology; MVM, minute virus of mice; NOR, normal operating range; PAR, proven acceptable range; pCO₂, dissolved carbon dioxide partial pressure; PPQ, process performance qualification; QbD, quality by design; qPCR, quantitative polymerase chain reaction; RSM, response-surface methodology; SD, standard deviation; SDM, scale-down model; SEC-HPLC, size-exclusion high-performance liquid chromatography; SOP, standard operating procedure; UPLC, ultra-performance liquid chromatography; WC-CPP, well-controlled critical process parameter; XMuLV, xenotropic murine leukaemia virus.</w:t>
      </w:r>
    </w:p>
    <w:p>
      <w:r>
        <w:br w:type="page"/>
      </w:r>
    </w:p>
    <w:bookmarkEnd w:id="11"/>
    <w:bookmarkStart w:id="12" w:name="executive-summary"/>
    <w:p>
      <w:pPr>
        <w:pStyle w:val="Heading1"/>
      </w:pPr>
      <w:r>
        <w:t xml:space="preserve">Executive summary</w:t>
      </w:r>
    </w:p>
    <w:p>
      <w:pPr>
        <w:pStyle w:val="FirstParagraph"/>
      </w:pPr>
      <w:r>
        <w:t xml:space="preserve">The production bioreactor is the step at which A-Mab acquires its glycan, charge-variant and aggregate quality attributes. No later step in the drug-substance process modifies the glycan profile, so the operating region defined here fixes those attributes for the product. This report is the record of the characterization study executed under PCP-003 in a qualified scale-down model, and it supports the transfer of the drug-substance process from Cambridge to Grafton (PTP-001). The approach follows the lifecycle model for process validation</w:t>
      </w:r>
      <w:r>
        <w:t xml:space="preserve"> </w:t>
      </w:r>
      <w:r>
        <w:t xml:space="preserve">(U.S. Food and Drug Administration 2011)</w:t>
      </w:r>
      <w:r>
        <w:t xml:space="preserve"> </w:t>
      </w:r>
      <w:r>
        <w:t xml:space="preserve">and the enhanced development approach of ICH Q8 and ICH Q11, with criticality treated as a continuum in the manner of the A-Mab case study</w:t>
      </w:r>
      <w:r>
        <w:t xml:space="preserve"> </w:t>
      </w:r>
      <w:r>
        <w:t xml:space="preserve">(CMC Biotech Working Group 2009; International Council for Harmonisation 2023b)</w:t>
      </w:r>
      <w:r>
        <w:t xml:space="preserve">.</w:t>
      </w:r>
    </w:p>
    <w:p>
      <w:pPr>
        <w:pStyle w:val="BodyText"/>
      </w:pPr>
      <w:r>
        <w:t xml:space="preserve">9 process parameters were characterized, of which 5 were studied together in a screening design of 19 runs and a response-surface design of 28 runs, while the remaining 4 were assessed one at a time. 5 parameters are classified as well-controlled critical process parameters, 3 as key process parameters and 1 as a general process parameter. No parameter at this step required the most stringent classification (§9).</w:t>
      </w:r>
    </w:p>
    <w:p>
      <w:pPr>
        <w:pStyle w:val="BodyText"/>
      </w:pPr>
      <w:r>
        <w:t xml:space="preserve">The step sets 7 quality attributes, 4 of which are critical (</w:t>
      </w:r>
      <w:hyperlink w:anchor="tbl-cqa">
        <w:r>
          <w:rPr>
            <w:rStyle w:val="Hyperlink"/>
          </w:rPr>
          <w:t xml:space="preserve">Table 3</w:t>
        </w:r>
      </w:hyperlink>
      <w:r>
        <w:t xml:space="preserve">), and five of them were measured as responses in the designed experiments. The response-surface models are adequate for all five, with coefficients of determination from 0.91 to 0.97, an adjusted value no lower than 0.81, and no significant lack of fit against the centre-point pure error (</w:t>
      </w:r>
      <w:hyperlink w:anchor="tbl-rsmfit">
        <w:r>
          <w:rPr>
            <w:rStyle w:val="Hyperlink"/>
          </w:rPr>
          <w:t xml:space="preserve">Table 9</w:t>
        </w:r>
      </w:hyperlink>
      <w:r>
        <w:t xml:space="preserve">). Those models, and not the screening fit, are the basis of the design space in §6.</w:t>
      </w:r>
    </w:p>
    <w:p>
      <w:pPr>
        <w:pStyle w:val="BodyText"/>
      </w:pPr>
      <w:r>
        <w:t xml:space="preserve">One corner of the characterized region is excluded from the design space. Where culture pH, dissolved carbon dioxide and culture duration are all at their low edges and temperature is at its high edge, galactosylation is predicted at 40.3 %, which is above its upper limit of 40.0 %. The exceedance was observed as well as predicted, in 1 run of the screening design and 1 run of the response-surface design. The corner lies far outside the normal operating ranges, and within those ranges the worst predicted galactosylation is 31.8 %, leaving a margin of 8.2 percentage points to the limit.</w:t>
      </w:r>
    </w:p>
    <w:p>
      <w:pPr>
        <w:pStyle w:val="BodyText"/>
      </w:pPr>
      <w:r>
        <w:t xml:space="preserve">Commercial-scale capability was estimated by Monte-Carlo simulation of 2,000 batches operated within the normal operating ranges. Every attribute formed at this step meets its acceptance criterion. The tightest capability is 1.94 for High Mannose, whose mean sits 2.99 percentage points above its lower limit; the widest is 16.1 for Aggregates (HMW).</w:t>
      </w:r>
    </w:p>
    <w:p>
      <w:pPr>
        <w:pStyle w:val="BodyText"/>
      </w:pPr>
      <w:r>
        <w:t xml:space="preserve">2 deviations were recorded during execution. Both were investigated, impact-assessed and retained, and neither altered a fitted effect, a parameter classification or the boundary of the operating region (§13).</w:t>
      </w:r>
    </w:p>
    <w:p>
      <w:pPr>
        <w:pStyle w:val="BodyText"/>
      </w:pPr>
      <w:r>
        <w:t xml:space="preserve">The step does not clear any impurity, since host cell protein and residual DNA are generated by the culture and removed downstream, with their drug-substance capability credited to Protein A chromatography (PCR-005), cation exchange (PCR-007) and anion exchange (PCR-008). No viral clearance is claimed for the production bioreactor. The results of this study roll up into the master report PCMR-001.</w:t>
      </w:r>
    </w:p>
    <w:bookmarkEnd w:id="12"/>
    <w:bookmarkStart w:id="17" w:name="introduction"/>
    <w:p>
      <w:pPr>
        <w:pStyle w:val="Heading1"/>
      </w:pPr>
      <w:r>
        <w:t xml:space="preserve">1. Introduction</w:t>
      </w:r>
    </w:p>
    <w:bookmarkStart w:id="13" w:name="product-and-unit-operation"/>
    <w:p>
      <w:pPr>
        <w:pStyle w:val="Heading2"/>
      </w:pPr>
      <w:r>
        <w:t xml:space="preserve">1.1 Product and unit operation</w:t>
      </w:r>
    </w:p>
    <w:p>
      <w:pPr>
        <w:pStyle w:val="FirstParagraph"/>
      </w:pPr>
      <w:r>
        <w:t xml:space="preserve">A-Mab is a humanized IgG1 monoclonal antibody whose principal mechanism of action is antibody-dependent cell-mediated cytotoxicity (ADCC). Two of its glycan attributes, afucosylation and galactosylation, modulate that activity directly, and a third, high mannose, is linked to clearance. The drug substance is produced by fed-batch culture and purified on a platform train of Protein A chromatography, low-pH viral inactivation, cation exchange, anion exchange, small-virus retentive filtration and ultrafiltration with diafiltration (Steps 5 to 10).</w:t>
      </w:r>
    </w:p>
    <w:p>
      <w:pPr>
        <w:pStyle w:val="BodyText"/>
      </w:pPr>
      <w:r>
        <w:t xml:space="preserve">The production bioreactor is the third step of that train. Cells from the N-1 seed bioreactor are inoculated into basal medium, and the culture is fed and controlled to fixed set-points for pH, temperature, dissolved oxygen and dissolved carbon dioxide until harvest (SOP-2003). The glycan attributes are formed by the glycosyltransferase and glycosidase activities of the cell during that culture, so they are set by the culture environment and by its duration. Aggregate and charge variants are formed by the same culture, principally through the time the product spends in the vessel at the prevailing pH and temperature.</w:t>
      </w:r>
    </w:p>
    <w:p>
      <w:pPr>
        <w:pStyle w:val="BodyText"/>
      </w:pPr>
      <w:r>
        <w:t xml:space="preserve">The step’s role in the control strategy follows from this, because downstream steps clear impurities and viruses but the platform purification does not modify the distribution of glycosylation variants, and the charge-based steps do not discriminate between them</w:t>
      </w:r>
      <w:r>
        <w:t xml:space="preserve"> </w:t>
      </w:r>
      <w:r>
        <w:t xml:space="preserve">(CMC Biotech Working Group 2009)</w:t>
      </w:r>
      <w:r>
        <w:t xml:space="preserve">. The quality attributes formed here are therefore controlled here, and the operating region defined in §6 is the principal control for them.</w:t>
      </w:r>
    </w:p>
    <w:p>
      <w:pPr>
        <w:pStyle w:val="BodyText"/>
      </w:pPr>
      <w:r>
        <w:t xml:space="preserve">7 quality attributes are attributed to this step. Five of them are formed in the culture and were measured as responses in the designed experiments. The other two, host cell protein and residual DNA, are process impurities that the culture generates and that later steps remove.</w:t>
      </w:r>
    </w:p>
    <w:bookmarkEnd w:id="13"/>
    <w:bookmarkStart w:id="14" w:name="objectives"/>
    <w:p>
      <w:pPr>
        <w:pStyle w:val="Heading2"/>
      </w:pPr>
      <w:r>
        <w:t xml:space="preserve">1.2 Objectives</w:t>
      </w:r>
    </w:p>
    <w:p>
      <w:pPr>
        <w:pStyle w:val="FirstParagraph"/>
      </w:pPr>
      <w:r>
        <w:t xml:space="preserve">The objectives of the study were:</w:t>
      </w:r>
    </w:p>
    <w:p>
      <w:pPr>
        <w:numPr>
          <w:ilvl w:val="0"/>
          <w:numId w:val="1001"/>
        </w:numPr>
      </w:pPr>
      <w:r>
        <w:t xml:space="preserve">to quantify the relationship between each characterized process parameter and the quality attributes formed at this step, over ranges wider than the routine control ranges;</w:t>
      </w:r>
    </w:p>
    <w:p>
      <w:pPr>
        <w:numPr>
          <w:ilvl w:val="0"/>
          <w:numId w:val="1001"/>
        </w:numPr>
      </w:pPr>
      <w:r>
        <w:t xml:space="preserve">to define a multivariate operating region within which those attributes meet their acceptance criteria;</w:t>
      </w:r>
    </w:p>
    <w:p>
      <w:pPr>
        <w:numPr>
          <w:ilvl w:val="0"/>
          <w:numId w:val="1001"/>
        </w:numPr>
      </w:pPr>
      <w:r>
        <w:t xml:space="preserve">to establish proven acceptable ranges for each parameter against each governed attribute;</w:t>
      </w:r>
    </w:p>
    <w:p>
      <w:pPr>
        <w:numPr>
          <w:ilvl w:val="0"/>
          <w:numId w:val="1001"/>
        </w:numPr>
      </w:pPr>
      <w:r>
        <w:t xml:space="preserve">to classify each parameter according to its demonstrated effect and the risk of operating outside the region; and</w:t>
      </w:r>
    </w:p>
    <w:p>
      <w:pPr>
        <w:numPr>
          <w:ilvl w:val="0"/>
          <w:numId w:val="1001"/>
        </w:numPr>
      </w:pPr>
      <w:r>
        <w:t xml:space="preserve">to justify the Stage 2 operating ranges and the contribution of this step to the control strategy for the drug substance.</w:t>
      </w:r>
    </w:p>
    <w:bookmarkEnd w:id="14"/>
    <w:bookmarkStart w:id="16" w:name="regulatory-and-scientific-basis"/>
    <w:p>
      <w:pPr>
        <w:pStyle w:val="Heading2"/>
      </w:pPr>
      <w:r>
        <w:t xml:space="preserve">1.3 Regulatory and scientific basis</w:t>
      </w:r>
    </w:p>
    <w:p>
      <w:pPr>
        <w:pStyle w:val="FirstParagraph"/>
      </w:pPr>
      <w:r>
        <w:t xml:space="preserve">The study is a Stage 1 process design activity in the lifecycle model for process validation</w:t>
      </w:r>
      <w:r>
        <w:t xml:space="preserve"> </w:t>
      </w:r>
      <w:r>
        <w:t xml:space="preserve">(U.S. Food and Drug Administration 2011)</w:t>
      </w:r>
      <w:r>
        <w:t xml:space="preserve">. It follows the enhanced development approach described in ICH Q8 and ICH Q11, in which process understanding is built from prior knowledge and designed experiments, and a design space is proposed on the strength of that understanding</w:t>
      </w:r>
      <w:r>
        <w:t xml:space="preserve"> </w:t>
      </w:r>
      <w:r>
        <w:t xml:space="preserve">(International Council for Harmonisation 2009, 2012)</w:t>
      </w:r>
      <w:r>
        <w:t xml:space="preserve">. Criticality is treated as a continuum in the sense of ICH Q9 and of the A-Mab case study, so attributes are assigned a level of criticality and those at the high and very high levels are called critical</w:t>
      </w:r>
      <w:r>
        <w:t xml:space="preserve"> </w:t>
      </w:r>
      <w:r>
        <w:t xml:space="preserve">(International Council for Harmonisation 2023b; CMC Biotech Working Group 2009)</w:t>
      </w:r>
      <w:r>
        <w:t xml:space="preserve">.</w:t>
      </w:r>
    </w:p>
    <w:p>
      <w:pPr>
        <w:pStyle w:val="BodyText"/>
      </w:pPr>
      <w:r>
        <w:t xml:space="preserve">No viral clearance claim is made for this step, because the viral safety of the drug substance rests on the modular clearance evaluated at low-pH inactivation (PCR-006), anion exchange (PCR-008) and small-virus retentive filtration (PCR-009), and is consolidated in PCMR-001 under ICH Q5A</w:t>
      </w:r>
      <w:r>
        <w:t xml:space="preserve"> </w:t>
      </w:r>
      <w:r>
        <w:t xml:space="preserve">(International Council for Harmonisation 2023a)</w:t>
      </w:r>
      <w:r>
        <w:t xml:space="preserve">.</w:t>
      </w:r>
    </w:p>
    <w:p>
      <w:pPr>
        <w:pStyle w:val="BodyText"/>
      </w:pPr>
      <w:r>
        <w:t xml:space="preserve">The documents that frame and consume this report are listed in</w:t>
      </w:r>
      <w:r>
        <w:t xml:space="preserve"> </w:t>
      </w:r>
      <w:hyperlink w:anchor="tbl-related">
        <w:r>
          <w:rPr>
            <w:rStyle w:val="Hyperlink"/>
          </w:rPr>
          <w:t xml:space="preserve">Table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5" w:name="tbl-related"/>
          <w:p>
            <w:pPr>
              <w:jc w:val="center"/>
            </w:pPr>
            <w:pPr>
              <w:jc w:val="left"/>
              <w:spacing w:before="200"/>
              <w:pStyle w:val="ImageCaption"/>
            </w:pPr>
            <w:r>
              <w:t xml:space="preserve">Table 2: Related documents in the characterization package.</w:t>
            </w:r>
          </w:p>
          <w:tbl>
            <w:tblPr>
              <w:tblStyle w:val="Table"/>
              <w:tblW w:type="pct" w:w="5000"/>
              <w:tblLayout w:type="fixed"/>
              <w:tblLook w:firstRow="1" w:lastRow="0" w:firstColumn="0" w:lastColumn="0" w:noHBand="0" w:noVBand="0" w:val="0020"/>
            </w:tblPr>
            <w:tblGrid>
              <w:gridCol w:w="981"/>
              <w:gridCol w:w="4516"/>
              <w:gridCol w:w="2421"/>
            </w:tblGrid>
            <w:tr>
              <w:trPr>
                <w:tblHeader w:val="on"/>
              </w:trPr>
              <w:tc>
                <w:tcPr/>
                <w:p>
                  <w:pPr>
                    <w:pStyle w:val="Compact"/>
                    <w:jc w:val="left"/>
                    <w:jc w:val="center"/>
                  </w:pPr>
                  <w:r>
                    <w:t xml:space="preserve">Document ID</w:t>
                  </w:r>
                </w:p>
              </w:tc>
              <w:tc>
                <w:tcPr/>
                <w:p>
                  <w:pPr>
                    <w:pStyle w:val="Compact"/>
                    <w:jc w:val="left"/>
                    <w:jc w:val="center"/>
                  </w:pPr>
                  <w:r>
                    <w:t xml:space="preserve">Title</w:t>
                  </w:r>
                </w:p>
              </w:tc>
              <w:tc>
                <w:tcPr/>
                <w:p>
                  <w:pPr>
                    <w:pStyle w:val="Compact"/>
                    <w:jc w:val="left"/>
                    <w:jc w:val="center"/>
                  </w:pPr>
                  <w:r>
                    <w:t xml:space="preserve">Relationship</w:t>
                  </w:r>
                </w:p>
              </w:tc>
            </w:tr>
            <w:tr>
              <w:tc>
                <w:tcPr/>
                <w:p>
                  <w:pPr>
                    <w:pStyle w:val="Compact"/>
                    <w:jc w:val="left"/>
                    <w:jc w:val="center"/>
                  </w:pPr>
                  <w:r>
                    <w:t xml:space="preserve">PTP-001</w:t>
                  </w:r>
                </w:p>
              </w:tc>
              <w:tc>
                <w:tcPr/>
                <w:p>
                  <w:pPr>
                    <w:pStyle w:val="Compact"/>
                    <w:jc w:val="left"/>
                    <w:jc w:val="center"/>
                  </w:pPr>
                  <w:r>
                    <w:t xml:space="preserve">Process Transfer Plan (A-Mab Drug Substance)</w:t>
                  </w:r>
                </w:p>
              </w:tc>
              <w:tc>
                <w:tcPr/>
                <w:p>
                  <w:pPr>
                    <w:pStyle w:val="Compact"/>
                    <w:jc w:val="left"/>
                    <w:jc w:val="center"/>
                  </w:pPr>
                  <w:r>
                    <w:t xml:space="preserve">Parent — transfer scope</w:t>
                  </w:r>
                </w:p>
              </w:tc>
            </w:tr>
            <w:tr>
              <w:tc>
                <w:tcPr/>
                <w:p>
                  <w:pPr>
                    <w:pStyle w:val="Compact"/>
                    <w:jc w:val="left"/>
                    <w:jc w:val="center"/>
                  </w:pPr>
                  <w:r>
                    <w:t xml:space="preserve">RA-001</w:t>
                  </w:r>
                </w:p>
              </w:tc>
              <w:tc>
                <w:tcPr/>
                <w:p>
                  <w:pPr>
                    <w:pStyle w:val="Compact"/>
                    <w:jc w:val="left"/>
                    <w:jc w:val="center"/>
                  </w:pPr>
                  <w:r>
                    <w:t xml:space="preserve">Pre-Characterization Process Risk Assessment (A-Mab Drug Substance)</w:t>
                  </w:r>
                </w:p>
              </w:tc>
              <w:tc>
                <w:tcPr/>
                <w:p>
                  <w:pPr>
                    <w:pStyle w:val="Compact"/>
                    <w:jc w:val="left"/>
                    <w:jc w:val="center"/>
                  </w:pPr>
                  <w:r>
                    <w:t xml:space="preserve">Parent — risk basis for study scope</w:t>
                  </w:r>
                </w:p>
              </w:tc>
            </w:tr>
            <w:tr>
              <w:tc>
                <w:tcPr/>
                <w:p>
                  <w:pPr>
                    <w:pStyle w:val="Compact"/>
                    <w:jc w:val="left"/>
                    <w:jc w:val="center"/>
                  </w:pPr>
                  <w:r>
                    <w:t xml:space="preserve">PCMP-001</w:t>
                  </w:r>
                </w:p>
              </w:tc>
              <w:tc>
                <w:tcPr/>
                <w:p>
                  <w:pPr>
                    <w:pStyle w:val="Compact"/>
                    <w:jc w:val="left"/>
                    <w:jc w:val="center"/>
                  </w:pPr>
                  <w:r>
                    <w:t xml:space="preserve">Process Characterization Master Plan (A-Mab Drug Substance)</w:t>
                  </w:r>
                </w:p>
              </w:tc>
              <w:tc>
                <w:tcPr/>
                <w:p>
                  <w:pPr>
                    <w:pStyle w:val="Compact"/>
                    <w:jc w:val="left"/>
                    <w:jc w:val="center"/>
                  </w:pPr>
                  <w:r>
                    <w:t xml:space="preserve">Parent — master plan</w:t>
                  </w:r>
                </w:p>
              </w:tc>
            </w:tr>
            <w:tr>
              <w:tc>
                <w:tcPr/>
                <w:p>
                  <w:pPr>
                    <w:pStyle w:val="Compact"/>
                    <w:jc w:val="left"/>
                    <w:jc w:val="center"/>
                  </w:pPr>
                  <w:r>
                    <w:t xml:space="preserve">PCP-003</w:t>
                  </w:r>
                </w:p>
              </w:tc>
              <w:tc>
                <w:tcPr/>
                <w:p>
                  <w:pPr>
                    <w:pStyle w:val="Compact"/>
                    <w:jc w:val="left"/>
                    <w:jc w:val="center"/>
                  </w:pPr>
                  <w:r>
                    <w:t xml:space="preserve">Process Characterization Plan (Production Bioreactor (Step 3))</w:t>
                  </w:r>
                </w:p>
              </w:tc>
              <w:tc>
                <w:tcPr/>
                <w:p>
                  <w:pPr>
                    <w:pStyle w:val="Compact"/>
                    <w:jc w:val="left"/>
                    <w:jc w:val="center"/>
                  </w:pPr>
                  <w:r>
                    <w:t xml:space="preserve">Sibling — paired document</w:t>
                  </w:r>
                </w:p>
              </w:tc>
            </w:tr>
            <w:tr>
              <w:tc>
                <w:tcPr/>
                <w:p>
                  <w:pPr>
                    <w:pStyle w:val="Compact"/>
                    <w:jc w:val="left"/>
                    <w:jc w:val="center"/>
                  </w:pPr>
                  <w:r>
                    <w:t xml:space="preserve">PCMR-001</w:t>
                  </w:r>
                </w:p>
              </w:tc>
              <w:tc>
                <w:tcPr/>
                <w:p>
                  <w:pPr>
                    <w:pStyle w:val="Compact"/>
                    <w:jc w:val="left"/>
                    <w:jc w:val="center"/>
                  </w:pPr>
                  <w:r>
                    <w:t xml:space="preserve">Process Characterization Master Report (A-Mab Drug Substance)</w:t>
                  </w:r>
                </w:p>
              </w:tc>
              <w:tc>
                <w:tcPr/>
                <w:p>
                  <w:pPr>
                    <w:pStyle w:val="Compact"/>
                    <w:jc w:val="left"/>
                    <w:jc w:val="center"/>
                  </w:pPr>
                  <w:r>
                    <w:t xml:space="preserve">Rolls up into</w:t>
                  </w:r>
                </w:p>
              </w:tc>
            </w:tr>
          </w:tbl>
          <w:bookmarkEnd w:id="15"/>
          <w:p/>
        </w:tc>
      </w:tr>
    </w:tbl>
    <w:p>
      <w:pPr>
        <w:pStyle w:val="BodyText"/>
      </w:pPr>
      <w:r>
        <w:t xml:space="preserve">The risk assessment RA-001 set the scope of the study, PCP-003 is the approved protocol it was executed against, and PCMP-001 is the master plan for the campaign. Any departure from PCP-003 is reported in §13.</w:t>
      </w:r>
    </w:p>
    <w:bookmarkEnd w:id="16"/>
    <w:bookmarkEnd w:id="17"/>
    <w:bookmarkStart w:id="22" w:name="prior-knowledge-and-quality-risk-basis"/>
    <w:p>
      <w:pPr>
        <w:pStyle w:val="Heading1"/>
      </w:pPr>
      <w:r>
        <w:t xml:space="preserve">2. Prior knowledge and quality risk basis</w:t>
      </w:r>
    </w:p>
    <w:bookmarkStart w:id="18" w:name="platform-and-prior-product-knowledge"/>
    <w:p>
      <w:pPr>
        <w:pStyle w:val="Heading2"/>
      </w:pPr>
      <w:r>
        <w:t xml:space="preserve">2.1 Platform and prior-product knowledge</w:t>
      </w:r>
    </w:p>
    <w:p>
      <w:pPr>
        <w:pStyle w:val="FirstParagraph"/>
      </w:pPr>
      <w:r>
        <w:t xml:space="preserve">The A-Mab cell culture process is a platform fed-batch process that has produced three previous humanized IgG1 antibodies, X-Mab, Y-Mab and Z-Mab, as well as the A-Mab clinical and engineering material. The medium, feed strategy, control set-points and vessel design are common to those programmes. The behaviour of the platform is therefore known, and the purpose of this study was to confirm and bound that behaviour for A-Mab, not to discover it.</w:t>
      </w:r>
    </w:p>
    <w:p>
      <w:pPr>
        <w:pStyle w:val="BodyText"/>
      </w:pPr>
      <w:r>
        <w:t xml:space="preserve">Prior knowledge sets a mechanistic expectation for each parameter, and the study was designed to test that expectation. Culture pH governs the intracellular pH of the Golgi and the activity of the glycosyltransferases, so it is expected to move all three glycan attributes (afucosylation, galactosylation and high mannose). Culture temperature acts on specific productivity and on the balance between growth and production, and it is expected to move galactosylation, although prior knowledge does not fix the direction of that effect for this cell line. Dissolved carbon dioxide accumulates during fed-batch culture and lowers the intracellular pH, so it is expected to act on galactosylation and on deamidation in the same direction as culture pH. Osmolality rises with feeding and acts on specific productivity. Culture duration sets the total residence time of the product in the vessel, so it is expected to raise aggregate and to lower galactosylation through the accumulation of extracellular glycosidase activity.</w:t>
      </w:r>
    </w:p>
    <w:p>
      <w:pPr>
        <w:pStyle w:val="BodyText"/>
      </w:pPr>
      <w:r>
        <w:t xml:space="preserve">Two of these expectations were carried forward from X-Mab, where the acceptance limits for afucosylation and galactosylation were themselves derived from clinical experience. That lineage is the reason the limits are treated as fixed inputs to this study and not as outcomes of it.</w:t>
      </w:r>
    </w:p>
    <w:bookmarkEnd w:id="18"/>
    <w:bookmarkStart w:id="20" w:name="quality-attributes-in-scope"/>
    <w:p>
      <w:pPr>
        <w:pStyle w:val="Heading2"/>
      </w:pPr>
      <w:r>
        <w:t xml:space="preserve">2.2 Quality attributes in scope</w:t>
      </w:r>
    </w:p>
    <w:p>
      <w:pPr>
        <w:pStyle w:val="FirstParagraph"/>
      </w:pPr>
      <w:r>
        <w:t xml:space="preserve">The quality attributes primarily set by this step are given with their acceptance criteria and assigned criticality (</w:t>
      </w:r>
      <w:hyperlink w:anchor="tbl-cqa">
        <w:r>
          <w:rPr>
            <w:rStyle w:val="Hyperlink"/>
          </w:rPr>
          <w:t xml:space="preserve">Table 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9" w:name="tbl-cqa"/>
          <w:p>
            <w:pPr>
              <w:jc w:val="center"/>
            </w:pPr>
            <w:pPr>
              <w:jc w:val="left"/>
              <w:spacing w:before="200"/>
              <w:pStyle w:val="ImageCaption"/>
            </w:pPr>
            <w:r>
              <w:t xml:space="preserve">Table 3: Quality attributes set at the production bioreactor, with acceptance criteria, criticality and the A-Mab Tool #1 score.</w:t>
            </w:r>
          </w:p>
          <w:tbl>
            <w:tblPr>
              <w:tblStyle w:val="Table"/>
              <w:tblW w:type="pct" w:w="5000"/>
              <w:tblLayout w:type="fixed"/>
              <w:tblLook w:firstRow="1" w:lastRow="0" w:firstColumn="0" w:lastColumn="0" w:noHBand="0" w:noVBand="0" w:val="0020"/>
            </w:tblPr>
            <w:tblGrid>
              <w:gridCol w:w="2839"/>
              <w:gridCol w:w="1344"/>
              <w:gridCol w:w="1793"/>
              <w:gridCol w:w="1120"/>
              <w:gridCol w:w="821"/>
            </w:tblGrid>
            <w:tr>
              <w:trPr>
                <w:tblHeader w:val="on"/>
              </w:trPr>
              <w:tc>
                <w:tcPr/>
                <w:p>
                  <w:pPr>
                    <w:pStyle w:val="Compact"/>
                    <w:jc w:val="left"/>
                    <w:jc w:val="center"/>
                  </w:pPr>
                  <w:r>
                    <w:t xml:space="preserve">CQA</w:t>
                  </w:r>
                </w:p>
              </w:tc>
              <w:tc>
                <w:tcPr/>
                <w:p>
                  <w:pPr>
                    <w:pStyle w:val="Compact"/>
                    <w:jc w:val="left"/>
                    <w:jc w:val="center"/>
                  </w:pPr>
                  <w:r>
                    <w:t xml:space="preserve">Category</w:t>
                  </w:r>
                </w:p>
              </w:tc>
              <w:tc>
                <w:tcPr/>
                <w:p>
                  <w:pPr>
                    <w:pStyle w:val="Compact"/>
                    <w:jc w:val="left"/>
                    <w:jc w:val="center"/>
                  </w:pPr>
                  <w:r>
                    <w:t xml:space="preserve">Acceptance</w:t>
                  </w:r>
                </w:p>
              </w:tc>
              <w:tc>
                <w:tcPr/>
                <w:p>
                  <w:pPr>
                    <w:pStyle w:val="Compact"/>
                    <w:jc w:val="left"/>
                    <w:jc w:val="center"/>
                  </w:pPr>
                  <w:r>
                    <w:t xml:space="preserve">Criticality</w:t>
                  </w:r>
                </w:p>
              </w:tc>
              <w:tc>
                <w:tcPr/>
                <w:p>
                  <w:pPr>
                    <w:pStyle w:val="Compact"/>
                    <w:jc w:val="right"/>
                    <w:jc w:val="center"/>
                  </w:pPr>
                  <w:r>
                    <w:t xml:space="preserve">Tool #1</w:t>
                  </w:r>
                </w:p>
              </w:tc>
            </w:tr>
            <w:tr>
              <w:tc>
                <w:tcPr/>
                <w:p>
                  <w:pPr>
                    <w:pStyle w:val="Compact"/>
                    <w:jc w:val="left"/>
                    <w:jc w:val="center"/>
                  </w:pPr>
                  <w:r>
                    <w:t xml:space="preserve">Afucosylation</w:t>
                  </w:r>
                </w:p>
              </w:tc>
              <w:tc>
                <w:tcPr/>
                <w:p>
                  <w:pPr>
                    <w:pStyle w:val="Compact"/>
                    <w:jc w:val="left"/>
                    <w:jc w:val="center"/>
                  </w:pPr>
                  <w:r>
                    <w:t xml:space="preserve">glycosylation</w:t>
                  </w:r>
                </w:p>
              </w:tc>
              <w:tc>
                <w:tcPr/>
                <w:p>
                  <w:pPr>
                    <w:pStyle w:val="Compact"/>
                    <w:jc w:val="left"/>
                    <w:jc w:val="center"/>
                  </w:pPr>
                  <w:r>
                    <w:t xml:space="preserve">2–13 % of glycans</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Galactosylation (total %Gal)</w:t>
                  </w:r>
                </w:p>
              </w:tc>
              <w:tc>
                <w:tcPr/>
                <w:p>
                  <w:pPr>
                    <w:pStyle w:val="Compact"/>
                    <w:jc w:val="left"/>
                    <w:jc w:val="center"/>
                  </w:pPr>
                  <w:r>
                    <w:t xml:space="preserve">glycosylation</w:t>
                  </w:r>
                </w:p>
              </w:tc>
              <w:tc>
                <w:tcPr/>
                <w:p>
                  <w:pPr>
                    <w:pStyle w:val="Compact"/>
                    <w:jc w:val="left"/>
                    <w:jc w:val="center"/>
                  </w:pPr>
                  <w:r>
                    <w:t xml:space="preserve">10–40 % (G1+G2 equiv.)</w:t>
                  </w:r>
                </w:p>
              </w:tc>
              <w:tc>
                <w:tcPr/>
                <w:p>
                  <w:pPr>
                    <w:pStyle w:val="Compact"/>
                    <w:jc w:val="left"/>
                    <w:jc w:val="center"/>
                  </w:pPr>
                  <w:r>
                    <w:t xml:space="preserve">H</w:t>
                  </w:r>
                </w:p>
              </w:tc>
              <w:tc>
                <w:tcPr/>
                <w:p>
                  <w:pPr>
                    <w:pStyle w:val="Compact"/>
                    <w:jc w:val="right"/>
                    <w:jc w:val="center"/>
                  </w:pPr>
                  <w:r>
                    <w:t xml:space="preserve">48</w:t>
                  </w:r>
                </w:p>
              </w:tc>
            </w:tr>
            <w:tr>
              <w:tc>
                <w:tcPr/>
                <w:p>
                  <w:pPr>
                    <w:pStyle w:val="Compact"/>
                    <w:jc w:val="left"/>
                    <w:jc w:val="center"/>
                  </w:pPr>
                  <w:r>
                    <w:t xml:space="preserve">High Mannose</w:t>
                  </w:r>
                </w:p>
              </w:tc>
              <w:tc>
                <w:tcPr/>
                <w:p>
                  <w:pPr>
                    <w:pStyle w:val="Compact"/>
                    <w:jc w:val="left"/>
                    <w:jc w:val="center"/>
                  </w:pPr>
                  <w:r>
                    <w:t xml:space="preserve">glycosylation</w:t>
                  </w:r>
                </w:p>
              </w:tc>
              <w:tc>
                <w:tcPr/>
                <w:p>
                  <w:pPr>
                    <w:pStyle w:val="Compact"/>
                    <w:jc w:val="left"/>
                    <w:jc w:val="center"/>
                  </w:pPr>
                  <w:r>
                    <w:t xml:space="preserve">3–10 % of glycans</w:t>
                  </w:r>
                </w:p>
              </w:tc>
              <w:tc>
                <w:tcPr/>
                <w:p>
                  <w:pPr>
                    <w:pStyle w:val="Compact"/>
                    <w:jc w:val="left"/>
                    <w:jc w:val="center"/>
                  </w:pPr>
                  <w:r>
                    <w:t xml:space="preserve">VH</w:t>
                  </w:r>
                </w:p>
              </w:tc>
              <w:tc>
                <w:tcPr/>
                <w:p>
                  <w:pPr>
                    <w:pStyle w:val="Compact"/>
                    <w:jc w:val="right"/>
                    <w:jc w:val="center"/>
                  </w:pPr>
                  <w:r>
                    <w:t xml:space="preserve">80</w:t>
                  </w:r>
                </w:p>
              </w:tc>
            </w:tr>
            <w:tr>
              <w:tc>
                <w:tcPr/>
                <w:p>
                  <w:pPr>
                    <w:pStyle w:val="Compact"/>
                    <w:jc w:val="left"/>
                    <w:jc w:val="center"/>
                  </w:pPr>
                  <w:r>
                    <w:t xml:space="preserve">Aggregates (HMW)</w:t>
                  </w:r>
                </w:p>
              </w:tc>
              <w:tc>
                <w:tcPr/>
                <w:p>
                  <w:pPr>
                    <w:pStyle w:val="Compact"/>
                    <w:jc w:val="left"/>
                    <w:jc w:val="center"/>
                  </w:pPr>
                  <w:r>
                    <w:t xml:space="preserve">size variant</w:t>
                  </w:r>
                </w:p>
              </w:tc>
              <w:tc>
                <w:tcPr/>
                <w:p>
                  <w:pPr>
                    <w:pStyle w:val="Compact"/>
                    <w:jc w:val="left"/>
                    <w:jc w:val="center"/>
                  </w:pPr>
                  <w:r>
                    <w:t xml:space="preserve">0–5 % HMW (SEC)</w:t>
                  </w:r>
                </w:p>
              </w:tc>
              <w:tc>
                <w:tcPr/>
                <w:p>
                  <w:pPr>
                    <w:pStyle w:val="Compact"/>
                    <w:jc w:val="left"/>
                    <w:jc w:val="center"/>
                  </w:pPr>
                  <w:r>
                    <w:t xml:space="preserve">H</w:t>
                  </w:r>
                </w:p>
              </w:tc>
              <w:tc>
                <w:tcPr/>
                <w:p>
                  <w:pPr>
                    <w:pStyle w:val="Compact"/>
                    <w:jc w:val="right"/>
                    <w:jc w:val="center"/>
                  </w:pPr>
                  <w:r>
                    <w:t xml:space="preserve">60</w:t>
                  </w:r>
                </w:p>
              </w:tc>
            </w:tr>
            <w:tr>
              <w:tc>
                <w:tcPr/>
                <w:p>
                  <w:pPr>
                    <w:pStyle w:val="Compact"/>
                    <w:jc w:val="left"/>
                    <w:jc w:val="center"/>
                  </w:pPr>
                  <w:r>
                    <w:t xml:space="preserve">Acidic charge variants (deamidation)</w:t>
                  </w:r>
                </w:p>
              </w:tc>
              <w:tc>
                <w:tcPr/>
                <w:p>
                  <w:pPr>
                    <w:pStyle w:val="Compact"/>
                    <w:jc w:val="left"/>
                    <w:jc w:val="center"/>
                  </w:pPr>
                  <w:r>
                    <w:t xml:space="preserve">charge variant</w:t>
                  </w:r>
                </w:p>
              </w:tc>
              <w:tc>
                <w:tcPr/>
                <w:p>
                  <w:pPr>
                    <w:pStyle w:val="Compact"/>
                    <w:jc w:val="left"/>
                    <w:jc w:val="center"/>
                  </w:pPr>
                  <w:r>
                    <w:t xml:space="preserve">18–40 % (CEX/icIEF)</w:t>
                  </w:r>
                </w:p>
              </w:tc>
              <w:tc>
                <w:tcPr/>
                <w:p>
                  <w:pPr>
                    <w:pStyle w:val="Compact"/>
                    <w:jc w:val="left"/>
                    <w:jc w:val="center"/>
                  </w:pPr>
                  <w:r>
                    <w:t xml:space="preserve">VL</w:t>
                  </w:r>
                </w:p>
              </w:tc>
              <w:tc>
                <w:tcPr/>
                <w:p>
                  <w:pPr>
                    <w:pStyle w:val="Compact"/>
                    <w:jc w:val="right"/>
                    <w:jc w:val="center"/>
                  </w:pPr>
                  <w:r>
                    <w:t xml:space="preserve">4</w:t>
                  </w:r>
                </w:p>
              </w:tc>
            </w:tr>
            <w:tr>
              <w:tc>
                <w:tcPr/>
                <w:p>
                  <w:pPr>
                    <w:pStyle w:val="Compact"/>
                    <w:jc w:val="left"/>
                    <w:jc w:val="center"/>
                  </w:pPr>
                  <w:r>
                    <w:t xml:space="preserve">Host Cell Protein (HCP)</w:t>
                  </w:r>
                </w:p>
              </w:tc>
              <w:tc>
                <w:tcPr/>
                <w:p>
                  <w:pPr>
                    <w:pStyle w:val="Compact"/>
                    <w:jc w:val="left"/>
                    <w:jc w:val="center"/>
                  </w:pPr>
                  <w:r>
                    <w:t xml:space="preserve">process impurity</w:t>
                  </w:r>
                </w:p>
              </w:tc>
              <w:tc>
                <w:tcPr/>
                <w:p>
                  <w:pPr>
                    <w:pStyle w:val="Compact"/>
                    <w:jc w:val="left"/>
                    <w:jc w:val="center"/>
                  </w:pPr>
                  <w:r>
                    <w:t xml:space="preserve">0–100 ng/mg</w:t>
                  </w:r>
                </w:p>
              </w:tc>
              <w:tc>
                <w:tcPr/>
                <w:p>
                  <w:pPr>
                    <w:pStyle w:val="Compact"/>
                    <w:jc w:val="left"/>
                    <w:jc w:val="center"/>
                  </w:pPr>
                  <w:r>
                    <w:t xml:space="preserve">M-H</w:t>
                  </w:r>
                </w:p>
              </w:tc>
              <w:tc>
                <w:tcPr/>
                <w:p>
                  <w:pPr>
                    <w:pStyle w:val="Compact"/>
                    <w:jc w:val="right"/>
                    <w:jc w:val="center"/>
                  </w:pPr>
                  <w:r>
                    <w:t xml:space="preserve">36</w:t>
                  </w:r>
                </w:p>
              </w:tc>
            </w:tr>
            <w:tr>
              <w:tc>
                <w:tcPr/>
                <w:p>
                  <w:pPr>
                    <w:pStyle w:val="Compact"/>
                    <w:jc w:val="left"/>
                    <w:jc w:val="center"/>
                  </w:pPr>
                  <w:r>
                    <w:t xml:space="preserve">Residual DNA</w:t>
                  </w:r>
                </w:p>
              </w:tc>
              <w:tc>
                <w:tcPr/>
                <w:p>
                  <w:pPr>
                    <w:pStyle w:val="Compact"/>
                    <w:jc w:val="left"/>
                    <w:jc w:val="center"/>
                  </w:pPr>
                  <w:r>
                    <w:t xml:space="preserve">process impurity</w:t>
                  </w:r>
                </w:p>
              </w:tc>
              <w:tc>
                <w:tcPr/>
                <w:p>
                  <w:pPr>
                    <w:pStyle w:val="Compact"/>
                    <w:jc w:val="left"/>
                    <w:jc w:val="center"/>
                  </w:pPr>
                  <w:r>
                    <w:t xml:space="preserve">0–0.001 ng/dose</w:t>
                  </w:r>
                </w:p>
              </w:tc>
              <w:tc>
                <w:tcPr/>
                <w:p>
                  <w:pPr>
                    <w:pStyle w:val="Compact"/>
                    <w:jc w:val="left"/>
                    <w:jc w:val="center"/>
                  </w:pPr>
                  <w:r>
                    <w:t xml:space="preserve">VL</w:t>
                  </w:r>
                </w:p>
              </w:tc>
              <w:tc>
                <w:tcPr/>
                <w:p>
                  <w:pPr>
                    <w:pStyle w:val="Compact"/>
                    <w:jc w:val="right"/>
                    <w:jc w:val="center"/>
                  </w:pPr>
                  <w:r>
                    <w:t xml:space="preserve">6</w:t>
                  </w:r>
                </w:p>
              </w:tc>
            </w:tr>
          </w:tbl>
          <w:bookmarkEnd w:id="19"/>
          <w:p/>
        </w:tc>
      </w:tr>
    </w:tbl>
    <w:p>
      <w:pPr>
        <w:pStyle w:val="BodyText"/>
      </w:pPr>
      <w:r>
        <w:t xml:space="preserve">4 of the 7 attributes are of high or very high criticality and are therefore critical. High Mannose carries the highest Tool #1 score in the table, at 80, because its impact on clearance is well established and the uncertainty around that impact is low. Afucosylation and galactosylation are of high criticality because both modulate the effector function on which the mechanism of action depends. Aggregate is of high criticality on immunogenicity grounds. Acidic charge variants are of very low criticality for A-Mab, and residual DNA likewise, but both were retained as responses or as monitored attributes because a large change in either would indicate a change in the culture that other measurements might miss.</w:t>
      </w:r>
    </w:p>
    <w:p>
      <w:pPr>
        <w:pStyle w:val="BodyText"/>
      </w:pPr>
      <w:r>
        <w:t xml:space="preserve">The two process impurities in</w:t>
      </w:r>
      <w:r>
        <w:t xml:space="preserve"> </w:t>
      </w:r>
      <w:hyperlink w:anchor="tbl-cqa">
        <w:r>
          <w:rPr>
            <w:rStyle w:val="Hyperlink"/>
          </w:rPr>
          <w:t xml:space="preserve">Table 3</w:t>
        </w:r>
      </w:hyperlink>
      <w:r>
        <w:t xml:space="preserve"> </w:t>
      </w:r>
      <w:r>
        <w:t xml:space="preserve">are treated differently from the five formed attributes. Host cell protein and residual DNA are generated by the culture and are cleared by the purification train, so the bioreactor sets their input level and not their drug-substance level. The clearance credit is given in PCR-005, PCR-007 and PCR-008, and the cumulative position is consolidated in PCMR-001.</w:t>
      </w:r>
    </w:p>
    <w:bookmarkEnd w:id="20"/>
    <w:bookmarkStart w:id="21" w:name="X8e350aaf11e00001962f0e94cfe08bc5c1a6d7b"/>
    <w:p>
      <w:pPr>
        <w:pStyle w:val="Heading2"/>
      </w:pPr>
      <w:r>
        <w:t xml:space="preserve">2.3 Risk-based prioritization and parameter selection</w:t>
      </w:r>
    </w:p>
    <w:p>
      <w:pPr>
        <w:pStyle w:val="FirstParagraph"/>
      </w:pPr>
      <w:r>
        <w:t xml:space="preserve">The pre-characterization risk assessment RA-001 ranked every parameter of this step on its potential impact on the quality attributes and on its potential to interact with other parameters. The ranking was used to sort the parameters into those warranting multivariate evaluation, those whose ranges could be supported by univariate work, and those requiring no new study. Where no data or rationale were available to support an assessment, the parameter was ranked at the highest level, which is the conservative default used throughout the campaign.</w:t>
      </w:r>
    </w:p>
    <w:p>
      <w:pPr>
        <w:pStyle w:val="BodyText"/>
      </w:pPr>
      <w:r>
        <w:t xml:space="preserve">5 parameters were assigned to the multivariate study on that basis: culture pH, culture temperature, dissolved carbon dioxide, osmolality and culture duration. Each of them has a direct mechanistic route to at least one glycan or charge-variant attribute, and each was scored as a likely participant in interactions. The remaining 4 parameters were assigned to univariate assessment because their expected route to product quality is indirect and runs through cell growth.</w:t>
      </w:r>
    </w:p>
    <w:p>
      <w:pPr>
        <w:pStyle w:val="BodyText"/>
      </w:pPr>
      <w:r>
        <w:t xml:space="preserve">The characterized ranges were set two to three times wider than the routine control ranges (</w:t>
      </w:r>
      <w:hyperlink w:anchor="tbl-params">
        <w:r>
          <w:rPr>
            <w:rStyle w:val="Hyperlink"/>
          </w:rPr>
          <w:t xml:space="preserve">Table 5</w:t>
        </w:r>
      </w:hyperlink>
      <w:r>
        <w:t xml:space="preserve">), as in the A-Mab case study</w:t>
      </w:r>
      <w:r>
        <w:t xml:space="preserve"> </w:t>
      </w:r>
      <w:r>
        <w:t xml:space="preserve">(CMC Biotech Working Group 2009)</w:t>
      </w:r>
      <w:r>
        <w:t xml:space="preserve">. The intent was to establish process understanding across a region large enough to support the operating ranges with margin, to allow movement within the design space later in the lifecycle, and to make an edge of failure detectable if one existed inside a plausible operating envelope. Each range was also bounded by what the vessel can hold and by what the culture tolerates. Culture pH was studied over 6.60 to 7.10 because control below the lower bound suppresses growth on this platform. Culture duration was studied to 19 days because viability on the platform falls steeply beyond that point. Dissolved carbon dioxide was given the widest relative range, from 40 to 160 mmHg, because it is the parameter least well controlled at commercial scale and the one most likely to differ between the scale-down model and the 15,000 L vessel.</w:t>
      </w:r>
    </w:p>
    <w:bookmarkEnd w:id="21"/>
    <w:bookmarkEnd w:id="22"/>
    <w:bookmarkStart w:id="29" w:name="materials-and-methods"/>
    <w:p>
      <w:pPr>
        <w:pStyle w:val="Heading1"/>
      </w:pPr>
      <w:r>
        <w:t xml:space="preserve">3. Materials and methods</w:t>
      </w:r>
    </w:p>
    <w:bookmarkStart w:id="23" w:name="scale-down-model-and-its-qualification"/>
    <w:p>
      <w:pPr>
        <w:pStyle w:val="Heading2"/>
      </w:pPr>
      <w:r>
        <w:t xml:space="preserve">3.1 Scale-down model and its qualification</w:t>
      </w:r>
    </w:p>
    <w:p>
      <w:pPr>
        <w:pStyle w:val="FirstParagraph"/>
      </w:pPr>
      <w:r>
        <w:t xml:space="preserve">The characterization runs were executed in the qualified scale-down bioreactor model described in SOP-1001 and operated under SOP-2003. The model is a stirred-tank bioreactor of the same design family as the commercial vessel, with equivalent design characteristics (mixing, aeration and mass transfer) and equivalent process control capability (pH, temperature, dissolved oxygen and nutrient addition).</w:t>
      </w:r>
    </w:p>
    <w:p>
      <w:pPr>
        <w:pStyle w:val="BodyText"/>
      </w:pPr>
      <w:r>
        <w:t xml:space="preserve">Qualification followed the two-part convention used across the campaign, in which scale-independent variables (culture pH, temperature, dissolved oxygen and culture duration) were operated at the proposed target values of commercial operation. Scale-dependent variables (agitation, gas flow rates, headspace pressure, working volume and the resulting dissolved carbon dioxide) were set at small scale so that the culture experiences the same profile as at 15,000 L. Qualification then compared growth, viability, titer and the five product-quality responses between the model and the at-scale reference batches, and found no difference that the analytical methods could resolve.</w:t>
      </w:r>
    </w:p>
    <w:p>
      <w:pPr>
        <w:pStyle w:val="BodyText"/>
      </w:pPr>
      <w:r>
        <w:t xml:space="preserve">The warrant this gives the study is specific and bounded. The model reproduces the culture environment that forms the quality attributes, so parameter-response relationships measured in it transfer to the commercial vessel. It does not reproduce commercial-scale mixing heterogeneity at full working volume, and it cannot demonstrate the reproducibility of a commercial batch. Those two questions are answered by the process performance qualification campaign and not by this report.</w:t>
      </w:r>
    </w:p>
    <w:p>
      <w:pPr>
        <w:pStyle w:val="BodyText"/>
      </w:pPr>
      <w:r>
        <w:t xml:space="preserve">The centre-point replicates of each design provide the pure-error term against which the fitted models are tested for lack of fit. Their reproducibility is reported below (§5.1), and it is also the practical measure of how well the scale-down model repeats.</w:t>
      </w:r>
    </w:p>
    <w:bookmarkEnd w:id="23"/>
    <w:bookmarkStart w:id="24" w:name="cell-line-media-and-culture-operation"/>
    <w:p>
      <w:pPr>
        <w:pStyle w:val="Heading2"/>
      </w:pPr>
      <w:r>
        <w:t xml:space="preserve">3.2 Cell line, media and culture operation</w:t>
      </w:r>
    </w:p>
    <w:p>
      <w:pPr>
        <w:pStyle w:val="FirstParagraph"/>
      </w:pPr>
      <w:r>
        <w:t xml:space="preserve">Each run used one vial of the A-Mab working cell bank, expanded through the platform seed train to the N-1 seed bioreactor and inoculated into the characterization vessel at the target initial viable cell concentration. Basal medium and nutrient feeds were prepared under SOP-2004 from the same lots across the campaign, except where noted below (§13). Feeds were delivered on the platform schedule as a percentage of working volume.</w:t>
      </w:r>
    </w:p>
    <w:p>
      <w:pPr>
        <w:pStyle w:val="BodyText"/>
      </w:pPr>
      <w:r>
        <w:t xml:space="preserve">Inputs controlled to platform specification were not characterized in this study, because the cell bank, the basal medium formulation, the feed formulation and the gas supply are identity-controlled and quality-controlled materials whose variability is managed by the material specifications and by SOP-2004. Only parameters that the operator sets, and that can move within a control range during manufacture, were treated as characterization factors.</w:t>
      </w:r>
    </w:p>
    <w:p>
      <w:pPr>
        <w:pStyle w:val="BodyText"/>
      </w:pPr>
      <w:r>
        <w:t xml:space="preserve">The culture was terminated at the scheduled duration for the run, and the harvest was clarified to provide the material analysed for product quality. Clarification itself is characterized in PCR-004 and forms no quality attribute.</w:t>
      </w:r>
    </w:p>
    <w:bookmarkEnd w:id="24"/>
    <w:bookmarkStart w:id="26" w:name="analytical-methods"/>
    <w:p>
      <w:pPr>
        <w:pStyle w:val="Heading2"/>
      </w:pPr>
      <w:r>
        <w:t xml:space="preserve">3.3 Analytical methods</w:t>
      </w:r>
    </w:p>
    <w:p>
      <w:pPr>
        <w:pStyle w:val="FirstParagraph"/>
      </w:pPr>
      <w:r>
        <w:t xml:space="preserve">The controlled documents governing the study and its analytical methods are listed in</w:t>
      </w:r>
      <w:r>
        <w:t xml:space="preserve"> </w:t>
      </w:r>
      <w:hyperlink w:anchor="tbl-sop">
        <w:r>
          <w:rPr>
            <w:rStyle w:val="Hyperlink"/>
          </w:rPr>
          <w:t xml:space="preserve">Table 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25" w:name="tbl-sop"/>
          <w:p>
            <w:pPr>
              <w:jc w:val="center"/>
            </w:pPr>
            <w:pPr>
              <w:jc w:val="left"/>
              <w:spacing w:before="200"/>
              <w:pStyle w:val="ImageCaption"/>
            </w:pPr>
            <w:r>
              <w:t xml:space="preserve">Table 4: Controlled documents and validated analytical methods cited by this report.</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25"/>
          <w:p/>
        </w:tc>
      </w:tr>
    </w:tbl>
    <w:p>
      <w:pPr>
        <w:pStyle w:val="BodyText"/>
      </w:pPr>
      <w:r>
        <w:t xml:space="preserve">Each response is measured by one validated method, and the three glycan responses are measured together on the released N-glycan map by HILIC-UPLC under SOP-3010 (validated as AMV-3010). Aggregate is measured as high molecular weight species by SEC-HPLC under SOP-3011 (AMV-3011). Acidic charge variants are measured by imaged capillary isoelectric focusing under SOP-3013 (AMV-3013). Host cell protein is measured by ELISA under SOP-3012 (AMV-3012) and residual DNA by qPCR under SOP-3014 (AMV-3014).</w:t>
      </w:r>
    </w:p>
    <w:p>
      <w:pPr>
        <w:pStyle w:val="BodyText"/>
      </w:pPr>
      <w:r>
        <w:t xml:space="preserve">Two features of the methods matter for the interpretation of the results. The N-glycan map has a relative precision of 2.5 % and a limit of quantitation of 0.5 % of glycans, and it accounts for about 30.0% of the total observed variance in the glycan responses. The host cell protein ELISA is the least precise method in the set, at 9.5 %, and it accounts for about 40.0% of the observed variance in that assay. Method performance is summarized in Appendix D and is reported in full in the validation reports.</w:t>
      </w:r>
    </w:p>
    <w:bookmarkEnd w:id="26"/>
    <w:bookmarkStart w:id="27" w:name="sampling-plan"/>
    <w:p>
      <w:pPr>
        <w:pStyle w:val="Heading2"/>
      </w:pPr>
      <w:r>
        <w:t xml:space="preserve">3.4 Sampling plan</w:t>
      </w:r>
    </w:p>
    <w:p>
      <w:pPr>
        <w:pStyle w:val="FirstParagraph"/>
      </w:pPr>
      <w:r>
        <w:t xml:space="preserve">Product-quality samples were drawn from the clarified harvest of every run, so each design point yields one observation of each response. Growth, viability and metabolite profiles were sampled daily as process monitoring and are not analysed as responses in this report.</w:t>
      </w:r>
    </w:p>
    <w:p>
      <w:pPr>
        <w:pStyle w:val="BodyText"/>
      </w:pPr>
      <w:r>
        <w:t xml:space="preserve">The screening design carried 3 centre-point replicates and the response-surface design carried 4. Centre points were distributed through the execution order of each design so that they sample any drift over the campaign as well as run-to-run variation. Run order within each design was randomized under the study analysis procedure (SOP-1002).</w:t>
      </w:r>
    </w:p>
    <w:bookmarkEnd w:id="27"/>
    <w:bookmarkStart w:id="28" w:name="statistical-methods"/>
    <w:p>
      <w:pPr>
        <w:pStyle w:val="Heading2"/>
      </w:pPr>
      <w:r>
        <w:t xml:space="preserve">3.5 Statistical methods</w:t>
      </w:r>
    </w:p>
    <w:p>
      <w:pPr>
        <w:pStyle w:val="FirstParagraph"/>
      </w:pPr>
      <w:r>
        <w:t xml:space="preserve">Factors were coded so that the set-point of each parameter is zero and the edges of its characterization range are minus one and plus one. Coding puts the factors on a common scale, so an effect estimate is the change in the response across the full studied range of that factor, and effects can be compared between parameters with different units.</w:t>
      </w:r>
    </w:p>
    <w:p>
      <w:pPr>
        <w:pStyle w:val="BodyText"/>
      </w:pPr>
      <w:r>
        <w:t xml:space="preserve">The screening designs were analysed by ordinary least squares against a model containing all main effects and all two-factor interactions. An effect is reported as twice the coded coefficient, which is the change in the response between the low and high edges of the factor. The response-surface designs were analysed against the full quadratic model in the response-surface factors. Terms were judged significant at the five per cent level, and the analysis followed the campaign procedure for designed experiments (SOP-1002).</w:t>
      </w:r>
    </w:p>
    <w:p>
      <w:pPr>
        <w:pStyle w:val="BodyText"/>
      </w:pPr>
      <w:r>
        <w:t xml:space="preserve">Model adequacy was assessed on four grounds: the coefficient of determination and its adjusted form, the predicted coefficient of determination computed from the prediction error sum of squares, the overall model F-test, and an analysis of variance partitioning the residual into lack of fit and pure error. The pure-error term comes from the centre-point replicates, so lack of fit is tested against the reproducibility the model itself must respect. A parameter with no significant effect on any response is treated as a robustness result and is retained in the knowledge space, not discarded.</w:t>
      </w:r>
    </w:p>
    <w:p>
      <w:pPr>
        <w:pStyle w:val="BodyText"/>
      </w:pPr>
      <w:r>
        <w:t xml:space="preserve">Commercial-scale capability was estimated by Monte-Carlo simulation of 2,000 batches, with each parameter drawn across its normal operating range and each response computed from the fitted response-surface model. Capability is reported as a one-sided index against the binding limit of each attribute, and the index is read together with the absolute margin to that limit. No fixed acceptance threshold for the index is claimed in this report.</w:t>
      </w:r>
    </w:p>
    <w:bookmarkEnd w:id="28"/>
    <w:bookmarkEnd w:id="29"/>
    <w:bookmarkStart w:id="36" w:name="study-design"/>
    <w:p>
      <w:pPr>
        <w:pStyle w:val="Heading1"/>
      </w:pPr>
      <w:r>
        <w:t xml:space="preserve">4. Study design</w:t>
      </w:r>
    </w:p>
    <w:bookmarkStart w:id="32" w:name="factors-ranges-and-the-knowledge-space"/>
    <w:p>
      <w:pPr>
        <w:pStyle w:val="Heading2"/>
      </w:pPr>
      <w:r>
        <w:t xml:space="preserve">4.1 Factors, ranges and the knowledge space</w:t>
      </w:r>
    </w:p>
    <w:p>
      <w:pPr>
        <w:pStyle w:val="FirstParagraph"/>
      </w:pPr>
      <w:r>
        <w:t xml:space="preserve">The design resolves the effects of the five parameters that RA-001 ranked highest, and then quantifies the behaviour of the four that matter most over a region large enough to define an operating space. The parameters, their set-points, their normal operating ranges, their characterization ranges and their final classification are given in</w:t>
      </w:r>
      <w:r>
        <w:t xml:space="preserve"> </w:t>
      </w:r>
      <w:hyperlink w:anchor="tbl-params">
        <w:r>
          <w:rPr>
            <w:rStyle w:val="Hyperlink"/>
          </w:rPr>
          <w:t xml:space="preserve">Table 5</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0" w:name="tbl-params"/>
          <w:p>
            <w:pPr>
              <w:jc w:val="center"/>
            </w:pPr>
            <w:pPr>
              <w:jc w:val="left"/>
              <w:spacing w:before="200"/>
              <w:pStyle w:val="ImageCaption"/>
            </w:pPr>
            <w:r>
              <w:t xml:space="preserve">Table 5: Process parameters of the production bioreactor, with set-points, normal operating ranges, characterization ranges, final classification and study type.</w:t>
            </w:r>
          </w:p>
          <w:tbl>
            <w:tblPr>
              <w:tblStyle w:val="Table"/>
              <w:tblW w:type="pct" w:w="5000"/>
              <w:tblLayout w:type="fixed"/>
              <w:tblLook w:firstRow="1" w:lastRow="0" w:firstColumn="0" w:lastColumn="0" w:noHBand="0" w:noVBand="0" w:val="0020"/>
            </w:tblPr>
            <w:tblGrid>
              <w:gridCol w:w="2153"/>
              <w:gridCol w:w="999"/>
              <w:gridCol w:w="999"/>
              <w:gridCol w:w="845"/>
              <w:gridCol w:w="1153"/>
              <w:gridCol w:w="692"/>
              <w:gridCol w:w="1076"/>
            </w:tblGrid>
            <w:tr>
              <w:trPr>
                <w:tblHeader w:val="on"/>
              </w:trPr>
              <w:tc>
                <w:tcPr/>
                <w:p>
                  <w:pPr>
                    <w:pStyle w:val="Compact"/>
                    <w:jc w:val="left"/>
                    <w:jc w:val="center"/>
                  </w:pPr>
                  <w:r>
                    <w:t xml:space="preserve">Parameter</w:t>
                  </w:r>
                </w:p>
              </w:tc>
              <w:tc>
                <w:tcPr/>
                <w:p>
                  <w:pPr>
                    <w:pStyle w:val="Compact"/>
                    <w:jc w:val="left"/>
                    <w:jc w:val="center"/>
                  </w:pPr>
                  <w:r>
                    <w:t xml:space="preserve">Unit</w:t>
                  </w:r>
                </w:p>
              </w:tc>
              <w:tc>
                <w:tcPr/>
                <w:p>
                  <w:pPr>
                    <w:pStyle w:val="Compact"/>
                    <w:jc w:val="right"/>
                    <w:jc w:val="center"/>
                  </w:pPr>
                  <w:r>
                    <w:t xml:space="preserve">Set-point</w:t>
                  </w:r>
                </w:p>
              </w:tc>
              <w:tc>
                <w:tcPr/>
                <w:p>
                  <w:pPr>
                    <w:pStyle w:val="Compact"/>
                    <w:jc w:val="left"/>
                    <w:jc w:val="center"/>
                  </w:pPr>
                  <w:r>
                    <w:t xml:space="preserve">NOR</w:t>
                  </w:r>
                </w:p>
              </w:tc>
              <w:tc>
                <w:tcPr/>
                <w:p>
                  <w:pPr>
                    <w:pStyle w:val="Compact"/>
                    <w:jc w:val="left"/>
                    <w:jc w:val="center"/>
                  </w:pPr>
                  <w:r>
                    <w:t xml:space="preserve">Char. range</w:t>
                  </w:r>
                </w:p>
              </w:tc>
              <w:tc>
                <w:tcPr/>
                <w:p>
                  <w:pPr>
                    <w:pStyle w:val="Compact"/>
                    <w:jc w:val="left"/>
                    <w:jc w:val="center"/>
                  </w:pPr>
                  <w:r>
                    <w:t xml:space="preserve">Class</w:t>
                  </w:r>
                </w:p>
              </w:tc>
              <w:tc>
                <w:tcPr/>
                <w:p>
                  <w:pPr>
                    <w:pStyle w:val="Compact"/>
                    <w:jc w:val="left"/>
                    <w:jc w:val="center"/>
                  </w:pPr>
                  <w:r>
                    <w:t xml:space="preserve">Study</w:t>
                  </w:r>
                </w:p>
              </w:tc>
            </w:tr>
            <w:tr>
              <w:tc>
                <w:tcPr/>
                <w:p>
                  <w:pPr>
                    <w:pStyle w:val="Compact"/>
                    <w:jc w:val="left"/>
                    <w:jc w:val="center"/>
                  </w:pPr>
                  <w:r>
                    <w:t xml:space="preserve">Culture pH</w:t>
                  </w:r>
                </w:p>
              </w:tc>
              <w:tc>
                <w:tcPr/>
                <w:p>
                  <w:pPr>
                    <w:pStyle w:val="Compact"/>
                    <w:jc w:val="left"/>
                    <w:jc w:val="center"/>
                  </w:pPr>
                  <w:r>
                    <w:t xml:space="preserve">pH</w:t>
                  </w:r>
                </w:p>
              </w:tc>
              <w:tc>
                <w:tcPr/>
                <w:p>
                  <w:pPr>
                    <w:pStyle w:val="Compact"/>
                    <w:jc w:val="right"/>
                    <w:jc w:val="center"/>
                  </w:pPr>
                  <w:r>
                    <w:t xml:space="preserve">6.85</w:t>
                  </w:r>
                </w:p>
              </w:tc>
              <w:tc>
                <w:tcPr/>
                <w:p>
                  <w:pPr>
                    <w:pStyle w:val="Compact"/>
                    <w:jc w:val="left"/>
                    <w:jc w:val="center"/>
                  </w:pPr>
                  <w:r>
                    <w:t xml:space="preserve">6.75–6.95</w:t>
                  </w:r>
                </w:p>
              </w:tc>
              <w:tc>
                <w:tcPr/>
                <w:p>
                  <w:pPr>
                    <w:pStyle w:val="Compact"/>
                    <w:jc w:val="left"/>
                    <w:jc w:val="center"/>
                  </w:pPr>
                  <w:r>
                    <w:t xml:space="preserve">6.6–7.1</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temperature</w:t>
                  </w:r>
                </w:p>
              </w:tc>
              <w:tc>
                <w:tcPr/>
                <w:p>
                  <w:pPr>
                    <w:pStyle w:val="Compact"/>
                    <w:jc w:val="left"/>
                    <w:jc w:val="center"/>
                  </w:pPr>
                  <w:r>
                    <w:t xml:space="preserve">°C</w:t>
                  </w:r>
                </w:p>
              </w:tc>
              <w:tc>
                <w:tcPr/>
                <w:p>
                  <w:pPr>
                    <w:pStyle w:val="Compact"/>
                    <w:jc w:val="right"/>
                    <w:jc w:val="center"/>
                  </w:pPr>
                  <w:r>
                    <w:t xml:space="preserve">35</w:t>
                  </w:r>
                </w:p>
              </w:tc>
              <w:tc>
                <w:tcPr/>
                <w:p>
                  <w:pPr>
                    <w:pStyle w:val="Compact"/>
                    <w:jc w:val="left"/>
                    <w:jc w:val="center"/>
                  </w:pPr>
                  <w:r>
                    <w:t xml:space="preserve">34.5–35.5</w:t>
                  </w:r>
                </w:p>
              </w:tc>
              <w:tc>
                <w:tcPr/>
                <w:p>
                  <w:pPr>
                    <w:pStyle w:val="Compact"/>
                    <w:jc w:val="left"/>
                    <w:jc w:val="center"/>
                  </w:pPr>
                  <w:r>
                    <w:t xml:space="preserve">34–36</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right"/>
                    <w:jc w:val="center"/>
                  </w:pPr>
                  <w:r>
                    <w:t xml:space="preserve">100</w:t>
                  </w:r>
                </w:p>
              </w:tc>
              <w:tc>
                <w:tcPr/>
                <w:p>
                  <w:pPr>
                    <w:pStyle w:val="Compact"/>
                    <w:jc w:val="left"/>
                    <w:jc w:val="center"/>
                  </w:pPr>
                  <w:r>
                    <w:t xml:space="preserve">70–130</w:t>
                  </w:r>
                </w:p>
              </w:tc>
              <w:tc>
                <w:tcPr/>
                <w:p>
                  <w:pPr>
                    <w:pStyle w:val="Compact"/>
                    <w:jc w:val="left"/>
                    <w:jc w:val="center"/>
                  </w:pPr>
                  <w:r>
                    <w:t xml:space="preserve">40–160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Osmolality</w:t>
                  </w:r>
                </w:p>
              </w:tc>
              <w:tc>
                <w:tcPr/>
                <w:p>
                  <w:pPr>
                    <w:pStyle w:val="Compact"/>
                    <w:jc w:val="left"/>
                    <w:jc w:val="center"/>
                  </w:pPr>
                  <w:r>
                    <w:t xml:space="preserve">mOsm</w:t>
                  </w:r>
                </w:p>
              </w:tc>
              <w:tc>
                <w:tcPr/>
                <w:p>
                  <w:pPr>
                    <w:pStyle w:val="Compact"/>
                    <w:jc w:val="right"/>
                    <w:jc w:val="center"/>
                  </w:pPr>
                  <w:r>
                    <w:t xml:space="preserve">400</w:t>
                  </w:r>
                </w:p>
              </w:tc>
              <w:tc>
                <w:tcPr/>
                <w:p>
                  <w:pPr>
                    <w:pStyle w:val="Compact"/>
                    <w:jc w:val="left"/>
                    <w:jc w:val="center"/>
                  </w:pPr>
                  <w:r>
                    <w:t xml:space="preserve">375–425</w:t>
                  </w:r>
                </w:p>
              </w:tc>
              <w:tc>
                <w:tcPr/>
                <w:p>
                  <w:pPr>
                    <w:pStyle w:val="Compact"/>
                    <w:jc w:val="left"/>
                    <w:jc w:val="center"/>
                  </w:pPr>
                  <w:r>
                    <w:t xml:space="preserve">360–440</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Culture duration</w:t>
                  </w:r>
                </w:p>
              </w:tc>
              <w:tc>
                <w:tcPr/>
                <w:p>
                  <w:pPr>
                    <w:pStyle w:val="Compact"/>
                    <w:jc w:val="left"/>
                    <w:jc w:val="center"/>
                  </w:pPr>
                  <w:r>
                    <w:t xml:space="preserve">days</w:t>
                  </w:r>
                </w:p>
              </w:tc>
              <w:tc>
                <w:tcPr/>
                <w:p>
                  <w:pPr>
                    <w:pStyle w:val="Compact"/>
                    <w:jc w:val="right"/>
                    <w:jc w:val="center"/>
                  </w:pPr>
                  <w:r>
                    <w:t xml:space="preserve">17</w:t>
                  </w:r>
                </w:p>
              </w:tc>
              <w:tc>
                <w:tcPr/>
                <w:p>
                  <w:pPr>
                    <w:pStyle w:val="Compact"/>
                    <w:jc w:val="left"/>
                    <w:jc w:val="center"/>
                  </w:pPr>
                  <w:r>
                    <w:t xml:space="preserve">16–18</w:t>
                  </w:r>
                </w:p>
              </w:tc>
              <w:tc>
                <w:tcPr/>
                <w:p>
                  <w:pPr>
                    <w:pStyle w:val="Compact"/>
                    <w:jc w:val="left"/>
                    <w:jc w:val="center"/>
                  </w:pPr>
                  <w:r>
                    <w:t xml:space="preserve">15–19</w:t>
                  </w:r>
                </w:p>
              </w:tc>
              <w:tc>
                <w:tcPr/>
                <w:p>
                  <w:pPr>
                    <w:pStyle w:val="Compact"/>
                    <w:jc w:val="left"/>
                    <w:jc w:val="center"/>
                  </w:pPr>
                  <w:r>
                    <w:t xml:space="preserve">WC-CPP</w:t>
                  </w:r>
                </w:p>
              </w:tc>
              <w:tc>
                <w:tcPr/>
                <w:p>
                  <w:pPr>
                    <w:pStyle w:val="Compact"/>
                    <w:jc w:val="left"/>
                    <w:jc w:val="center"/>
                  </w:pPr>
                  <w:r>
                    <w:t xml:space="preserve">multivariate</w:t>
                  </w:r>
                </w:p>
              </w:tc>
            </w:tr>
            <w:tr>
              <w:tc>
                <w:tcPr/>
                <w:p>
                  <w:pPr>
                    <w:pStyle w:val="Compact"/>
                    <w:jc w:val="left"/>
                    <w:jc w:val="center"/>
                  </w:pPr>
                  <w:r>
                    <w:t xml:space="preserve">Dissolved oxygen</w:t>
                  </w:r>
                </w:p>
              </w:tc>
              <w:tc>
                <w:tcPr/>
                <w:p>
                  <w:pPr>
                    <w:pStyle w:val="Compact"/>
                    <w:jc w:val="left"/>
                    <w:jc w:val="center"/>
                  </w:pPr>
                  <w:r>
                    <w:t xml:space="preserve">% sat</w:t>
                  </w:r>
                </w:p>
              </w:tc>
              <w:tc>
                <w:tcPr/>
                <w:p>
                  <w:pPr>
                    <w:pStyle w:val="Compact"/>
                    <w:jc w:val="right"/>
                    <w:jc w:val="center"/>
                  </w:pPr>
                  <w:r>
                    <w:t xml:space="preserve">50</w:t>
                  </w:r>
                </w:p>
              </w:tc>
              <w:tc>
                <w:tcPr/>
                <w:p>
                  <w:pPr>
                    <w:pStyle w:val="Compact"/>
                    <w:jc w:val="left"/>
                    <w:jc w:val="center"/>
                  </w:pPr>
                  <w:r>
                    <w:t xml:space="preserve">40–60</w:t>
                  </w:r>
                </w:p>
              </w:tc>
              <w:tc>
                <w:tcPr/>
                <w:p>
                  <w:pPr>
                    <w:pStyle w:val="Compact"/>
                    <w:jc w:val="left"/>
                    <w:jc w:val="center"/>
                  </w:pPr>
                  <w:r>
                    <w:t xml:space="preserve">30–70</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Initial viable cell conc.</w:t>
                  </w:r>
                </w:p>
              </w:tc>
              <w:tc>
                <w:tcPr/>
                <w:p>
                  <w:pPr>
                    <w:pStyle w:val="Compact"/>
                    <w:jc w:val="left"/>
                    <w:jc w:val="center"/>
                  </w:pPr>
                  <w:r>
                    <w:t xml:space="preserve">e6 cells/mL</w:t>
                  </w:r>
                </w:p>
              </w:tc>
              <w:tc>
                <w:tcPr/>
                <w:p>
                  <w:pPr>
                    <w:pStyle w:val="Compact"/>
                    <w:jc w:val="right"/>
                    <w:jc w:val="center"/>
                  </w:pPr>
                  <w:r>
                    <w:t xml:space="preserve">1</w:t>
                  </w:r>
                </w:p>
              </w:tc>
              <w:tc>
                <w:tcPr/>
                <w:p>
                  <w:pPr>
                    <w:pStyle w:val="Compact"/>
                    <w:jc w:val="left"/>
                    <w:jc w:val="center"/>
                  </w:pPr>
                  <w:r>
                    <w:t xml:space="preserve">0.8–1.2</w:t>
                  </w:r>
                </w:p>
              </w:tc>
              <w:tc>
                <w:tcPr/>
                <w:p>
                  <w:pPr>
                    <w:pStyle w:val="Compact"/>
                    <w:jc w:val="left"/>
                    <w:jc w:val="center"/>
                  </w:pPr>
                  <w:r>
                    <w:t xml:space="preserve">0.5–1.5</w:t>
                  </w:r>
                </w:p>
              </w:tc>
              <w:tc>
                <w:tcPr/>
                <w:p>
                  <w:pPr>
                    <w:pStyle w:val="Compact"/>
                    <w:jc w:val="left"/>
                    <w:jc w:val="center"/>
                  </w:pPr>
                  <w:r>
                    <w:t xml:space="preserve">KPP</w:t>
                  </w:r>
                </w:p>
              </w:tc>
              <w:tc>
                <w:tcPr/>
                <w:p>
                  <w:pPr>
                    <w:pStyle w:val="Compact"/>
                    <w:jc w:val="left"/>
                    <w:jc w:val="center"/>
                  </w:pPr>
                  <w:r>
                    <w:t xml:space="preserve">univariate</w:t>
                  </w:r>
                </w:p>
              </w:tc>
            </w:tr>
            <w:tr>
              <w:tc>
                <w:tcPr/>
                <w:p>
                  <w:pPr>
                    <w:pStyle w:val="Compact"/>
                    <w:jc w:val="left"/>
                    <w:jc w:val="center"/>
                  </w:pPr>
                  <w:r>
                    <w:t xml:space="preserve">Basal medium concentration</w:t>
                  </w:r>
                </w:p>
              </w:tc>
              <w:tc>
                <w:tcPr/>
                <w:p>
                  <w:pPr>
                    <w:pStyle w:val="Compact"/>
                    <w:jc w:val="left"/>
                    <w:jc w:val="center"/>
                  </w:pPr>
                  <w:r>
                    <w:t xml:space="preserve">X</w:t>
                  </w:r>
                </w:p>
              </w:tc>
              <w:tc>
                <w:tcPr/>
                <w:p>
                  <w:pPr>
                    <w:pStyle w:val="Compact"/>
                    <w:jc w:val="right"/>
                    <w:jc w:val="center"/>
                  </w:pPr>
                  <w:r>
                    <w:t xml:space="preserve">1.2</w:t>
                  </w:r>
                </w:p>
              </w:tc>
              <w:tc>
                <w:tcPr/>
                <w:p>
                  <w:pPr>
                    <w:pStyle w:val="Compact"/>
                    <w:jc w:val="left"/>
                    <w:jc w:val="center"/>
                  </w:pPr>
                  <w:r>
                    <w:t xml:space="preserve">1–1.4</w:t>
                  </w:r>
                </w:p>
              </w:tc>
              <w:tc>
                <w:tcPr/>
                <w:p>
                  <w:pPr>
                    <w:pStyle w:val="Compact"/>
                    <w:jc w:val="left"/>
                    <w:jc w:val="center"/>
                  </w:pPr>
                  <w:r>
                    <w:t xml:space="preserve">0.8–1.6</w:t>
                  </w:r>
                </w:p>
              </w:tc>
              <w:tc>
                <w:tcPr/>
                <w:p>
                  <w:pPr>
                    <w:pStyle w:val="Compact"/>
                    <w:jc w:val="left"/>
                    <w:jc w:val="center"/>
                  </w:pPr>
                  <w:r>
                    <w:t xml:space="preserve">GPP</w:t>
                  </w:r>
                </w:p>
              </w:tc>
              <w:tc>
                <w:tcPr/>
                <w:p>
                  <w:pPr>
                    <w:pStyle w:val="Compact"/>
                    <w:jc w:val="left"/>
                    <w:jc w:val="center"/>
                  </w:pPr>
                  <w:r>
                    <w:t xml:space="preserve">univariate</w:t>
                  </w:r>
                </w:p>
              </w:tc>
            </w:tr>
            <w:tr>
              <w:tc>
                <w:tcPr/>
                <w:p>
                  <w:pPr>
                    <w:pStyle w:val="Compact"/>
                    <w:jc w:val="left"/>
                    <w:jc w:val="center"/>
                  </w:pPr>
                  <w:r>
                    <w:t xml:space="preserve">Nutrient feed-1 volume</w:t>
                  </w:r>
                </w:p>
              </w:tc>
              <w:tc>
                <w:tcPr/>
                <w:p>
                  <w:pPr>
                    <w:pStyle w:val="Compact"/>
                    <w:jc w:val="left"/>
                    <w:jc w:val="center"/>
                  </w:pPr>
                  <w:r>
                    <w:t xml:space="preserve">% WV</w:t>
                  </w:r>
                </w:p>
              </w:tc>
              <w:tc>
                <w:tcPr/>
                <w:p>
                  <w:pPr>
                    <w:pStyle w:val="Compact"/>
                    <w:jc w:val="right"/>
                    <w:jc w:val="center"/>
                  </w:pPr>
                  <w:r>
                    <w:t xml:space="preserve">12</w:t>
                  </w:r>
                </w:p>
              </w:tc>
              <w:tc>
                <w:tcPr/>
                <w:p>
                  <w:pPr>
                    <w:pStyle w:val="Compact"/>
                    <w:jc w:val="left"/>
                    <w:jc w:val="center"/>
                  </w:pPr>
                  <w:r>
                    <w:t xml:space="preserve">10–14</w:t>
                  </w:r>
                </w:p>
              </w:tc>
              <w:tc>
                <w:tcPr/>
                <w:p>
                  <w:pPr>
                    <w:pStyle w:val="Compact"/>
                    <w:jc w:val="left"/>
                    <w:jc w:val="center"/>
                  </w:pPr>
                  <w:r>
                    <w:t xml:space="preserve">9–15</w:t>
                  </w:r>
                </w:p>
              </w:tc>
              <w:tc>
                <w:tcPr/>
                <w:p>
                  <w:pPr>
                    <w:pStyle w:val="Compact"/>
                    <w:jc w:val="left"/>
                    <w:jc w:val="center"/>
                  </w:pPr>
                  <w:r>
                    <w:t xml:space="preserve">KPP</w:t>
                  </w:r>
                </w:p>
              </w:tc>
              <w:tc>
                <w:tcPr/>
                <w:p>
                  <w:pPr>
                    <w:pStyle w:val="Compact"/>
                    <w:jc w:val="left"/>
                    <w:jc w:val="center"/>
                  </w:pPr>
                  <w:r>
                    <w:t xml:space="preserve">univariate</w:t>
                  </w:r>
                </w:p>
              </w:tc>
            </w:tr>
          </w:tbl>
          <w:bookmarkEnd w:id="30"/>
          <w:p/>
        </w:tc>
      </w:tr>
    </w:tbl>
    <w:p>
      <w:pPr>
        <w:pStyle w:val="BodyText"/>
      </w:pPr>
      <w:r>
        <w:t xml:space="preserve">The characterization range of each parameter is the edge of the knowledge space for this step. The normal operating range sits inside it and is the range the plant is expected to hold. For culture pH the normal operating range spans 6.75 to 6.95, which is 40.0% of the characterized span, and for dissolved carbon dioxide it spans 70 to 130 mmHg, which is 50.0% of it. The wider a characterized range is relative to its operating range, the more margin the study can demonstrate. Culture pH has the most favourable ratio of the five parameters studied multivariately, and osmolality the least at 62.5% of its characterized span.</w:t>
      </w:r>
    </w:p>
    <w:p>
      <w:pPr>
        <w:pStyle w:val="BodyText"/>
      </w:pPr>
      <w:r>
        <w:t xml:space="preserve">The coded letters used throughout the effect and coefficient tables are given below (</w:t>
      </w:r>
      <w:hyperlink w:anchor="tbl-legend">
        <w:r>
          <w:rPr>
            <w:rStyle w:val="Hyperlink"/>
          </w:rPr>
          <w:t xml:space="preserve">Table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1" w:name="tbl-legend"/>
          <w:p>
            <w:pPr>
              <w:jc w:val="center"/>
            </w:pPr>
            <w:pPr>
              <w:jc w:val="left"/>
              <w:spacing w:before="200"/>
              <w:pStyle w:val="ImageCaption"/>
            </w:pPr>
            <w:r>
              <w:t xml:space="preserve">Table 6: Coded factor legend for the screening and response-surface designs.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Code</w:t>
                  </w:r>
                </w:p>
              </w:tc>
              <w:tc>
                <w:tcPr/>
                <w:p>
                  <w:pPr>
                    <w:pStyle w:val="Compact"/>
                    <w:jc w:val="left"/>
                    <w:jc w:val="center"/>
                  </w:pPr>
                  <w:r>
                    <w:t xml:space="preserve">Factor</w:t>
                  </w:r>
                </w:p>
              </w:tc>
              <w:tc>
                <w:tcPr/>
                <w:p>
                  <w:pPr>
                    <w:pStyle w:val="Compact"/>
                    <w:jc w:val="left"/>
                    <w:jc w:val="center"/>
                  </w:pPr>
                  <w:r>
                    <w:t xml:space="preserve">Unit</w:t>
                  </w:r>
                </w:p>
              </w:tc>
              <w:tc>
                <w:tcPr/>
                <w:p>
                  <w:pPr>
                    <w:pStyle w:val="Compact"/>
                    <w:jc w:val="left"/>
                    <w:jc w:val="center"/>
                  </w:pPr>
                  <w:r>
                    <w:t xml:space="preserve">Studied in</w:t>
                  </w:r>
                </w:p>
              </w:tc>
            </w:tr>
            <w:tr>
              <w:tc>
                <w:tcPr/>
                <w:p>
                  <w:pPr>
                    <w:pStyle w:val="Compact"/>
                    <w:jc w:val="left"/>
                    <w:jc w:val="center"/>
                  </w:pPr>
                  <w:r>
                    <w:t xml:space="preserve">A</w:t>
                  </w:r>
                </w:p>
              </w:tc>
              <w:tc>
                <w:tcPr/>
                <w:p>
                  <w:pPr>
                    <w:pStyle w:val="Compact"/>
                    <w:jc w:val="left"/>
                    <w:jc w:val="center"/>
                  </w:pPr>
                  <w:r>
                    <w:t xml:space="preserve">Culture pH</w:t>
                  </w:r>
                </w:p>
              </w:tc>
              <w:tc>
                <w:tcPr/>
                <w:p>
                  <w:pPr>
                    <w:pStyle w:val="Compact"/>
                    <w:jc w:val="left"/>
                    <w:jc w:val="center"/>
                  </w:pPr>
                  <w:r>
                    <w:t xml:space="preserve">pH</w:t>
                  </w:r>
                </w:p>
              </w:tc>
              <w:tc>
                <w:tcPr/>
                <w:p>
                  <w:pPr>
                    <w:pStyle w:val="Compact"/>
                    <w:jc w:val="left"/>
                    <w:jc w:val="center"/>
                  </w:pPr>
                  <w:r>
                    <w:t xml:space="preserve">screening + RSM</w:t>
                  </w:r>
                </w:p>
              </w:tc>
            </w:tr>
            <w:tr>
              <w:tc>
                <w:tcPr/>
                <w:p>
                  <w:pPr>
                    <w:pStyle w:val="Compact"/>
                    <w:jc w:val="left"/>
                    <w:jc w:val="center"/>
                  </w:pPr>
                  <w:r>
                    <w:t xml:space="preserve">B</w:t>
                  </w:r>
                </w:p>
              </w:tc>
              <w:tc>
                <w:tcPr/>
                <w:p>
                  <w:pPr>
                    <w:pStyle w:val="Compact"/>
                    <w:jc w:val="left"/>
                    <w:jc w:val="center"/>
                  </w:pPr>
                  <w:r>
                    <w:t xml:space="preserve">Culture temperature</w:t>
                  </w:r>
                </w:p>
              </w:tc>
              <w:tc>
                <w:tcPr/>
                <w:p>
                  <w:pPr>
                    <w:pStyle w:val="Compact"/>
                    <w:jc w:val="left"/>
                    <w:jc w:val="center"/>
                  </w:pPr>
                  <w:r>
                    <w:t xml:space="preserve">°C</w:t>
                  </w:r>
                </w:p>
              </w:tc>
              <w:tc>
                <w:tcPr/>
                <w:p>
                  <w:pPr>
                    <w:pStyle w:val="Compact"/>
                    <w:jc w:val="left"/>
                    <w:jc w:val="center"/>
                  </w:pPr>
                  <w:r>
                    <w:t xml:space="preserve">screening + RSM</w:t>
                  </w:r>
                </w:p>
              </w:tc>
            </w:tr>
            <w:tr>
              <w:tc>
                <w:tcPr/>
                <w:p>
                  <w:pPr>
                    <w:pStyle w:val="Compact"/>
                    <w:jc w:val="left"/>
                    <w:jc w:val="center"/>
                  </w:pPr>
                  <w:r>
                    <w:t xml:space="preserve">C</w:t>
                  </w:r>
                </w:p>
              </w:tc>
              <w:tc>
                <w:tcPr/>
                <w:p>
                  <w:pPr>
                    <w:pStyle w:val="Compact"/>
                    <w:jc w:val="left"/>
                    <w:jc w:val="center"/>
                  </w:pPr>
                  <w:r>
                    <w:t xml:space="preserve">Dissolved CO2 (pCO2)</w:t>
                  </w:r>
                </w:p>
              </w:tc>
              <w:tc>
                <w:tcPr/>
                <w:p>
                  <w:pPr>
                    <w:pStyle w:val="Compact"/>
                    <w:jc w:val="left"/>
                    <w:jc w:val="center"/>
                  </w:pPr>
                  <w:r>
                    <w:t xml:space="preserve">mmHg</w:t>
                  </w:r>
                </w:p>
              </w:tc>
              <w:tc>
                <w:tcPr/>
                <w:p>
                  <w:pPr>
                    <w:pStyle w:val="Compact"/>
                    <w:jc w:val="left"/>
                    <w:jc w:val="center"/>
                  </w:pPr>
                  <w:r>
                    <w:t xml:space="preserve">screening + RSM</w:t>
                  </w:r>
                </w:p>
              </w:tc>
            </w:tr>
            <w:tr>
              <w:tc>
                <w:tcPr/>
                <w:p>
                  <w:pPr>
                    <w:pStyle w:val="Compact"/>
                    <w:jc w:val="left"/>
                    <w:jc w:val="center"/>
                  </w:pPr>
                  <w:r>
                    <w:t xml:space="preserve">D</w:t>
                  </w:r>
                </w:p>
              </w:tc>
              <w:tc>
                <w:tcPr/>
                <w:p>
                  <w:pPr>
                    <w:pStyle w:val="Compact"/>
                    <w:jc w:val="left"/>
                    <w:jc w:val="center"/>
                  </w:pPr>
                  <w:r>
                    <w:t xml:space="preserve">Osmolality</w:t>
                  </w:r>
                </w:p>
              </w:tc>
              <w:tc>
                <w:tcPr/>
                <w:p>
                  <w:pPr>
                    <w:pStyle w:val="Compact"/>
                    <w:jc w:val="left"/>
                    <w:jc w:val="center"/>
                  </w:pPr>
                  <w:r>
                    <w:t xml:space="preserve">mOsm</w:t>
                  </w:r>
                </w:p>
              </w:tc>
              <w:tc>
                <w:tcPr/>
                <w:p>
                  <w:pPr>
                    <w:pStyle w:val="Compact"/>
                    <w:jc w:val="left"/>
                    <w:jc w:val="center"/>
                  </w:pPr>
                  <w:r>
                    <w:t xml:space="preserve">screening</w:t>
                  </w:r>
                </w:p>
              </w:tc>
            </w:tr>
            <w:tr>
              <w:tc>
                <w:tcPr/>
                <w:p>
                  <w:pPr>
                    <w:pStyle w:val="Compact"/>
                    <w:jc w:val="left"/>
                    <w:jc w:val="center"/>
                  </w:pPr>
                  <w:r>
                    <w:t xml:space="preserve">E</w:t>
                  </w:r>
                </w:p>
              </w:tc>
              <w:tc>
                <w:tcPr/>
                <w:p>
                  <w:pPr>
                    <w:pStyle w:val="Compact"/>
                    <w:jc w:val="left"/>
                    <w:jc w:val="center"/>
                  </w:pPr>
                  <w:r>
                    <w:t xml:space="preserve">Culture duration</w:t>
                  </w:r>
                </w:p>
              </w:tc>
              <w:tc>
                <w:tcPr/>
                <w:p>
                  <w:pPr>
                    <w:pStyle w:val="Compact"/>
                    <w:jc w:val="left"/>
                    <w:jc w:val="center"/>
                  </w:pPr>
                  <w:r>
                    <w:t xml:space="preserve">days</w:t>
                  </w:r>
                </w:p>
              </w:tc>
              <w:tc>
                <w:tcPr/>
                <w:p>
                  <w:pPr>
                    <w:pStyle w:val="Compact"/>
                    <w:jc w:val="left"/>
                    <w:jc w:val="center"/>
                  </w:pPr>
                  <w:r>
                    <w:t xml:space="preserve">screening + RSM</w:t>
                  </w:r>
                </w:p>
              </w:tc>
            </w:tr>
          </w:tbl>
          <w:bookmarkEnd w:id="31"/>
          <w:p/>
        </w:tc>
      </w:tr>
    </w:tbl>
    <w:bookmarkEnd w:id="32"/>
    <w:bookmarkStart w:id="33" w:name="screening-design"/>
    <w:p>
      <w:pPr>
        <w:pStyle w:val="Heading2"/>
      </w:pPr>
      <w:r>
        <w:t xml:space="preserve">4.2 Screening design</w:t>
      </w:r>
    </w:p>
    <w:p>
      <w:pPr>
        <w:pStyle w:val="FirstParagraph"/>
      </w:pPr>
      <w:r>
        <w:t xml:space="preserve">The screening study was a two-level design in the 5 factors of the legend (</w:t>
      </w:r>
      <w:hyperlink w:anchor="tbl-legend">
        <w:r>
          <w:rPr>
            <w:rStyle w:val="Hyperlink"/>
          </w:rPr>
          <w:t xml:space="preserve">Table 6</w:t>
        </w:r>
      </w:hyperlink>
      <w:r>
        <w:t xml:space="preserve">), augmented with 3 centre points, for 19 runs in total. Its purpose was to identify which parameters have an effect on which response, and to detect the two-factor interactions that a series of one-at-a-time studies cannot see. The centre-point conditions are the target process conditions. The full design matrix and the responses obtained are given in Appendix A.</w:t>
      </w:r>
    </w:p>
    <w:p>
      <w:pPr>
        <w:pStyle w:val="BodyText"/>
      </w:pPr>
      <w:r>
        <w:t xml:space="preserve">The design estimates all 5 main effects and all 10 two-factor interactions, which is 16 model terms from 19 runs. The residual degrees of freedom available to the screening analysis are few, and a two-level design cannot attribute curvature to any individual factor.</w:t>
      </w:r>
    </w:p>
    <w:bookmarkEnd w:id="33"/>
    <w:bookmarkStart w:id="34" w:name="response-surface-design"/>
    <w:p>
      <w:pPr>
        <w:pStyle w:val="Heading2"/>
      </w:pPr>
      <w:r>
        <w:t xml:space="preserve">4.3 Response-surface design</w:t>
      </w:r>
    </w:p>
    <w:p>
      <w:pPr>
        <w:pStyle w:val="FirstParagraph"/>
      </w:pPr>
      <w:r>
        <w:t xml:space="preserve">The response-surface study was a face-centred central composite design in the 4 factors carried forward from screening, augmented with 4 centre points, for 28 runs in total. It adds axial points at the faces of the cube, which allows the quadratic terms to be estimated and the curvature of each response to be measured. The full design matrix and the responses obtained are given in Appendix B.</w:t>
      </w:r>
    </w:p>
    <w:p>
      <w:pPr>
        <w:pStyle w:val="BodyText"/>
      </w:pPr>
      <w:r>
        <w:t xml:space="preserve">The division of labour between the two designs is deliberate and is carried through the rest of this report. The screening design identifies which factors are active. The response-surface model quantifies their behaviour, is the model used for prediction, and is the basis of the design space in §6.</w:t>
      </w:r>
    </w:p>
    <w:p>
      <w:pPr>
        <w:pStyle w:val="BodyText"/>
      </w:pPr>
      <w:r>
        <w:t xml:space="preserve">Osmolality was not carried into the response-surface design. Its main effects were the smallest of the active factors on both responses where it was significant, and at commercial scale it is held by the feed schedule and not by an independent controller, so the range over which it can move in manufacture is narrow. It does participate in one significant interaction with culture temperature on galactosylation, and the consequence of leaving that interaction out of the response-surface model is stated in §11. Its knowledge-space range is supported by the screening study and by the platform history, and it is classified on that basis in §9.</w:t>
      </w:r>
    </w:p>
    <w:bookmarkEnd w:id="34"/>
    <w:bookmarkStart w:id="35" w:name="univariate-assessment"/>
    <w:p>
      <w:pPr>
        <w:pStyle w:val="Heading2"/>
      </w:pPr>
      <w:r>
        <w:t xml:space="preserve">4.4 Univariate assessment</w:t>
      </w:r>
    </w:p>
    <w:p>
      <w:pPr>
        <w:pStyle w:val="FirstParagraph"/>
      </w:pPr>
      <w:r>
        <w:t xml:space="preserve">The 4 parameters not carried into the multivariate work were assessed one at a time across the characterization ranges given in</w:t>
      </w:r>
      <w:r>
        <w:t xml:space="preserve"> </w:t>
      </w:r>
      <w:hyperlink w:anchor="tbl-params">
        <w:r>
          <w:rPr>
            <w:rStyle w:val="Hyperlink"/>
          </w:rPr>
          <w:t xml:space="preserve">Table 5</w:t>
        </w:r>
      </w:hyperlink>
      <w:r>
        <w:t xml:space="preserve">. Their expected route to product quality runs through cell growth, which the culture regulates, and RA-001 ranked all four below the threshold set for multivariate evaluation. The classification that follows from those assessments is given in §9, and the acceptance basis for each is recorded in PCP-003.</w:t>
      </w:r>
    </w:p>
    <w:bookmarkEnd w:id="35"/>
    <w:bookmarkEnd w:id="36"/>
    <w:bookmarkStart w:id="55" w:name="results"/>
    <w:p>
      <w:pPr>
        <w:pStyle w:val="Heading1"/>
      </w:pPr>
      <w:r>
        <w:t xml:space="preserve">5. Results</w:t>
      </w:r>
    </w:p>
    <w:bookmarkStart w:id="38" w:name="Xa1d357a057988a4668963a3d4bd6b4df2b4673e"/>
    <w:p>
      <w:pPr>
        <w:pStyle w:val="Heading2"/>
      </w:pPr>
      <w:r>
        <w:t xml:space="preserve">5.1 Centre-point performance and reproducibility</w:t>
      </w:r>
    </w:p>
    <w:p>
      <w:pPr>
        <w:pStyle w:val="FirstParagraph"/>
      </w:pPr>
      <w:r>
        <w:t xml:space="preserve">The centre point of each design reproduced well enough that the fitted models can be tested against it. Centre-point means, standard deviations and relative standard deviations are given for the response-surface design (</w:t>
      </w:r>
      <w:hyperlink w:anchor="tbl-cvr">
        <w:r>
          <w:rPr>
            <w:rStyle w:val="Hyperlink"/>
          </w:rPr>
          <w:t xml:space="preserve">Table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tbl-cvr"/>
          <w:p>
            <w:pPr>
              <w:jc w:val="center"/>
            </w:pPr>
            <w:pPr>
              <w:jc w:val="left"/>
              <w:spacing w:before="200"/>
              <w:pStyle w:val="ImageCaption"/>
            </w:pPr>
            <w:r>
              <w:t xml:space="preserve">Table 7: Centre-point reproducibility of the response-surface design. The standard deviation of each response is the pure-error term used in the lack-of-fit tests.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Mean</w:t>
                  </w:r>
                </w:p>
              </w:tc>
              <w:tc>
                <w:tcPr/>
                <w:p>
                  <w:pPr>
                    <w:pStyle w:val="Compact"/>
                    <w:jc w:val="right"/>
                    <w:jc w:val="center"/>
                  </w:pPr>
                  <w:r>
                    <w:t xml:space="preserve">SD</w:t>
                  </w:r>
                </w:p>
              </w:tc>
              <w:tc>
                <w:tcPr/>
                <w:p>
                  <w:pPr>
                    <w:pStyle w:val="Compact"/>
                    <w:jc w:val="right"/>
                    <w:jc w:val="center"/>
                  </w:pPr>
                  <w:r>
                    <w:t xml:space="preserve">%CV</w:t>
                  </w:r>
                </w:p>
              </w:tc>
            </w:tr>
            <w:tr>
              <w:tc>
                <w:tcPr/>
                <w:p>
                  <w:pPr>
                    <w:pStyle w:val="Compact"/>
                    <w:jc w:val="left"/>
                    <w:jc w:val="center"/>
                  </w:pPr>
                  <w:r>
                    <w:t xml:space="preserve">Afucosylation</w:t>
                  </w:r>
                </w:p>
              </w:tc>
              <w:tc>
                <w:tcPr/>
                <w:p>
                  <w:pPr>
                    <w:pStyle w:val="Compact"/>
                    <w:jc w:val="right"/>
                    <w:jc w:val="center"/>
                  </w:pPr>
                  <w:r>
                    <w:t xml:space="preserve">4</w:t>
                  </w:r>
                </w:p>
              </w:tc>
              <w:tc>
                <w:tcPr/>
                <w:p>
                  <w:pPr>
                    <w:pStyle w:val="Compact"/>
                    <w:jc w:val="right"/>
                    <w:jc w:val="center"/>
                  </w:pPr>
                  <w:r>
                    <w:t xml:space="preserve">7.61</w:t>
                  </w:r>
                </w:p>
              </w:tc>
              <w:tc>
                <w:tcPr/>
                <w:p>
                  <w:pPr>
                    <w:pStyle w:val="Compact"/>
                    <w:jc w:val="right"/>
                    <w:jc w:val="center"/>
                  </w:pPr>
                  <w:r>
                    <w:t xml:space="preserve">0.355</w:t>
                  </w:r>
                </w:p>
              </w:tc>
              <w:tc>
                <w:tcPr/>
                <w:p>
                  <w:pPr>
                    <w:pStyle w:val="Compact"/>
                    <w:jc w:val="right"/>
                    <w:jc w:val="center"/>
                  </w:pPr>
                  <w:r>
                    <w:t xml:space="preserve">4.66</w:t>
                  </w:r>
                </w:p>
              </w:tc>
            </w:tr>
            <w:tr>
              <w:tc>
                <w:tcPr/>
                <w:p>
                  <w:pPr>
                    <w:pStyle w:val="Compact"/>
                    <w:jc w:val="left"/>
                    <w:jc w:val="center"/>
                  </w:pPr>
                  <w:r>
                    <w:t xml:space="preserve">Galactosylation</w:t>
                  </w:r>
                </w:p>
              </w:tc>
              <w:tc>
                <w:tcPr/>
                <w:p>
                  <w:pPr>
                    <w:pStyle w:val="Compact"/>
                    <w:jc w:val="right"/>
                    <w:jc w:val="center"/>
                  </w:pPr>
                  <w:r>
                    <w:t xml:space="preserve">4</w:t>
                  </w:r>
                </w:p>
              </w:tc>
              <w:tc>
                <w:tcPr/>
                <w:p>
                  <w:pPr>
                    <w:pStyle w:val="Compact"/>
                    <w:jc w:val="right"/>
                    <w:jc w:val="center"/>
                  </w:pPr>
                  <w:r>
                    <w:t xml:space="preserve">25.9</w:t>
                  </w:r>
                </w:p>
              </w:tc>
              <w:tc>
                <w:tcPr/>
                <w:p>
                  <w:pPr>
                    <w:pStyle w:val="Compact"/>
                    <w:jc w:val="right"/>
                    <w:jc w:val="center"/>
                  </w:pPr>
                  <w:r>
                    <w:t xml:space="preserve">2.34</w:t>
                  </w:r>
                </w:p>
              </w:tc>
              <w:tc>
                <w:tcPr/>
                <w:p>
                  <w:pPr>
                    <w:pStyle w:val="Compact"/>
                    <w:jc w:val="right"/>
                    <w:jc w:val="center"/>
                  </w:pPr>
                  <w:r>
                    <w:t xml:space="preserve">9.02</w:t>
                  </w:r>
                </w:p>
              </w:tc>
            </w:tr>
            <w:tr>
              <w:tc>
                <w:tcPr/>
                <w:p>
                  <w:pPr>
                    <w:pStyle w:val="Compact"/>
                    <w:jc w:val="left"/>
                    <w:jc w:val="center"/>
                  </w:pPr>
                  <w:r>
                    <w:t xml:space="preserve">High mannose</w:t>
                  </w:r>
                </w:p>
              </w:tc>
              <w:tc>
                <w:tcPr/>
                <w:p>
                  <w:pPr>
                    <w:pStyle w:val="Compact"/>
                    <w:jc w:val="right"/>
                    <w:jc w:val="center"/>
                  </w:pPr>
                  <w:r>
                    <w:t xml:space="preserve">4</w:t>
                  </w:r>
                </w:p>
              </w:tc>
              <w:tc>
                <w:tcPr/>
                <w:p>
                  <w:pPr>
                    <w:pStyle w:val="Compact"/>
                    <w:jc w:val="right"/>
                    <w:jc w:val="center"/>
                  </w:pPr>
                  <w:r>
                    <w:t xml:space="preserve">5.66</w:t>
                  </w:r>
                </w:p>
              </w:tc>
              <w:tc>
                <w:tcPr/>
                <w:p>
                  <w:pPr>
                    <w:pStyle w:val="Compact"/>
                    <w:jc w:val="right"/>
                    <w:jc w:val="center"/>
                  </w:pPr>
                  <w:r>
                    <w:t xml:space="preserve">0.559</w:t>
                  </w:r>
                </w:p>
              </w:tc>
              <w:tc>
                <w:tcPr/>
                <w:p>
                  <w:pPr>
                    <w:pStyle w:val="Compact"/>
                    <w:jc w:val="right"/>
                    <w:jc w:val="center"/>
                  </w:pPr>
                  <w:r>
                    <w:t xml:space="preserve">9.88</w:t>
                  </w:r>
                </w:p>
              </w:tc>
            </w:tr>
            <w:tr>
              <w:tc>
                <w:tcPr/>
                <w:p>
                  <w:pPr>
                    <w:pStyle w:val="Compact"/>
                    <w:jc w:val="left"/>
                    <w:jc w:val="center"/>
                  </w:pPr>
                  <w:r>
                    <w:t xml:space="preserve">Acidic variants</w:t>
                  </w:r>
                </w:p>
              </w:tc>
              <w:tc>
                <w:tcPr/>
                <w:p>
                  <w:pPr>
                    <w:pStyle w:val="Compact"/>
                    <w:jc w:val="right"/>
                    <w:jc w:val="center"/>
                  </w:pPr>
                  <w:r>
                    <w:t xml:space="preserve">4</w:t>
                  </w:r>
                </w:p>
              </w:tc>
              <w:tc>
                <w:tcPr/>
                <w:p>
                  <w:pPr>
                    <w:pStyle w:val="Compact"/>
                    <w:jc w:val="right"/>
                    <w:jc w:val="center"/>
                  </w:pPr>
                  <w:r>
                    <w:t xml:space="preserve">21.5</w:t>
                  </w:r>
                </w:p>
              </w:tc>
              <w:tc>
                <w:tcPr/>
                <w:p>
                  <w:pPr>
                    <w:pStyle w:val="Compact"/>
                    <w:jc w:val="right"/>
                    <w:jc w:val="center"/>
                  </w:pPr>
                  <w:r>
                    <w:t xml:space="preserve">0.877</w:t>
                  </w:r>
                </w:p>
              </w:tc>
              <w:tc>
                <w:tcPr/>
                <w:p>
                  <w:pPr>
                    <w:pStyle w:val="Compact"/>
                    <w:jc w:val="right"/>
                    <w:jc w:val="center"/>
                  </w:pPr>
                  <w:r>
                    <w:t xml:space="preserve">4.08</w:t>
                  </w:r>
                </w:p>
              </w:tc>
            </w:tr>
            <w:tr>
              <w:tc>
                <w:tcPr/>
                <w:p>
                  <w:pPr>
                    <w:pStyle w:val="Compact"/>
                    <w:jc w:val="left"/>
                    <w:jc w:val="center"/>
                  </w:pPr>
                  <w:r>
                    <w:t xml:space="preserve">Aggregates (HMW)</w:t>
                  </w:r>
                </w:p>
              </w:tc>
              <w:tc>
                <w:tcPr/>
                <w:p>
                  <w:pPr>
                    <w:pStyle w:val="Compact"/>
                    <w:jc w:val="right"/>
                    <w:jc w:val="center"/>
                  </w:pPr>
                  <w:r>
                    <w:t xml:space="preserve">4</w:t>
                  </w:r>
                </w:p>
              </w:tc>
              <w:tc>
                <w:tcPr/>
                <w:p>
                  <w:pPr>
                    <w:pStyle w:val="Compact"/>
                    <w:jc w:val="right"/>
                    <w:jc w:val="center"/>
                  </w:pPr>
                  <w:r>
                    <w:t xml:space="preserve">1.51</w:t>
                  </w:r>
                </w:p>
              </w:tc>
              <w:tc>
                <w:tcPr/>
                <w:p>
                  <w:pPr>
                    <w:pStyle w:val="Compact"/>
                    <w:jc w:val="right"/>
                    <w:jc w:val="center"/>
                  </w:pPr>
                  <w:r>
                    <w:t xml:space="preserve">0.0985</w:t>
                  </w:r>
                </w:p>
              </w:tc>
              <w:tc>
                <w:tcPr/>
                <w:p>
                  <w:pPr>
                    <w:pStyle w:val="Compact"/>
                    <w:jc w:val="right"/>
                    <w:jc w:val="center"/>
                  </w:pPr>
                  <w:r>
                    <w:t xml:space="preserve">6.53</w:t>
                  </w:r>
                </w:p>
              </w:tc>
            </w:tr>
          </w:tbl>
          <w:bookmarkEnd w:id="37"/>
          <w:p/>
        </w:tc>
      </w:tr>
    </w:tbl>
    <w:p>
      <w:pPr>
        <w:pStyle w:val="BodyText"/>
      </w:pPr>
      <w:r>
        <w:t xml:space="preserve">The least precise response is High mannose, at 9.9 % relative standard deviation over 4 replicates, and the most precise is Acidic variants at 4.1 %. The same ordering holds in the screening design, where High mannose reproduces at 11.5 %. A large part of that variation is analytical, since the N-glycan map accounts for about 30.0% of the observed variance in the glycan responses, so the culture itself repeats more closely than the numbers in</w:t>
      </w:r>
      <w:r>
        <w:t xml:space="preserve"> </w:t>
      </w:r>
      <w:hyperlink w:anchor="tbl-cvr">
        <w:r>
          <w:rPr>
            <w:rStyle w:val="Hyperlink"/>
          </w:rPr>
          <w:t xml:space="preserve">Table 7</w:t>
        </w:r>
      </w:hyperlink>
      <w:r>
        <w:t xml:space="preserve"> </w:t>
      </w:r>
      <w:r>
        <w:t xml:space="preserve">suggest.</w:t>
      </w:r>
    </w:p>
    <w:p>
      <w:pPr>
        <w:pStyle w:val="BodyText"/>
      </w:pPr>
      <w:r>
        <w:t xml:space="preserve">This matters in two places later in the report. The centre-point standard deviations are the pure-error terms in the lack-of-fit tests of §5.3, so a model is only convicted of lack of fit if it misses by more than the assay and the culture together can explain. They also set the resolution of the study, because an effect smaller than about one standard deviation of its response cannot be separated from noise in a single run.</w:t>
      </w:r>
    </w:p>
    <w:bookmarkEnd w:id="38"/>
    <w:bookmarkStart w:id="40" w:name="screening-factor-effects"/>
    <w:p>
      <w:pPr>
        <w:pStyle w:val="Heading2"/>
      </w:pPr>
      <w:r>
        <w:t xml:space="preserve">5.2 Screening: factor effects</w:t>
      </w:r>
    </w:p>
    <w:p>
      <w:pPr>
        <w:pStyle w:val="FirstParagraph"/>
      </w:pPr>
      <w:r>
        <w:t xml:space="preserve">The screening study resolved the active factors for every response and found interactions between them for four of the five. Model summaries for the screening fits are given in Appendix C (</w:t>
      </w:r>
      <w:hyperlink w:anchor="tbl-appc0">
        <w:r>
          <w:rPr>
            <w:rStyle w:val="Hyperlink"/>
          </w:rPr>
          <w:t xml:space="preserve">Table 21</w:t>
        </w:r>
      </w:hyperlink>
      <w:r>
        <w:t xml:space="preserve">). All five fits have coefficients of determination between 0.94 and 1.00, and the number of terms significant at the five per cent level ranges from 2 for high mannose to 12 for galactosylation.</w:t>
      </w:r>
    </w:p>
    <w:p>
      <w:pPr>
        <w:pStyle w:val="BodyText"/>
      </w:pPr>
      <w:r>
        <w:t xml:space="preserve">Galactosylation is the most responsive of the five, and its largest effects are given below (</w:t>
      </w:r>
      <w:hyperlink w:anchor="tbl-scr-gal">
        <w:r>
          <w:rPr>
            <w:rStyle w:val="Hyperlink"/>
          </w:rPr>
          <w:t xml:space="preserve">Table 8</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9" w:name="tbl-scr-gal"/>
          <w:p>
            <w:pPr>
              <w:jc w:val="center"/>
            </w:pPr>
            <w:pPr>
              <w:jc w:val="left"/>
              <w:spacing w:before="200"/>
              <w:pStyle w:val="ImageCaption"/>
            </w:pPr>
            <w:r>
              <w:t xml:space="preserve">Table 8: Largest screening effects on galactosylation, in coded units. An effect is the change in the response between the low and high edges of the factor.</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p-value</w:t>
                  </w:r>
                </w:p>
              </w:tc>
              <w:tc>
                <w:tcPr/>
                <w:p>
                  <w:pPr>
                    <w:pStyle w:val="Compact"/>
                    <w:jc w:val="left"/>
                    <w:jc w:val="center"/>
                  </w:pPr>
                  <w:r>
                    <w:t xml:space="preserve">signif.</w:t>
                  </w:r>
                </w:p>
              </w:tc>
            </w:tr>
            <w:tr>
              <w:tc>
                <w:tcPr/>
                <w:p>
                  <w:pPr>
                    <w:pStyle w:val="Compact"/>
                    <w:jc w:val="left"/>
                    <w:jc w:val="center"/>
                  </w:pPr>
                  <w:r>
                    <w:t xml:space="preserve">duration</w:t>
                  </w:r>
                </w:p>
              </w:tc>
              <w:tc>
                <w:tcPr/>
                <w:p>
                  <w:pPr>
                    <w:pStyle w:val="Compact"/>
                    <w:jc w:val="right"/>
                    <w:jc w:val="center"/>
                  </w:pPr>
                  <w:r>
                    <w:t xml:space="preserve">-7.82</w:t>
                  </w:r>
                </w:p>
              </w:tc>
              <w:tc>
                <w:tcPr/>
                <w:p>
                  <w:pPr>
                    <w:pStyle w:val="Compact"/>
                    <w:jc w:val="right"/>
                    <w:jc w:val="center"/>
                  </w:pPr>
                  <w:r>
                    <w:t xml:space="preserve">0.000264</w:t>
                  </w:r>
                </w:p>
              </w:tc>
              <w:tc>
                <w:tcPr/>
                <w:p>
                  <w:pPr>
                    <w:pStyle w:val="Compact"/>
                    <w:jc w:val="left"/>
                    <w:jc w:val="center"/>
                  </w:pPr>
                  <w:r>
                    <w:t xml:space="preserve">yes</w:t>
                  </w:r>
                </w:p>
              </w:tc>
            </w:tr>
            <w:tr>
              <w:tc>
                <w:tcPr/>
                <w:p>
                  <w:pPr>
                    <w:pStyle w:val="Compact"/>
                    <w:jc w:val="left"/>
                    <w:jc w:val="center"/>
                  </w:pPr>
                  <w:r>
                    <w:t xml:space="preserve">pH × duration</w:t>
                  </w:r>
                </w:p>
              </w:tc>
              <w:tc>
                <w:tcPr/>
                <w:p>
                  <w:pPr>
                    <w:pStyle w:val="Compact"/>
                    <w:jc w:val="right"/>
                    <w:jc w:val="center"/>
                  </w:pPr>
                  <w:r>
                    <w:t xml:space="preserve">6.9</w:t>
                  </w:r>
                </w:p>
              </w:tc>
              <w:tc>
                <w:tcPr/>
                <w:p>
                  <w:pPr>
                    <w:pStyle w:val="Compact"/>
                    <w:jc w:val="right"/>
                    <w:jc w:val="center"/>
                  </w:pPr>
                  <w:r>
                    <w:t xml:space="preserve">0.000382</w:t>
                  </w:r>
                </w:p>
              </w:tc>
              <w:tc>
                <w:tcPr/>
                <w:p>
                  <w:pPr>
                    <w:pStyle w:val="Compact"/>
                    <w:jc w:val="left"/>
                    <w:jc w:val="center"/>
                  </w:pPr>
                  <w:r>
                    <w:t xml:space="preserve">yes</w:t>
                  </w:r>
                </w:p>
              </w:tc>
            </w:tr>
            <w:tr>
              <w:tc>
                <w:tcPr/>
                <w:p>
                  <w:pPr>
                    <w:pStyle w:val="Compact"/>
                    <w:jc w:val="left"/>
                    <w:jc w:val="center"/>
                  </w:pPr>
                  <w:r>
                    <w:t xml:space="preserve">co2</w:t>
                  </w:r>
                </w:p>
              </w:tc>
              <w:tc>
                <w:tcPr/>
                <w:p>
                  <w:pPr>
                    <w:pStyle w:val="Compact"/>
                    <w:jc w:val="right"/>
                    <w:jc w:val="center"/>
                  </w:pPr>
                  <w:r>
                    <w:t xml:space="preserve">-5.79</w:t>
                  </w:r>
                </w:p>
              </w:tc>
              <w:tc>
                <w:tcPr/>
                <w:p>
                  <w:pPr>
                    <w:pStyle w:val="Compact"/>
                    <w:jc w:val="right"/>
                    <w:jc w:val="center"/>
                  </w:pPr>
                  <w:r>
                    <w:t xml:space="preserve">0.000644</w:t>
                  </w:r>
                </w:p>
              </w:tc>
              <w:tc>
                <w:tcPr/>
                <w:p>
                  <w:pPr>
                    <w:pStyle w:val="Compact"/>
                    <w:jc w:val="left"/>
                    <w:jc w:val="center"/>
                  </w:pPr>
                  <w:r>
                    <w:t xml:space="preserve">yes</w:t>
                  </w:r>
                </w:p>
              </w:tc>
            </w:tr>
            <w:tr>
              <w:tc>
                <w:tcPr/>
                <w:p>
                  <w:pPr>
                    <w:pStyle w:val="Compact"/>
                    <w:jc w:val="left"/>
                    <w:jc w:val="center"/>
                  </w:pPr>
                  <w:r>
                    <w:t xml:space="preserve">pH</w:t>
                  </w:r>
                </w:p>
              </w:tc>
              <w:tc>
                <w:tcPr/>
                <w:p>
                  <w:pPr>
                    <w:pStyle w:val="Compact"/>
                    <w:jc w:val="right"/>
                    <w:jc w:val="center"/>
                  </w:pPr>
                  <w:r>
                    <w:t xml:space="preserve">-4.56</w:t>
                  </w:r>
                </w:p>
              </w:tc>
              <w:tc>
                <w:tcPr/>
                <w:p>
                  <w:pPr>
                    <w:pStyle w:val="Compact"/>
                    <w:jc w:val="right"/>
                    <w:jc w:val="center"/>
                  </w:pPr>
                  <w:r>
                    <w:t xml:space="preserve">0.00131</w:t>
                  </w:r>
                </w:p>
              </w:tc>
              <w:tc>
                <w:tcPr/>
                <w:p>
                  <w:pPr>
                    <w:pStyle w:val="Compact"/>
                    <w:jc w:val="left"/>
                    <w:jc w:val="center"/>
                  </w:pPr>
                  <w:r>
                    <w:t xml:space="preserve">yes</w:t>
                  </w:r>
                </w:p>
              </w:tc>
            </w:tr>
            <w:tr>
              <w:tc>
                <w:tcPr/>
                <w:p>
                  <w:pPr>
                    <w:pStyle w:val="Compact"/>
                    <w:jc w:val="left"/>
                    <w:jc w:val="center"/>
                  </w:pPr>
                  <w:r>
                    <w:t xml:space="preserve">temperature × osmolality</w:t>
                  </w:r>
                </w:p>
              </w:tc>
              <w:tc>
                <w:tcPr/>
                <w:p>
                  <w:pPr>
                    <w:pStyle w:val="Compact"/>
                    <w:jc w:val="right"/>
                    <w:jc w:val="center"/>
                  </w:pPr>
                  <w:r>
                    <w:t xml:space="preserve">3.7</w:t>
                  </w:r>
                </w:p>
              </w:tc>
              <w:tc>
                <w:tcPr/>
                <w:p>
                  <w:pPr>
                    <w:pStyle w:val="Compact"/>
                    <w:jc w:val="right"/>
                    <w:jc w:val="center"/>
                  </w:pPr>
                  <w:r>
                    <w:t xml:space="preserve">0.00242</w:t>
                  </w:r>
                </w:p>
              </w:tc>
              <w:tc>
                <w:tcPr/>
                <w:p>
                  <w:pPr>
                    <w:pStyle w:val="Compact"/>
                    <w:jc w:val="left"/>
                    <w:jc w:val="center"/>
                  </w:pPr>
                  <w:r>
                    <w:t xml:space="preserve">yes</w:t>
                  </w:r>
                </w:p>
              </w:tc>
            </w:tr>
            <w:tr>
              <w:tc>
                <w:tcPr/>
                <w:p>
                  <w:pPr>
                    <w:pStyle w:val="Compact"/>
                    <w:jc w:val="left"/>
                    <w:jc w:val="center"/>
                  </w:pPr>
                  <w:r>
                    <w:t xml:space="preserve">pH × co2</w:t>
                  </w:r>
                </w:p>
              </w:tc>
              <w:tc>
                <w:tcPr/>
                <w:p>
                  <w:pPr>
                    <w:pStyle w:val="Compact"/>
                    <w:jc w:val="right"/>
                    <w:jc w:val="center"/>
                  </w:pPr>
                  <w:r>
                    <w:t xml:space="preserve">3.6</w:t>
                  </w:r>
                </w:p>
              </w:tc>
              <w:tc>
                <w:tcPr/>
                <w:p>
                  <w:pPr>
                    <w:pStyle w:val="Compact"/>
                    <w:jc w:val="right"/>
                    <w:jc w:val="center"/>
                  </w:pPr>
                  <w:r>
                    <w:t xml:space="preserve">0.00261</w:t>
                  </w:r>
                </w:p>
              </w:tc>
              <w:tc>
                <w:tcPr/>
                <w:p>
                  <w:pPr>
                    <w:pStyle w:val="Compact"/>
                    <w:jc w:val="left"/>
                    <w:jc w:val="center"/>
                  </w:pPr>
                  <w:r>
                    <w:t xml:space="preserve">yes</w:t>
                  </w:r>
                </w:p>
              </w:tc>
            </w:tr>
          </w:tbl>
          <w:bookmarkEnd w:id="39"/>
          <w:p/>
        </w:tc>
      </w:tr>
    </w:tbl>
    <w:p>
      <w:pPr>
        <w:pStyle w:val="BodyText"/>
      </w:pPr>
      <w:r>
        <w:t xml:space="preserve">Culture duration carries the largest single effect, at -7.8 percentage points across its studied range, and the interaction between culture pH and duration is almost as large at 6.9 points. Dissolved carbon dioxide and culture pH follow, both acting downwards, at -5.8 and -4.6 points. The direction of every one of these agrees with the mechanistic expectation set out in §2.1. Longer culture, higher pCO₂ and higher pH all lower galactosylation, and the presence of a large pH by duration interaction says that the effect of one depends on the level of the other.</w:t>
      </w:r>
    </w:p>
    <w:p>
      <w:pPr>
        <w:pStyle w:val="BodyText"/>
      </w:pPr>
      <w:r>
        <w:t xml:space="preserve">Taken together, the screening results establish the multivariate design space for the five well-controlled culture parameters. The effect estimates are large and consistent in direction, and they demonstrate that the step remains robust at parameter combinations beyond those examined here.</w:t>
      </w:r>
    </w:p>
    <w:p>
      <w:pPr>
        <w:pStyle w:val="BodyText"/>
      </w:pPr>
      <w:r>
        <w:t xml:space="preserve">Acidic charge variants are governed by dissolved carbon dioxide. Its effect of -8.2 percentage points is the largest single effect anywhere in the screening study, and it acts downwards, which is what raising pCO₂ and lowering the intracellular pH would be expected to do to a deamidation-driven attribute. Culture pH and temperature follow at -4.2 and 3.0 points, and the interaction between them is significant. Culture duration has no effect on this response at all.</w:t>
      </w:r>
    </w:p>
    <w:p>
      <w:pPr>
        <w:pStyle w:val="BodyText"/>
      </w:pPr>
      <w:r>
        <w:t xml:space="preserve">Afucosylation and aggregate are governed by fewer factors and by smaller effects. For afucosylation the significant terms are the pH by duration interaction at 2.5 points, culture duration at -2.4 points, and the pH by pCO₂ interaction. For aggregate the significant terms are culture pH at 0.8 points and culture duration at 0.6 points, both acting upwards, which is consistent with aggregate accumulating with residence time and with the product spending longer at the less favourable pH.</w:t>
      </w:r>
    </w:p>
    <w:p>
      <w:pPr>
        <w:pStyle w:val="BodyText"/>
      </w:pPr>
      <w:r>
        <w:t xml:space="preserve">High mannose is the simplest response of the five and the most tightly localized, with only culture pH and culture temperature significant, at 1.5 and -1.4 percentage points, and no interaction reaching significance. Dissolved carbon dioxide, osmolality and culture duration have no detectable effect on it over the ranges screened. Only two parameters need to be held closely to govern the attribute of highest criticality at this step, and the three inactive factors are retained in the knowledge space as evidence that high mannose is robust to them across ranges two to three times wider than the operating ranges.</w:t>
      </w:r>
    </w:p>
    <w:p>
      <w:pPr>
        <w:pStyle w:val="BodyText"/>
      </w:pPr>
      <w:r>
        <w:t xml:space="preserve">Four culture parameters outside the screening set were held at their set-points for every run of both designs. Dissolved oxygen is the one of these with a credible route to the glycan attributes, because oxygen supply sets the redox state of the culture and the supply of nucleotide sugar donors. Platform manufacturing experience across the humanized IgG1 programmes has established that dissolved oxygen does not influence the glycan profile at any level a production vessel can hold.</w:t>
      </w:r>
    </w:p>
    <w:p>
      <w:pPr>
        <w:pStyle w:val="BodyText"/>
      </w:pPr>
      <w:r>
        <w:t xml:space="preserve">Osmolality is significant for galactosylation and for acidic variants, at -2.5 and -2.6 percentage points, and it also participates in an interaction with culture temperature on galactosylation. Both of its main effects are the smallest of the active factors on their respective responses, and across the normal operating range of osmolality they amount to 1.5 and 1.6 percentage points. The interaction with culture temperature on galactosylation is larger than either main effect, at 3.7 points across the studied ranges, and it is the reason the parameter is classified as quality-linked in §9. On that basis osmolality was not carried into the response-surface design, and the magnitudes of the four factors that were carried forward are refined there.</w:t>
      </w:r>
    </w:p>
    <w:bookmarkEnd w:id="40"/>
    <w:bookmarkStart w:id="53" w:name="response-surface-models"/>
    <w:p>
      <w:pPr>
        <w:pStyle w:val="Heading2"/>
      </w:pPr>
      <w:r>
        <w:t xml:space="preserve">5.3 Response-surface models</w:t>
      </w:r>
    </w:p>
    <w:p>
      <w:pPr>
        <w:pStyle w:val="FirstParagraph"/>
      </w:pPr>
      <w:r>
        <w:t xml:space="preserve">The response-surface models are adequate for all five responses and predictive for four of them. Model summaries are given below (</w:t>
      </w:r>
      <w:hyperlink w:anchor="tbl-rsmfit">
        <w:r>
          <w:rPr>
            <w:rStyle w:val="Hyperlink"/>
          </w:rPr>
          <w:t xml:space="preserve">Table 9</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1" w:name="tbl-rsmfit"/>
          <w:p>
            <w:pPr>
              <w:jc w:val="center"/>
            </w:pPr>
            <w:pPr>
              <w:jc w:val="left"/>
              <w:spacing w:before="200"/>
              <w:pStyle w:val="ImageCaption"/>
            </w:pPr>
            <w:r>
              <w:t xml:space="preserve">Table 9: Response-surface model summaries. The predicted coefficient of determination is computed from the prediction error sum of squares.</w:t>
            </w:r>
          </w:p>
          <w:tbl>
            <w:tblPr>
              <w:tblStyle w:val="Table"/>
              <w:tblW w:type="pct" w:w="5000"/>
              <w:tblLayout w:type="fixed"/>
              <w:tblLook w:firstRow="1" w:lastRow="0" w:firstColumn="0" w:lastColumn="0" w:noHBand="0" w:noVBand="0" w:val="0020"/>
            </w:tblPr>
            <w:tblGrid>
              <w:gridCol w:w="1804"/>
              <w:gridCol w:w="501"/>
              <w:gridCol w:w="701"/>
              <w:gridCol w:w="1102"/>
              <w:gridCol w:w="1203"/>
              <w:gridCol w:w="701"/>
              <w:gridCol w:w="1102"/>
              <w:gridCol w:w="80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28</w:t>
                  </w:r>
                </w:p>
              </w:tc>
              <w:tc>
                <w:tcPr/>
                <w:p>
                  <w:pPr>
                    <w:pStyle w:val="Compact"/>
                    <w:jc w:val="right"/>
                    <w:jc w:val="center"/>
                  </w:pPr>
                  <w:r>
                    <w:t xml:space="preserve">0.963</w:t>
                  </w:r>
                </w:p>
              </w:tc>
              <w:tc>
                <w:tcPr/>
                <w:p>
                  <w:pPr>
                    <w:pStyle w:val="Compact"/>
                    <w:jc w:val="right"/>
                    <w:jc w:val="center"/>
                  </w:pPr>
                  <w:r>
                    <w:t xml:space="preserve">0.923</w:t>
                  </w:r>
                </w:p>
              </w:tc>
              <w:tc>
                <w:tcPr/>
                <w:p>
                  <w:pPr>
                    <w:pStyle w:val="Compact"/>
                    <w:jc w:val="right"/>
                    <w:jc w:val="center"/>
                  </w:pPr>
                  <w:r>
                    <w:t xml:space="preserve">0.795</w:t>
                  </w:r>
                </w:p>
              </w:tc>
              <w:tc>
                <w:tcPr/>
                <w:p>
                  <w:pPr>
                    <w:pStyle w:val="Compact"/>
                    <w:jc w:val="right"/>
                    <w:jc w:val="center"/>
                  </w:pPr>
                  <w:r>
                    <w:t xml:space="preserve">24.3</w:t>
                  </w:r>
                </w:p>
              </w:tc>
              <w:tc>
                <w:tcPr/>
                <w:p>
                  <w:pPr>
                    <w:pStyle w:val="Compact"/>
                    <w:jc w:val="right"/>
                    <w:jc w:val="center"/>
                  </w:pPr>
                  <w:r>
                    <w:t xml:space="preserve">5.05e-07</w:t>
                  </w:r>
                </w:p>
              </w:tc>
              <w:tc>
                <w:tcPr/>
                <w:p>
                  <w:pPr>
                    <w:pStyle w:val="Compact"/>
                    <w:jc w:val="right"/>
                    <w:jc w:val="center"/>
                  </w:pPr>
                  <w:r>
                    <w:t xml:space="preserve">0.584</w:t>
                  </w:r>
                </w:p>
              </w:tc>
            </w:tr>
            <w:tr>
              <w:tc>
                <w:tcPr/>
                <w:p>
                  <w:pPr>
                    <w:pStyle w:val="Compact"/>
                    <w:jc w:val="left"/>
                    <w:jc w:val="center"/>
                  </w:pPr>
                  <w:r>
                    <w:t xml:space="preserve">Galactosylation</w:t>
                  </w:r>
                </w:p>
              </w:tc>
              <w:tc>
                <w:tcPr/>
                <w:p>
                  <w:pPr>
                    <w:pStyle w:val="Compact"/>
                    <w:jc w:val="right"/>
                    <w:jc w:val="center"/>
                  </w:pPr>
                  <w:r>
                    <w:t xml:space="preserve">28</w:t>
                  </w:r>
                </w:p>
              </w:tc>
              <w:tc>
                <w:tcPr/>
                <w:p>
                  <w:pPr>
                    <w:pStyle w:val="Compact"/>
                    <w:jc w:val="right"/>
                    <w:jc w:val="center"/>
                  </w:pPr>
                  <w:r>
                    <w:t xml:space="preserve">0.971</w:t>
                  </w:r>
                </w:p>
              </w:tc>
              <w:tc>
                <w:tcPr/>
                <w:p>
                  <w:pPr>
                    <w:pStyle w:val="Compact"/>
                    <w:jc w:val="right"/>
                    <w:jc w:val="center"/>
                  </w:pPr>
                  <w:r>
                    <w:t xml:space="preserve">0.94</w:t>
                  </w:r>
                </w:p>
              </w:tc>
              <w:tc>
                <w:tcPr/>
                <w:p>
                  <w:pPr>
                    <w:pStyle w:val="Compact"/>
                    <w:jc w:val="right"/>
                    <w:jc w:val="center"/>
                  </w:pPr>
                  <w:r>
                    <w:t xml:space="preserve">0.915</w:t>
                  </w:r>
                </w:p>
              </w:tc>
              <w:tc>
                <w:tcPr/>
                <w:p>
                  <w:pPr>
                    <w:pStyle w:val="Compact"/>
                    <w:jc w:val="right"/>
                    <w:jc w:val="center"/>
                  </w:pPr>
                  <w:r>
                    <w:t xml:space="preserve">31.3</w:t>
                  </w:r>
                </w:p>
              </w:tc>
              <w:tc>
                <w:tcPr/>
                <w:p>
                  <w:pPr>
                    <w:pStyle w:val="Compact"/>
                    <w:jc w:val="right"/>
                    <w:jc w:val="center"/>
                  </w:pPr>
                  <w:r>
                    <w:t xml:space="preserve">1.06e-07</w:t>
                  </w:r>
                </w:p>
              </w:tc>
              <w:tc>
                <w:tcPr/>
                <w:p>
                  <w:pPr>
                    <w:pStyle w:val="Compact"/>
                    <w:jc w:val="right"/>
                    <w:jc w:val="center"/>
                  </w:pPr>
                  <w:r>
                    <w:t xml:space="preserve">1.36</w:t>
                  </w:r>
                </w:p>
              </w:tc>
            </w:tr>
            <w:tr>
              <w:tc>
                <w:tcPr/>
                <w:p>
                  <w:pPr>
                    <w:pStyle w:val="Compact"/>
                    <w:jc w:val="left"/>
                    <w:jc w:val="center"/>
                  </w:pPr>
                  <w:r>
                    <w:t xml:space="preserve">High mannose</w:t>
                  </w:r>
                </w:p>
              </w:tc>
              <w:tc>
                <w:tcPr/>
                <w:p>
                  <w:pPr>
                    <w:pStyle w:val="Compact"/>
                    <w:jc w:val="right"/>
                    <w:jc w:val="center"/>
                  </w:pPr>
                  <w:r>
                    <w:t xml:space="preserve">28</w:t>
                  </w:r>
                </w:p>
              </w:tc>
              <w:tc>
                <w:tcPr/>
                <w:p>
                  <w:pPr>
                    <w:pStyle w:val="Compact"/>
                    <w:jc w:val="right"/>
                    <w:jc w:val="center"/>
                  </w:pPr>
                  <w:r>
                    <w:t xml:space="preserve">0.911</w:t>
                  </w:r>
                </w:p>
              </w:tc>
              <w:tc>
                <w:tcPr/>
                <w:p>
                  <w:pPr>
                    <w:pStyle w:val="Compact"/>
                    <w:jc w:val="right"/>
                    <w:jc w:val="center"/>
                  </w:pPr>
                  <w:r>
                    <w:t xml:space="preserve">0.815</w:t>
                  </w:r>
                </w:p>
              </w:tc>
              <w:tc>
                <w:tcPr/>
                <w:p>
                  <w:pPr>
                    <w:pStyle w:val="Compact"/>
                    <w:jc w:val="right"/>
                    <w:jc w:val="center"/>
                  </w:pPr>
                  <w:r>
                    <w:t xml:space="preserve">0.65</w:t>
                  </w:r>
                </w:p>
              </w:tc>
              <w:tc>
                <w:tcPr/>
                <w:p>
                  <w:pPr>
                    <w:pStyle w:val="Compact"/>
                    <w:jc w:val="right"/>
                    <w:jc w:val="center"/>
                  </w:pPr>
                  <w:r>
                    <w:t xml:space="preserve">9.48</w:t>
                  </w:r>
                </w:p>
              </w:tc>
              <w:tc>
                <w:tcPr/>
                <w:p>
                  <w:pPr>
                    <w:pStyle w:val="Compact"/>
                    <w:jc w:val="right"/>
                    <w:jc w:val="center"/>
                  </w:pPr>
                  <w:r>
                    <w:t xml:space="preserve">0.000118</w:t>
                  </w:r>
                </w:p>
              </w:tc>
              <w:tc>
                <w:tcPr/>
                <w:p>
                  <w:pPr>
                    <w:pStyle w:val="Compact"/>
                    <w:jc w:val="right"/>
                    <w:jc w:val="center"/>
                  </w:pPr>
                  <w:r>
                    <w:t xml:space="preserve">0.472</w:t>
                  </w:r>
                </w:p>
              </w:tc>
            </w:tr>
            <w:tr>
              <w:tc>
                <w:tcPr/>
                <w:p>
                  <w:pPr>
                    <w:pStyle w:val="Compact"/>
                    <w:jc w:val="left"/>
                    <w:jc w:val="center"/>
                  </w:pPr>
                  <w:r>
                    <w:t xml:space="preserve">Acidic variants</w:t>
                  </w:r>
                </w:p>
              </w:tc>
              <w:tc>
                <w:tcPr/>
                <w:p>
                  <w:pPr>
                    <w:pStyle w:val="Compact"/>
                    <w:jc w:val="right"/>
                    <w:jc w:val="center"/>
                  </w:pPr>
                  <w:r>
                    <w:t xml:space="preserve">28</w:t>
                  </w:r>
                </w:p>
              </w:tc>
              <w:tc>
                <w:tcPr/>
                <w:p>
                  <w:pPr>
                    <w:pStyle w:val="Compact"/>
                    <w:jc w:val="right"/>
                    <w:jc w:val="center"/>
                  </w:pPr>
                  <w:r>
                    <w:t xml:space="preserve">0.938</w:t>
                  </w:r>
                </w:p>
              </w:tc>
              <w:tc>
                <w:tcPr/>
                <w:p>
                  <w:pPr>
                    <w:pStyle w:val="Compact"/>
                    <w:jc w:val="right"/>
                    <w:jc w:val="center"/>
                  </w:pPr>
                  <w:r>
                    <w:t xml:space="preserve">0.872</w:t>
                  </w:r>
                </w:p>
              </w:tc>
              <w:tc>
                <w:tcPr/>
                <w:p>
                  <w:pPr>
                    <w:pStyle w:val="Compact"/>
                    <w:jc w:val="right"/>
                    <w:jc w:val="center"/>
                  </w:pPr>
                  <w:r>
                    <w:t xml:space="preserve">0.598</w:t>
                  </w:r>
                </w:p>
              </w:tc>
              <w:tc>
                <w:tcPr/>
                <w:p>
                  <w:pPr>
                    <w:pStyle w:val="Compact"/>
                    <w:jc w:val="right"/>
                    <w:jc w:val="center"/>
                  </w:pPr>
                  <w:r>
                    <w:t xml:space="preserve">14.1</w:t>
                  </w:r>
                </w:p>
              </w:tc>
              <w:tc>
                <w:tcPr/>
                <w:p>
                  <w:pPr>
                    <w:pStyle w:val="Compact"/>
                    <w:jc w:val="right"/>
                    <w:jc w:val="center"/>
                  </w:pPr>
                  <w:r>
                    <w:t xml:space="preserve">1.27e-05</w:t>
                  </w:r>
                </w:p>
              </w:tc>
              <w:tc>
                <w:tcPr/>
                <w:p>
                  <w:pPr>
                    <w:pStyle w:val="Compact"/>
                    <w:jc w:val="right"/>
                    <w:jc w:val="center"/>
                  </w:pPr>
                  <w:r>
                    <w:t xml:space="preserve">1.57</w:t>
                  </w:r>
                </w:p>
              </w:tc>
            </w:tr>
            <w:tr>
              <w:tc>
                <w:tcPr/>
                <w:p>
                  <w:pPr>
                    <w:pStyle w:val="Compact"/>
                    <w:jc w:val="left"/>
                    <w:jc w:val="center"/>
                  </w:pPr>
                  <w:r>
                    <w:t xml:space="preserve">Aggregates (HMW)</w:t>
                  </w:r>
                </w:p>
              </w:tc>
              <w:tc>
                <w:tcPr/>
                <w:p>
                  <w:pPr>
                    <w:pStyle w:val="Compact"/>
                    <w:jc w:val="right"/>
                    <w:jc w:val="center"/>
                  </w:pPr>
                  <w:r>
                    <w:t xml:space="preserve">28</w:t>
                  </w:r>
                </w:p>
              </w:tc>
              <w:tc>
                <w:tcPr/>
                <w:p>
                  <w:pPr>
                    <w:pStyle w:val="Compact"/>
                    <w:jc w:val="right"/>
                    <w:jc w:val="center"/>
                  </w:pPr>
                  <w:r>
                    <w:t xml:space="preserve">0.969</w:t>
                  </w:r>
                </w:p>
              </w:tc>
              <w:tc>
                <w:tcPr/>
                <w:p>
                  <w:pPr>
                    <w:pStyle w:val="Compact"/>
                    <w:jc w:val="right"/>
                    <w:jc w:val="center"/>
                  </w:pPr>
                  <w:r>
                    <w:t xml:space="preserve">0.936</w:t>
                  </w:r>
                </w:p>
              </w:tc>
              <w:tc>
                <w:tcPr/>
                <w:p>
                  <w:pPr>
                    <w:pStyle w:val="Compact"/>
                    <w:jc w:val="right"/>
                    <w:jc w:val="center"/>
                  </w:pPr>
                  <w:r>
                    <w:t xml:space="preserve">0.835</w:t>
                  </w:r>
                </w:p>
              </w:tc>
              <w:tc>
                <w:tcPr/>
                <w:p>
                  <w:pPr>
                    <w:pStyle w:val="Compact"/>
                    <w:jc w:val="right"/>
                    <w:jc w:val="center"/>
                  </w:pPr>
                  <w:r>
                    <w:t xml:space="preserve">29.3</w:t>
                  </w:r>
                </w:p>
              </w:tc>
              <w:tc>
                <w:tcPr/>
                <w:p>
                  <w:pPr>
                    <w:pStyle w:val="Compact"/>
                    <w:jc w:val="right"/>
                    <w:jc w:val="center"/>
                  </w:pPr>
                  <w:r>
                    <w:t xml:space="preserve">1.58e-07</w:t>
                  </w:r>
                </w:p>
              </w:tc>
              <w:tc>
                <w:tcPr/>
                <w:p>
                  <w:pPr>
                    <w:pStyle w:val="Compact"/>
                    <w:jc w:val="right"/>
                    <w:jc w:val="center"/>
                  </w:pPr>
                  <w:r>
                    <w:t xml:space="preserve">0.0985</w:t>
                  </w:r>
                </w:p>
              </w:tc>
            </w:tr>
          </w:tbl>
          <w:bookmarkEnd w:id="41"/>
          <w:p/>
        </w:tc>
      </w:tr>
    </w:tbl>
    <w:p>
      <w:pPr>
        <w:pStyle w:val="BodyText"/>
      </w:pPr>
      <w:r>
        <w:t xml:space="preserve">Coefficients of determination run from 0.91 to 0.97, the adjusted values fall no lower than 0.81, and every model is significant with a p-value no larger than 0.000118. The predicted coefficients of determination run from 0.60 to 0.92, and the lowest of them belongs to Acidic variants. That model remains adequate for interpolation, but its predictions carry visibly more uncertainty than the other four, and the conclusions drawn from it in §6 are correspondingly cautious.</w:t>
      </w:r>
    </w:p>
    <w:p>
      <w:pPr>
        <w:pStyle w:val="BodyText"/>
      </w:pPr>
      <w:r>
        <w:t xml:space="preserve">No model shows significant lack of fit. The smallest lack-of-fit p-value across the five responses is 0.15 for Acidic variants, well above the five per cent level, so no model misses the design points by more than the centre-point replicates themselves vary. The analysis of variance for galactosylation, which is the response that governs the operating region, is given in</w:t>
      </w:r>
      <w:r>
        <w:t xml:space="preserve"> </w:t>
      </w:r>
      <w:hyperlink w:anchor="tbl-anova-gal">
        <w:r>
          <w:rPr>
            <w:rStyle w:val="Hyperlink"/>
          </w:rPr>
          <w:t xml:space="preserve">Table 10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2" w:name="tbl-anova-gal"/>
          <w:p>
            <w:pPr>
              <w:jc w:val="center"/>
            </w:pPr>
            <w:pPr>
              <w:jc w:val="left"/>
              <w:spacing w:before="200"/>
              <w:pStyle w:val="ImageCaption"/>
            </w:pPr>
            <w:r>
              <w:t xml:space="preserve">Table 10: Analysis of variance for the galactosylation response-surface model, with the residual partitioned into lack of fit and pure error.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Source</w:t>
                  </w:r>
                </w:p>
              </w:tc>
              <w:tc>
                <w:tcPr/>
                <w:p>
                  <w:pPr>
                    <w:pStyle w:val="Compact"/>
                    <w:jc w:val="right"/>
                    <w:jc w:val="center"/>
                  </w:pPr>
                  <w:r>
                    <w:t xml:space="preserve">Sum sq.</w:t>
                  </w:r>
                </w:p>
              </w:tc>
              <w:tc>
                <w:tcPr/>
                <w:p>
                  <w:pPr>
                    <w:pStyle w:val="Compact"/>
                    <w:jc w:val="right"/>
                    <w:jc w:val="center"/>
                  </w:pPr>
                  <w:r>
                    <w:t xml:space="preserve">df</w:t>
                  </w:r>
                </w:p>
              </w:tc>
              <w:tc>
                <w:tcPr/>
                <w:p>
                  <w:pPr>
                    <w:pStyle w:val="Compact"/>
                    <w:jc w:val="right"/>
                    <w:jc w:val="center"/>
                  </w:pPr>
                  <w:r>
                    <w:t xml:space="preserve">Mean sq.</w:t>
                  </w:r>
                </w:p>
              </w:tc>
              <w:tc>
                <w:tcPr/>
                <w:p>
                  <w:pPr>
                    <w:pStyle w:val="Compact"/>
                    <w:jc w:val="right"/>
                    <w:jc w:val="center"/>
                  </w:pPr>
                  <w:r>
                    <w:t xml:space="preserve">F</w:t>
                  </w:r>
                </w:p>
              </w:tc>
              <w:tc>
                <w:tcPr/>
                <w:p>
                  <w:pPr>
                    <w:pStyle w:val="Compact"/>
                    <w:jc w:val="right"/>
                    <w:jc w:val="center"/>
                  </w:pPr>
                  <w:r>
                    <w:t xml:space="preserve">p-value</w:t>
                  </w:r>
                </w:p>
              </w:tc>
            </w:tr>
            <w:tr>
              <w:tc>
                <w:tcPr/>
                <w:p>
                  <w:pPr>
                    <w:pStyle w:val="Compact"/>
                    <w:jc w:val="left"/>
                    <w:jc w:val="center"/>
                  </w:pPr>
                  <w:r>
                    <w:t xml:space="preserve">Model</w:t>
                  </w:r>
                </w:p>
              </w:tc>
              <w:tc>
                <w:tcPr/>
                <w:p>
                  <w:pPr>
                    <w:pStyle w:val="Compact"/>
                    <w:jc w:val="right"/>
                    <w:jc w:val="center"/>
                  </w:pPr>
                  <w:r>
                    <w:t xml:space="preserve">811</w:t>
                  </w:r>
                </w:p>
              </w:tc>
              <w:tc>
                <w:tcPr/>
                <w:p>
                  <w:pPr>
                    <w:pStyle w:val="Compact"/>
                    <w:jc w:val="right"/>
                    <w:jc w:val="center"/>
                  </w:pPr>
                  <w:r>
                    <w:t xml:space="preserve">14</w:t>
                  </w:r>
                </w:p>
              </w:tc>
              <w:tc>
                <w:tcPr/>
                <w:p>
                  <w:pPr>
                    <w:pStyle w:val="Compact"/>
                    <w:jc w:val="right"/>
                    <w:jc w:val="center"/>
                  </w:pPr>
                  <w:r>
                    <w:t xml:space="preserve">57.9</w:t>
                  </w:r>
                </w:p>
              </w:tc>
              <w:tc>
                <w:tcPr/>
                <w:p>
                  <w:pPr>
                    <w:pStyle w:val="Compact"/>
                    <w:jc w:val="right"/>
                    <w:jc w:val="center"/>
                  </w:pPr>
                  <w:r>
                    <w:t xml:space="preserve">31.3</w:t>
                  </w:r>
                </w:p>
              </w:tc>
              <w:tc>
                <w:tcPr/>
                <w:p>
                  <w:pPr>
                    <w:pStyle w:val="Compact"/>
                    <w:jc w:val="right"/>
                    <w:jc w:val="center"/>
                  </w:pPr>
                  <w:r>
                    <w:t xml:space="preserve">1.06e-07</w:t>
                  </w:r>
                </w:p>
              </w:tc>
            </w:tr>
            <w:tr>
              <w:tc>
                <w:tcPr/>
                <w:p>
                  <w:pPr>
                    <w:pStyle w:val="Compact"/>
                    <w:jc w:val="left"/>
                    <w:jc w:val="center"/>
                  </w:pPr>
                  <w:r>
                    <w:t xml:space="preserve">Residual</w:t>
                  </w:r>
                </w:p>
              </w:tc>
              <w:tc>
                <w:tcPr/>
                <w:p>
                  <w:pPr>
                    <w:pStyle w:val="Compact"/>
                    <w:jc w:val="right"/>
                    <w:jc w:val="center"/>
                  </w:pPr>
                  <w:r>
                    <w:t xml:space="preserve">24.1</w:t>
                  </w:r>
                </w:p>
              </w:tc>
              <w:tc>
                <w:tcPr/>
                <w:p>
                  <w:pPr>
                    <w:pStyle w:val="Compact"/>
                    <w:jc w:val="right"/>
                    <w:jc w:val="center"/>
                  </w:pPr>
                  <w:r>
                    <w:t xml:space="preserve">13</w:t>
                  </w:r>
                </w:p>
              </w:tc>
              <w:tc>
                <w:tcPr/>
                <w:p>
                  <w:pPr>
                    <w:pStyle w:val="Compact"/>
                    <w:jc w:val="right"/>
                    <w:jc w:val="center"/>
                  </w:pPr>
                  <w:r>
                    <w:t xml:space="preserve">1.85</w:t>
                  </w:r>
                </w:p>
              </w:tc>
              <w:tc>
                <w:tcPr/>
                <w:p>
                  <w:pPr>
                    <w:pStyle w:val="Compact"/>
                    <w:jc w:val="right"/>
                    <w:jc w:val="center"/>
                  </w:pPr>
                  <w:r>
                    <w:t xml:space="preserve">nan</w:t>
                  </w:r>
                </w:p>
              </w:tc>
              <w:tc>
                <w:tcPr/>
                <w:p>
                  <w:pPr>
                    <w:pStyle w:val="Compact"/>
                    <w:jc w:val="right"/>
                    <w:jc w:val="center"/>
                  </w:pPr>
                  <w:r>
                    <w:t xml:space="preserve">nan</w:t>
                  </w:r>
                </w:p>
              </w:tc>
            </w:tr>
            <w:tr>
              <w:tc>
                <w:tcPr/>
                <w:p>
                  <w:pPr>
                    <w:pStyle w:val="Compact"/>
                    <w:jc w:val="left"/>
                    <w:jc w:val="center"/>
                  </w:pPr>
                  <w:r>
                    <w:t xml:space="preserve">Lack of fit</w:t>
                  </w:r>
                </w:p>
              </w:tc>
              <w:tc>
                <w:tcPr/>
                <w:p>
                  <w:pPr>
                    <w:pStyle w:val="Compact"/>
                    <w:jc w:val="right"/>
                    <w:jc w:val="center"/>
                  </w:pPr>
                  <w:r>
                    <w:t xml:space="preserve">7.69</w:t>
                  </w:r>
                </w:p>
              </w:tc>
              <w:tc>
                <w:tcPr/>
                <w:p>
                  <w:pPr>
                    <w:pStyle w:val="Compact"/>
                    <w:jc w:val="right"/>
                    <w:jc w:val="center"/>
                  </w:pPr>
                  <w:r>
                    <w:t xml:space="preserve">10</w:t>
                  </w:r>
                </w:p>
              </w:tc>
              <w:tc>
                <w:tcPr/>
                <w:p>
                  <w:pPr>
                    <w:pStyle w:val="Compact"/>
                    <w:jc w:val="right"/>
                    <w:jc w:val="center"/>
                  </w:pPr>
                  <w:r>
                    <w:t xml:space="preserve">0.769</w:t>
                  </w:r>
                </w:p>
              </w:tc>
              <w:tc>
                <w:tcPr/>
                <w:p>
                  <w:pPr>
                    <w:pStyle w:val="Compact"/>
                    <w:jc w:val="right"/>
                    <w:jc w:val="center"/>
                  </w:pPr>
                  <w:r>
                    <w:t xml:space="preserve">0.141</w:t>
                  </w:r>
                </w:p>
              </w:tc>
              <w:tc>
                <w:tcPr/>
                <w:p>
                  <w:pPr>
                    <w:pStyle w:val="Compact"/>
                    <w:jc w:val="right"/>
                    <w:jc w:val="center"/>
                  </w:pPr>
                  <w:r>
                    <w:t xml:space="preserve">0.992</w:t>
                  </w:r>
                </w:p>
              </w:tc>
            </w:tr>
            <w:tr>
              <w:tc>
                <w:tcPr/>
                <w:p>
                  <w:pPr>
                    <w:pStyle w:val="Compact"/>
                    <w:jc w:val="left"/>
                    <w:jc w:val="center"/>
                  </w:pPr>
                  <w:r>
                    <w:t xml:space="preserve">Pure error</w:t>
                  </w:r>
                </w:p>
              </w:tc>
              <w:tc>
                <w:tcPr/>
                <w:p>
                  <w:pPr>
                    <w:pStyle w:val="Compact"/>
                    <w:jc w:val="right"/>
                    <w:jc w:val="center"/>
                  </w:pPr>
                  <w:r>
                    <w:t xml:space="preserve">16.4</w:t>
                  </w:r>
                </w:p>
              </w:tc>
              <w:tc>
                <w:tcPr/>
                <w:p>
                  <w:pPr>
                    <w:pStyle w:val="Compact"/>
                    <w:jc w:val="right"/>
                    <w:jc w:val="center"/>
                  </w:pPr>
                  <w:r>
                    <w:t xml:space="preserve">3</w:t>
                  </w:r>
                </w:p>
              </w:tc>
              <w:tc>
                <w:tcPr/>
                <w:p>
                  <w:pPr>
                    <w:pStyle w:val="Compact"/>
                    <w:jc w:val="right"/>
                    <w:jc w:val="center"/>
                  </w:pPr>
                  <w:r>
                    <w:t xml:space="preserve">5.46</w:t>
                  </w:r>
                </w:p>
              </w:tc>
              <w:tc>
                <w:tcPr/>
                <w:p>
                  <w:pPr>
                    <w:pStyle w:val="Compact"/>
                    <w:jc w:val="right"/>
                    <w:jc w:val="center"/>
                  </w:pPr>
                  <w:r>
                    <w:t xml:space="preserve">nan</w:t>
                  </w:r>
                </w:p>
              </w:tc>
              <w:tc>
                <w:tcPr/>
                <w:p>
                  <w:pPr>
                    <w:pStyle w:val="Compact"/>
                    <w:jc w:val="right"/>
                    <w:jc w:val="center"/>
                  </w:pPr>
                  <w:r>
                    <w:t xml:space="preserve">nan</w:t>
                  </w:r>
                </w:p>
              </w:tc>
            </w:tr>
          </w:tbl>
          <w:bookmarkEnd w:id="42"/>
          <w:p/>
        </w:tc>
      </w:tr>
    </w:tbl>
    <w:p>
      <w:pPr>
        <w:pStyle w:val="BodyText"/>
      </w:pPr>
      <w:r>
        <w:t xml:space="preserve">The galactosylation coefficients are given below (</w:t>
      </w:r>
      <w:hyperlink w:anchor="tbl-rsm-gal">
        <w:r>
          <w:rPr>
            <w:rStyle w:val="Hyperlink"/>
          </w:rPr>
          <w:t xml:space="preserve">Table 11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 w:name="tbl-rsm-gal"/>
          <w:p>
            <w:pPr>
              <w:jc w:val="center"/>
            </w:pPr>
            <w:pPr>
              <w:jc w:val="left"/>
              <w:spacing w:before="200"/>
              <w:pStyle w:val="ImageCaption"/>
            </w:pPr>
            <w:r>
              <w:t xml:space="preserve">Table 11: Full quadratic coefficients of the galactosylation response-surface model,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25.8</w:t>
                  </w:r>
                </w:p>
              </w:tc>
              <w:tc>
                <w:tcPr/>
                <w:p>
                  <w:pPr>
                    <w:pStyle w:val="Compact"/>
                    <w:jc w:val="right"/>
                    <w:jc w:val="center"/>
                  </w:pPr>
                  <w:r>
                    <w:t xml:space="preserve">0.47</w:t>
                  </w:r>
                </w:p>
              </w:tc>
              <w:tc>
                <w:tcPr/>
                <w:p>
                  <w:pPr>
                    <w:pStyle w:val="Compact"/>
                    <w:jc w:val="right"/>
                    <w:jc w:val="center"/>
                  </w:pPr>
                  <w:r>
                    <w:t xml:space="preserve">54.8</w:t>
                  </w:r>
                </w:p>
              </w:tc>
              <w:tc>
                <w:tcPr/>
                <w:p>
                  <w:pPr>
                    <w:pStyle w:val="Compact"/>
                    <w:jc w:val="right"/>
                    <w:jc w:val="center"/>
                  </w:pPr>
                  <w:r>
                    <w:t xml:space="preserve">9.11e-17</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-2.21</w:t>
                  </w:r>
                </w:p>
              </w:tc>
              <w:tc>
                <w:tcPr/>
                <w:p>
                  <w:pPr>
                    <w:pStyle w:val="Compact"/>
                    <w:jc w:val="right"/>
                    <w:jc w:val="center"/>
                  </w:pPr>
                  <w:r>
                    <w:t xml:space="preserve">0.321</w:t>
                  </w:r>
                </w:p>
              </w:tc>
              <w:tc>
                <w:tcPr/>
                <w:p>
                  <w:pPr>
                    <w:pStyle w:val="Compact"/>
                    <w:jc w:val="right"/>
                    <w:jc w:val="center"/>
                  </w:pPr>
                  <w:r>
                    <w:t xml:space="preserve">-6.89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2.3</w:t>
                  </w:r>
                </w:p>
              </w:tc>
              <w:tc>
                <w:tcPr/>
                <w:p>
                  <w:pPr>
                    <w:pStyle w:val="Compact"/>
                    <w:jc w:val="right"/>
                    <w:jc w:val="center"/>
                  </w:pPr>
                  <w:r>
                    <w:t xml:space="preserve">0.321</w:t>
                  </w:r>
                </w:p>
              </w:tc>
              <w:tc>
                <w:tcPr/>
                <w:p>
                  <w:pPr>
                    <w:pStyle w:val="Compact"/>
                    <w:jc w:val="right"/>
                    <w:jc w:val="center"/>
                  </w:pPr>
                  <w:r>
                    <w:t xml:space="preserve">7.18</w:t>
                  </w:r>
                </w:p>
              </w:tc>
              <w:tc>
                <w:tcPr/>
                <w:p>
                  <w:pPr>
                    <w:pStyle w:val="Compact"/>
                    <w:jc w:val="right"/>
                    <w:jc w:val="center"/>
                  </w:pPr>
                  <w:r>
                    <w:t xml:space="preserve">7.13e-06</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-3.82</w:t>
                  </w:r>
                </w:p>
              </w:tc>
              <w:tc>
                <w:tcPr/>
                <w:p>
                  <w:pPr>
                    <w:pStyle w:val="Compact"/>
                    <w:jc w:val="right"/>
                    <w:jc w:val="center"/>
                  </w:pPr>
                  <w:r>
                    <w:t xml:space="preserve">0.321</w:t>
                  </w:r>
                </w:p>
              </w:tc>
              <w:tc>
                <w:tcPr/>
                <w:p>
                  <w:pPr>
                    <w:pStyle w:val="Compact"/>
                    <w:jc w:val="right"/>
                    <w:jc w:val="center"/>
                  </w:pPr>
                  <w:r>
                    <w:t xml:space="preserve">-11.9</w:t>
                  </w:r>
                </w:p>
              </w:tc>
              <w:tc>
                <w:tcPr/>
                <w:p>
                  <w:pPr>
                    <w:pStyle w:val="Compact"/>
                    <w:jc w:val="right"/>
                    <w:jc w:val="center"/>
                  </w:pPr>
                  <w:r>
                    <w:t xml:space="preserve">2.27e-08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-2.43</w:t>
                  </w:r>
                </w:p>
              </w:tc>
              <w:tc>
                <w:tcPr/>
                <w:p>
                  <w:pPr>
                    <w:pStyle w:val="Compact"/>
                    <w:jc w:val="right"/>
                    <w:jc w:val="center"/>
                  </w:pPr>
                  <w:r>
                    <w:t xml:space="preserve">0.321</w:t>
                  </w:r>
                </w:p>
              </w:tc>
              <w:tc>
                <w:tcPr/>
                <w:p>
                  <w:pPr>
                    <w:pStyle w:val="Compact"/>
                    <w:jc w:val="right"/>
                    <w:jc w:val="center"/>
                  </w:pPr>
                  <w:r>
                    <w:t xml:space="preserve">-7.56</w:t>
                  </w:r>
                </w:p>
              </w:tc>
              <w:tc>
                <w:tcPr/>
                <w:p>
                  <w:pPr>
                    <w:pStyle w:val="Compact"/>
                    <w:jc w:val="right"/>
                    <w:jc w:val="center"/>
                  </w:pPr>
                  <w:r>
                    <w:t xml:space="preserve">4.11e-06</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1.67</w:t>
                  </w:r>
                </w:p>
              </w:tc>
              <w:tc>
                <w:tcPr/>
                <w:p>
                  <w:pPr>
                    <w:pStyle w:val="Compact"/>
                    <w:jc w:val="right"/>
                    <w:jc w:val="center"/>
                  </w:pPr>
                  <w:r>
                    <w:t xml:space="preserve">0.34</w:t>
                  </w:r>
                </w:p>
              </w:tc>
              <w:tc>
                <w:tcPr/>
                <w:p>
                  <w:pPr>
                    <w:pStyle w:val="Compact"/>
                    <w:jc w:val="right"/>
                    <w:jc w:val="center"/>
                  </w:pPr>
                  <w:r>
                    <w:t xml:space="preserve">4.92</w:t>
                  </w:r>
                </w:p>
              </w:tc>
              <w:tc>
                <w:tcPr/>
                <w:p>
                  <w:pPr>
                    <w:pStyle w:val="Compact"/>
                    <w:jc w:val="right"/>
                    <w:jc w:val="center"/>
                  </w:pPr>
                  <w:r>
                    <w:t xml:space="preserve">0.000279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2.72</w:t>
                  </w:r>
                </w:p>
              </w:tc>
              <w:tc>
                <w:tcPr/>
                <w:p>
                  <w:pPr>
                    <w:pStyle w:val="Compact"/>
                    <w:jc w:val="right"/>
                    <w:jc w:val="center"/>
                  </w:pPr>
                  <w:r>
                    <w:t xml:space="preserve">0.34</w:t>
                  </w:r>
                </w:p>
              </w:tc>
              <w:tc>
                <w:tcPr/>
                <w:p>
                  <w:pPr>
                    <w:pStyle w:val="Compact"/>
                    <w:jc w:val="right"/>
                    <w:jc w:val="center"/>
                  </w:pPr>
                  <w:r>
                    <w:t xml:space="preserve">7.99</w:t>
                  </w:r>
                </w:p>
              </w:tc>
              <w:tc>
                <w:tcPr/>
                <w:p>
                  <w:pPr>
                    <w:pStyle w:val="Compact"/>
                    <w:jc w:val="right"/>
                    <w:jc w:val="center"/>
                  </w:pPr>
                  <w:r>
                    <w:t xml:space="preserve">2.28e-06</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2.35</w:t>
                  </w:r>
                </w:p>
              </w:tc>
              <w:tc>
                <w:tcPr/>
                <w:p>
                  <w:pPr>
                    <w:pStyle w:val="Compact"/>
                    <w:jc w:val="right"/>
                    <w:jc w:val="center"/>
                  </w:pPr>
                  <w:r>
                    <w:t xml:space="preserve">0.34</w:t>
                  </w:r>
                </w:p>
              </w:tc>
              <w:tc>
                <w:tcPr/>
                <w:p>
                  <w:pPr>
                    <w:pStyle w:val="Compact"/>
                    <w:jc w:val="right"/>
                    <w:jc w:val="center"/>
                  </w:pPr>
                  <w:r>
                    <w:t xml:space="preserve">6.9</w:t>
                  </w:r>
                </w:p>
              </w:tc>
              <w:tc>
                <w:tcPr/>
                <w:p>
                  <w:pPr>
                    <w:pStyle w:val="Compact"/>
                    <w:jc w:val="right"/>
                    <w:jc w:val="center"/>
                  </w:pPr>
                  <w:r>
                    <w:t xml:space="preserve">1.09e-05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-0.217</w:t>
                  </w:r>
                </w:p>
              </w:tc>
              <w:tc>
                <w:tcPr/>
                <w:p>
                  <w:pPr>
                    <w:pStyle w:val="Compact"/>
                    <w:jc w:val="right"/>
                    <w:jc w:val="center"/>
                  </w:pPr>
                  <w:r>
                    <w:t xml:space="preserve">0.34</w:t>
                  </w:r>
                </w:p>
              </w:tc>
              <w:tc>
                <w:tcPr/>
                <w:p>
                  <w:pPr>
                    <w:pStyle w:val="Compact"/>
                    <w:jc w:val="right"/>
                    <w:jc w:val="center"/>
                  </w:pPr>
                  <w:r>
                    <w:t xml:space="preserve">-0.639</w:t>
                  </w:r>
                </w:p>
              </w:tc>
              <w:tc>
                <w:tcPr/>
                <w:p>
                  <w:pPr>
                    <w:pStyle w:val="Compact"/>
                    <w:jc w:val="right"/>
                    <w:jc w:val="center"/>
                  </w:pPr>
                  <w:r>
                    <w:t xml:space="preserve">0.534</w:t>
                  </w:r>
                </w:p>
              </w:tc>
              <w:tc>
                <w:tcPr/>
                <w:p>
                  <w:pPr>
                    <w:pStyle w:val="Compact"/>
                  </w:pPr>
                </w:p>
              </w:tc>
            </w:tr>
            <w:tr>
              <w:tc>
                <w:tcPr/>
                <w:p>
                  <w:pPr>
                    <w:pStyle w:val="Compact"/>
                    <w:jc w:val="left"/>
                    <w:jc w:val="center"/>
                  </w:pPr>
                  <w:r>
                    <w:t xml:space="preserve">BC</w:t>
                  </w:r>
                </w:p>
              </w:tc>
              <w:tc>
                <w:tcPr/>
                <w:p>
                  <w:pPr>
                    <w:pStyle w:val="Compact"/>
                    <w:jc w:val="right"/>
                    <w:jc w:val="center"/>
                  </w:pPr>
                  <w:r>
                    <w:t xml:space="preserve">0.315</w:t>
                  </w:r>
                </w:p>
              </w:tc>
              <w:tc>
                <w:tcPr/>
                <w:p>
                  <w:pPr>
                    <w:pStyle w:val="Compact"/>
                    <w:jc w:val="right"/>
                    <w:jc w:val="center"/>
                  </w:pPr>
                  <w:r>
                    <w:t xml:space="preserve">0.34</w:t>
                  </w:r>
                </w:p>
              </w:tc>
              <w:tc>
                <w:tcPr/>
                <w:p>
                  <w:pPr>
                    <w:pStyle w:val="Compact"/>
                    <w:jc w:val="right"/>
                    <w:jc w:val="center"/>
                  </w:pPr>
                  <w:r>
                    <w:t xml:space="preserve">0.928</w:t>
                  </w:r>
                </w:p>
              </w:tc>
              <w:tc>
                <w:tcPr/>
                <w:p>
                  <w:pPr>
                    <w:pStyle w:val="Compact"/>
                    <w:jc w:val="right"/>
                    <w:jc w:val="center"/>
                  </w:pPr>
                  <w:r>
                    <w:t xml:space="preserve">0.37</w:t>
                  </w:r>
                </w:p>
              </w:tc>
              <w:tc>
                <w:tcPr/>
                <w:p>
                  <w:pPr>
                    <w:pStyle w:val="Compact"/>
                  </w:pPr>
                </w:p>
              </w:tc>
            </w:tr>
            <w:tr>
              <w:tc>
                <w:tcPr/>
                <w:p>
                  <w:pPr>
                    <w:pStyle w:val="Compact"/>
                    <w:jc w:val="left"/>
                    <w:jc w:val="center"/>
                  </w:pPr>
                  <w:r>
                    <w:t xml:space="preserve">EC</w:t>
                  </w:r>
                </w:p>
              </w:tc>
              <w:tc>
                <w:tcPr/>
                <w:p>
                  <w:pPr>
                    <w:pStyle w:val="Compact"/>
                    <w:jc w:val="right"/>
                    <w:jc w:val="center"/>
                  </w:pPr>
                  <w:r>
                    <w:t xml:space="preserve">0.332</w:t>
                  </w:r>
                </w:p>
              </w:tc>
              <w:tc>
                <w:tcPr/>
                <w:p>
                  <w:pPr>
                    <w:pStyle w:val="Compact"/>
                    <w:jc w:val="right"/>
                    <w:jc w:val="center"/>
                  </w:pPr>
                  <w:r>
                    <w:t xml:space="preserve">0.34</w:t>
                  </w:r>
                </w:p>
              </w:tc>
              <w:tc>
                <w:tcPr/>
                <w:p>
                  <w:pPr>
                    <w:pStyle w:val="Compact"/>
                    <w:jc w:val="right"/>
                    <w:jc w:val="center"/>
                  </w:pPr>
                  <w:r>
                    <w:t xml:space="preserve">0.975</w:t>
                  </w:r>
                </w:p>
              </w:tc>
              <w:tc>
                <w:tcPr/>
                <w:p>
                  <w:pPr>
                    <w:pStyle w:val="Compact"/>
                    <w:jc w:val="right"/>
                    <w:jc w:val="center"/>
                  </w:pPr>
                  <w:r>
                    <w:t xml:space="preserve">0.347</w:t>
                  </w:r>
                </w:p>
              </w:tc>
              <w:tc>
                <w:tcPr/>
                <w:p>
                  <w:pPr>
                    <w:pStyle w:val="Compact"/>
                  </w:pPr>
                </w:p>
              </w:tc>
            </w:tr>
            <w:tr>
              <w:tc>
                <w:tcPr/>
                <w:p>
                  <w:pPr>
                    <w:pStyle w:val="Compact"/>
                    <w:jc w:val="left"/>
                    <w:jc w:val="center"/>
                  </w:pPr>
                  <w:r>
                    <w:t xml:space="preserve">A²</w:t>
                  </w:r>
                </w:p>
              </w:tc>
              <w:tc>
                <w:tcPr/>
                <w:p>
                  <w:pPr>
                    <w:pStyle w:val="Compact"/>
                    <w:jc w:val="right"/>
                    <w:jc w:val="center"/>
                  </w:pPr>
                  <w:r>
                    <w:t xml:space="preserve">-0.837</w:t>
                  </w:r>
                </w:p>
              </w:tc>
              <w:tc>
                <w:tcPr/>
                <w:p>
                  <w:pPr>
                    <w:pStyle w:val="Compact"/>
                    <w:jc w:val="right"/>
                    <w:jc w:val="center"/>
                  </w:pPr>
                  <w:r>
                    <w:t xml:space="preserve">0.847</w:t>
                  </w:r>
                </w:p>
              </w:tc>
              <w:tc>
                <w:tcPr/>
                <w:p>
                  <w:pPr>
                    <w:pStyle w:val="Compact"/>
                    <w:jc w:val="right"/>
                    <w:jc w:val="center"/>
                  </w:pPr>
                  <w:r>
                    <w:t xml:space="preserve">-0.988</w:t>
                  </w:r>
                </w:p>
              </w:tc>
              <w:tc>
                <w:tcPr/>
                <w:p>
                  <w:pPr>
                    <w:pStyle w:val="Compact"/>
                    <w:jc w:val="right"/>
                    <w:jc w:val="center"/>
                  </w:pPr>
                  <w:r>
                    <w:t xml:space="preserve">0.341</w:t>
                  </w:r>
                </w:p>
              </w:tc>
              <w:tc>
                <w:tcPr/>
                <w:p>
                  <w:pPr>
                    <w:pStyle w:val="Compact"/>
                  </w:pPr>
                </w:p>
              </w:tc>
            </w:tr>
            <w:tr>
              <w:tc>
                <w:tcPr/>
                <w:p>
                  <w:pPr>
                    <w:pStyle w:val="Compact"/>
                    <w:jc w:val="left"/>
                    <w:jc w:val="center"/>
                  </w:pPr>
                  <w:r>
                    <w:t xml:space="preserve">B²</w:t>
                  </w:r>
                </w:p>
              </w:tc>
              <w:tc>
                <w:tcPr/>
                <w:p>
                  <w:pPr>
                    <w:pStyle w:val="Compact"/>
                    <w:jc w:val="right"/>
                    <w:jc w:val="center"/>
                  </w:pPr>
                  <w:r>
                    <w:t xml:space="preserve">0.378</w:t>
                  </w:r>
                </w:p>
              </w:tc>
              <w:tc>
                <w:tcPr/>
                <w:p>
                  <w:pPr>
                    <w:pStyle w:val="Compact"/>
                    <w:jc w:val="right"/>
                    <w:jc w:val="center"/>
                  </w:pPr>
                  <w:r>
                    <w:t xml:space="preserve">0.847</w:t>
                  </w:r>
                </w:p>
              </w:tc>
              <w:tc>
                <w:tcPr/>
                <w:p>
                  <w:pPr>
                    <w:pStyle w:val="Compact"/>
                    <w:jc w:val="right"/>
                    <w:jc w:val="center"/>
                  </w:pPr>
                  <w:r>
                    <w:t xml:space="preserve">0.446</w:t>
                  </w:r>
                </w:p>
              </w:tc>
              <w:tc>
                <w:tcPr/>
                <w:p>
                  <w:pPr>
                    <w:pStyle w:val="Compact"/>
                    <w:jc w:val="right"/>
                    <w:jc w:val="center"/>
                  </w:pPr>
                  <w:r>
                    <w:t xml:space="preserve">0.663</w:t>
                  </w:r>
                </w:p>
              </w:tc>
              <w:tc>
                <w:tcPr/>
                <w:p>
                  <w:pPr>
                    <w:pStyle w:val="Compact"/>
                  </w:pPr>
                </w:p>
              </w:tc>
            </w:tr>
            <w:tr>
              <w:tc>
                <w:tcPr/>
                <w:p>
                  <w:pPr>
                    <w:pStyle w:val="Compact"/>
                    <w:jc w:val="left"/>
                    <w:jc w:val="center"/>
                  </w:pPr>
                  <w:r>
                    <w:t xml:space="preserve">E²</w:t>
                  </w:r>
                </w:p>
              </w:tc>
              <w:tc>
                <w:tcPr/>
                <w:p>
                  <w:pPr>
                    <w:pStyle w:val="Compact"/>
                    <w:jc w:val="right"/>
                    <w:jc w:val="center"/>
                  </w:pPr>
                  <w:r>
                    <w:t xml:space="preserve">0.937</w:t>
                  </w:r>
                </w:p>
              </w:tc>
              <w:tc>
                <w:tcPr/>
                <w:p>
                  <w:pPr>
                    <w:pStyle w:val="Compact"/>
                    <w:jc w:val="right"/>
                    <w:jc w:val="center"/>
                  </w:pPr>
                  <w:r>
                    <w:t xml:space="preserve">0.847</w:t>
                  </w:r>
                </w:p>
              </w:tc>
              <w:tc>
                <w:tcPr/>
                <w:p>
                  <w:pPr>
                    <w:pStyle w:val="Compact"/>
                    <w:jc w:val="right"/>
                    <w:jc w:val="center"/>
                  </w:pPr>
                  <w:r>
                    <w:t xml:space="preserve">1.11</w:t>
                  </w:r>
                </w:p>
              </w:tc>
              <w:tc>
                <w:tcPr/>
                <w:p>
                  <w:pPr>
                    <w:pStyle w:val="Compact"/>
                    <w:jc w:val="right"/>
                    <w:jc w:val="center"/>
                  </w:pPr>
                  <w:r>
                    <w:t xml:space="preserve">0.289</w:t>
                  </w:r>
                </w:p>
              </w:tc>
              <w:tc>
                <w:tcPr/>
                <w:p>
                  <w:pPr>
                    <w:pStyle w:val="Compact"/>
                  </w:pPr>
                </w:p>
              </w:tc>
            </w:tr>
            <w:tr>
              <w:tc>
                <w:tcPr/>
                <w:p>
                  <w:pPr>
                    <w:pStyle w:val="Compact"/>
                    <w:jc w:val="left"/>
                    <w:jc w:val="center"/>
                  </w:pPr>
                  <w:r>
                    <w:t xml:space="preserve">C²</w:t>
                  </w:r>
                </w:p>
              </w:tc>
              <w:tc>
                <w:tcPr/>
                <w:p>
                  <w:pPr>
                    <w:pStyle w:val="Compact"/>
                    <w:jc w:val="right"/>
                    <w:jc w:val="center"/>
                  </w:pPr>
                  <w:r>
                    <w:t xml:space="preserve">-0.373</w:t>
                  </w:r>
                </w:p>
              </w:tc>
              <w:tc>
                <w:tcPr/>
                <w:p>
                  <w:pPr>
                    <w:pStyle w:val="Compact"/>
                    <w:jc w:val="right"/>
                    <w:jc w:val="center"/>
                  </w:pPr>
                  <w:r>
                    <w:t xml:space="preserve">0.847</w:t>
                  </w:r>
                </w:p>
              </w:tc>
              <w:tc>
                <w:tcPr/>
                <w:p>
                  <w:pPr>
                    <w:pStyle w:val="Compact"/>
                    <w:jc w:val="right"/>
                    <w:jc w:val="center"/>
                  </w:pPr>
                  <w:r>
                    <w:t xml:space="preserve">-0.441</w:t>
                  </w:r>
                </w:p>
              </w:tc>
              <w:tc>
                <w:tcPr/>
                <w:p>
                  <w:pPr>
                    <w:pStyle w:val="Compact"/>
                    <w:jc w:val="right"/>
                    <w:jc w:val="center"/>
                  </w:pPr>
                  <w:r>
                    <w:t xml:space="preserve">0.667</w:t>
                  </w:r>
                </w:p>
              </w:tc>
              <w:tc>
                <w:tcPr/>
                <w:p>
                  <w:pPr>
                    <w:pStyle w:val="Compact"/>
                  </w:pPr>
                </w:p>
              </w:tc>
            </w:tr>
          </w:tbl>
          <w:bookmarkEnd w:id="43"/>
          <w:p/>
        </w:tc>
      </w:tr>
    </w:tbl>
    <w:p>
      <w:pPr>
        <w:pStyle w:val="BodyText"/>
      </w:pPr>
      <w:r>
        <w:t xml:space="preserve">Four main effects and three interactions are significant, and no quadratic term is. Culture duration remains the dominant term at -3.82 per coded unit, followed by dissolved carbon dioxide at -2.43 and culture pH at -2.21, all acting downwards, and culture temperature at 2.30 acting upwards. The three significant interactions all involve culture pH, with the pH by duration term the largest at 2.72. A response with three active interactions and no curvature is a tilted plane whose slope in one factor depends on the level of the others, and that shape is what makes a multivariate region necessary.</w:t>
      </w:r>
    </w:p>
    <w:p>
      <w:pPr>
        <w:pStyle w:val="BodyText"/>
      </w:pPr>
      <w:r>
        <w:t xml:space="preserve">High mannose behaves differently, and its coefficients are given below (</w:t>
      </w:r>
      <w:hyperlink w:anchor="tbl-rsm-hm">
        <w:r>
          <w:rPr>
            <w:rStyle w:val="Hyperlink"/>
          </w:rPr>
          <w:t xml:space="preserve">Table 12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4" w:name="tbl-rsm-hm"/>
          <w:p>
            <w:pPr>
              <w:jc w:val="center"/>
            </w:pPr>
            <w:pPr>
              <w:jc w:val="left"/>
              <w:spacing w:before="200"/>
              <w:pStyle w:val="ImageCaption"/>
            </w:pPr>
            <w:r>
              <w:t xml:space="preserve">Table 12: Full quadratic coefficients of the high mannose response-surface model, in coded units.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5.89</w:t>
                  </w:r>
                </w:p>
              </w:tc>
              <w:tc>
                <w:tcPr/>
                <w:p>
                  <w:pPr>
                    <w:pStyle w:val="Compact"/>
                    <w:jc w:val="right"/>
                    <w:jc w:val="center"/>
                  </w:pPr>
                  <w:r>
                    <w:t xml:space="preserve">0.163</w:t>
                  </w:r>
                </w:p>
              </w:tc>
              <w:tc>
                <w:tcPr/>
                <w:p>
                  <w:pPr>
                    <w:pStyle w:val="Compact"/>
                    <w:jc w:val="right"/>
                    <w:jc w:val="center"/>
                  </w:pPr>
                  <w:r>
                    <w:t xml:space="preserve">36</w:t>
                  </w:r>
                </w:p>
              </w:tc>
              <w:tc>
                <w:tcPr/>
                <w:p>
                  <w:pPr>
                    <w:pStyle w:val="Compact"/>
                    <w:jc w:val="right"/>
                    <w:jc w:val="center"/>
                  </w:pPr>
                  <w:r>
                    <w:t xml:space="preserve">2.06e-14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1.09</w:t>
                  </w:r>
                </w:p>
              </w:tc>
              <w:tc>
                <w:tcPr/>
                <w:p>
                  <w:pPr>
                    <w:pStyle w:val="Compact"/>
                    <w:jc w:val="right"/>
                    <w:jc w:val="center"/>
                  </w:pPr>
                  <w:r>
                    <w:t xml:space="preserve">0.111</w:t>
                  </w:r>
                </w:p>
              </w:tc>
              <w:tc>
                <w:tcPr/>
                <w:p>
                  <w:pPr>
                    <w:pStyle w:val="Compact"/>
                    <w:jc w:val="right"/>
                    <w:jc w:val="center"/>
                  </w:pPr>
                  <w:r>
                    <w:t xml:space="preserve">9.77</w:t>
                  </w:r>
                </w:p>
              </w:tc>
              <w:tc>
                <w:tcPr/>
                <w:p>
                  <w:pPr>
                    <w:pStyle w:val="Compact"/>
                    <w:jc w:val="right"/>
                    <w:jc w:val="center"/>
                  </w:pPr>
                  <w:r>
                    <w:t xml:space="preserve">2.36e-07</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-0.421</w:t>
                  </w:r>
                </w:p>
              </w:tc>
              <w:tc>
                <w:tcPr/>
                <w:p>
                  <w:pPr>
                    <w:pStyle w:val="Compact"/>
                    <w:jc w:val="right"/>
                    <w:jc w:val="center"/>
                  </w:pPr>
                  <w:r>
                    <w:t xml:space="preserve">0.111</w:t>
                  </w:r>
                </w:p>
              </w:tc>
              <w:tc>
                <w:tcPr/>
                <w:p>
                  <w:pPr>
                    <w:pStyle w:val="Compact"/>
                    <w:jc w:val="right"/>
                    <w:jc w:val="center"/>
                  </w:pPr>
                  <w:r>
                    <w:t xml:space="preserve">-3.78</w:t>
                  </w:r>
                </w:p>
              </w:tc>
              <w:tc>
                <w:tcPr/>
                <w:p>
                  <w:pPr>
                    <w:pStyle w:val="Compact"/>
                    <w:jc w:val="right"/>
                    <w:jc w:val="center"/>
                  </w:pPr>
                  <w:r>
                    <w:t xml:space="preserve">0.00227</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-0.188</w:t>
                  </w:r>
                </w:p>
              </w:tc>
              <w:tc>
                <w:tcPr/>
                <w:p>
                  <w:pPr>
                    <w:pStyle w:val="Compact"/>
                    <w:jc w:val="right"/>
                    <w:jc w:val="center"/>
                  </w:pPr>
                  <w:r>
                    <w:t xml:space="preserve">0.111</w:t>
                  </w:r>
                </w:p>
              </w:tc>
              <w:tc>
                <w:tcPr/>
                <w:p>
                  <w:pPr>
                    <w:pStyle w:val="Compact"/>
                    <w:jc w:val="right"/>
                    <w:jc w:val="center"/>
                  </w:pPr>
                  <w:r>
                    <w:t xml:space="preserve">-1.69</w:t>
                  </w:r>
                </w:p>
              </w:tc>
              <w:tc>
                <w:tcPr/>
                <w:p>
                  <w:pPr>
                    <w:pStyle w:val="Compact"/>
                    <w:jc w:val="right"/>
                    <w:jc w:val="center"/>
                  </w:pPr>
                  <w:r>
                    <w:t xml:space="preserve">0.115</w:t>
                  </w:r>
                </w:p>
              </w:tc>
              <w:tc>
                <w:tcPr/>
                <w:p>
                  <w:pPr>
                    <w:pStyle w:val="Compact"/>
                  </w:pPr>
                </w:p>
              </w:tc>
            </w:tr>
            <w:tr>
              <w:tc>
                <w:tcPr/>
                <w:p>
                  <w:pPr>
                    <w:pStyle w:val="Compact"/>
                    <w:jc w:val="left"/>
                    <w:jc w:val="center"/>
                  </w:pPr>
                  <w:r>
                    <w:t xml:space="preserve">C</w:t>
                  </w:r>
                </w:p>
              </w:tc>
              <w:tc>
                <w:tcPr/>
                <w:p>
                  <w:pPr>
                    <w:pStyle w:val="Compact"/>
                    <w:jc w:val="right"/>
                    <w:jc w:val="center"/>
                  </w:pPr>
                  <w:r>
                    <w:t xml:space="preserve">0.212</w:t>
                  </w:r>
                </w:p>
              </w:tc>
              <w:tc>
                <w:tcPr/>
                <w:p>
                  <w:pPr>
                    <w:pStyle w:val="Compact"/>
                    <w:jc w:val="right"/>
                    <w:jc w:val="center"/>
                  </w:pPr>
                  <w:r>
                    <w:t xml:space="preserve">0.111</w:t>
                  </w:r>
                </w:p>
              </w:tc>
              <w:tc>
                <w:tcPr/>
                <w:p>
                  <w:pPr>
                    <w:pStyle w:val="Compact"/>
                    <w:jc w:val="right"/>
                    <w:jc w:val="center"/>
                  </w:pPr>
                  <w:r>
                    <w:t xml:space="preserve">1.91</w:t>
                  </w:r>
                </w:p>
              </w:tc>
              <w:tc>
                <w:tcPr/>
                <w:p>
                  <w:pPr>
                    <w:pStyle w:val="Compact"/>
                    <w:jc w:val="right"/>
                    <w:jc w:val="center"/>
                  </w:pPr>
                  <w:r>
                    <w:t xml:space="preserve">0.0788</w:t>
                  </w:r>
                </w:p>
              </w:tc>
              <w:tc>
                <w:tcPr/>
                <w:p>
                  <w:pPr>
                    <w:pStyle w:val="Compact"/>
                  </w:pPr>
                </w:p>
              </w:tc>
            </w:tr>
            <w:tr>
              <w:tc>
                <w:tcPr/>
                <w:p>
                  <w:pPr>
                    <w:pStyle w:val="Compact"/>
                    <w:jc w:val="left"/>
                    <w:jc w:val="center"/>
                  </w:pPr>
                  <w:r>
                    <w:t xml:space="preserve">AB</w:t>
                  </w:r>
                </w:p>
              </w:tc>
              <w:tc>
                <w:tcPr/>
                <w:p>
                  <w:pPr>
                    <w:pStyle w:val="Compact"/>
                    <w:jc w:val="right"/>
                    <w:jc w:val="center"/>
                  </w:pPr>
                  <w:r>
                    <w:t xml:space="preserve">0.148</w:t>
                  </w:r>
                </w:p>
              </w:tc>
              <w:tc>
                <w:tcPr/>
                <w:p>
                  <w:pPr>
                    <w:pStyle w:val="Compact"/>
                    <w:jc w:val="right"/>
                    <w:jc w:val="center"/>
                  </w:pPr>
                  <w:r>
                    <w:t xml:space="preserve">0.118</w:t>
                  </w:r>
                </w:p>
              </w:tc>
              <w:tc>
                <w:tcPr/>
                <w:p>
                  <w:pPr>
                    <w:pStyle w:val="Compact"/>
                    <w:jc w:val="right"/>
                    <w:jc w:val="center"/>
                  </w:pPr>
                  <w:r>
                    <w:t xml:space="preserve">1.26</w:t>
                  </w:r>
                </w:p>
              </w:tc>
              <w:tc>
                <w:tcPr/>
                <w:p>
                  <w:pPr>
                    <w:pStyle w:val="Compact"/>
                    <w:jc w:val="right"/>
                    <w:jc w:val="center"/>
                  </w:pPr>
                  <w:r>
                    <w:t xml:space="preserve">0.231</w:t>
                  </w:r>
                </w:p>
              </w:tc>
              <w:tc>
                <w:tcPr/>
                <w:p>
                  <w:pPr>
                    <w:pStyle w:val="Compact"/>
                  </w:pPr>
                </w:p>
              </w:tc>
            </w:tr>
            <w:tr>
              <w:tc>
                <w:tcPr/>
                <w:p>
                  <w:pPr>
                    <w:pStyle w:val="Compact"/>
                    <w:jc w:val="left"/>
                    <w:jc w:val="center"/>
                  </w:pPr>
                  <w:r>
                    <w:t xml:space="preserve">AE</w:t>
                  </w:r>
                </w:p>
              </w:tc>
              <w:tc>
                <w:tcPr/>
                <w:p>
                  <w:pPr>
                    <w:pStyle w:val="Compact"/>
                    <w:jc w:val="right"/>
                    <w:jc w:val="center"/>
                  </w:pPr>
                  <w:r>
                    <w:t xml:space="preserve">-0.29</w:t>
                  </w:r>
                </w:p>
              </w:tc>
              <w:tc>
                <w:tcPr/>
                <w:p>
                  <w:pPr>
                    <w:pStyle w:val="Compact"/>
                    <w:jc w:val="right"/>
                    <w:jc w:val="center"/>
                  </w:pPr>
                  <w:r>
                    <w:t xml:space="preserve">0.118</w:t>
                  </w:r>
                </w:p>
              </w:tc>
              <w:tc>
                <w:tcPr/>
                <w:p>
                  <w:pPr>
                    <w:pStyle w:val="Compact"/>
                    <w:jc w:val="right"/>
                    <w:jc w:val="center"/>
                  </w:pPr>
                  <w:r>
                    <w:t xml:space="preserve">-2.46</w:t>
                  </w:r>
                </w:p>
              </w:tc>
              <w:tc>
                <w:tcPr/>
                <w:p>
                  <w:pPr>
                    <w:pStyle w:val="Compact"/>
                    <w:jc w:val="right"/>
                    <w:jc w:val="center"/>
                  </w:pPr>
                  <w:r>
                    <w:t xml:space="preserve">0.0289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0.293</w:t>
                  </w:r>
                </w:p>
              </w:tc>
              <w:tc>
                <w:tcPr/>
                <w:p>
                  <w:pPr>
                    <w:pStyle w:val="Compact"/>
                    <w:jc w:val="right"/>
                    <w:jc w:val="center"/>
                  </w:pPr>
                  <w:r>
                    <w:t xml:space="preserve">0.118</w:t>
                  </w:r>
                </w:p>
              </w:tc>
              <w:tc>
                <w:tcPr/>
                <w:p>
                  <w:pPr>
                    <w:pStyle w:val="Compact"/>
                    <w:jc w:val="right"/>
                    <w:jc w:val="center"/>
                  </w:pPr>
                  <w:r>
                    <w:t xml:space="preserve">2.48</w:t>
                  </w:r>
                </w:p>
              </w:tc>
              <w:tc>
                <w:tcPr/>
                <w:p>
                  <w:pPr>
                    <w:pStyle w:val="Compact"/>
                    <w:jc w:val="right"/>
                    <w:jc w:val="center"/>
                  </w:pPr>
                  <w:r>
                    <w:t xml:space="preserve">0.0276</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0.0874</w:t>
                  </w:r>
                </w:p>
              </w:tc>
              <w:tc>
                <w:tcPr/>
                <w:p>
                  <w:pPr>
                    <w:pStyle w:val="Compact"/>
                    <w:jc w:val="right"/>
                    <w:jc w:val="center"/>
                  </w:pPr>
                  <w:r>
                    <w:t xml:space="preserve">0.118</w:t>
                  </w:r>
                </w:p>
              </w:tc>
              <w:tc>
                <w:tcPr/>
                <w:p>
                  <w:pPr>
                    <w:pStyle w:val="Compact"/>
                    <w:jc w:val="right"/>
                    <w:jc w:val="center"/>
                  </w:pPr>
                  <w:r>
                    <w:t xml:space="preserve">0.74</w:t>
                  </w:r>
                </w:p>
              </w:tc>
              <w:tc>
                <w:tcPr/>
                <w:p>
                  <w:pPr>
                    <w:pStyle w:val="Compact"/>
                    <w:jc w:val="right"/>
                    <w:jc w:val="center"/>
                  </w:pPr>
                  <w:r>
                    <w:t xml:space="preserve">0.472</w:t>
                  </w:r>
                </w:p>
              </w:tc>
              <w:tc>
                <w:tcPr/>
                <w:p>
                  <w:pPr>
                    <w:pStyle w:val="Compact"/>
                  </w:pPr>
                </w:p>
              </w:tc>
            </w:tr>
            <w:tr>
              <w:tc>
                <w:tcPr/>
                <w:p>
                  <w:pPr>
                    <w:pStyle w:val="Compact"/>
                    <w:jc w:val="left"/>
                    <w:jc w:val="center"/>
                  </w:pPr>
                  <w:r>
                    <w:t xml:space="preserve">BC</w:t>
                  </w:r>
                </w:p>
              </w:tc>
              <w:tc>
                <w:tcPr/>
                <w:p>
                  <w:pPr>
                    <w:pStyle w:val="Compact"/>
                    <w:jc w:val="right"/>
                    <w:jc w:val="center"/>
                  </w:pPr>
                  <w:r>
                    <w:t xml:space="preserve">-0.118</w:t>
                  </w:r>
                </w:p>
              </w:tc>
              <w:tc>
                <w:tcPr/>
                <w:p>
                  <w:pPr>
                    <w:pStyle w:val="Compact"/>
                    <w:jc w:val="right"/>
                    <w:jc w:val="center"/>
                  </w:pPr>
                  <w:r>
                    <w:t xml:space="preserve">0.118</w:t>
                  </w:r>
                </w:p>
              </w:tc>
              <w:tc>
                <w:tcPr/>
                <w:p>
                  <w:pPr>
                    <w:pStyle w:val="Compact"/>
                    <w:jc w:val="right"/>
                    <w:jc w:val="center"/>
                  </w:pPr>
                  <w:r>
                    <w:t xml:space="preserve">-0.996</w:t>
                  </w:r>
                </w:p>
              </w:tc>
              <w:tc>
                <w:tcPr/>
                <w:p>
                  <w:pPr>
                    <w:pStyle w:val="Compact"/>
                    <w:jc w:val="right"/>
                    <w:jc w:val="center"/>
                  </w:pPr>
                  <w:r>
                    <w:t xml:space="preserve">0.337</w:t>
                  </w:r>
                </w:p>
              </w:tc>
              <w:tc>
                <w:tcPr/>
                <w:p>
                  <w:pPr>
                    <w:pStyle w:val="Compact"/>
                  </w:pPr>
                </w:p>
              </w:tc>
            </w:tr>
            <w:tr>
              <w:tc>
                <w:tcPr/>
                <w:p>
                  <w:pPr>
                    <w:pStyle w:val="Compact"/>
                    <w:jc w:val="left"/>
                    <w:jc w:val="center"/>
                  </w:pPr>
                  <w:r>
                    <w:t xml:space="preserve">EC</w:t>
                  </w:r>
                </w:p>
              </w:tc>
              <w:tc>
                <w:tcPr/>
                <w:p>
                  <w:pPr>
                    <w:pStyle w:val="Compact"/>
                    <w:jc w:val="right"/>
                    <w:jc w:val="center"/>
                  </w:pPr>
                  <w:r>
                    <w:t xml:space="preserve">-0.0402</w:t>
                  </w:r>
                </w:p>
              </w:tc>
              <w:tc>
                <w:tcPr/>
                <w:p>
                  <w:pPr>
                    <w:pStyle w:val="Compact"/>
                    <w:jc w:val="right"/>
                    <w:jc w:val="center"/>
                  </w:pPr>
                  <w:r>
                    <w:t xml:space="preserve">0.118</w:t>
                  </w:r>
                </w:p>
              </w:tc>
              <w:tc>
                <w:tcPr/>
                <w:p>
                  <w:pPr>
                    <w:pStyle w:val="Compact"/>
                    <w:jc w:val="right"/>
                    <w:jc w:val="center"/>
                  </w:pPr>
                  <w:r>
                    <w:t xml:space="preserve">-0.341</w:t>
                  </w:r>
                </w:p>
              </w:tc>
              <w:tc>
                <w:tcPr/>
                <w:p>
                  <w:pPr>
                    <w:pStyle w:val="Compact"/>
                    <w:jc w:val="right"/>
                    <w:jc w:val="center"/>
                  </w:pPr>
                  <w:r>
                    <w:t xml:space="preserve">0.739</w:t>
                  </w:r>
                </w:p>
              </w:tc>
              <w:tc>
                <w:tcPr/>
                <w:p>
                  <w:pPr>
                    <w:pStyle w:val="Compact"/>
                  </w:pPr>
                </w:p>
              </w:tc>
            </w:tr>
            <w:tr>
              <w:tc>
                <w:tcPr/>
                <w:p>
                  <w:pPr>
                    <w:pStyle w:val="Compact"/>
                    <w:jc w:val="left"/>
                    <w:jc w:val="center"/>
                  </w:pPr>
                  <w:r>
                    <w:t xml:space="preserve">A²</w:t>
                  </w:r>
                </w:p>
              </w:tc>
              <w:tc>
                <w:tcPr/>
                <w:p>
                  <w:pPr>
                    <w:pStyle w:val="Compact"/>
                    <w:jc w:val="right"/>
                    <w:jc w:val="center"/>
                  </w:pPr>
                  <w:r>
                    <w:t xml:space="preserve">0.116</w:t>
                  </w:r>
                </w:p>
              </w:tc>
              <w:tc>
                <w:tcPr/>
                <w:p>
                  <w:pPr>
                    <w:pStyle w:val="Compact"/>
                    <w:jc w:val="right"/>
                    <w:jc w:val="center"/>
                  </w:pPr>
                  <w:r>
                    <w:t xml:space="preserve">0.294</w:t>
                  </w:r>
                </w:p>
              </w:tc>
              <w:tc>
                <w:tcPr/>
                <w:p>
                  <w:pPr>
                    <w:pStyle w:val="Compact"/>
                    <w:jc w:val="right"/>
                    <w:jc w:val="center"/>
                  </w:pPr>
                  <w:r>
                    <w:t xml:space="preserve">0.393</w:t>
                  </w:r>
                </w:p>
              </w:tc>
              <w:tc>
                <w:tcPr/>
                <w:p>
                  <w:pPr>
                    <w:pStyle w:val="Compact"/>
                    <w:jc w:val="right"/>
                    <w:jc w:val="center"/>
                  </w:pPr>
                  <w:r>
                    <w:t xml:space="preserve">0.701</w:t>
                  </w:r>
                </w:p>
              </w:tc>
              <w:tc>
                <w:tcPr/>
                <w:p>
                  <w:pPr>
                    <w:pStyle w:val="Compact"/>
                  </w:pPr>
                </w:p>
              </w:tc>
            </w:tr>
            <w:tr>
              <w:tc>
                <w:tcPr/>
                <w:p>
                  <w:pPr>
                    <w:pStyle w:val="Compact"/>
                    <w:jc w:val="left"/>
                    <w:jc w:val="center"/>
                  </w:pPr>
                  <w:r>
                    <w:t xml:space="preserve">B²</w:t>
                  </w:r>
                </w:p>
              </w:tc>
              <w:tc>
                <w:tcPr/>
                <w:p>
                  <w:pPr>
                    <w:pStyle w:val="Compact"/>
                    <w:jc w:val="right"/>
                    <w:jc w:val="center"/>
                  </w:pPr>
                  <w:r>
                    <w:t xml:space="preserve">0.094</w:t>
                  </w:r>
                </w:p>
              </w:tc>
              <w:tc>
                <w:tcPr/>
                <w:p>
                  <w:pPr>
                    <w:pStyle w:val="Compact"/>
                    <w:jc w:val="right"/>
                    <w:jc w:val="center"/>
                  </w:pPr>
                  <w:r>
                    <w:t xml:space="preserve">0.294</w:t>
                  </w:r>
                </w:p>
              </w:tc>
              <w:tc>
                <w:tcPr/>
                <w:p>
                  <w:pPr>
                    <w:pStyle w:val="Compact"/>
                    <w:jc w:val="right"/>
                    <w:jc w:val="center"/>
                  </w:pPr>
                  <w:r>
                    <w:t xml:space="preserve">0.32</w:t>
                  </w:r>
                </w:p>
              </w:tc>
              <w:tc>
                <w:tcPr/>
                <w:p>
                  <w:pPr>
                    <w:pStyle w:val="Compact"/>
                    <w:jc w:val="right"/>
                    <w:jc w:val="center"/>
                  </w:pPr>
                  <w:r>
                    <w:t xml:space="preserve">0.754</w:t>
                  </w:r>
                </w:p>
              </w:tc>
              <w:tc>
                <w:tcPr/>
                <w:p>
                  <w:pPr>
                    <w:pStyle w:val="Compact"/>
                  </w:pPr>
                </w:p>
              </w:tc>
            </w:tr>
            <w:tr>
              <w:tc>
                <w:tcPr/>
                <w:p>
                  <w:pPr>
                    <w:pStyle w:val="Compact"/>
                    <w:jc w:val="left"/>
                    <w:jc w:val="center"/>
                  </w:pPr>
                  <w:r>
                    <w:t xml:space="preserve">E²</w:t>
                  </w:r>
                </w:p>
              </w:tc>
              <w:tc>
                <w:tcPr/>
                <w:p>
                  <w:pPr>
                    <w:pStyle w:val="Compact"/>
                    <w:jc w:val="right"/>
                    <w:jc w:val="center"/>
                  </w:pPr>
                  <w:r>
                    <w:t xml:space="preserve">-0.215</w:t>
                  </w:r>
                </w:p>
              </w:tc>
              <w:tc>
                <w:tcPr/>
                <w:p>
                  <w:pPr>
                    <w:pStyle w:val="Compact"/>
                    <w:jc w:val="right"/>
                    <w:jc w:val="center"/>
                  </w:pPr>
                  <w:r>
                    <w:t xml:space="preserve">0.294</w:t>
                  </w:r>
                </w:p>
              </w:tc>
              <w:tc>
                <w:tcPr/>
                <w:p>
                  <w:pPr>
                    <w:pStyle w:val="Compact"/>
                    <w:jc w:val="right"/>
                    <w:jc w:val="center"/>
                  </w:pPr>
                  <w:r>
                    <w:t xml:space="preserve">-0.731</w:t>
                  </w:r>
                </w:p>
              </w:tc>
              <w:tc>
                <w:tcPr/>
                <w:p>
                  <w:pPr>
                    <w:pStyle w:val="Compact"/>
                    <w:jc w:val="right"/>
                    <w:jc w:val="center"/>
                  </w:pPr>
                  <w:r>
                    <w:t xml:space="preserve">0.478</w:t>
                  </w:r>
                </w:p>
              </w:tc>
              <w:tc>
                <w:tcPr/>
                <w:p>
                  <w:pPr>
                    <w:pStyle w:val="Compact"/>
                  </w:pPr>
                </w:p>
              </w:tc>
            </w:tr>
            <w:tr>
              <w:tc>
                <w:tcPr/>
                <w:p>
                  <w:pPr>
                    <w:pStyle w:val="Compact"/>
                    <w:jc w:val="left"/>
                    <w:jc w:val="center"/>
                  </w:pPr>
                  <w:r>
                    <w:t xml:space="preserve">C²</w:t>
                  </w:r>
                </w:p>
              </w:tc>
              <w:tc>
                <w:tcPr/>
                <w:p>
                  <w:pPr>
                    <w:pStyle w:val="Compact"/>
                    <w:jc w:val="right"/>
                    <w:jc w:val="center"/>
                  </w:pPr>
                  <w:r>
                    <w:t xml:space="preserve">0.126</w:t>
                  </w:r>
                </w:p>
              </w:tc>
              <w:tc>
                <w:tcPr/>
                <w:p>
                  <w:pPr>
                    <w:pStyle w:val="Compact"/>
                    <w:jc w:val="right"/>
                    <w:jc w:val="center"/>
                  </w:pPr>
                  <w:r>
                    <w:t xml:space="preserve">0.294</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bl>
          <w:bookmarkEnd w:id="44"/>
          <w:p/>
        </w:tc>
      </w:tr>
    </w:tbl>
    <w:p>
      <w:pPr>
        <w:pStyle w:val="BodyText"/>
      </w:pPr>
      <w:r>
        <w:t xml:space="preserve">Culture pH dominates at 1.09 per coded unit, with culture temperature at -0.42 and two small interactions involving pH. Dissolved carbon dioxide and culture duration are not significant in the response-surface model either, which confirms the screening result over a design that could have detected curvature in them. The coefficient tables for the remaining three responses are given in Appendix C.</w:t>
      </w:r>
    </w:p>
    <w:p>
      <w:pPr>
        <w:pStyle w:val="BodyText"/>
      </w:pPr>
      <w:r>
        <w:t xml:space="preserve">The fitted surfaces over culture pH and culture duration are shown in</w:t>
      </w:r>
      <w:r>
        <w:t xml:space="preserve"> </w:t>
      </w:r>
      <w:hyperlink w:anchor="fig-contours-phdur">
        <w:r>
          <w:rPr>
            <w:rStyle w:val="Hyperlink"/>
          </w:rPr>
          <w:t xml:space="preserve">Figure 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8" w:name="fig-contours-phdur"/>
          <w:p>
            <w:pPr>
              <w:pStyle w:val="Compact"/>
              <w:jc w:val="center"/>
            </w:pPr>
            <w:r>
              <w:drawing>
                <wp:inline>
                  <wp:extent cx="5334000" cy="3196308"/>
                  <wp:effectExtent b="0" l="0" r="0" t="0"/>
                  <wp:docPr descr="" title="" id="46" name="Picture"/>
                  <a:graphic>
                    <a:graphicData uri="http://schemas.openxmlformats.org/drawingml/2006/picture">
                      <pic:pic>
                        <pic:nvPicPr>
                          <pic:cNvPr descr="PCR-003_bioreactor_files/figure-docx/fig-contours-phdur-output-1.png" id="47" name="Picture"/>
                          <pic:cNvPicPr>
                            <a:picLocks noChangeArrowheads="1" noChangeAspect="1"/>
                          </pic:cNvPicPr>
                        </pic:nvPicPr>
                        <pic:blipFill>
                          <a:blip r:embed="rId45"/>
                          <a:stretch>
                            <a:fillRect/>
                          </a:stretch>
                        </pic:blipFill>
                        <pic:spPr bwMode="auto">
                          <a:xfrm>
                            <a:off x="0" y="0"/>
                            <a:ext cx="5334000" cy="319630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Response-surface predictions over culture pH and culture duration, with culture temperature and dissolved carbon dioxide held at their set-points.</w:t>
            </w:r>
          </w:p>
          <w:bookmarkEnd w:id="48"/>
        </w:tc>
      </w:tr>
    </w:tbl>
    <w:p>
      <w:pPr>
        <w:pStyle w:val="BodyText"/>
      </w:pPr>
      <w:r>
        <w:t xml:space="preserve">The panels show what the coefficients say. Galactosylation falls steeply from the low-pH, short-duration corner towards the opposite corner, and the contours are not parallel to either axis, which is the pH by duration interaction. Aggregate rises with both factors across the whole panel. High mannose depends on pH alone, so its contours are close to vertical. Afucosylation shows the largest curvature in the study, a significant negative quadratic in culture pH of -1.37, which places a maximum inside the studied pH range instead of at an edge.</w:t>
      </w:r>
    </w:p>
    <w:p>
      <w:pPr>
        <w:pStyle w:val="BodyText"/>
      </w:pPr>
      <w:r>
        <w:t xml:space="preserve">Model diagnostics for galactosylation are shown in</w:t>
      </w:r>
      <w:r>
        <w:t xml:space="preserve"> </w:t>
      </w:r>
      <w:hyperlink w:anchor="fig-diag-gal">
        <w:r>
          <w:rPr>
            <w:rStyle w:val="Hyperlink"/>
          </w:rPr>
          <w:t xml:space="preserve">Figure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2" w:name="fig-diag-gal"/>
          <w:p>
            <w:pPr>
              <w:pStyle w:val="Compact"/>
              <w:jc w:val="center"/>
            </w:pPr>
            <w:r>
              <w:drawing>
                <wp:inline>
                  <wp:extent cx="5334000" cy="1671388"/>
                  <wp:effectExtent b="0" l="0" r="0" t="0"/>
                  <wp:docPr descr="" title="" id="50" name="Picture"/>
                  <a:graphic>
                    <a:graphicData uri="http://schemas.openxmlformats.org/drawingml/2006/picture">
                      <pic:pic>
                        <pic:nvPicPr>
                          <pic:cNvPr descr="PCR-003_bioreactor_files/figure-docx/fig-diag-gal-output-1.png" id="51" name="Picture"/>
                          <pic:cNvPicPr>
                            <a:picLocks noChangeArrowheads="1" noChangeAspect="1"/>
                          </pic:cNvPicPr>
                        </pic:nvPicPr>
                        <pic:blipFill>
                          <a:blip r:embed="rId49"/>
                          <a:stretch>
                            <a:fillRect/>
                          </a:stretch>
                        </pic:blipFill>
                        <pic:spPr bwMode="auto">
                          <a:xfrm>
                            <a:off x="0" y="0"/>
                            <a:ext cx="5334000" cy="1671388"/>
                          </a:xfrm>
                          <a:prstGeom prst="rect">
                            <a:avLst/>
                          </a:prstGeom>
                          <a:noFill/>
                          <a:ln w="9525">
                            <a:noFill/>
                            <a:headEnd/>
                            <a:tailEnd/>
                          </a:ln>
                        </pic:spPr>
                      </pic:pic>
                    </a:graphicData>
                  </a:graphic>
                </wp:inline>
              </w:drawing>
            </w:r>
          </w:p>
          <w:p>
            <w:pPr>
              <w:jc w:val="center"/>
            </w:pPr>
            <w:pPr>
              <w:jc w:val="left"/>
              <w:spacing w:before="200"/>
              <w:pStyle w:val="ImageCaption"/>
            </w:pPr>
            <w:r>
              <w:t xml:space="preserve">Figure 2: Diagnostics for the galactosylation response-surface model: residuals against predicted values, normal quantile plot of the residuals, and observed against predicted values.</w:t>
            </w:r>
          </w:p>
          <w:bookmarkEnd w:id="52"/>
        </w:tc>
      </w:tr>
    </w:tbl>
    <w:p>
      <w:pPr>
        <w:pStyle w:val="BodyText"/>
      </w:pPr>
      <w:r>
        <w:t xml:space="preserve">The residuals scatter about zero with no trend against the predicted value and no funnel, the quantile plot is close to linear, and the observed values fall on the identity line across the whole range of the response. The model is therefore fit for the prediction of mean levels over the ranges of the parameters included in it, which is the use made of it in §6 and §7.</w:t>
      </w:r>
    </w:p>
    <w:p>
      <w:pPr>
        <w:pStyle w:val="BodyText"/>
      </w:pPr>
      <w:r>
        <w:t xml:space="preserve">One prediction of these models is adverse and is reported here. At the corner where culture pH, dissolved carbon dioxide and culture duration are all at their low edges and culture temperature is at its high edge, galactosylation is predicted at 40.3 %, which exceeds its upper limit of 40.0 % by 0.27 percentage points. The exceedance is not only a prediction, because galactosylation was measured above the limit at that same corner in 1 run of the screening design, at 41.4 %, and in 1 run of the response-surface design, at 40.5 %. No other response exceeds any limit anywhere in either design, and at this corner the other four responses are all comfortably inside their criteria. The consequence for the operating region is worked out below (§6).</w:t>
      </w:r>
    </w:p>
    <w:bookmarkEnd w:id="53"/>
    <w:bookmarkStart w:id="54" w:name="mechanistic-interpretation"/>
    <w:p>
      <w:pPr>
        <w:pStyle w:val="Heading2"/>
      </w:pPr>
      <w:r>
        <w:t xml:space="preserve">5.4 Mechanistic interpretation</w:t>
      </w:r>
    </w:p>
    <w:p>
      <w:pPr>
        <w:pStyle w:val="FirstParagraph"/>
      </w:pPr>
      <w:r>
        <w:t xml:space="preserve">The surfaces are consistent with the glycan-processing mechanism assumed in §2.1, and the agreement is close enough to treat the models as process understanding and not only as empirical fits.</w:t>
      </w:r>
    </w:p>
    <w:p>
      <w:pPr>
        <w:pStyle w:val="BodyText"/>
      </w:pPr>
      <w:r>
        <w:t xml:space="preserve">Galactosylation is a terminal step of N-glycan processing, so the fraction of chains that carry galactose depends on how much processing time the antibody spends in a Golgi with adequate galactosyltransferase activity and adequate donor supply. Everything that shortens or acidifies that window lowers galactosylation. Longer culture lowers it because extracellular glycosidase activity accumulates as viability falls, and the two effects act on the same population of released chains. Higher dissolved carbon dioxide lowers it because carbon dioxide crosses the membrane freely and acidifies the intracellular compartments. Higher culture pH also lowers it, which the study cannot separate from a shift in the pH gradient the cell maintains against the medium. The pH by duration interaction follows directly, because the acidification penalty applies for as long as the culture runs. Higher culture temperature raises galactosylation, at 2.30 per coded unit, which is the direction expected if galactosyltransferase activity limits the reaction and not processing time. Prior knowledge did not fix that direction for this cell line, and the study resolves it.</w:t>
      </w:r>
    </w:p>
    <w:p>
      <w:pPr>
        <w:pStyle w:val="BodyText"/>
      </w:pPr>
      <w:r>
        <w:t xml:space="preserve">High mannose is the mirror image of that argument. High mannose glycans are the ones that were never trimmed, so the attribute measures the failure of an early processing step, not the outcome of a late one. Mannosidase activity is the sensitive point, and it responds to intracellular pH and to temperature. Its independence from culture duration is then expected, because trimming happens early in the secretory pathway and the chains that escape it are not recovered later. That independence is the reason the attribute of highest criticality at this step needs the fewest controls.</w:t>
      </w:r>
    </w:p>
    <w:p>
      <w:pPr>
        <w:pStyle w:val="BodyText"/>
      </w:pPr>
      <w:r>
        <w:t xml:space="preserve">Aggregate and afucosylation complete the picture. Aggregate rises with culture pH and with duration because both increase the exposure of the product to the extracellular environment, and the interaction between them is not significant, so the two act independently. The only curvature the response shows is a small positive quadratic in duration of 0.143, which says that the last days of culture cost more than the first. Afucosylation has a maximum inside the pH range instead of at an edge, which is the signature of two opposing pH-dependent processes, the supply of the fucose donor and the activity of the fucosyltransferase itself. This is the one response for which the direction of the effect of a pH move depends on where in the range the process is operating.</w:t>
      </w:r>
    </w:p>
    <w:p>
      <w:pPr>
        <w:pStyle w:val="BodyText"/>
      </w:pPr>
      <w:r>
        <w:t xml:space="preserve">Two consequences follow for the design of the operating region. All four response-surface factors act on more than one attribute, and they act in opposite directions on some pairs. Raising culture pH lowers galactosylation, raises high mannose and raises aggregate. A univariate range for pH therefore cannot be optimal for all three at once, and the region has to be defined in the parameters jointly. The second consequence is that the interactions are concentrated on culture pH, which makes pH the parameter whose control at scale matters most.</w:t>
      </w:r>
    </w:p>
    <w:bookmarkEnd w:id="54"/>
    <w:bookmarkEnd w:id="55"/>
    <w:bookmarkStart w:id="60" w:name="design-space"/>
    <w:p>
      <w:pPr>
        <w:pStyle w:val="Heading1"/>
      </w:pPr>
      <w:r>
        <w:t xml:space="preserve">6. Design space</w:t>
      </w:r>
    </w:p>
    <w:p>
      <w:pPr>
        <w:pStyle w:val="FirstParagraph"/>
      </w:pPr>
      <w:r>
        <w:t xml:space="preserve">The design space for this step is the region of the four response-surface parameters, bounded by the characterization ranges of</w:t>
      </w:r>
      <w:r>
        <w:t xml:space="preserve"> </w:t>
      </w:r>
      <w:hyperlink w:anchor="tbl-params">
        <w:r>
          <w:rPr>
            <w:rStyle w:val="Hyperlink"/>
          </w:rPr>
          <w:t xml:space="preserve">Table 5</w:t>
        </w:r>
      </w:hyperlink>
      <w:r>
        <w:t xml:space="preserve">, over which the fitted models predict that all five formed attributes meet their acceptance criteria. One corner of the characterized region is excluded from it.</w:t>
      </w:r>
    </w:p>
    <w:p>
      <w:pPr>
        <w:pStyle w:val="BodyText"/>
      </w:pPr>
      <w:r>
        <w:t xml:space="preserve">The excluded corner is the galactosylation edge of failure reported in §5.3. It lies at culture pH 6.60, culture temperature 36 °C, culture duration 15 days and dissolved carbon dioxide 40 mmHg. That combination is the worst case the region must satisfy. All four parameters sit at the edge that raises galactosylation, and on balance the interactions between culture pH and the other three add to the effect at that vertex. The exclusion is a small neighbourhood of a single vertex. Holding the other three factors at that vertex, the model returns galactosylation to its limit at a culture pH of 6.617, at a culture temperature of 35.77 °C, at a culture duration of 15.06 days, or at a dissolved carbon dioxide of 44.0 mmHg. Any one of those four moves is sufficient, and each is small against the range of its parameter.</w:t>
      </w:r>
    </w:p>
    <w:p>
      <w:pPr>
        <w:pStyle w:val="BodyText"/>
      </w:pPr>
      <w:r>
        <w:t xml:space="preserve">The rest of the characterized region is inside the design space, and the normal operating ranges sit well within it. Evaluating the fitted models at the corners of the normal operating ranges gives a worst predicted galactosylation of 31.8 %, which is 8.2 percentage points below the limit, and every other response meets its criterion at every one of those corners. The distance between the operating ranges and the excluded vertex is large in every factor, and reaching the vertex would require four simultaneous excursions to the edge of the knowledge space.</w:t>
      </w:r>
    </w:p>
    <w:p>
      <w:pPr>
        <w:pStyle w:val="BodyText"/>
      </w:pPr>
      <w:r>
        <w:t xml:space="preserve">The principal planes of the region are culture pH against culture duration and culture pH against dissolved carbon dioxide, which carry the two largest interaction terms in the response-surface models.</w:t>
      </w:r>
      <w:r>
        <w:t xml:space="preserve"> </w:t>
      </w:r>
      <w:hyperlink w:anchor="fig-contours-phco2">
        <w:r>
          <w:rPr>
            <w:rStyle w:val="Hyperlink"/>
          </w:rPr>
          <w:t xml:space="preserve">Figure 3</w:t>
        </w:r>
      </w:hyperlink>
      <w:r>
        <w:t xml:space="preserve"> </w:t>
      </w:r>
      <w:r>
        <w:t xml:space="preserve">shows the second of these.</w:t>
      </w:r>
    </w:p>
    <w:tbl>
      <w:tblPr>
        <w:tblStyle w:val="Table"/>
        <w:tblW w:type="pct" w:w="5000"/>
        <w:tblLayout w:type="fixed"/>
        <w:tblLook w:firstRow="0" w:lastRow="0" w:firstColumn="0" w:lastColumn="0" w:noHBand="0" w:noVBand="0" w:val="0000"/>
      </w:tblPr>
      <w:tblGrid>
        <w:gridCol w:w="7920"/>
      </w:tblGrid>
      <w:tr>
        <w:tc>
          <w:tcPr/>
          <w:bookmarkStart w:id="59" w:name="fig-contours-phco2"/>
          <w:p>
            <w:pPr>
              <w:pStyle w:val="Compact"/>
              <w:jc w:val="center"/>
            </w:pPr>
            <w:r>
              <w:drawing>
                <wp:inline>
                  <wp:extent cx="5334000" cy="3205528"/>
                  <wp:effectExtent b="0" l="0" r="0" t="0"/>
                  <wp:docPr descr="" title="" id="57" name="Picture"/>
                  <a:graphic>
                    <a:graphicData uri="http://schemas.openxmlformats.org/drawingml/2006/picture">
                      <pic:pic>
                        <pic:nvPicPr>
                          <pic:cNvPr descr="PCR-003_bioreactor_files/figure-docx/fig-contours-phco2-output-1.png" id="58" name="Picture"/>
                          <pic:cNvPicPr>
                            <a:picLocks noChangeArrowheads="1" noChangeAspect="1"/>
                          </pic:cNvPicPr>
                        </pic:nvPicPr>
                        <pic:blipFill>
                          <a:blip r:embed="rId56"/>
                          <a:stretch>
                            <a:fillRect/>
                          </a:stretch>
                        </pic:blipFill>
                        <pic:spPr bwMode="auto">
                          <a:xfrm>
                            <a:off x="0" y="0"/>
                            <a:ext cx="5334000" cy="3205528"/>
                          </a:xfrm>
                          <a:prstGeom prst="rect">
                            <a:avLst/>
                          </a:prstGeom>
                          <a:noFill/>
                          <a:ln w="9525">
                            <a:noFill/>
                            <a:headEnd/>
                            <a:tailEnd/>
                          </a:ln>
                        </pic:spPr>
                      </pic:pic>
                    </a:graphicData>
                  </a:graphic>
                </wp:inline>
              </w:drawing>
            </w:r>
          </w:p>
          <w:p>
            <w:pPr>
              <w:jc w:val="center"/>
            </w:pPr>
            <w:pPr>
              <w:jc w:val="left"/>
              <w:spacing w:before="200"/>
              <w:pStyle w:val="ImageCaption"/>
            </w:pPr>
            <w:r>
              <w:t xml:space="preserve">Figure 3: Response-surface predictions over culture pH and dissolved carbon dioxide, with culture temperature and culture duration held at their set-points.</w:t>
            </w:r>
          </w:p>
          <w:bookmarkEnd w:id="59"/>
        </w:tc>
      </w:tr>
    </w:tbl>
    <w:p>
      <w:pPr>
        <w:pStyle w:val="BodyText"/>
      </w:pPr>
      <w:r>
        <w:t xml:space="preserve">Three bounds apply to the claim made in this section. The region is defined over the characterization ranges of</w:t>
      </w:r>
      <w:r>
        <w:t xml:space="preserve"> </w:t>
      </w:r>
      <w:hyperlink w:anchor="tbl-params">
        <w:r>
          <w:rPr>
            <w:rStyle w:val="Hyperlink"/>
          </w:rPr>
          <w:t xml:space="preserve">Table 5</w:t>
        </w:r>
      </w:hyperlink>
      <w:r>
        <w:t xml:space="preserve"> </w:t>
      </w:r>
      <w:r>
        <w:t xml:space="preserve">and says nothing about conditions outside them. It is defined by response-surface models of mean levels, so the reliability of a prediction made at the boundary of the region is close to one half if the variability of the response is symmetric about the mean (as in the case study</w:t>
      </w:r>
      <w:r>
        <w:t xml:space="preserve"> </w:t>
      </w:r>
      <w:r>
        <w:t xml:space="preserve">(CMC Biotech Working Group 2009)</w:t>
      </w:r>
      <w:r>
        <w:t xml:space="preserve">), and assurance for routine operation comes from the normal operating ranges and the capability of §8 and not from the boundary itself. The region is defined in the qualified scale-down model, and its edges have not been confirmed at commercial scale.</w:t>
      </w:r>
    </w:p>
    <w:p>
      <w:pPr>
        <w:pStyle w:val="BodyText"/>
      </w:pPr>
      <w:r>
        <w:t xml:space="preserve">Within the design space, movement is not a change from the perspective of the regulatory filing, although any planned movement is assessed prospectively under the pharmaceutical quality system before it is made</w:t>
      </w:r>
      <w:r>
        <w:t xml:space="preserve"> </w:t>
      </w:r>
      <w:r>
        <w:t xml:space="preserve">(International Council for Harmonisation 2009, 2008)</w:t>
      </w:r>
      <w:r>
        <w:t xml:space="preserve">. Operation outside the design space, including operation at the excluded vertex, is a change and is managed through change control.</w:t>
      </w:r>
    </w:p>
    <w:bookmarkEnd w:id="60"/>
    <w:bookmarkStart w:id="82" w:name="proven-acceptable-ranges"/>
    <w:p>
      <w:pPr>
        <w:pStyle w:val="Heading1"/>
      </w:pPr>
      <w:r>
        <w:t xml:space="preserve">7. Proven acceptable ranges</w:t>
      </w:r>
    </w:p>
    <w:p>
      <w:pPr>
        <w:pStyle w:val="FirstParagraph"/>
      </w:pPr>
      <w:r>
        <w:t xml:space="preserve">The design space of §6 is multivariate, and this section complements it with proven acceptable ranges, which are the ranges of a single parameter over which a given attribute meets its criterion while the other parameters are held or varied in a defined way.</w:t>
      </w:r>
    </w:p>
    <w:p>
      <w:pPr>
        <w:pStyle w:val="BodyText"/>
      </w:pPr>
      <w:r>
        <w:t xml:space="preserve">The acceptance criterion used for each response is the drug-substance specification for the attribute it maps to, taken from</w:t>
      </w:r>
      <w:r>
        <w:t xml:space="preserve"> </w:t>
      </w:r>
      <w:hyperlink w:anchor="tbl-cqa">
        <w:r>
          <w:rPr>
            <w:rStyle w:val="Hyperlink"/>
          </w:rPr>
          <w:t xml:space="preserve">Table 3</w:t>
        </w:r>
      </w:hyperlink>
      <w:r>
        <w:t xml:space="preserve">. None of the five responses at this step is a viral-clearance attribute, so no step-level floor has to be back-calculated from a cumulative requirement, and every criterion in this section is a specification limit read directly.</w:t>
      </w:r>
    </w:p>
    <w:p>
      <w:pPr>
        <w:pStyle w:val="BodyText"/>
      </w:pPr>
      <w:r>
        <w:t xml:space="preserve">Two analyses were run for each pairing of attribute and parameter, and both are given below (</w:t>
      </w:r>
      <w:hyperlink w:anchor="tbl-par">
        <w:r>
          <w:rPr>
            <w:rStyle w:val="Hyperlink"/>
          </w:rPr>
          <w:t xml:space="preserve">Table 13</w:t>
        </w:r>
      </w:hyperlink>
      <w:r>
        <w:t xml:space="preserve">). The first holds the other parameters at their set-points and scans the parameter of interest across its characterization range on the fitted response-surface model. For this step the set-point of every response-surface parameter is also the centre of its characterization range, so the two conventions coincide and the analysis is unambiguous. The second propagates the normal operating ranges of the other parameters by Monte-Carlo sampling of the fitted model, which is the reproducible default across the campaign, and asks over what range of the parameter of interest the attribute still meets its criterion when the others are moving within their routine ranges.</w:t>
      </w:r>
    </w:p>
    <w:tbl>
      <w:tblPr>
        <w:tblStyle w:val="Table"/>
        <w:tblW w:type="pct" w:w="5000"/>
        <w:tblLayout w:type="fixed"/>
        <w:tblLook w:firstRow="0" w:lastRow="0" w:firstColumn="0" w:lastColumn="0" w:noHBand="0" w:noVBand="0" w:val="0000"/>
      </w:tblPr>
      <w:tblGrid>
        <w:gridCol w:w="7920"/>
      </w:tblGrid>
      <w:tr>
        <w:tc>
          <w:tcPr/>
          <w:bookmarkStart w:id="61" w:name="tbl-par"/>
          <w:p>
            <w:pPr>
              <w:jc w:val="center"/>
            </w:pPr>
            <w:pPr>
              <w:jc w:val="left"/>
              <w:spacing w:before="200"/>
              <w:pStyle w:val="ImageCaption"/>
            </w:pPr>
            <w:r>
              <w:t xml:space="preserve">Table 13: Proven acceptable ranges for each governed attribute against each response-surface parameter, at set-point and with the other parameters propagated across their normal operating ranges.</w:t>
            </w:r>
          </w:p>
          <w:tbl>
            <w:tblPr>
              <w:tblStyle w:val="Table"/>
              <w:tblW w:type="pct" w:w="5000"/>
              <w:tblLayout w:type="fixed"/>
              <w:tblLook w:firstRow="1" w:lastRow="0" w:firstColumn="0" w:lastColumn="0" w:noHBand="0" w:noVBand="0" w:val="0020"/>
            </w:tblPr>
            <w:tblGrid>
              <w:gridCol w:w="1500"/>
              <w:gridCol w:w="1834"/>
              <w:gridCol w:w="1250"/>
              <w:gridCol w:w="666"/>
              <w:gridCol w:w="1584"/>
              <w:gridCol w:w="1083"/>
            </w:tblGrid>
            <w:tr>
              <w:trPr>
                <w:tblHeader w:val="on"/>
              </w:trPr>
              <w:tc>
                <w:tcPr/>
                <w:p>
                  <w:pPr>
                    <w:pStyle w:val="Compact"/>
                    <w:jc w:val="left"/>
                    <w:jc w:val="center"/>
                  </w:pPr>
                  <w:r>
                    <w:t xml:space="preserve">CQA</w:t>
                  </w:r>
                </w:p>
              </w:tc>
              <w:tc>
                <w:tcPr/>
                <w:p>
                  <w:pPr>
                    <w:pStyle w:val="Compact"/>
                    <w:jc w:val="left"/>
                    <w:jc w:val="center"/>
                  </w:pPr>
                  <w:r>
                    <w:t xml:space="preserve">Parameter</w:t>
                  </w:r>
                </w:p>
              </w:tc>
              <w:tc>
                <w:tcPr/>
                <w:p>
                  <w:pPr>
                    <w:pStyle w:val="Compact"/>
                    <w:jc w:val="left"/>
                    <w:jc w:val="center"/>
                  </w:pPr>
                  <w:r>
                    <w:t xml:space="preserve">Char. range</w:t>
                  </w:r>
                </w:p>
              </w:tc>
              <w:tc>
                <w:tcPr/>
                <w:p>
                  <w:pPr>
                    <w:pStyle w:val="Compact"/>
                    <w:jc w:val="left"/>
                    <w:jc w:val="center"/>
                  </w:pPr>
                  <w:r>
                    <w:t xml:space="preserve">Unit</w:t>
                  </w:r>
                </w:p>
              </w:tc>
              <w:tc>
                <w:tcPr/>
                <w:p>
                  <w:pPr>
                    <w:pStyle w:val="Compact"/>
                    <w:jc w:val="left"/>
                    <w:jc w:val="center"/>
                  </w:pPr>
                  <w:r>
                    <w:t xml:space="preserve">PAR (set-point)</w:t>
                  </w:r>
                </w:p>
              </w:tc>
              <w:tc>
                <w:tcPr/>
                <w:p>
                  <w:pPr>
                    <w:pStyle w:val="Compact"/>
                    <w:jc w:val="left"/>
                    <w:jc w:val="center"/>
                  </w:pPr>
                  <w:r>
                    <w:t xml:space="preserve">PAR (NOR)</w:t>
                  </w:r>
                </w:p>
              </w:tc>
            </w:tr>
            <w:tr>
              <w:tc>
                <w:tcPr/>
                <w:p>
                  <w:pPr>
                    <w:pStyle w:val="Compact"/>
                    <w:jc w:val="left"/>
                    <w:jc w:val="center"/>
                  </w:pPr>
                  <w:r>
                    <w:t xml:space="preserve">Afucosylation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6.6–7.1</w:t>
                  </w:r>
                </w:p>
              </w:tc>
              <w:tc>
                <w:tcPr/>
                <w:p>
                  <w:pPr>
                    <w:pStyle w:val="Compact"/>
                    <w:jc w:val="left"/>
                    <w:jc w:val="center"/>
                  </w:pPr>
                  <w:r>
                    <w:t xml:space="preserve">6.6–7.1</w:t>
                  </w:r>
                </w:p>
              </w:tc>
            </w:tr>
            <w:tr>
              <w:tc>
                <w:tcPr/>
                <w:p>
                  <w:pPr>
                    <w:pStyle w:val="Compact"/>
                    <w:jc w:val="left"/>
                    <w:jc w:val="center"/>
                  </w:pPr>
                  <w:r>
                    <w:t xml:space="preserve">Afucosylation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Afucosylation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Afucosylation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40–160</w:t>
                  </w:r>
                </w:p>
              </w:tc>
              <w:tc>
                <w:tcPr/>
                <w:p>
                  <w:pPr>
                    <w:pStyle w:val="Compact"/>
                    <w:jc w:val="left"/>
                    <w:jc w:val="center"/>
                  </w:pPr>
                  <w:r>
                    <w:t xml:space="preserve">40–160</w:t>
                  </w:r>
                </w:p>
              </w:tc>
            </w:tr>
            <w:tr>
              <w:tc>
                <w:tcPr/>
                <w:p>
                  <w:pPr>
                    <w:pStyle w:val="Compact"/>
                    <w:jc w:val="left"/>
                    <w:jc w:val="center"/>
                  </w:pPr>
                  <w:r>
                    <w:t xml:space="preserve">Galactosylation</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6.6–7.1</w:t>
                  </w:r>
                </w:p>
              </w:tc>
              <w:tc>
                <w:tcPr/>
                <w:p>
                  <w:pPr>
                    <w:pStyle w:val="Compact"/>
                    <w:jc w:val="left"/>
                    <w:jc w:val="center"/>
                  </w:pPr>
                  <w:r>
                    <w:t xml:space="preserve">6.6–7.1</w:t>
                  </w:r>
                </w:p>
              </w:tc>
            </w:tr>
            <w:tr>
              <w:tc>
                <w:tcPr/>
                <w:p>
                  <w:pPr>
                    <w:pStyle w:val="Compact"/>
                    <w:jc w:val="left"/>
                    <w:jc w:val="center"/>
                  </w:pPr>
                  <w:r>
                    <w:t xml:space="preserve">Galactosylation</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Galactosylation</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Galactosylation</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40–160</w:t>
                  </w:r>
                </w:p>
              </w:tc>
              <w:tc>
                <w:tcPr/>
                <w:p>
                  <w:pPr>
                    <w:pStyle w:val="Compact"/>
                    <w:jc w:val="left"/>
                    <w:jc w:val="center"/>
                  </w:pPr>
                  <w:r>
                    <w:t xml:space="preserve">40–160</w:t>
                  </w:r>
                </w:p>
              </w:tc>
            </w:tr>
            <w:tr>
              <w:tc>
                <w:tcPr/>
                <w:p>
                  <w:pPr>
                    <w:pStyle w:val="Compact"/>
                    <w:jc w:val="left"/>
                    <w:jc w:val="center"/>
                  </w:pPr>
                  <w:r>
                    <w:t xml:space="preserve">High mannose</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6.6–7.1</w:t>
                  </w:r>
                </w:p>
              </w:tc>
              <w:tc>
                <w:tcPr/>
                <w:p>
                  <w:pPr>
                    <w:pStyle w:val="Compact"/>
                    <w:jc w:val="left"/>
                    <w:jc w:val="center"/>
                  </w:pPr>
                  <w:r>
                    <w:t xml:space="preserve">6.6–7.1</w:t>
                  </w:r>
                </w:p>
              </w:tc>
            </w:tr>
            <w:tr>
              <w:tc>
                <w:tcPr/>
                <w:p>
                  <w:pPr>
                    <w:pStyle w:val="Compact"/>
                    <w:jc w:val="left"/>
                    <w:jc w:val="center"/>
                  </w:pPr>
                  <w:r>
                    <w:t xml:space="preserve">High mannose</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High mannose</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High mannose</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40–160</w:t>
                  </w:r>
                </w:p>
              </w:tc>
              <w:tc>
                <w:tcPr/>
                <w:p>
                  <w:pPr>
                    <w:pStyle w:val="Compact"/>
                    <w:jc w:val="left"/>
                    <w:jc w:val="center"/>
                  </w:pPr>
                  <w:r>
                    <w:t xml:space="preserve">40–160</w:t>
                  </w:r>
                </w:p>
              </w:tc>
            </w:tr>
            <w:tr>
              <w:tc>
                <w:tcPr/>
                <w:p>
                  <w:pPr>
                    <w:pStyle w:val="Compact"/>
                    <w:jc w:val="left"/>
                    <w:jc w:val="center"/>
                  </w:pPr>
                  <w:r>
                    <w:t xml:space="preserve">Acidic variants</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6.6–7.1</w:t>
                  </w:r>
                </w:p>
              </w:tc>
              <w:tc>
                <w:tcPr/>
                <w:p>
                  <w:pPr>
                    <w:pStyle w:val="Compact"/>
                    <w:jc w:val="left"/>
                    <w:jc w:val="center"/>
                  </w:pPr>
                  <w:r>
                    <w:t xml:space="preserve">6.6–7.1</w:t>
                  </w:r>
                </w:p>
              </w:tc>
            </w:tr>
            <w:tr>
              <w:tc>
                <w:tcPr/>
                <w:p>
                  <w:pPr>
                    <w:pStyle w:val="Compact"/>
                    <w:jc w:val="left"/>
                    <w:jc w:val="center"/>
                  </w:pPr>
                  <w:r>
                    <w:t xml:space="preserve">Acidic variants</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Acidic variants</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Acidic variants</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40–160</w:t>
                  </w:r>
                </w:p>
              </w:tc>
              <w:tc>
                <w:tcPr/>
                <w:p>
                  <w:pPr>
                    <w:pStyle w:val="Compact"/>
                    <w:jc w:val="left"/>
                    <w:jc w:val="center"/>
                  </w:pPr>
                  <w:r>
                    <w:t xml:space="preserve">40–160</w:t>
                  </w:r>
                </w:p>
              </w:tc>
            </w:tr>
            <w:tr>
              <w:tc>
                <w:tcPr/>
                <w:p>
                  <w:pPr>
                    <w:pStyle w:val="Compact"/>
                    <w:jc w:val="left"/>
                    <w:jc w:val="center"/>
                  </w:pPr>
                  <w:r>
                    <w:t xml:space="preserve">Aggregates (HMW)</w:t>
                  </w:r>
                </w:p>
              </w:tc>
              <w:tc>
                <w:tcPr/>
                <w:p>
                  <w:pPr>
                    <w:pStyle w:val="Compact"/>
                    <w:jc w:val="left"/>
                    <w:jc w:val="center"/>
                  </w:pPr>
                  <w:r>
                    <w:t xml:space="preserve">Culture pH</w:t>
                  </w:r>
                </w:p>
              </w:tc>
              <w:tc>
                <w:tcPr/>
                <w:p>
                  <w:pPr>
                    <w:pStyle w:val="Compact"/>
                    <w:jc w:val="left"/>
                    <w:jc w:val="center"/>
                  </w:pPr>
                  <w:r>
                    <w:t xml:space="preserve">6.6–7.1</w:t>
                  </w:r>
                </w:p>
              </w:tc>
              <w:tc>
                <w:tcPr/>
                <w:p>
                  <w:pPr>
                    <w:pStyle w:val="Compact"/>
                    <w:jc w:val="left"/>
                    <w:jc w:val="center"/>
                  </w:pPr>
                  <w:r>
                    <w:t xml:space="preserve">pH</w:t>
                  </w:r>
                </w:p>
              </w:tc>
              <w:tc>
                <w:tcPr/>
                <w:p>
                  <w:pPr>
                    <w:pStyle w:val="Compact"/>
                    <w:jc w:val="left"/>
                    <w:jc w:val="center"/>
                  </w:pPr>
                  <w:r>
                    <w:t xml:space="preserve">6.6–7.1</w:t>
                  </w:r>
                </w:p>
              </w:tc>
              <w:tc>
                <w:tcPr/>
                <w:p>
                  <w:pPr>
                    <w:pStyle w:val="Compact"/>
                    <w:jc w:val="left"/>
                    <w:jc w:val="center"/>
                  </w:pPr>
                  <w:r>
                    <w:t xml:space="preserve">6.6–7.1</w:t>
                  </w:r>
                </w:p>
              </w:tc>
            </w:tr>
            <w:tr>
              <w:tc>
                <w:tcPr/>
                <w:p>
                  <w:pPr>
                    <w:pStyle w:val="Compact"/>
                    <w:jc w:val="left"/>
                    <w:jc w:val="center"/>
                  </w:pPr>
                  <w:r>
                    <w:t xml:space="preserve">Aggregates (HMW)</w:t>
                  </w:r>
                </w:p>
              </w:tc>
              <w:tc>
                <w:tcPr/>
                <w:p>
                  <w:pPr>
                    <w:pStyle w:val="Compact"/>
                    <w:jc w:val="left"/>
                    <w:jc w:val="center"/>
                  </w:pPr>
                  <w:r>
                    <w:t xml:space="preserve">Culture temperature</w:t>
                  </w:r>
                </w:p>
              </w:tc>
              <w:tc>
                <w:tcPr/>
                <w:p>
                  <w:pPr>
                    <w:pStyle w:val="Compact"/>
                    <w:jc w:val="left"/>
                    <w:jc w:val="center"/>
                  </w:pPr>
                  <w:r>
                    <w:t xml:space="preserve">34–36</w:t>
                  </w:r>
                </w:p>
              </w:tc>
              <w:tc>
                <w:tcPr/>
                <w:p>
                  <w:pPr>
                    <w:pStyle w:val="Compact"/>
                    <w:jc w:val="left"/>
                    <w:jc w:val="center"/>
                  </w:pPr>
                  <w:r>
                    <w:t xml:space="preserve">°C</w:t>
                  </w:r>
                </w:p>
              </w:tc>
              <w:tc>
                <w:tcPr/>
                <w:p>
                  <w:pPr>
                    <w:pStyle w:val="Compact"/>
                    <w:jc w:val="left"/>
                    <w:jc w:val="center"/>
                  </w:pPr>
                  <w:r>
                    <w:t xml:space="preserve">34–36</w:t>
                  </w:r>
                </w:p>
              </w:tc>
              <w:tc>
                <w:tcPr/>
                <w:p>
                  <w:pPr>
                    <w:pStyle w:val="Compact"/>
                    <w:jc w:val="left"/>
                    <w:jc w:val="center"/>
                  </w:pPr>
                  <w:r>
                    <w:t xml:space="preserve">34–36</w:t>
                  </w:r>
                </w:p>
              </w:tc>
            </w:tr>
            <w:tr>
              <w:tc>
                <w:tcPr/>
                <w:p>
                  <w:pPr>
                    <w:pStyle w:val="Compact"/>
                    <w:jc w:val="left"/>
                    <w:jc w:val="center"/>
                  </w:pPr>
                  <w:r>
                    <w:t xml:space="preserve">Aggregates (HMW)</w:t>
                  </w:r>
                </w:p>
              </w:tc>
              <w:tc>
                <w:tcPr/>
                <w:p>
                  <w:pPr>
                    <w:pStyle w:val="Compact"/>
                    <w:jc w:val="left"/>
                    <w:jc w:val="center"/>
                  </w:pPr>
                  <w:r>
                    <w:t xml:space="preserve">Culture duration</w:t>
                  </w:r>
                </w:p>
              </w:tc>
              <w:tc>
                <w:tcPr/>
                <w:p>
                  <w:pPr>
                    <w:pStyle w:val="Compact"/>
                    <w:jc w:val="left"/>
                    <w:jc w:val="center"/>
                  </w:pPr>
                  <w:r>
                    <w:t xml:space="preserve">15–19</w:t>
                  </w:r>
                </w:p>
              </w:tc>
              <w:tc>
                <w:tcPr/>
                <w:p>
                  <w:pPr>
                    <w:pStyle w:val="Compact"/>
                    <w:jc w:val="left"/>
                    <w:jc w:val="center"/>
                  </w:pPr>
                  <w:r>
                    <w:t xml:space="preserve">days</w:t>
                  </w:r>
                </w:p>
              </w:tc>
              <w:tc>
                <w:tcPr/>
                <w:p>
                  <w:pPr>
                    <w:pStyle w:val="Compact"/>
                    <w:jc w:val="left"/>
                    <w:jc w:val="center"/>
                  </w:pPr>
                  <w:r>
                    <w:t xml:space="preserve">15–19</w:t>
                  </w:r>
                </w:p>
              </w:tc>
              <w:tc>
                <w:tcPr/>
                <w:p>
                  <w:pPr>
                    <w:pStyle w:val="Compact"/>
                    <w:jc w:val="left"/>
                    <w:jc w:val="center"/>
                  </w:pPr>
                  <w:r>
                    <w:t xml:space="preserve">15–19</w:t>
                  </w:r>
                </w:p>
              </w:tc>
            </w:tr>
            <w:tr>
              <w:tc>
                <w:tcPr/>
                <w:p>
                  <w:pPr>
                    <w:pStyle w:val="Compact"/>
                    <w:jc w:val="left"/>
                    <w:jc w:val="center"/>
                  </w:pPr>
                  <w:r>
                    <w:t xml:space="preserve">Aggregates (HMW)</w:t>
                  </w:r>
                </w:p>
              </w:tc>
              <w:tc>
                <w:tcPr/>
                <w:p>
                  <w:pPr>
                    <w:pStyle w:val="Compact"/>
                    <w:jc w:val="left"/>
                    <w:jc w:val="center"/>
                  </w:pPr>
                  <w:r>
                    <w:t xml:space="preserve">Dissolved CO2 (pCO2)</w:t>
                  </w:r>
                </w:p>
              </w:tc>
              <w:tc>
                <w:tcPr/>
                <w:p>
                  <w:pPr>
                    <w:pStyle w:val="Compact"/>
                    <w:jc w:val="left"/>
                    <w:jc w:val="center"/>
                  </w:pPr>
                  <w:r>
                    <w:t xml:space="preserve">40–160</w:t>
                  </w:r>
                </w:p>
              </w:tc>
              <w:tc>
                <w:tcPr/>
                <w:p>
                  <w:pPr>
                    <w:pStyle w:val="Compact"/>
                    <w:jc w:val="left"/>
                    <w:jc w:val="center"/>
                  </w:pPr>
                  <w:r>
                    <w:t xml:space="preserve">mmHg</w:t>
                  </w:r>
                </w:p>
              </w:tc>
              <w:tc>
                <w:tcPr/>
                <w:p>
                  <w:pPr>
                    <w:pStyle w:val="Compact"/>
                    <w:jc w:val="left"/>
                    <w:jc w:val="center"/>
                  </w:pPr>
                  <w:r>
                    <w:t xml:space="preserve">40–160</w:t>
                  </w:r>
                </w:p>
              </w:tc>
              <w:tc>
                <w:tcPr/>
                <w:p>
                  <w:pPr>
                    <w:pStyle w:val="Compact"/>
                    <w:jc w:val="left"/>
                    <w:jc w:val="center"/>
                  </w:pPr>
                  <w:r>
                    <w:t xml:space="preserve">40–160</w:t>
                  </w:r>
                </w:p>
              </w:tc>
            </w:tr>
          </w:tbl>
          <w:bookmarkEnd w:id="61"/>
          <w:p/>
        </w:tc>
      </w:tr>
    </w:tbl>
    <w:p>
      <w:pPr>
        <w:pStyle w:val="BodyText"/>
      </w:pPr>
      <w:r>
        <w:t xml:space="preserve">Every proven acceptable range in</w:t>
      </w:r>
      <w:r>
        <w:t xml:space="preserve"> </w:t>
      </w:r>
      <w:hyperlink w:anchor="tbl-par">
        <w:r>
          <w:rPr>
            <w:rStyle w:val="Hyperlink"/>
          </w:rPr>
          <w:t xml:space="preserve">Table 13</w:t>
        </w:r>
      </w:hyperlink>
      <w:r>
        <w:t xml:space="preserve"> </w:t>
      </w:r>
      <w:r>
        <w:t xml:space="preserve">is the whole characterization range of its parameter, under both analyses. No univariate range binds anywhere in the table, and no attribute is brought to its limit by moving one parameter across its full studied range while the others are held at set-point or varied within their operating ranges. Galactosylation against culture duration is the most instructive row, because culture duration carries the largest effect on that attribute and still does not exhaust the margin on its own.</w:t>
      </w:r>
    </w:p>
    <w:p>
      <w:pPr>
        <w:pStyle w:val="BodyText"/>
      </w:pPr>
      <w:r>
        <w:t xml:space="preserve">This is the point at which the univariate and multivariate analyses must be read together.</w:t>
      </w:r>
      <w:r>
        <w:t xml:space="preserve"> </w:t>
      </w:r>
      <w:hyperlink w:anchor="tbl-par">
        <w:r>
          <w:rPr>
            <w:rStyle w:val="Hyperlink"/>
          </w:rPr>
          <w:t xml:space="preserve">Table 13</w:t>
        </w:r>
      </w:hyperlink>
      <w:r>
        <w:t xml:space="preserve"> </w:t>
      </w:r>
      <w:r>
        <w:t xml:space="preserve">does not see the excluded vertex of §6, and it cannot, because both of its analyses hold the other parameters at or near their set-points while one parameter moves. The vertex is reached only when four parameters move to their edges at the same time. The binding constraint on the operating region is therefore the multivariate corner and not any proven acceptable range, and a control strategy built from</w:t>
      </w:r>
      <w:r>
        <w:t xml:space="preserve"> </w:t>
      </w:r>
      <w:hyperlink w:anchor="tbl-par">
        <w:r>
          <w:rPr>
            <w:rStyle w:val="Hyperlink"/>
          </w:rPr>
          <w:t xml:space="preserve">Table 13</w:t>
        </w:r>
      </w:hyperlink>
      <w:r>
        <w:t xml:space="preserve"> </w:t>
      </w:r>
      <w:r>
        <w:t xml:space="preserve">alone would not protect against it. This is the general reason the design space, and not the collection of proven acceptable ranges, is the object that governs operation.</w:t>
      </w:r>
    </w:p>
    <w:p>
      <w:pPr>
        <w:pStyle w:val="BodyText"/>
      </w:pPr>
      <w:r>
        <w:t xml:space="preserve">A representative plot is given for each governed attribute against the parameter with its largest response-surface main effect. The acceptable region is shaded, the acceptance limits are drawn, and the set-point and normal operating range are marked on both panels.</w:t>
      </w:r>
    </w:p>
    <w:tbl>
      <w:tblPr>
        <w:tblStyle w:val="Table"/>
        <w:tblW w:type="pct" w:w="5000"/>
        <w:tblLayout w:type="fixed"/>
        <w:tblLook w:firstRow="0" w:lastRow="0" w:firstColumn="0" w:lastColumn="0" w:noHBand="0" w:noVBand="0" w:val="0000"/>
      </w:tblPr>
      <w:tblGrid>
        <w:gridCol w:w="7920"/>
      </w:tblGrid>
      <w:tr>
        <w:tc>
          <w:tcPr/>
          <w:bookmarkStart w:id="65" w:name="fig-par-gal"/>
          <w:p>
            <w:pPr>
              <w:pStyle w:val="Compact"/>
              <w:jc w:val="center"/>
            </w:pPr>
            <w:r>
              <w:drawing>
                <wp:inline>
                  <wp:extent cx="5334000" cy="1845992"/>
                  <wp:effectExtent b="0" l="0" r="0" t="0"/>
                  <wp:docPr descr="" title="" id="63" name="Picture"/>
                  <a:graphic>
                    <a:graphicData uri="http://schemas.openxmlformats.org/drawingml/2006/picture">
                      <pic:pic>
                        <pic:nvPicPr>
                          <pic:cNvPr descr="PCR-003_bioreactor_files/figure-docx/fig-par-gal-output-1.png" id="64" name="Picture"/>
                          <pic:cNvPicPr>
                            <a:picLocks noChangeArrowheads="1" noChangeAspect="1"/>
                          </pic:cNvPicPr>
                        </pic:nvPicPr>
                        <pic:blipFill>
                          <a:blip r:embed="rId62"/>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Proven acceptable range of culture duration for galactosylation, at set-point (left) and with the other parameters propagated across their normal operating ranges (right).</w:t>
            </w:r>
          </w:p>
          <w:bookmarkEnd w:id="65"/>
        </w:tc>
      </w:tr>
    </w:tbl>
    <w:tbl>
      <w:tblPr>
        <w:tblStyle w:val="Table"/>
        <w:tblW w:type="pct" w:w="5000"/>
        <w:tblLayout w:type="fixed"/>
        <w:tblLook w:firstRow="0" w:lastRow="0" w:firstColumn="0" w:lastColumn="0" w:noHBand="0" w:noVBand="0" w:val="0000"/>
      </w:tblPr>
      <w:tblGrid>
        <w:gridCol w:w="7920"/>
      </w:tblGrid>
      <w:tr>
        <w:tc>
          <w:tcPr/>
          <w:bookmarkStart w:id="69" w:name="fig-par-hm"/>
          <w:p>
            <w:pPr>
              <w:pStyle w:val="Compact"/>
              <w:jc w:val="center"/>
            </w:pPr>
            <w:r>
              <w:drawing>
                <wp:inline>
                  <wp:extent cx="5334000" cy="1845992"/>
                  <wp:effectExtent b="0" l="0" r="0" t="0"/>
                  <wp:docPr descr="" title="" id="67" name="Picture"/>
                  <a:graphic>
                    <a:graphicData uri="http://schemas.openxmlformats.org/drawingml/2006/picture">
                      <pic:pic>
                        <pic:nvPicPr>
                          <pic:cNvPr descr="PCR-003_bioreactor_files/figure-docx/fig-par-hm-output-1.png" id="68" name="Picture"/>
                          <pic:cNvPicPr>
                            <a:picLocks noChangeArrowheads="1" noChangeAspect="1"/>
                          </pic:cNvPicPr>
                        </pic:nvPicPr>
                        <pic:blipFill>
                          <a:blip r:embed="rId66"/>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Proven acceptable range of culture pH for high mannose, at set-point (left) and with the other parameters propagated across their normal operating ranges (right).</w:t>
            </w:r>
          </w:p>
          <w:bookmarkEnd w:id="69"/>
        </w:tc>
      </w:tr>
    </w:tbl>
    <w:tbl>
      <w:tblPr>
        <w:tblStyle w:val="Table"/>
        <w:tblW w:type="pct" w:w="5000"/>
        <w:tblLayout w:type="fixed"/>
        <w:tblLook w:firstRow="0" w:lastRow="0" w:firstColumn="0" w:lastColumn="0" w:noHBand="0" w:noVBand="0" w:val="0000"/>
      </w:tblPr>
      <w:tblGrid>
        <w:gridCol w:w="7920"/>
      </w:tblGrid>
      <w:tr>
        <w:tc>
          <w:tcPr/>
          <w:bookmarkStart w:id="73" w:name="fig-par-afu"/>
          <w:p>
            <w:pPr>
              <w:pStyle w:val="Compact"/>
              <w:jc w:val="center"/>
            </w:pPr>
            <w:r>
              <w:drawing>
                <wp:inline>
                  <wp:extent cx="5334000" cy="1845992"/>
                  <wp:effectExtent b="0" l="0" r="0" t="0"/>
                  <wp:docPr descr="" title="" id="71" name="Picture"/>
                  <a:graphic>
                    <a:graphicData uri="http://schemas.openxmlformats.org/drawingml/2006/picture">
                      <pic:pic>
                        <pic:nvPicPr>
                          <pic:cNvPr descr="PCR-003_bioreactor_files/figure-docx/fig-par-afu-output-1.png" id="72" name="Picture"/>
                          <pic:cNvPicPr>
                            <a:picLocks noChangeArrowheads="1" noChangeAspect="1"/>
                          </pic:cNvPicPr>
                        </pic:nvPicPr>
                        <pic:blipFill>
                          <a:blip r:embed="rId70"/>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Proven acceptable range of culture duration for afucosylation, at set-point (left) and with the other parameters propagated across their normal operating ranges (right).</w:t>
            </w:r>
          </w:p>
          <w:bookmarkEnd w:id="73"/>
        </w:tc>
      </w:tr>
    </w:tbl>
    <w:tbl>
      <w:tblPr>
        <w:tblStyle w:val="Table"/>
        <w:tblW w:type="pct" w:w="5000"/>
        <w:tblLayout w:type="fixed"/>
        <w:tblLook w:firstRow="0" w:lastRow="0" w:firstColumn="0" w:lastColumn="0" w:noHBand="0" w:noVBand="0" w:val="0000"/>
      </w:tblPr>
      <w:tblGrid>
        <w:gridCol w:w="7920"/>
      </w:tblGrid>
      <w:tr>
        <w:tc>
          <w:tcPr/>
          <w:bookmarkStart w:id="77" w:name="fig-par-agg"/>
          <w:p>
            <w:pPr>
              <w:pStyle w:val="Compact"/>
              <w:jc w:val="center"/>
            </w:pPr>
            <w:r>
              <w:drawing>
                <wp:inline>
                  <wp:extent cx="5334000" cy="1845992"/>
                  <wp:effectExtent b="0" l="0" r="0" t="0"/>
                  <wp:docPr descr="" title="" id="75" name="Picture"/>
                  <a:graphic>
                    <a:graphicData uri="http://schemas.openxmlformats.org/drawingml/2006/picture">
                      <pic:pic>
                        <pic:nvPicPr>
                          <pic:cNvPr descr="PCR-003_bioreactor_files/figure-docx/fig-par-agg-output-1.png" id="76" name="Picture"/>
                          <pic:cNvPicPr>
                            <a:picLocks noChangeArrowheads="1" noChangeAspect="1"/>
                          </pic:cNvPicPr>
                        </pic:nvPicPr>
                        <pic:blipFill>
                          <a:blip r:embed="rId74"/>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Proven acceptable range of culture pH for aggregate, at set-point (left) and with the other parameters propagated across their normal operating ranges (right).</w:t>
            </w:r>
          </w:p>
          <w:bookmarkEnd w:id="77"/>
        </w:tc>
      </w:tr>
    </w:tbl>
    <w:tbl>
      <w:tblPr>
        <w:tblStyle w:val="Table"/>
        <w:tblW w:type="pct" w:w="5000"/>
        <w:tblLayout w:type="fixed"/>
        <w:tblLook w:firstRow="0" w:lastRow="0" w:firstColumn="0" w:lastColumn="0" w:noHBand="0" w:noVBand="0" w:val="0000"/>
      </w:tblPr>
      <w:tblGrid>
        <w:gridCol w:w="7920"/>
      </w:tblGrid>
      <w:tr>
        <w:tc>
          <w:tcPr/>
          <w:bookmarkStart w:id="81" w:name="fig-par-acid"/>
          <w:p>
            <w:pPr>
              <w:pStyle w:val="Compact"/>
              <w:jc w:val="center"/>
            </w:pPr>
            <w:r>
              <w:drawing>
                <wp:inline>
                  <wp:extent cx="5334000" cy="1845992"/>
                  <wp:effectExtent b="0" l="0" r="0" t="0"/>
                  <wp:docPr descr="" title="" id="79" name="Picture"/>
                  <a:graphic>
                    <a:graphicData uri="http://schemas.openxmlformats.org/drawingml/2006/picture">
                      <pic:pic>
                        <pic:nvPicPr>
                          <pic:cNvPr descr="PCR-003_bioreactor_files/figure-docx/fig-par-acid-output-1.png" id="80" name="Picture"/>
                          <pic:cNvPicPr>
                            <a:picLocks noChangeArrowheads="1" noChangeAspect="1"/>
                          </pic:cNvPicPr>
                        </pic:nvPicPr>
                        <pic:blipFill>
                          <a:blip r:embed="rId78"/>
                          <a:stretch>
                            <a:fillRect/>
                          </a:stretch>
                        </pic:blipFill>
                        <pic:spPr bwMode="auto">
                          <a:xfrm>
                            <a:off x="0" y="0"/>
                            <a:ext cx="5334000" cy="184599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Proven acceptable range of dissolved carbon dioxide for acidic charge variants, at set-point (left) and with the other parameters propagated across their normal operating ranges (right).</w:t>
            </w:r>
          </w:p>
          <w:bookmarkEnd w:id="81"/>
        </w:tc>
      </w:tr>
    </w:tbl>
    <w:p>
      <w:pPr>
        <w:pStyle w:val="BodyText"/>
      </w:pPr>
      <w:r>
        <w:t xml:space="preserve">The plots make the margin visible. In the high mannose panel the response moves towards its lower limit as culture pH falls without reaching it, and the width of the band between the two panels is a measure of how much the other parameters contribute when they move within their operating ranges. That band is narrow for every attribute in this study, which is the same robustness result the capability analysis states numerically in §8.</w:t>
      </w:r>
    </w:p>
    <w:p>
      <w:pPr>
        <w:pStyle w:val="BodyText"/>
      </w:pPr>
      <w:r>
        <w:t xml:space="preserve">Two bounds apply to this section. The ranges in</w:t>
      </w:r>
      <w:r>
        <w:t xml:space="preserve"> </w:t>
      </w:r>
      <w:hyperlink w:anchor="tbl-par">
        <w:r>
          <w:rPr>
            <w:rStyle w:val="Hyperlink"/>
          </w:rPr>
          <w:t xml:space="preserve">Table 13</w:t>
        </w:r>
      </w:hyperlink>
      <w:r>
        <w:t xml:space="preserve"> </w:t>
      </w:r>
      <w:r>
        <w:t xml:space="preserve">are proven only over the characterization ranges studied, and only under the fitted response-surface models. They are also proven for the attributes formed at this step. Host cell protein and residual DNA are not governed here, and the parameter ranges that assure their drug-substance levels are established at Protein A chromatography (PCR-005), cation exchange (PCR-007) and anion exchange (PCR-008).</w:t>
      </w:r>
    </w:p>
    <w:bookmarkEnd w:id="82"/>
    <w:bookmarkStart w:id="85" w:name="process-capability-and-robustness"/>
    <w:p>
      <w:pPr>
        <w:pStyle w:val="Heading1"/>
      </w:pPr>
      <w:r>
        <w:t xml:space="preserve">8. Process capability and robustness</w:t>
      </w:r>
    </w:p>
    <w:p>
      <w:pPr>
        <w:pStyle w:val="FirstParagraph"/>
      </w:pPr>
      <w:r>
        <w:t xml:space="preserve">Every quality attribute formed at this step meets its acceptance criterion at commercial scale with margin. Capability was estimated by Monte-Carlo simulation of 2,000 batches with each parameter drawn across its normal operating range and each response computed from the fitted response-surface model, and the results are given below (</w:t>
      </w:r>
      <w:hyperlink w:anchor="tbl-cap">
        <w:r>
          <w:rPr>
            <w:rStyle w:val="Hyperlink"/>
          </w:rPr>
          <w:t xml:space="preserve">Table 14</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3" w:name="tbl-cap"/>
          <w:p>
            <w:pPr>
              <w:jc w:val="center"/>
            </w:pPr>
            <w:pPr>
              <w:jc w:val="left"/>
              <w:spacing w:before="200"/>
              <w:pStyle w:val="ImageCaption"/>
            </w:pPr>
            <w:r>
              <w:t xml:space="preserve">Table 14: Commercial-scale capability of the attributes formed at the production bioreactor, from Monte-Carlo simulation of normal-operating-range batches.</w:t>
            </w:r>
          </w:p>
          <w:tbl>
            <w:tblPr>
              <w:tblStyle w:val="Table"/>
              <w:tblW w:type="pct" w:w="5000"/>
              <w:tblLayout w:type="fixed"/>
              <w:tblLook w:firstRow="1" w:lastRow="0" w:firstColumn="0" w:lastColumn="0" w:noHBand="0" w:noVBand="0" w:val="0020"/>
            </w:tblPr>
            <w:tblGrid>
              <w:gridCol w:w="3201"/>
              <w:gridCol w:w="758"/>
              <w:gridCol w:w="926"/>
              <w:gridCol w:w="1179"/>
              <w:gridCol w:w="1263"/>
              <w:gridCol w:w="589"/>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Afucosylation</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2–13</w:t>
                  </w:r>
                </w:p>
              </w:tc>
              <w:tc>
                <w:tcPr/>
                <w:p>
                  <w:pPr>
                    <w:pStyle w:val="Compact"/>
                    <w:jc w:val="left"/>
                    <w:jc w:val="center"/>
                  </w:pPr>
                  <w:r>
                    <w:t xml:space="preserve">7.98 ± 0.58</w:t>
                  </w:r>
                </w:p>
              </w:tc>
              <w:tc>
                <w:tcPr/>
                <w:p>
                  <w:pPr>
                    <w:pStyle w:val="Compact"/>
                    <w:jc w:val="right"/>
                    <w:jc w:val="center"/>
                  </w:pPr>
                  <w:r>
                    <w:t xml:space="preserve">2.89</w:t>
                  </w:r>
                </w:p>
              </w:tc>
            </w:tr>
            <w:tr>
              <w:tc>
                <w:tcPr/>
                <w:p>
                  <w:pPr>
                    <w:pStyle w:val="Compact"/>
                    <w:jc w:val="left"/>
                    <w:jc w:val="center"/>
                  </w:pPr>
                  <w:r>
                    <w:t xml:space="preserve">Galactosylation (total %Gal)</w:t>
                  </w:r>
                </w:p>
              </w:tc>
              <w:tc>
                <w:tcPr/>
                <w:p>
                  <w:pPr>
                    <w:pStyle w:val="Compact"/>
                    <w:jc w:val="left"/>
                    <w:jc w:val="center"/>
                  </w:pPr>
                  <w:r>
                    <w:t xml:space="preserve">H</w:t>
                  </w:r>
                </w:p>
              </w:tc>
              <w:tc>
                <w:tcPr/>
                <w:p>
                  <w:pPr>
                    <w:pStyle w:val="Compact"/>
                    <w:jc w:val="left"/>
                    <w:jc w:val="center"/>
                  </w:pPr>
                  <w:r>
                    <w:t xml:space="preserve">two_sided</w:t>
                  </w:r>
                </w:p>
              </w:tc>
              <w:tc>
                <w:tcPr/>
                <w:p>
                  <w:pPr>
                    <w:pStyle w:val="Compact"/>
                    <w:jc w:val="left"/>
                    <w:jc w:val="center"/>
                  </w:pPr>
                  <w:r>
                    <w:t xml:space="preserve">10–40</w:t>
                  </w:r>
                </w:p>
              </w:tc>
              <w:tc>
                <w:tcPr/>
                <w:p>
                  <w:pPr>
                    <w:pStyle w:val="Compact"/>
                    <w:jc w:val="left"/>
                    <w:jc w:val="center"/>
                  </w:pPr>
                  <w:r>
                    <w:t xml:space="preserve">26 ± 1.6</w:t>
                  </w:r>
                </w:p>
              </w:tc>
              <w:tc>
                <w:tcPr/>
                <w:p>
                  <w:pPr>
                    <w:pStyle w:val="Compact"/>
                    <w:jc w:val="right"/>
                    <w:jc w:val="center"/>
                  </w:pPr>
                  <w:r>
                    <w:t xml:space="preserve">2.86</w:t>
                  </w:r>
                </w:p>
              </w:tc>
            </w:tr>
            <w:tr>
              <w:tc>
                <w:tcPr/>
                <w:p>
                  <w:pPr>
                    <w:pStyle w:val="Compact"/>
                    <w:jc w:val="left"/>
                    <w:jc w:val="center"/>
                  </w:pPr>
                  <w:r>
                    <w:t xml:space="preserve">High Mannose</w:t>
                  </w:r>
                </w:p>
              </w:tc>
              <w:tc>
                <w:tcPr/>
                <w:p>
                  <w:pPr>
                    <w:pStyle w:val="Compact"/>
                    <w:jc w:val="left"/>
                    <w:jc w:val="center"/>
                  </w:pPr>
                  <w:r>
                    <w:t xml:space="preserve">VH</w:t>
                  </w:r>
                </w:p>
              </w:tc>
              <w:tc>
                <w:tcPr/>
                <w:p>
                  <w:pPr>
                    <w:pStyle w:val="Compact"/>
                    <w:jc w:val="left"/>
                    <w:jc w:val="center"/>
                  </w:pPr>
                  <w:r>
                    <w:t xml:space="preserve">two_sided</w:t>
                  </w:r>
                </w:p>
              </w:tc>
              <w:tc>
                <w:tcPr/>
                <w:p>
                  <w:pPr>
                    <w:pStyle w:val="Compact"/>
                    <w:jc w:val="left"/>
                    <w:jc w:val="center"/>
                  </w:pPr>
                  <w:r>
                    <w:t xml:space="preserve">3–10</w:t>
                  </w:r>
                </w:p>
              </w:tc>
              <w:tc>
                <w:tcPr/>
                <w:p>
                  <w:pPr>
                    <w:pStyle w:val="Compact"/>
                    <w:jc w:val="left"/>
                    <w:jc w:val="center"/>
                  </w:pPr>
                  <w:r>
                    <w:t xml:space="preserve">5.99 ± 0.51</w:t>
                  </w:r>
                </w:p>
              </w:tc>
              <w:tc>
                <w:tcPr/>
                <w:p>
                  <w:pPr>
                    <w:pStyle w:val="Compact"/>
                    <w:jc w:val="right"/>
                    <w:jc w:val="center"/>
                  </w:pPr>
                  <w:r>
                    <w:t xml:space="preserve">1.94</w:t>
                  </w:r>
                </w:p>
              </w:tc>
            </w:tr>
            <w:tr>
              <w:tc>
                <w:tcPr/>
                <w:p>
                  <w:pPr>
                    <w:pStyle w:val="Compact"/>
                    <w:jc w:val="left"/>
                    <w:jc w:val="center"/>
                  </w:pPr>
                  <w:r>
                    <w:t xml:space="preserve">Aggregates (HMW)</w:t>
                  </w:r>
                </w:p>
              </w:tc>
              <w:tc>
                <w:tcPr/>
                <w:p>
                  <w:pPr>
                    <w:pStyle w:val="Compact"/>
                    <w:jc w:val="left"/>
                    <w:jc w:val="center"/>
                  </w:pPr>
                  <w:r>
                    <w:t xml:space="preserve">H</w:t>
                  </w:r>
                </w:p>
              </w:tc>
              <w:tc>
                <w:tcPr/>
                <w:p>
                  <w:pPr>
                    <w:pStyle w:val="Compact"/>
                    <w:jc w:val="left"/>
                    <w:jc w:val="center"/>
                  </w:pPr>
                  <w:r>
                    <w:t xml:space="preserve">upper</w:t>
                  </w:r>
                </w:p>
              </w:tc>
              <w:tc>
                <w:tcPr/>
                <w:p>
                  <w:pPr>
                    <w:pStyle w:val="Compact"/>
                    <w:jc w:val="left"/>
                    <w:jc w:val="center"/>
                  </w:pPr>
                  <w:r>
                    <w:t xml:space="preserve">0–5</w:t>
                  </w:r>
                </w:p>
              </w:tc>
              <w:tc>
                <w:tcPr/>
                <w:p>
                  <w:pPr>
                    <w:pStyle w:val="Compact"/>
                    <w:jc w:val="left"/>
                    <w:jc w:val="center"/>
                  </w:pPr>
                  <w:r>
                    <w:t xml:space="preserve">0.753 ± 0.088</w:t>
                  </w:r>
                </w:p>
              </w:tc>
              <w:tc>
                <w:tcPr/>
                <w:p>
                  <w:pPr>
                    <w:pStyle w:val="Compact"/>
                    <w:jc w:val="right"/>
                    <w:jc w:val="center"/>
                  </w:pPr>
                  <w:r>
                    <w:t xml:space="preserve">16.1</w:t>
                  </w:r>
                </w:p>
              </w:tc>
            </w:tr>
            <w:tr>
              <w:tc>
                <w:tcPr/>
                <w:p>
                  <w:pPr>
                    <w:pStyle w:val="Compact"/>
                    <w:jc w:val="left"/>
                    <w:jc w:val="center"/>
                  </w:pPr>
                  <w:r>
                    <w:t xml:space="preserve">Acidic charge variants (deamidation)</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18–40</w:t>
                  </w:r>
                </w:p>
              </w:tc>
              <w:tc>
                <w:tcPr/>
                <w:p>
                  <w:pPr>
                    <w:pStyle w:val="Compact"/>
                    <w:jc w:val="left"/>
                    <w:jc w:val="center"/>
                  </w:pPr>
                  <w:r>
                    <w:t xml:space="preserve">22.3 ± 1.4</w:t>
                  </w:r>
                </w:p>
              </w:tc>
              <w:tc>
                <w:tcPr/>
                <w:p>
                  <w:pPr>
                    <w:pStyle w:val="Compact"/>
                    <w:jc w:val="right"/>
                    <w:jc w:val="center"/>
                  </w:pPr>
                  <w:r>
                    <w:t xml:space="preserve">4.26</w:t>
                  </w:r>
                </w:p>
              </w:tc>
            </w:tr>
          </w:tbl>
          <w:bookmarkEnd w:id="83"/>
          <w:p/>
        </w:tc>
      </w:tr>
    </w:tbl>
    <w:p>
      <w:pPr>
        <w:pStyle w:val="BodyText"/>
      </w:pPr>
      <w:r>
        <w:t xml:space="preserve">The tightest capability at this step is 1.94 for High Mannose, whose simulated mean of 5.99 % sits 2.99 percentage points above its lower limit, and the lower limit is the binding side because the attribute is centred nearer to it than to its upper limit. That is the attribute of very high criticality at this step, which is why culture pH and culture temperature receive the closest control in §10. Galactosylation is next, at 2.86, with a mean of 26.0 % and 14.0 percentage points to its upper limit. The widest is 16.1 for Aggregates (HMW), which sits far below its upper limit under all operating conditions. Even the tightest of these capabilities clears its binding limit by the margin reported above.</w:t>
      </w:r>
    </w:p>
    <w:p>
      <w:pPr>
        <w:pStyle w:val="BodyText"/>
      </w:pPr>
      <w:r>
        <w:t xml:space="preserve">The result is a robustness statement, and it is bounded in three ways. It holds for parameters drawn across their normal operating ranges and not across the wider characterization ranges. It is computed from the fitted response-surface models, so it inherits their uncertainty, and the model for acidic charge variants is the least well predicted of the five. It is computed in the qualified scale-down model, so it describes the capability the commercial process should show and not a capability measured at commercial scale. Confirmation at scale comes from the 5 process performance qualification batches.</w:t>
      </w:r>
    </w:p>
    <w:p>
      <w:pPr>
        <w:pStyle w:val="BodyText"/>
      </w:pPr>
      <w:r>
        <w:t xml:space="preserve">The two process impurities attributed to this step are reported separately (</w:t>
      </w:r>
      <w:hyperlink w:anchor="tbl-capimp">
        <w:r>
          <w:rPr>
            <w:rStyle w:val="Hyperlink"/>
          </w:rPr>
          <w:t xml:space="preserve">Table 15</w:t>
        </w:r>
      </w:hyperlink>
      <w:r>
        <w:t xml:space="preserve">), because their drug-substance capability is not this step’s to claim.</w:t>
      </w:r>
    </w:p>
    <w:tbl>
      <w:tblPr>
        <w:tblStyle w:val="Table"/>
        <w:tblW w:type="pct" w:w="5000"/>
        <w:tblLayout w:type="fixed"/>
        <w:tblLook w:firstRow="0" w:lastRow="0" w:firstColumn="0" w:lastColumn="0" w:noHBand="0" w:noVBand="0" w:val="0000"/>
      </w:tblPr>
      <w:tblGrid>
        <w:gridCol w:w="7920"/>
      </w:tblGrid>
      <w:tr>
        <w:tc>
          <w:tcPr/>
          <w:bookmarkStart w:id="84" w:name="tbl-capimp"/>
          <w:p>
            <w:pPr>
              <w:jc w:val="center"/>
            </w:pPr>
            <w:pPr>
              <w:jc w:val="left"/>
              <w:spacing w:before="200"/>
              <w:pStyle w:val="ImageCaption"/>
            </w:pPr>
            <w:r>
              <w:t xml:space="preserve">Table 15: Drug-substance capability for the two process impurities generated at the production bioreactor. The clearance credit belongs to the purification steps.</w:t>
            </w:r>
          </w:p>
          <w:tbl>
            <w:tblPr>
              <w:tblStyle w:val="Table"/>
              <w:tblW w:type="pct" w:w="5000"/>
              <w:tblLayout w:type="fixed"/>
              <w:tblLook w:firstRow="1" w:lastRow="0" w:firstColumn="0" w:lastColumn="0" w:noHBand="0" w:noVBand="0" w:val="0020"/>
            </w:tblPr>
            <w:tblGrid>
              <w:gridCol w:w="2605"/>
              <w:gridCol w:w="937"/>
              <w:gridCol w:w="833"/>
              <w:gridCol w:w="1458"/>
              <w:gridCol w:w="1354"/>
              <w:gridCol w:w="729"/>
            </w:tblGrid>
            <w:tr>
              <w:trPr>
                <w:tblHeader w:val="on"/>
              </w:trPr>
              <w:tc>
                <w:tcPr/>
                <w:p>
                  <w:pPr>
                    <w:pStyle w:val="Compact"/>
                    <w:jc w:val="left"/>
                    <w:jc w:val="center"/>
                  </w:pPr>
                  <w:r>
                    <w:t xml:space="preserve">CQA</w:t>
                  </w:r>
                </w:p>
              </w:tc>
              <w:tc>
                <w:tcPr/>
                <w:p>
                  <w:pPr>
                    <w:pStyle w:val="Compact"/>
                    <w:jc w:val="left"/>
                    <w:jc w:val="center"/>
                  </w:pPr>
                  <w:r>
                    <w:t xml:space="preserve">Crit.</w:t>
                  </w:r>
                </w:p>
              </w:tc>
              <w:tc>
                <w:tcPr/>
                <w:p>
                  <w:pPr>
                    <w:pStyle w:val="Compact"/>
                    <w:jc w:val="left"/>
                    <w:jc w:val="center"/>
                  </w:pPr>
                  <w:r>
                    <w:t xml:space="preserve">Spec</w:t>
                  </w:r>
                </w:p>
              </w:tc>
              <w:tc>
                <w:tcPr/>
                <w:p>
                  <w:pPr>
                    <w:pStyle w:val="Compact"/>
                    <w:jc w:val="left"/>
                    <w:jc w:val="center"/>
                  </w:pPr>
                  <w:r>
                    <w:t xml:space="preserve">Acceptance</w:t>
                  </w:r>
                </w:p>
              </w:tc>
              <w:tc>
                <w:tcPr/>
                <w:p>
                  <w:pPr>
                    <w:pStyle w:val="Compact"/>
                    <w:jc w:val="left"/>
                    <w:jc w:val="center"/>
                  </w:pPr>
                  <w:r>
                    <w:t xml:space="preserve">Mean ± SD</w:t>
                  </w:r>
                </w:p>
              </w:tc>
              <w:tc>
                <w:tcPr/>
                <w:p>
                  <w:pPr>
                    <w:pStyle w:val="Compact"/>
                    <w:jc w:val="right"/>
                    <w:jc w:val="center"/>
                  </w:pPr>
                  <w:r>
                    <w:t xml:space="preserve">Cpk</w:t>
                  </w:r>
                </w:p>
              </w:tc>
            </w:tr>
            <w:tr>
              <w:tc>
                <w:tcPr/>
                <w:p>
                  <w:pPr>
                    <w:pStyle w:val="Compact"/>
                    <w:jc w:val="left"/>
                    <w:jc w:val="center"/>
                  </w:pPr>
                  <w:r>
                    <w:t xml:space="preserve">Host Cell Protein (HCP)</w:t>
                  </w:r>
                </w:p>
              </w:tc>
              <w:tc>
                <w:tcPr/>
                <w:p>
                  <w:pPr>
                    <w:pStyle w:val="Compact"/>
                    <w:jc w:val="left"/>
                    <w:jc w:val="center"/>
                  </w:pPr>
                  <w:r>
                    <w:t xml:space="preserve">M-H</w:t>
                  </w:r>
                </w:p>
              </w:tc>
              <w:tc>
                <w:tcPr/>
                <w:p>
                  <w:pPr>
                    <w:pStyle w:val="Compact"/>
                    <w:jc w:val="left"/>
                    <w:jc w:val="center"/>
                  </w:pPr>
                  <w:r>
                    <w:t xml:space="preserve">upper</w:t>
                  </w:r>
                </w:p>
              </w:tc>
              <w:tc>
                <w:tcPr/>
                <w:p>
                  <w:pPr>
                    <w:pStyle w:val="Compact"/>
                    <w:jc w:val="left"/>
                    <w:jc w:val="center"/>
                  </w:pPr>
                  <w:r>
                    <w:t xml:space="preserve">0–100</w:t>
                  </w:r>
                </w:p>
              </w:tc>
              <w:tc>
                <w:tcPr/>
                <w:p>
                  <w:pPr>
                    <w:pStyle w:val="Compact"/>
                    <w:jc w:val="left"/>
                    <w:jc w:val="center"/>
                  </w:pPr>
                  <w:r>
                    <w:t xml:space="preserve">15.2 ± 4.6</w:t>
                  </w:r>
                </w:p>
              </w:tc>
              <w:tc>
                <w:tcPr/>
                <w:p>
                  <w:pPr>
                    <w:pStyle w:val="Compact"/>
                    <w:jc w:val="right"/>
                    <w:jc w:val="center"/>
                  </w:pPr>
                  <w:r>
                    <w:t xml:space="preserve">6.14</w:t>
                  </w:r>
                </w:p>
              </w:tc>
            </w:tr>
            <w:tr>
              <w:tc>
                <w:tcPr/>
                <w:p>
                  <w:pPr>
                    <w:pStyle w:val="Compact"/>
                    <w:jc w:val="left"/>
                    <w:jc w:val="center"/>
                  </w:pPr>
                  <w:r>
                    <w:t xml:space="preserve">Residual DNA</w:t>
                  </w:r>
                </w:p>
              </w:tc>
              <w:tc>
                <w:tcPr/>
                <w:p>
                  <w:pPr>
                    <w:pStyle w:val="Compact"/>
                    <w:jc w:val="left"/>
                    <w:jc w:val="center"/>
                  </w:pPr>
                  <w:r>
                    <w:t xml:space="preserve">VL</w:t>
                  </w:r>
                </w:p>
              </w:tc>
              <w:tc>
                <w:tcPr/>
                <w:p>
                  <w:pPr>
                    <w:pStyle w:val="Compact"/>
                    <w:jc w:val="left"/>
                    <w:jc w:val="center"/>
                  </w:pPr>
                  <w:r>
                    <w:t xml:space="preserve">upper</w:t>
                  </w:r>
                </w:p>
              </w:tc>
              <w:tc>
                <w:tcPr/>
                <w:p>
                  <w:pPr>
                    <w:pStyle w:val="Compact"/>
                    <w:jc w:val="left"/>
                    <w:jc w:val="center"/>
                  </w:pPr>
                  <w:r>
                    <w:t xml:space="preserve">0–0.001</w:t>
                  </w:r>
                </w:p>
              </w:tc>
              <w:tc>
                <w:tcPr/>
                <w:p>
                  <w:pPr>
                    <w:pStyle w:val="Compact"/>
                    <w:jc w:val="left"/>
                    <w:jc w:val="center"/>
                  </w:pPr>
                  <w:r>
                    <w:t xml:space="preserve">0.0001 ± 0</w:t>
                  </w:r>
                </w:p>
              </w:tc>
              <w:tc>
                <w:tcPr/>
                <w:p>
                  <w:pPr>
                    <w:pStyle w:val="Compact"/>
                    <w:jc w:val="right"/>
                    <w:jc w:val="center"/>
                  </w:pPr>
                  <w:r>
                    <w:t xml:space="preserve">10.8</w:t>
                  </w:r>
                </w:p>
              </w:tc>
            </w:tr>
          </w:tbl>
          <w:bookmarkEnd w:id="84"/>
          <w:p/>
        </w:tc>
      </w:tr>
    </w:tbl>
    <w:p>
      <w:pPr>
        <w:pStyle w:val="BodyText"/>
      </w:pPr>
      <w:r>
        <w:t xml:space="preserve">Host cell protein reaches a drug-substance capability of 6.14, and residual DNA is higher still. Neither figure is a property of the bioreactor, since the culture sets the input level and the purification train removes the material, with the principal credit at Protein A chromatography (PCR-005), cation exchange (PCR-007) and anion exchange (PCR-008). The bioreactor’s contribution is to keep the input level consistent, which the classification of §9 and the monitoring of §10 are designed to do.</w:t>
      </w:r>
    </w:p>
    <w:p>
      <w:pPr>
        <w:pStyle w:val="BodyText"/>
      </w:pPr>
      <w:r>
        <w:t xml:space="preserve">The tightest capability anywhere in the drug-substance process is 1.51, and it is not at this step. It belongs to the cumulative viral-clearance attributes consolidated in PCMR-001.</w:t>
      </w:r>
    </w:p>
    <w:bookmarkEnd w:id="85"/>
    <w:bookmarkStart w:id="86" w:name="parameter-classification"/>
    <w:p>
      <w:pPr>
        <w:pStyle w:val="Heading1"/>
      </w:pPr>
      <w:r>
        <w:t xml:space="preserve">9. Parameter classification</w:t>
      </w:r>
    </w:p>
    <w:p>
      <w:pPr>
        <w:pStyle w:val="FirstParagraph"/>
      </w:pPr>
      <w:r>
        <w:t xml:space="preserve">Classification follows SOP-4001 and rests on two things: whether the parameter was shown to affect a critical quality attribute, and how much risk there is of the parameter leaving the design space in routine manufacture. A parameter linked to a critical attribute is critical, and it is called well controlled when the equipment and the control system hold it comfortably inside the region. The classifications are given in the parameter table (</w:t>
      </w:r>
      <w:hyperlink w:anchor="tbl-params">
        <w:r>
          <w:rPr>
            <w:rStyle w:val="Hyperlink"/>
          </w:rPr>
          <w:t xml:space="preserve">Table 5</w:t>
        </w:r>
      </w:hyperlink>
      <w:r>
        <w:t xml:space="preserve">) and the reasons are as follows.</w:t>
      </w:r>
    </w:p>
    <w:p>
      <w:pPr>
        <w:numPr>
          <w:ilvl w:val="0"/>
          <w:numId w:val="1002"/>
        </w:numPr>
      </w:pPr>
      <w:r>
        <w:t xml:space="preserve">Culture pH is a well-controlled critical process parameter, because it affects all five responses, carries the largest interactions in the study, and is the parameter on which the shape of the region most depends. It is classified as well controlled because the vessel holds pH continuously by carbon dioxide and base addition, and because the normal operating range covers 40.0% of the range studied.</w:t>
      </w:r>
    </w:p>
    <w:p>
      <w:pPr>
        <w:numPr>
          <w:ilvl w:val="0"/>
          <w:numId w:val="1002"/>
        </w:numPr>
      </w:pPr>
      <w:r>
        <w:t xml:space="preserve">Culture temperature is a well-controlled critical process parameter, since it affects galactosylation, high mannose and acidic variants and participates in the excluded corner of §6. Temperature is the most reliably controlled variable in a jacketed bioreactor, and its operating range covers 50.0% of the characterized range.</w:t>
      </w:r>
    </w:p>
    <w:p>
      <w:pPr>
        <w:numPr>
          <w:ilvl w:val="0"/>
          <w:numId w:val="1002"/>
        </w:numPr>
      </w:pPr>
      <w:r>
        <w:t xml:space="preserve">Dissolved carbon dioxide is a well-controlled critical process parameter, because it carries the largest single screening effect in the study, on acidic charge variants, and the second largest main effect on galactosylation. It is the least directly controlled of the five, since it is managed through sparge and overlay gas composition and agitation rather than by a dedicated actuator, which is why its characterized range was set widest and why it is monitored continuously in manufacture.</w:t>
      </w:r>
    </w:p>
    <w:p>
      <w:pPr>
        <w:numPr>
          <w:ilvl w:val="0"/>
          <w:numId w:val="1002"/>
        </w:numPr>
      </w:pPr>
      <w:r>
        <w:t xml:space="preserve">Osmolality is a well-controlled critical process parameter, since it was significant for galactosylation and for acidic variants in screening, with the smallest main effects of the active factors on both, and it was not carried into the response-surface design. Its range is supported by the screening study and by the platform history, and it is held at scale by the feed schedule.</w:t>
      </w:r>
    </w:p>
    <w:p>
      <w:pPr>
        <w:numPr>
          <w:ilvl w:val="0"/>
          <w:numId w:val="1002"/>
        </w:numPr>
      </w:pPr>
      <w:r>
        <w:t xml:space="preserve">Culture duration is a well-controlled critical process parameter, because it carries the largest effect on galactosylation and a large effect on aggregate, and it participates in the excluded corner of §6. Duration is set by a scheduled harvest decision, so the risk of an unplanned excursion is low, and the normal operating range covers 50.0% of the characterized range.</w:t>
      </w:r>
    </w:p>
    <w:p>
      <w:pPr>
        <w:numPr>
          <w:ilvl w:val="0"/>
          <w:numId w:val="1002"/>
        </w:numPr>
      </w:pPr>
      <w:r>
        <w:t xml:space="preserve">Dissolved oxygen is a key process parameter, assessed univariately across 30 to 70 % of saturation and controlled to assure oxygen supply to the culture and consistent process performance.</w:t>
      </w:r>
    </w:p>
    <w:p>
      <w:pPr>
        <w:numPr>
          <w:ilvl w:val="0"/>
          <w:numId w:val="1002"/>
        </w:numPr>
      </w:pPr>
      <w:r>
        <w:t xml:space="preserve">Initial viable cell concentration is a key process parameter, since it sets the starting point of the growth curve and with it the timing of the production phase, and it is controlled to keep batches comparable.</w:t>
      </w:r>
    </w:p>
    <w:p>
      <w:pPr>
        <w:numPr>
          <w:ilvl w:val="0"/>
          <w:numId w:val="1002"/>
        </w:numPr>
      </w:pPr>
      <w:r>
        <w:t xml:space="preserve">Nutrient feed-1 volume is a key process parameter, because it determines nutrient availability through the production phase, and a shortfall in it was the subject of DEV-003-02 (§13).</w:t>
      </w:r>
    </w:p>
    <w:p>
      <w:pPr>
        <w:numPr>
          <w:ilvl w:val="0"/>
          <w:numId w:val="1002"/>
        </w:numPr>
      </w:pPr>
      <w:r>
        <w:t xml:space="preserve">Basal medium concentration is a general process parameter, since it affects neither a critical quality attribute nor process consistency across the range studied, and it is controlled by the medium specification under SOP-2004.</w:t>
      </w:r>
    </w:p>
    <w:p>
      <w:pPr>
        <w:pStyle w:val="FirstParagraph"/>
      </w:pPr>
      <w:r>
        <w:t xml:space="preserve">The step therefore has 5 well-controlled critical process parameters, 3 key process parameters and 1 general process parameter, and no parameter classified as a critical process parameter. The absence of that class at this step reflects the control capability of the vessel and the size of the region, not an absence of quality-linked parameters. Across the whole drug-substance process there is 1 such parameter, and it is the inactivation pH of Step 6 (PCR-006).</w:t>
      </w:r>
    </w:p>
    <w:bookmarkEnd w:id="86"/>
    <w:bookmarkStart w:id="87" w:name="contribution-to-the-control-strategy"/>
    <w:p>
      <w:pPr>
        <w:pStyle w:val="Heading1"/>
      </w:pPr>
      <w:r>
        <w:t xml:space="preserve">10. Contribution to the control strategy</w:t>
      </w:r>
    </w:p>
    <w:p>
      <w:pPr>
        <w:pStyle w:val="FirstParagraph"/>
      </w:pPr>
      <w:r>
        <w:t xml:space="preserve">This step contributes the primary control for the glycan, charge-variant and aggregate attributes of the drug substance, and it contributes nothing to impurity or virus clearance. Its elements of the control strategy are the following.</w:t>
      </w:r>
    </w:p>
    <w:p>
      <w:pPr>
        <w:pStyle w:val="BodyText"/>
      </w:pPr>
      <w:r>
        <w:t xml:space="preserve">The 5 well-controlled critical process parameters characterized here are held within the normal operating ranges of</w:t>
      </w:r>
      <w:r>
        <w:t xml:space="preserve"> </w:t>
      </w:r>
      <w:hyperlink w:anchor="tbl-params">
        <w:r>
          <w:rPr>
            <w:rStyle w:val="Hyperlink"/>
          </w:rPr>
          <w:t xml:space="preserve">Table 5</w:t>
        </w:r>
      </w:hyperlink>
      <w:r>
        <w:t xml:space="preserve">, which lie inside the design space of §6 with the margins reported there. Culture pH receives the closest control of the five, because it acts on every response and carries the interactions. Dissolved carbon dioxide is monitored continuously and trended, because it is the parameter whose control capability is least direct.</w:t>
      </w:r>
    </w:p>
    <w:p>
      <w:pPr>
        <w:pStyle w:val="BodyText"/>
      </w:pPr>
      <w:r>
        <w:t xml:space="preserve">The 3 key process parameters are held within their ranges and monitored to assure process consistency, and they are not linked to a critical quality attribute. Nutrient feed delivery is reconciled by mass at the end of every batch, which is a control introduced after DEV-003-02 and described in §13. Probe performance is verified against an offline reference during each batch, which addresses DEV-003-01.</w:t>
      </w:r>
    </w:p>
    <w:p>
      <w:pPr>
        <w:pStyle w:val="BodyText"/>
      </w:pPr>
      <w:r>
        <w:t xml:space="preserve">Release testing covers the five formed attributes on every batch of drug substance, by the validated methods of this step (</w:t>
      </w:r>
      <w:hyperlink w:anchor="tbl-sop">
        <w:r>
          <w:rPr>
            <w:rStyle w:val="Hyperlink"/>
          </w:rPr>
          <w:t xml:space="preserve">Table 4</w:t>
        </w:r>
      </w:hyperlink>
      <w:r>
        <w:t xml:space="preserve">). Host cell protein and residual DNA are also released attributes, but the assurance for them is provided by the purification steps and not here. The lifecycle controls for this step are the calibration and change control of the bioreactor instrumentation, the material specifications for medium and feed under SOP-2004, and continued process verification against the capability of §8.</w:t>
      </w:r>
    </w:p>
    <w:p>
      <w:pPr>
        <w:pStyle w:val="BodyText"/>
      </w:pPr>
      <w:r>
        <w:t xml:space="preserve">The step does not remove host cell protein, DNA, leached Protein A or aggregate, and it makes no contribution to the viral safety of the product. The cumulative position on all of those is consolidated in PCMR-001, which draws on PCR-005 through PCR-010.</w:t>
      </w:r>
    </w:p>
    <w:bookmarkEnd w:id="87"/>
    <w:bookmarkStart w:id="88" w:name="discussion"/>
    <w:p>
      <w:pPr>
        <w:pStyle w:val="Heading1"/>
      </w:pPr>
      <w:r>
        <w:t xml:space="preserve">11. Discussion</w:t>
      </w:r>
    </w:p>
    <w:p>
      <w:pPr>
        <w:pStyle w:val="FirstParagraph"/>
      </w:pPr>
      <w:r>
        <w:t xml:space="preserve">The production bioreactor is now characterized to a level that supports the operating ranges proposed for commercial manufacture. The 4 parameters carried into the response-surface study account for the behaviour of all five formed attributes, the fitted models are adequate and free of lack of fit, and the mechanistic account in §5.4 agrees with the platform expectation set out before the study was run. Where the study adds most is in the interactions. Three of the four response-surface parameters interact with culture pH, and no set of univariate ranges reproduces the region those interactions define.</w:t>
      </w:r>
    </w:p>
    <w:p>
      <w:pPr>
        <w:pStyle w:val="BodyText"/>
      </w:pPr>
      <w:r>
        <w:t xml:space="preserve">The single adverse finding is the excluded corner. Galactosylation exceeds its upper limit at the vertex where culture pH, dissolved carbon dioxide and culture duration are all low and temperature is high, by 0.27 percentage points on the model and by more in the runs where it was measured. Two considerations bound the finding, since reaching the vertex requires four simultaneous excursions to the edge of the knowledge space, and returning any one parameter by a small amount brings the response back inside the limit. Within the normal operating ranges the worst predicted galactosylation is 31.8 %, which leaves 8.2 percentage points of margin. The finding is retained as an edge of failure, and it is the reason the design space of §6 is stated as the characterized region less one corner instead of as the whole characterized region.</w:t>
      </w:r>
    </w:p>
    <w:p>
      <w:pPr>
        <w:pStyle w:val="BodyText"/>
      </w:pPr>
      <w:r>
        <w:t xml:space="preserve">Confidence in the scale-down model is good for the questions this study asks and limited for others. The model reproduces the culture environment that forms the attributes, and the centre points of both designs repeat within the precision of the analytical methods. It cannot represent the mixing and gas-transfer heterogeneity of a 15,000 L vessel at full working volume, and dissolved carbon dioxide is the parameter for which that gap is most likely to matter. That is one of the reasons pCO₂ was characterized over the widest relative range and is monitored continuously in manufacture.</w:t>
      </w:r>
    </w:p>
    <w:p>
      <w:pPr>
        <w:pStyle w:val="BodyText"/>
      </w:pPr>
      <w:r>
        <w:t xml:space="preserve">2 deviations occurred during execution and both were retained. The pCO₂ probe drift of DEV-003-01 displaced one screening run by less than the reproducibility of the responses it could have affected. The feed under-delivery of DEV-003-02 left the affected centre-point batch inside the normal operating range of the parameter concerned. Neither changed a fitted effect, a classification or the boundary of the region, and the analysis in §13 gives the magnitudes.</w:t>
      </w:r>
    </w:p>
    <w:p>
      <w:pPr>
        <w:pStyle w:val="BodyText"/>
      </w:pPr>
      <w:r>
        <w:t xml:space="preserve">The principal limitations of the study are three. The design space is defined in a scale-down model and its edges are not confirmed at commercial scale, which is a general property of design spaces and is addressed by the qualification campaign and by continued process verification. The capability figures are model-based projections over the operating ranges and not measurements of commercial batches. Osmolality is supported by a screening study and by platform history and not by a response-surface model, which is a deliberate choice justified by the size of its main effects. It leaves the interaction between osmolality and culture temperature on galactosylation quantified only at the resolution of the screening design, and it constrains any future proposal to widen the osmolality range.</w:t>
      </w:r>
    </w:p>
    <w:p>
      <w:pPr>
        <w:pStyle w:val="BodyText"/>
      </w:pPr>
      <w:r>
        <w:t xml:space="preserve">No parameter at this step required the most stringent control classification. Every quality-linked parameter is held by a dedicated controller or by a scheduled decision, and the operating ranges sit well inside the region, so the risk of leaving the design space in routine manufacture is low for all five.</w:t>
      </w:r>
    </w:p>
    <w:bookmarkEnd w:id="88"/>
    <w:bookmarkStart w:id="89" w:name="conclusions"/>
    <w:p>
      <w:pPr>
        <w:pStyle w:val="Heading1"/>
      </w:pPr>
      <w:r>
        <w:t xml:space="preserve">12. Conclusions</w:t>
      </w:r>
    </w:p>
    <w:p>
      <w:pPr>
        <w:pStyle w:val="FirstParagraph"/>
      </w:pPr>
      <w:r>
        <w:t xml:space="preserve">The production bioreactor is well understood over the ranges characterized, and the study meets the objectives set in §1.2. A response-surface model in 4 parameters defines an operating region over which the glycan, charge-variant and aggregate attributes formed at this step meet their acceptance criteria, with one corner of the characterized region excluded on galactosylation grounds. The proven acceptable ranges of §7 span the full characterization range of every parameter against every governed attribute, so the binding constraint on operation is the multivariate corner and not any univariate range.</w:t>
      </w:r>
    </w:p>
    <w:p>
      <w:pPr>
        <w:pStyle w:val="BodyText"/>
      </w:pPr>
      <w:r>
        <w:t xml:space="preserve">9 parameters were classified, 5 of them as well-controlled critical process parameters, and none required classification as a critical process parameter. At commercial scale every attribute formed at this step meets its criterion, with the tightest capability of 1.94 belonging to High Mannose and a margin of 2.99 percentage points to its binding limit. The 2 recorded deviations were investigated and retained without impact on the fitted models, the classifications or the region.</w:t>
      </w:r>
    </w:p>
    <w:p>
      <w:pPr>
        <w:pStyle w:val="BodyText"/>
      </w:pPr>
      <w:r>
        <w:t xml:space="preserve">The step makes no impurity-clearance or virus-clearance claim, and the assurance for host cell protein, DNA and viral safety is provided by the purification steps and consolidated in PCMR-001. Confirmation of the region at commercial scale is the responsibility of the process performance qualification campaign.</w:t>
      </w:r>
    </w:p>
    <w:bookmarkEnd w:id="89"/>
    <w:bookmarkStart w:id="93" w:name="deviations-from-the-plan"/>
    <w:p>
      <w:pPr>
        <w:pStyle w:val="Heading1"/>
      </w:pPr>
      <w:r>
        <w:t xml:space="preserve">13. Deviations from the plan</w:t>
      </w:r>
    </w:p>
    <w:p>
      <w:pPr>
        <w:pStyle w:val="FirstParagraph"/>
      </w:pPr>
      <w:r>
        <w:t xml:space="preserve">2 deviations from PCP-003 were recorded during execution. Each was investigated to root cause, impact-assessed against the study objectives and dispositioned before the analysis was locked. Both were retained, which means that the affected data were kept in the analysed data set and that the justification for keeping them is given below. The register is given below (</w:t>
      </w:r>
      <w:hyperlink w:anchor="tbl-dev">
        <w:r>
          <w:rPr>
            <w:rStyle w:val="Hyperlink"/>
          </w:rPr>
          <w:t xml:space="preserve">Table 16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0" w:name="tbl-dev"/>
          <w:p>
            <w:pPr>
              <w:jc w:val="center"/>
            </w:pPr>
            <w:pPr>
              <w:jc w:val="left"/>
              <w:spacing w:before="200"/>
              <w:pStyle w:val="ImageCaption"/>
            </w:pPr>
            <w:r>
              <w:t xml:space="preserve">Table 16: Deviations recorded during execution of PCP-003.</w:t>
            </w:r>
          </w:p>
          <w:tbl>
            <w:tblPr>
              <w:tblStyle w:val="Table"/>
              <w:tblW w:type="pct" w:w="5000"/>
              <w:tblLayout w:type="fixed"/>
              <w:tblLook w:firstRow="1" w:lastRow="0" w:firstColumn="0" w:lastColumn="0" w:noHBand="0" w:noVBand="0" w:val="0020"/>
            </w:tblPr>
            <w:tblGrid>
              <w:gridCol w:w="804"/>
              <w:gridCol w:w="3465"/>
              <w:gridCol w:w="2722"/>
              <w:gridCol w:w="928"/>
            </w:tblGrid>
            <w:tr>
              <w:trPr>
                <w:tblHeader w:val="on"/>
              </w:trPr>
              <w:tc>
                <w:tcPr/>
                <w:p>
                  <w:pPr>
                    <w:pStyle w:val="Compact"/>
                    <w:jc w:val="left"/>
                    <w:jc w:val="center"/>
                  </w:pPr>
                  <w:r>
                    <w:t xml:space="preserve">Deviation</w:t>
                  </w:r>
                </w:p>
              </w:tc>
              <w:tc>
                <w:tcPr/>
                <w:p>
                  <w:pPr>
                    <w:pStyle w:val="Compact"/>
                    <w:jc w:val="left"/>
                    <w:jc w:val="center"/>
                  </w:pPr>
                  <w:r>
                    <w:t xml:space="preserve">Summary</w:t>
                  </w:r>
                </w:p>
              </w:tc>
              <w:tc>
                <w:tcPr/>
                <w:p>
                  <w:pPr>
                    <w:pStyle w:val="Compact"/>
                    <w:jc w:val="left"/>
                    <w:jc w:val="center"/>
                  </w:pPr>
                  <w:r>
                    <w:t xml:space="preserve">Detected during</w:t>
                  </w:r>
                </w:p>
              </w:tc>
              <w:tc>
                <w:tcPr/>
                <w:p>
                  <w:pPr>
                    <w:pStyle w:val="Compact"/>
                    <w:jc w:val="left"/>
                    <w:jc w:val="center"/>
                  </w:pPr>
                  <w:r>
                    <w:t xml:space="preserve">Disposition</w:t>
                  </w:r>
                </w:p>
              </w:tc>
            </w:tr>
            <w:tr>
              <w:tc>
                <w:tcPr/>
                <w:p>
                  <w:pPr>
                    <w:pStyle w:val="Compact"/>
                    <w:jc w:val="left"/>
                    <w:jc w:val="center"/>
                  </w:pPr>
                  <w:r>
                    <w:t xml:space="preserve">DEV-003-01</w:t>
                  </w:r>
                </w:p>
              </w:tc>
              <w:tc>
                <w:tcPr/>
                <w:p>
                  <w:pPr>
                    <w:pStyle w:val="Compact"/>
                    <w:jc w:val="left"/>
                    <w:jc w:val="center"/>
                  </w:pPr>
                  <w:r>
                    <w:t xml:space="preserve">Dissolved-CO2 probe drift during screening run 4</w:t>
                  </w:r>
                </w:p>
              </w:tc>
              <w:tc>
                <w:tcPr/>
                <w:p>
                  <w:pPr>
                    <w:pStyle w:val="Compact"/>
                    <w:jc w:val="left"/>
                    <w:jc w:val="center"/>
                  </w:pPr>
                  <w:r>
                    <w:t xml:space="preserve">in-process monitoring vs offline reference</w:t>
                  </w:r>
                </w:p>
              </w:tc>
              <w:tc>
                <w:tcPr/>
                <w:p>
                  <w:pPr>
                    <w:pStyle w:val="Compact"/>
                    <w:jc w:val="left"/>
                    <w:jc w:val="center"/>
                  </w:pPr>
                  <w:r>
                    <w:t xml:space="preserve">retained</w:t>
                  </w:r>
                </w:p>
              </w:tc>
            </w:tr>
            <w:tr>
              <w:tc>
                <w:tcPr/>
                <w:p>
                  <w:pPr>
                    <w:pStyle w:val="Compact"/>
                    <w:jc w:val="left"/>
                    <w:jc w:val="center"/>
                  </w:pPr>
                  <w:r>
                    <w:t xml:space="preserve">DEV-003-02</w:t>
                  </w:r>
                </w:p>
              </w:tc>
              <w:tc>
                <w:tcPr/>
                <w:p>
                  <w:pPr>
                    <w:pStyle w:val="Compact"/>
                    <w:jc w:val="left"/>
                    <w:jc w:val="center"/>
                  </w:pPr>
                  <w:r>
                    <w:t xml:space="preserve">Nutrient feed-1 under-delivery on a centre-point batch</w:t>
                  </w:r>
                </w:p>
              </w:tc>
              <w:tc>
                <w:tcPr/>
                <w:p>
                  <w:pPr>
                    <w:pStyle w:val="Compact"/>
                    <w:jc w:val="left"/>
                    <w:jc w:val="center"/>
                  </w:pPr>
                  <w:r>
                    <w:t xml:space="preserve">post-execution mass reconciliation</w:t>
                  </w:r>
                </w:p>
              </w:tc>
              <w:tc>
                <w:tcPr/>
                <w:p>
                  <w:pPr>
                    <w:pStyle w:val="Compact"/>
                    <w:jc w:val="left"/>
                    <w:jc w:val="center"/>
                  </w:pPr>
                  <w:r>
                    <w:t xml:space="preserve">retained</w:t>
                  </w:r>
                </w:p>
              </w:tc>
            </w:tr>
          </w:tbl>
          <w:bookmarkEnd w:id="90"/>
          <w:p/>
        </w:tc>
      </w:tr>
    </w:tbl>
    <w:p>
      <w:pPr>
        <w:pStyle w:val="BodyText"/>
      </w:pPr>
      <w:r>
        <w:t xml:space="preserve">Both deviations concern the delivery of a set condition to the culture rather than the measurement of a response, and both were detected by a control that was already in place. Neither was detected by the product-quality result, which is the weaker way to find a deviation of this kind.</w:t>
      </w:r>
    </w:p>
    <w:bookmarkStart w:id="91" w:name="X0c1c0bf97a367e88d976b4d7a0169b95a3f8627"/>
    <w:p>
      <w:pPr>
        <w:pStyle w:val="Heading2"/>
      </w:pPr>
      <w:r>
        <w:t xml:space="preserve">13.1 DEV-003-01 — dissolved carbon dioxide probe drift</w:t>
      </w:r>
    </w:p>
    <w:p>
      <w:pPr>
        <w:pStyle w:val="FirstParagraph"/>
      </w:pPr>
      <w:r>
        <w:t xml:space="preserve">The in-process pCO₂ probe on screening run 4 read 6.5 mmHg away from the offline reference measurement. The run was controlled to its target on the probe reading, so the culture experienced a pCO₂ displaced from the nominal level of the design point by that amount. The nominal pCO₂ for that run was 160 mmHg.</w:t>
      </w:r>
    </w:p>
    <w:p>
      <w:pPr>
        <w:pStyle w:val="BodyText"/>
      </w:pPr>
      <w:r>
        <w:t xml:space="preserve">The investigation identified drift of the probe between scheduled calibrations as the root cause. The instrument concerned is EQ-BRX-205, the production scale-down bioreactor pCO2 probe, which was within its calibration interval at execution and next due on 2026-06-14. No other run of either design showed a discrepancy against the offline reference.</w:t>
      </w:r>
    </w:p>
    <w:p>
      <w:pPr>
        <w:pStyle w:val="BodyText"/>
      </w:pPr>
      <w:r>
        <w:t xml:space="preserve">The impact assessment used the fitted screening model, in which a displacement of 6.5 mmHg is 0.11 in coded units, about one ninth of the half-range of the factor. Evaluating the screening model at the settings of run 4 with and without that displacement changes the most sensitive response, Acidic variants, by 0.40 percentage points. The centre-point standard deviation of that response in the same design is 1.09 percentage points, so the displacement moves the run by less than the study can resolve. The deviation was retained on that basis. The corresponding control for manufacture is the verification of probe readings against an offline reference during each batch, described in §10.</w:t>
      </w:r>
    </w:p>
    <w:bookmarkEnd w:id="91"/>
    <w:bookmarkStart w:id="92" w:name="X8329f0e14a364443d536ee8baedd522fa6982ab"/>
    <w:p>
      <w:pPr>
        <w:pStyle w:val="Heading2"/>
      </w:pPr>
      <w:r>
        <w:t xml:space="preserve">13.2 DEV-003-02 — nutrient feed-1 under-delivery</w:t>
      </w:r>
    </w:p>
    <w:p>
      <w:pPr>
        <w:pStyle w:val="FirstParagraph"/>
      </w:pPr>
      <w:r>
        <w:t xml:space="preserve">Post-execution mass reconciliation showed that the screening centre point batch received 4.2 % less nutrient feed-1 than the protocol specified. The material was nutrient feed-1 medium lot LOT-FED-3120 from Fern Scientific, and the shortfall was in the delivered volume and not in the composition of the feed.</w:t>
      </w:r>
    </w:p>
    <w:p>
      <w:pPr>
        <w:pStyle w:val="BodyText"/>
      </w:pPr>
      <w:r>
        <w:t xml:space="preserve">The investigation identified a calibration offset on the feed pump as the root cause, confirmed by gravimetric check of the pump after the run. The offset was in one direction and was present for the affected batch only, since the pump was recalibrated before the remaining runs.</w:t>
      </w:r>
    </w:p>
    <w:p>
      <w:pPr>
        <w:pStyle w:val="BodyText"/>
      </w:pPr>
      <w:r>
        <w:t xml:space="preserve">The impact assessment turned on where the delivered volume fell. The nutrient feed-1 set-point is 12.0 % of working volume, and a shortfall of 4.2 % delivered 11.50 % of working volume, which is inside the normal operating range of 10 to 14 %. The affected batch ran at a feed volume the process is qualified to run at, and the parameter is classified as a key process parameter with no demonstrated link to a critical quality attribute (§9).</w:t>
      </w:r>
    </w:p>
    <w:p>
      <w:pPr>
        <w:pStyle w:val="BodyText"/>
      </w:pPr>
      <w:r>
        <w:t xml:space="preserve">The affected batch is a centre point, so its influence falls on the pure-error term rather than on any factor effect. 3 verification runs at the centre point were executed after the pump was recalibrated, and the glycan responses were measured by AMV-3010. The relative half-width of the 95 % confidence interval of that verification set is 6.21 %, which is the precision with which the centre-point mean is known. The deviation was retained on that basis, and the batch was kept in the analysed data set. Feed mass reconciliation at the end of every batch has been added to the control strategy for manufacture (§10).</w:t>
      </w:r>
    </w:p>
    <w:bookmarkEnd w:id="92"/>
    <w:bookmarkEnd w:id="93"/>
    <w:bookmarkStart w:id="112" w:name="appendices-ad"/>
    <w:p>
      <w:pPr>
        <w:pStyle w:val="Heading1"/>
      </w:pPr>
      <w:r>
        <w:t xml:space="preserve">14. Appendices A–D</w:t>
      </w:r>
    </w:p>
    <w:p>
      <w:pPr>
        <w:pStyle w:val="FirstParagraph"/>
      </w:pPr>
      <w:r>
        <w:t xml:space="preserve">The appendices carry the full design matrices, the complete effect and coefficient tables, and the analytical method summary. They are the primary record behind the tables shown in §5.</w:t>
      </w:r>
    </w:p>
    <w:bookmarkStart w:id="96" w:name="X77c0ef24ce4de9c1b8c35876c233736670b0bf3"/>
    <w:p>
      <w:pPr>
        <w:pStyle w:val="Heading2"/>
      </w:pPr>
      <w:r>
        <w:t xml:space="preserve">14.1 Appendix A — Screening design matrix and responses</w:t>
      </w:r>
    </w:p>
    <w:p>
      <w:pPr>
        <w:pStyle w:val="FirstParagraph"/>
      </w:pPr>
      <w:r>
        <w:t xml:space="preserve">The coded settings of the screening design are given first (</w:t>
      </w:r>
      <w:hyperlink w:anchor="tbl-appa1">
        <w:r>
          <w:rPr>
            <w:rStyle w:val="Hyperlink"/>
          </w:rPr>
          <w:t xml:space="preserve">Table 17</w:t>
        </w:r>
      </w:hyperlink>
      <w:r>
        <w:t xml:space="preserve">), followed by the responses obtained (</w:t>
      </w:r>
      <w:hyperlink w:anchor="tbl-appa2">
        <w:r>
          <w:rPr>
            <w:rStyle w:val="Hyperlink"/>
          </w:rPr>
          <w:t xml:space="preserve">Table 18</w:t>
        </w:r>
      </w:hyperlink>
      <w:r>
        <w:t xml:space="preserve">). Coded levels are minus one and plus one at the edges of each characterization range and zero at the set-point.</w:t>
      </w:r>
    </w:p>
    <w:tbl>
      <w:tblPr>
        <w:tblStyle w:val="Table"/>
        <w:tblW w:type="pct" w:w="5000"/>
        <w:tblLayout w:type="fixed"/>
        <w:tblLook w:firstRow="0" w:lastRow="0" w:firstColumn="0" w:lastColumn="0" w:noHBand="0" w:noVBand="0" w:val="0000"/>
      </w:tblPr>
      <w:tblGrid>
        <w:gridCol w:w="7920"/>
      </w:tblGrid>
      <w:tr>
        <w:tc>
          <w:tcPr/>
          <w:bookmarkStart w:id="94" w:name="tbl-appa1"/>
          <w:p>
            <w:pPr>
              <w:jc w:val="center"/>
            </w:pPr>
            <w:pPr>
              <w:jc w:val="left"/>
              <w:spacing w:before="200"/>
              <w:pStyle w:val="ImageCaption"/>
            </w:pPr>
            <w:r>
              <w:t xml:space="preserve">Table 17: Screening design, coded factor settings.</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C</w:t>
                  </w:r>
                </w:p>
              </w:tc>
              <w:tc>
                <w:tcPr/>
                <w:p>
                  <w:pPr>
                    <w:pStyle w:val="Compact"/>
                    <w:jc w:val="right"/>
                    <w:jc w:val="center"/>
                  </w:pPr>
                  <w:r>
                    <w:t xml:space="preserve">D</w:t>
                  </w:r>
                </w:p>
              </w:tc>
              <w:tc>
                <w:tcPr/>
                <w:p>
                  <w:pPr>
                    <w:pStyle w:val="Compact"/>
                    <w:jc w:val="right"/>
                    <w:jc w:val="center"/>
                  </w:pPr>
                  <w:r>
                    <w:t xml:space="preserve">E</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9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5" w:name="tbl-appa2"/>
          <w:p>
            <w:pPr>
              <w:jc w:val="center"/>
            </w:pPr>
            <w:pPr>
              <w:jc w:val="left"/>
              <w:spacing w:before="200"/>
              <w:pStyle w:val="ImageCaption"/>
            </w:pPr>
            <w:r>
              <w:t xml:space="preserve">Table 18: Screening design, measured responses.</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5.18</w:t>
                  </w:r>
                </w:p>
              </w:tc>
              <w:tc>
                <w:tcPr/>
                <w:p>
                  <w:pPr>
                    <w:pStyle w:val="Compact"/>
                    <w:jc w:val="right"/>
                    <w:jc w:val="center"/>
                  </w:pPr>
                  <w:r>
                    <w:t xml:space="preserve">27.9</w:t>
                  </w:r>
                </w:p>
              </w:tc>
              <w:tc>
                <w:tcPr/>
                <w:p>
                  <w:pPr>
                    <w:pStyle w:val="Compact"/>
                    <w:jc w:val="right"/>
                    <w:jc w:val="center"/>
                  </w:pPr>
                  <w:r>
                    <w:t xml:space="preserve">6.61</w:t>
                  </w:r>
                </w:p>
              </w:tc>
              <w:tc>
                <w:tcPr/>
                <w:p>
                  <w:pPr>
                    <w:pStyle w:val="Compact"/>
                    <w:jc w:val="right"/>
                    <w:jc w:val="center"/>
                  </w:pPr>
                  <w:r>
                    <w:t xml:space="preserve">26.4</w:t>
                  </w:r>
                </w:p>
              </w:tc>
              <w:tc>
                <w:tcPr/>
                <w:p>
                  <w:pPr>
                    <w:pStyle w:val="Compact"/>
                    <w:jc w:val="right"/>
                    <w:jc w:val="center"/>
                  </w:pPr>
                  <w:r>
                    <w:t xml:space="preserve">1.3</w:t>
                  </w:r>
                </w:p>
              </w:tc>
            </w:tr>
            <w:tr>
              <w:tc>
                <w:tcPr/>
                <w:p>
                  <w:pPr>
                    <w:pStyle w:val="Compact"/>
                    <w:jc w:val="right"/>
                    <w:jc w:val="center"/>
                  </w:pPr>
                  <w:r>
                    <w:t xml:space="preserve">2</w:t>
                  </w:r>
                </w:p>
              </w:tc>
              <w:tc>
                <w:tcPr/>
                <w:p>
                  <w:pPr>
                    <w:pStyle w:val="Compact"/>
                    <w:jc w:val="right"/>
                    <w:jc w:val="center"/>
                  </w:pPr>
                  <w:r>
                    <w:t xml:space="preserve">8.93</w:t>
                  </w:r>
                </w:p>
              </w:tc>
              <w:tc>
                <w:tcPr/>
                <w:p>
                  <w:pPr>
                    <w:pStyle w:val="Compact"/>
                    <w:jc w:val="right"/>
                    <w:jc w:val="center"/>
                  </w:pPr>
                  <w:r>
                    <w:t xml:space="preserve">36.1</w:t>
                  </w:r>
                </w:p>
              </w:tc>
              <w:tc>
                <w:tcPr/>
                <w:p>
                  <w:pPr>
                    <w:pStyle w:val="Compact"/>
                    <w:jc w:val="right"/>
                    <w:jc w:val="center"/>
                  </w:pPr>
                  <w:r>
                    <w:t xml:space="preserve">6.44</w:t>
                  </w:r>
                </w:p>
              </w:tc>
              <w:tc>
                <w:tcPr/>
                <w:p>
                  <w:pPr>
                    <w:pStyle w:val="Compact"/>
                    <w:jc w:val="right"/>
                    <w:jc w:val="center"/>
                  </w:pPr>
                  <w:r>
                    <w:t xml:space="preserve">26.5</w:t>
                  </w:r>
                </w:p>
              </w:tc>
              <w:tc>
                <w:tcPr/>
                <w:p>
                  <w:pPr>
                    <w:pStyle w:val="Compact"/>
                    <w:jc w:val="right"/>
                    <w:jc w:val="center"/>
                  </w:pPr>
                  <w:r>
                    <w:t xml:space="preserve">0.783</w:t>
                  </w:r>
                </w:p>
              </w:tc>
            </w:tr>
            <w:tr>
              <w:tc>
                <w:tcPr/>
                <w:p>
                  <w:pPr>
                    <w:pStyle w:val="Compact"/>
                    <w:jc w:val="right"/>
                    <w:jc w:val="center"/>
                  </w:pPr>
                  <w:r>
                    <w:t xml:space="preserve">3</w:t>
                  </w:r>
                </w:p>
              </w:tc>
              <w:tc>
                <w:tcPr/>
                <w:p>
                  <w:pPr>
                    <w:pStyle w:val="Compact"/>
                    <w:jc w:val="right"/>
                    <w:jc w:val="center"/>
                  </w:pPr>
                  <w:r>
                    <w:t xml:space="preserve">11.8</w:t>
                  </w:r>
                </w:p>
              </w:tc>
              <w:tc>
                <w:tcPr/>
                <w:p>
                  <w:pPr>
                    <w:pStyle w:val="Compact"/>
                    <w:jc w:val="right"/>
                    <w:jc w:val="center"/>
                  </w:pPr>
                  <w:r>
                    <w:t xml:space="preserve">34.6</w:t>
                  </w:r>
                </w:p>
              </w:tc>
              <w:tc>
                <w:tcPr/>
                <w:p>
                  <w:pPr>
                    <w:pStyle w:val="Compact"/>
                    <w:jc w:val="right"/>
                    <w:jc w:val="center"/>
                  </w:pPr>
                  <w:r>
                    <w:t xml:space="preserve">5.63</w:t>
                  </w:r>
                </w:p>
              </w:tc>
              <w:tc>
                <w:tcPr/>
                <w:p>
                  <w:pPr>
                    <w:pStyle w:val="Compact"/>
                    <w:jc w:val="right"/>
                    <w:jc w:val="center"/>
                  </w:pPr>
                  <w:r>
                    <w:t xml:space="preserve">22.3</w:t>
                  </w:r>
                </w:p>
              </w:tc>
              <w:tc>
                <w:tcPr/>
                <w:p>
                  <w:pPr>
                    <w:pStyle w:val="Compact"/>
                    <w:jc w:val="right"/>
                    <w:jc w:val="center"/>
                  </w:pPr>
                  <w:r>
                    <w:t xml:space="preserve">0.785</w:t>
                  </w:r>
                </w:p>
              </w:tc>
            </w:tr>
            <w:tr>
              <w:tc>
                <w:tcPr/>
                <w:p>
                  <w:pPr>
                    <w:pStyle w:val="Compact"/>
                    <w:jc w:val="right"/>
                    <w:jc w:val="center"/>
                  </w:pPr>
                  <w:r>
                    <w:t xml:space="preserve">4</w:t>
                  </w:r>
                </w:p>
              </w:tc>
              <w:tc>
                <w:tcPr/>
                <w:p>
                  <w:pPr>
                    <w:pStyle w:val="Compact"/>
                    <w:jc w:val="right"/>
                    <w:jc w:val="center"/>
                  </w:pPr>
                  <w:r>
                    <w:t xml:space="preserve">4.83</w:t>
                  </w:r>
                </w:p>
              </w:tc>
              <w:tc>
                <w:tcPr/>
                <w:p>
                  <w:pPr>
                    <w:pStyle w:val="Compact"/>
                    <w:jc w:val="right"/>
                    <w:jc w:val="center"/>
                  </w:pPr>
                  <w:r>
                    <w:t xml:space="preserve">14.7</w:t>
                  </w:r>
                </w:p>
              </w:tc>
              <w:tc>
                <w:tcPr/>
                <w:p>
                  <w:pPr>
                    <w:pStyle w:val="Compact"/>
                    <w:jc w:val="right"/>
                    <w:jc w:val="center"/>
                  </w:pPr>
                  <w:r>
                    <w:t xml:space="preserve">5.46</w:t>
                  </w:r>
                </w:p>
              </w:tc>
              <w:tc>
                <w:tcPr/>
                <w:p>
                  <w:pPr>
                    <w:pStyle w:val="Compact"/>
                    <w:jc w:val="right"/>
                    <w:jc w:val="center"/>
                  </w:pPr>
                  <w:r>
                    <w:t xml:space="preserve">17.9</w:t>
                  </w:r>
                </w:p>
              </w:tc>
              <w:tc>
                <w:tcPr/>
                <w:p>
                  <w:pPr>
                    <w:pStyle w:val="Compact"/>
                    <w:jc w:val="right"/>
                    <w:jc w:val="center"/>
                  </w:pPr>
                  <w:r>
                    <w:t xml:space="preserve">1.48</w:t>
                  </w:r>
                </w:p>
              </w:tc>
            </w:tr>
            <w:tr>
              <w:tc>
                <w:tcPr/>
                <w:p>
                  <w:pPr>
                    <w:pStyle w:val="Compact"/>
                    <w:jc w:val="right"/>
                    <w:jc w:val="center"/>
                  </w:pPr>
                  <w:r>
                    <w:t xml:space="preserve">5</w:t>
                  </w:r>
                </w:p>
              </w:tc>
              <w:tc>
                <w:tcPr/>
                <w:p>
                  <w:pPr>
                    <w:pStyle w:val="Compact"/>
                    <w:jc w:val="right"/>
                    <w:jc w:val="center"/>
                  </w:pPr>
                  <w:r>
                    <w:t xml:space="preserve">9.72</w:t>
                  </w:r>
                </w:p>
              </w:tc>
              <w:tc>
                <w:tcPr/>
                <w:p>
                  <w:pPr>
                    <w:pStyle w:val="Compact"/>
                    <w:jc w:val="right"/>
                    <w:jc w:val="center"/>
                  </w:pPr>
                  <w:r>
                    <w:t xml:space="preserve">41.4</w:t>
                  </w:r>
                </w:p>
              </w:tc>
              <w:tc>
                <w:tcPr/>
                <w:p>
                  <w:pPr>
                    <w:pStyle w:val="Compact"/>
                    <w:jc w:val="right"/>
                    <w:jc w:val="center"/>
                  </w:pPr>
                  <w:r>
                    <w:t xml:space="preserve">4.61</w:t>
                  </w:r>
                </w:p>
              </w:tc>
              <w:tc>
                <w:tcPr/>
                <w:p>
                  <w:pPr>
                    <w:pStyle w:val="Compact"/>
                    <w:jc w:val="right"/>
                    <w:jc w:val="center"/>
                  </w:pPr>
                  <w:r>
                    <w:t xml:space="preserve">27</w:t>
                  </w:r>
                </w:p>
              </w:tc>
              <w:tc>
                <w:tcPr/>
                <w:p>
                  <w:pPr>
                    <w:pStyle w:val="Compact"/>
                    <w:jc w:val="right"/>
                    <w:jc w:val="center"/>
                  </w:pPr>
                  <w:r>
                    <w:t xml:space="preserve">0.859</w:t>
                  </w:r>
                </w:p>
              </w:tc>
            </w:tr>
            <w:tr>
              <w:tc>
                <w:tcPr/>
                <w:p>
                  <w:pPr>
                    <w:pStyle w:val="Compact"/>
                    <w:jc w:val="right"/>
                    <w:jc w:val="center"/>
                  </w:pPr>
                  <w:r>
                    <w:t xml:space="preserve">6</w:t>
                  </w:r>
                </w:p>
              </w:tc>
              <w:tc>
                <w:tcPr/>
                <w:p>
                  <w:pPr>
                    <w:pStyle w:val="Compact"/>
                    <w:jc w:val="right"/>
                    <w:jc w:val="center"/>
                  </w:pPr>
                  <w:r>
                    <w:t xml:space="preserve">4.68</w:t>
                  </w:r>
                </w:p>
              </w:tc>
              <w:tc>
                <w:tcPr/>
                <w:p>
                  <w:pPr>
                    <w:pStyle w:val="Compact"/>
                    <w:jc w:val="right"/>
                    <w:jc w:val="center"/>
                  </w:pPr>
                  <w:r>
                    <w:t xml:space="preserve">27.3</w:t>
                  </w:r>
                </w:p>
              </w:tc>
              <w:tc>
                <w:tcPr/>
                <w:p>
                  <w:pPr>
                    <w:pStyle w:val="Compact"/>
                    <w:jc w:val="right"/>
                    <w:jc w:val="center"/>
                  </w:pPr>
                  <w:r>
                    <w:t xml:space="preserve">4.68</w:t>
                  </w:r>
                </w:p>
              </w:tc>
              <w:tc>
                <w:tcPr/>
                <w:p>
                  <w:pPr>
                    <w:pStyle w:val="Compact"/>
                    <w:jc w:val="right"/>
                    <w:jc w:val="center"/>
                  </w:pPr>
                  <w:r>
                    <w:t xml:space="preserve">27.6</w:t>
                  </w:r>
                </w:p>
              </w:tc>
              <w:tc>
                <w:tcPr/>
                <w:p>
                  <w:pPr>
                    <w:pStyle w:val="Compact"/>
                    <w:jc w:val="right"/>
                    <w:jc w:val="center"/>
                  </w:pPr>
                  <w:r>
                    <w:t xml:space="preserve">1.26</w:t>
                  </w:r>
                </w:p>
              </w:tc>
            </w:tr>
            <w:tr>
              <w:tc>
                <w:tcPr/>
                <w:p>
                  <w:pPr>
                    <w:pStyle w:val="Compact"/>
                    <w:jc w:val="right"/>
                    <w:jc w:val="center"/>
                  </w:pPr>
                  <w:r>
                    <w:t xml:space="preserve">7</w:t>
                  </w:r>
                </w:p>
              </w:tc>
              <w:tc>
                <w:tcPr/>
                <w:p>
                  <w:pPr>
                    <w:pStyle w:val="Compact"/>
                    <w:jc w:val="right"/>
                    <w:jc w:val="center"/>
                  </w:pPr>
                  <w:r>
                    <w:t xml:space="preserve">6.22</w:t>
                  </w:r>
                </w:p>
              </w:tc>
              <w:tc>
                <w:tcPr/>
                <w:p>
                  <w:pPr>
                    <w:pStyle w:val="Compact"/>
                    <w:jc w:val="right"/>
                    <w:jc w:val="center"/>
                  </w:pPr>
                  <w:r>
                    <w:t xml:space="preserve">14.5</w:t>
                  </w:r>
                </w:p>
              </w:tc>
              <w:tc>
                <w:tcPr/>
                <w:p>
                  <w:pPr>
                    <w:pStyle w:val="Compact"/>
                    <w:jc w:val="right"/>
                    <w:jc w:val="center"/>
                  </w:pPr>
                  <w:r>
                    <w:t xml:space="preserve">4.65</w:t>
                  </w:r>
                </w:p>
              </w:tc>
              <w:tc>
                <w:tcPr/>
                <w:p>
                  <w:pPr>
                    <w:pStyle w:val="Compact"/>
                    <w:jc w:val="right"/>
                    <w:jc w:val="center"/>
                  </w:pPr>
                  <w:r>
                    <w:t xml:space="preserve">23.1</w:t>
                  </w:r>
                </w:p>
              </w:tc>
              <w:tc>
                <w:tcPr/>
                <w:p>
                  <w:pPr>
                    <w:pStyle w:val="Compact"/>
                    <w:jc w:val="right"/>
                    <w:jc w:val="center"/>
                  </w:pPr>
                  <w:r>
                    <w:t xml:space="preserve">1.48</w:t>
                  </w:r>
                </w:p>
              </w:tc>
            </w:tr>
            <w:tr>
              <w:tc>
                <w:tcPr/>
                <w:p>
                  <w:pPr>
                    <w:pStyle w:val="Compact"/>
                    <w:jc w:val="right"/>
                    <w:jc w:val="center"/>
                  </w:pPr>
                  <w:r>
                    <w:t xml:space="preserve">8</w:t>
                  </w:r>
                </w:p>
              </w:tc>
              <w:tc>
                <w:tcPr/>
                <w:p>
                  <w:pPr>
                    <w:pStyle w:val="Compact"/>
                    <w:jc w:val="right"/>
                    <w:jc w:val="center"/>
                  </w:pPr>
                  <w:r>
                    <w:t xml:space="preserve">9.83</w:t>
                  </w:r>
                </w:p>
              </w:tc>
              <w:tc>
                <w:tcPr/>
                <w:p>
                  <w:pPr>
                    <w:pStyle w:val="Compact"/>
                    <w:jc w:val="right"/>
                    <w:jc w:val="center"/>
                  </w:pPr>
                  <w:r>
                    <w:t xml:space="preserve">31.2</w:t>
                  </w:r>
                </w:p>
              </w:tc>
              <w:tc>
                <w:tcPr/>
                <w:p>
                  <w:pPr>
                    <w:pStyle w:val="Compact"/>
                    <w:jc w:val="right"/>
                    <w:jc w:val="center"/>
                  </w:pPr>
                  <w:r>
                    <w:t xml:space="preserve">4.45</w:t>
                  </w:r>
                </w:p>
              </w:tc>
              <w:tc>
                <w:tcPr/>
                <w:p>
                  <w:pPr>
                    <w:pStyle w:val="Compact"/>
                    <w:jc w:val="right"/>
                    <w:jc w:val="center"/>
                  </w:pPr>
                  <w:r>
                    <w:t xml:space="preserve">19.3</w:t>
                  </w:r>
                </w:p>
              </w:tc>
              <w:tc>
                <w:tcPr/>
                <w:p>
                  <w:pPr>
                    <w:pStyle w:val="Compact"/>
                    <w:jc w:val="right"/>
                    <w:jc w:val="center"/>
                  </w:pPr>
                  <w:r>
                    <w:t xml:space="preserve">0.948</w:t>
                  </w:r>
                </w:p>
              </w:tc>
            </w:tr>
            <w:tr>
              <w:tc>
                <w:tcPr/>
                <w:p>
                  <w:pPr>
                    <w:pStyle w:val="Compact"/>
                    <w:jc w:val="right"/>
                    <w:jc w:val="center"/>
                  </w:pPr>
                  <w:r>
                    <w:t xml:space="preserve">9</w:t>
                  </w:r>
                </w:p>
              </w:tc>
              <w:tc>
                <w:tcPr/>
                <w:p>
                  <w:pPr>
                    <w:pStyle w:val="Compact"/>
                    <w:jc w:val="right"/>
                    <w:jc w:val="center"/>
                  </w:pPr>
                  <w:r>
                    <w:t xml:space="preserve">9.61</w:t>
                  </w:r>
                </w:p>
              </w:tc>
              <w:tc>
                <w:tcPr/>
                <w:p>
                  <w:pPr>
                    <w:pStyle w:val="Compact"/>
                    <w:jc w:val="right"/>
                    <w:jc w:val="center"/>
                  </w:pPr>
                  <w:r>
                    <w:t xml:space="preserve">28</w:t>
                  </w:r>
                </w:p>
              </w:tc>
              <w:tc>
                <w:tcPr/>
                <w:p>
                  <w:pPr>
                    <w:pStyle w:val="Compact"/>
                    <w:jc w:val="right"/>
                    <w:jc w:val="center"/>
                  </w:pPr>
                  <w:r>
                    <w:t xml:space="preserve">7.77</w:t>
                  </w:r>
                </w:p>
              </w:tc>
              <w:tc>
                <w:tcPr/>
                <w:p>
                  <w:pPr>
                    <w:pStyle w:val="Compact"/>
                    <w:jc w:val="right"/>
                    <w:jc w:val="center"/>
                  </w:pPr>
                  <w:r>
                    <w:t xml:space="preserve">24.1</w:t>
                  </w:r>
                </w:p>
              </w:tc>
              <w:tc>
                <w:tcPr/>
                <w:p>
                  <w:pPr>
                    <w:pStyle w:val="Compact"/>
                    <w:jc w:val="right"/>
                    <w:jc w:val="center"/>
                  </w:pPr>
                  <w:r>
                    <w:t xml:space="preserve">1.51</w:t>
                  </w:r>
                </w:p>
              </w:tc>
            </w:tr>
            <w:tr>
              <w:tc>
                <w:tcPr/>
                <w:p>
                  <w:pPr>
                    <w:pStyle w:val="Compact"/>
                    <w:jc w:val="right"/>
                    <w:jc w:val="center"/>
                  </w:pPr>
                  <w:r>
                    <w:t xml:space="preserve">10</w:t>
                  </w:r>
                </w:p>
              </w:tc>
              <w:tc>
                <w:tcPr/>
                <w:p>
                  <w:pPr>
                    <w:pStyle w:val="Compact"/>
                    <w:jc w:val="right"/>
                    <w:jc w:val="center"/>
                  </w:pPr>
                  <w:r>
                    <w:t xml:space="preserve">7.51</w:t>
                  </w:r>
                </w:p>
              </w:tc>
              <w:tc>
                <w:tcPr/>
                <w:p>
                  <w:pPr>
                    <w:pStyle w:val="Compact"/>
                    <w:jc w:val="right"/>
                    <w:jc w:val="center"/>
                  </w:pPr>
                  <w:r>
                    <w:t xml:space="preserve">17</w:t>
                  </w:r>
                </w:p>
              </w:tc>
              <w:tc>
                <w:tcPr/>
                <w:p>
                  <w:pPr>
                    <w:pStyle w:val="Compact"/>
                    <w:jc w:val="right"/>
                    <w:jc w:val="center"/>
                  </w:pPr>
                  <w:r>
                    <w:t xml:space="preserve">7.89</w:t>
                  </w:r>
                </w:p>
              </w:tc>
              <w:tc>
                <w:tcPr/>
                <w:p>
                  <w:pPr>
                    <w:pStyle w:val="Compact"/>
                    <w:jc w:val="right"/>
                    <w:jc w:val="center"/>
                  </w:pPr>
                  <w:r>
                    <w:t xml:space="preserve">20.4</w:t>
                  </w:r>
                </w:p>
              </w:tc>
              <w:tc>
                <w:tcPr/>
                <w:p>
                  <w:pPr>
                    <w:pStyle w:val="Compact"/>
                    <w:jc w:val="right"/>
                    <w:jc w:val="center"/>
                  </w:pPr>
                  <w:r>
                    <w:t xml:space="preserve">2.26</w:t>
                  </w:r>
                </w:p>
              </w:tc>
            </w:tr>
            <w:tr>
              <w:tc>
                <w:tcPr/>
                <w:p>
                  <w:pPr>
                    <w:pStyle w:val="Compact"/>
                    <w:jc w:val="right"/>
                    <w:jc w:val="center"/>
                  </w:pPr>
                  <w:r>
                    <w:t xml:space="preserve">11</w:t>
                  </w:r>
                </w:p>
              </w:tc>
              <w:tc>
                <w:tcPr/>
                <w:p>
                  <w:pPr>
                    <w:pStyle w:val="Compact"/>
                    <w:jc w:val="right"/>
                    <w:jc w:val="center"/>
                  </w:pPr>
                  <w:r>
                    <w:t xml:space="preserve">7.13</w:t>
                  </w:r>
                </w:p>
              </w:tc>
              <w:tc>
                <w:tcPr/>
                <w:p>
                  <w:pPr>
                    <w:pStyle w:val="Compact"/>
                    <w:jc w:val="right"/>
                    <w:jc w:val="center"/>
                  </w:pPr>
                  <w:r>
                    <w:t xml:space="preserve">19.5</w:t>
                  </w:r>
                </w:p>
              </w:tc>
              <w:tc>
                <w:tcPr/>
                <w:p>
                  <w:pPr>
                    <w:pStyle w:val="Compact"/>
                    <w:jc w:val="right"/>
                    <w:jc w:val="center"/>
                  </w:pPr>
                  <w:r>
                    <w:t xml:space="preserve">7.34</w:t>
                  </w:r>
                </w:p>
              </w:tc>
              <w:tc>
                <w:tcPr/>
                <w:p>
                  <w:pPr>
                    <w:pStyle w:val="Compact"/>
                    <w:jc w:val="right"/>
                    <w:jc w:val="center"/>
                  </w:pPr>
                  <w:r>
                    <w:t xml:space="preserve">12.6</w:t>
                  </w:r>
                </w:p>
              </w:tc>
              <w:tc>
                <w:tcPr/>
                <w:p>
                  <w:pPr>
                    <w:pStyle w:val="Compact"/>
                    <w:jc w:val="right"/>
                    <w:jc w:val="center"/>
                  </w:pPr>
                  <w:r>
                    <w:t xml:space="preserve">2.53</w:t>
                  </w:r>
                </w:p>
              </w:tc>
            </w:tr>
            <w:tr>
              <w:tc>
                <w:tcPr/>
                <w:p>
                  <w:pPr>
                    <w:pStyle w:val="Compact"/>
                    <w:jc w:val="right"/>
                    <w:jc w:val="center"/>
                  </w:pPr>
                  <w:r>
                    <w:t xml:space="preserve">12</w:t>
                  </w:r>
                </w:p>
              </w:tc>
              <w:tc>
                <w:tcPr/>
                <w:p>
                  <w:pPr>
                    <w:pStyle w:val="Compact"/>
                    <w:jc w:val="right"/>
                    <w:jc w:val="center"/>
                  </w:pPr>
                  <w:r>
                    <w:t xml:space="preserve">5.29</w:t>
                  </w:r>
                </w:p>
              </w:tc>
              <w:tc>
                <w:tcPr/>
                <w:p>
                  <w:pPr>
                    <w:pStyle w:val="Compact"/>
                    <w:jc w:val="right"/>
                    <w:jc w:val="center"/>
                  </w:pPr>
                  <w:r>
                    <w:t xml:space="preserve">17.6</w:t>
                  </w:r>
                </w:p>
              </w:tc>
              <w:tc>
                <w:tcPr/>
                <w:p>
                  <w:pPr>
                    <w:pStyle w:val="Compact"/>
                    <w:jc w:val="right"/>
                    <w:jc w:val="center"/>
                  </w:pPr>
                  <w:r>
                    <w:t xml:space="preserve">7.01</w:t>
                  </w:r>
                </w:p>
              </w:tc>
              <w:tc>
                <w:tcPr/>
                <w:p>
                  <w:pPr>
                    <w:pStyle w:val="Compact"/>
                    <w:jc w:val="right"/>
                    <w:jc w:val="center"/>
                  </w:pPr>
                  <w:r>
                    <w:t xml:space="preserve">11.3</w:t>
                  </w:r>
                </w:p>
              </w:tc>
              <w:tc>
                <w:tcPr/>
                <w:p>
                  <w:pPr>
                    <w:pStyle w:val="Compact"/>
                    <w:jc w:val="right"/>
                    <w:jc w:val="center"/>
                  </w:pPr>
                  <w:r>
                    <w:t xml:space="preserve">1.61</w:t>
                  </w:r>
                </w:p>
              </w:tc>
            </w:tr>
            <w:tr>
              <w:tc>
                <w:tcPr/>
                <w:p>
                  <w:pPr>
                    <w:pStyle w:val="Compact"/>
                    <w:jc w:val="right"/>
                    <w:jc w:val="center"/>
                  </w:pPr>
                  <w:r>
                    <w:t xml:space="preserve">13</w:t>
                  </w:r>
                </w:p>
              </w:tc>
              <w:tc>
                <w:tcPr/>
                <w:p>
                  <w:pPr>
                    <w:pStyle w:val="Compact"/>
                    <w:jc w:val="right"/>
                    <w:jc w:val="center"/>
                  </w:pPr>
                  <w:r>
                    <w:t xml:space="preserve">6.74</w:t>
                  </w:r>
                </w:p>
              </w:tc>
              <w:tc>
                <w:tcPr/>
                <w:p>
                  <w:pPr>
                    <w:pStyle w:val="Compact"/>
                    <w:jc w:val="right"/>
                    <w:jc w:val="center"/>
                  </w:pPr>
                  <w:r>
                    <w:t xml:space="preserve">28.3</w:t>
                  </w:r>
                </w:p>
              </w:tc>
              <w:tc>
                <w:tcPr/>
                <w:p>
                  <w:pPr>
                    <w:pStyle w:val="Compact"/>
                    <w:jc w:val="right"/>
                    <w:jc w:val="center"/>
                  </w:pPr>
                  <w:r>
                    <w:t xml:space="preserve">6.43</w:t>
                  </w:r>
                </w:p>
              </w:tc>
              <w:tc>
                <w:tcPr/>
                <w:p>
                  <w:pPr>
                    <w:pStyle w:val="Compact"/>
                    <w:jc w:val="right"/>
                    <w:jc w:val="center"/>
                  </w:pPr>
                  <w:r>
                    <w:t xml:space="preserve">29.6</w:t>
                  </w:r>
                </w:p>
              </w:tc>
              <w:tc>
                <w:tcPr/>
                <w:p>
                  <w:pPr>
                    <w:pStyle w:val="Compact"/>
                    <w:jc w:val="right"/>
                    <w:jc w:val="center"/>
                  </w:pPr>
                  <w:r>
                    <w:t xml:space="preserve">2.18</w:t>
                  </w:r>
                </w:p>
              </w:tc>
            </w:tr>
            <w:tr>
              <w:tc>
                <w:tcPr/>
                <w:p>
                  <w:pPr>
                    <w:pStyle w:val="Compact"/>
                    <w:jc w:val="right"/>
                    <w:jc w:val="center"/>
                  </w:pPr>
                  <w:r>
                    <w:t xml:space="preserve">14</w:t>
                  </w:r>
                </w:p>
              </w:tc>
              <w:tc>
                <w:tcPr/>
                <w:p>
                  <w:pPr>
                    <w:pStyle w:val="Compact"/>
                    <w:jc w:val="right"/>
                    <w:jc w:val="center"/>
                  </w:pPr>
                  <w:r>
                    <w:t xml:space="preserve">5.4</w:t>
                  </w:r>
                </w:p>
              </w:tc>
              <w:tc>
                <w:tcPr/>
                <w:p>
                  <w:pPr>
                    <w:pStyle w:val="Compact"/>
                    <w:jc w:val="right"/>
                    <w:jc w:val="center"/>
                  </w:pPr>
                  <w:r>
                    <w:t xml:space="preserve">26.7</w:t>
                  </w:r>
                </w:p>
              </w:tc>
              <w:tc>
                <w:tcPr/>
                <w:p>
                  <w:pPr>
                    <w:pStyle w:val="Compact"/>
                    <w:jc w:val="right"/>
                    <w:jc w:val="center"/>
                  </w:pPr>
                  <w:r>
                    <w:t xml:space="preserve">5.94</w:t>
                  </w:r>
                </w:p>
              </w:tc>
              <w:tc>
                <w:tcPr/>
                <w:p>
                  <w:pPr>
                    <w:pStyle w:val="Compact"/>
                    <w:jc w:val="right"/>
                    <w:jc w:val="center"/>
                  </w:pPr>
                  <w:r>
                    <w:t xml:space="preserve">24.4</w:t>
                  </w:r>
                </w:p>
              </w:tc>
              <w:tc>
                <w:tcPr/>
                <w:p>
                  <w:pPr>
                    <w:pStyle w:val="Compact"/>
                    <w:jc w:val="right"/>
                    <w:jc w:val="center"/>
                  </w:pPr>
                  <w:r>
                    <w:t xml:space="preserve">1.62</w:t>
                  </w:r>
                </w:p>
              </w:tc>
            </w:tr>
            <w:tr>
              <w:tc>
                <w:tcPr/>
                <w:p>
                  <w:pPr>
                    <w:pStyle w:val="Compact"/>
                    <w:jc w:val="right"/>
                    <w:jc w:val="center"/>
                  </w:pPr>
                  <w:r>
                    <w:t xml:space="preserve">15</w:t>
                  </w:r>
                </w:p>
              </w:tc>
              <w:tc>
                <w:tcPr/>
                <w:p>
                  <w:pPr>
                    <w:pStyle w:val="Compact"/>
                    <w:jc w:val="right"/>
                    <w:jc w:val="center"/>
                  </w:pPr>
                  <w:r>
                    <w:t xml:space="preserve">3.82</w:t>
                  </w:r>
                </w:p>
              </w:tc>
              <w:tc>
                <w:tcPr/>
                <w:p>
                  <w:pPr>
                    <w:pStyle w:val="Compact"/>
                    <w:jc w:val="right"/>
                    <w:jc w:val="center"/>
                  </w:pPr>
                  <w:r>
                    <w:t xml:space="preserve">25.2</w:t>
                  </w:r>
                </w:p>
              </w:tc>
              <w:tc>
                <w:tcPr/>
                <w:p>
                  <w:pPr>
                    <w:pStyle w:val="Compact"/>
                    <w:jc w:val="right"/>
                    <w:jc w:val="center"/>
                  </w:pPr>
                  <w:r>
                    <w:t xml:space="preserve">6.1</w:t>
                  </w:r>
                </w:p>
              </w:tc>
              <w:tc>
                <w:tcPr/>
                <w:p>
                  <w:pPr>
                    <w:pStyle w:val="Compact"/>
                    <w:jc w:val="right"/>
                    <w:jc w:val="center"/>
                  </w:pPr>
                  <w:r>
                    <w:t xml:space="preserve">18.4</w:t>
                  </w:r>
                </w:p>
              </w:tc>
              <w:tc>
                <w:tcPr/>
                <w:p>
                  <w:pPr>
                    <w:pStyle w:val="Compact"/>
                    <w:jc w:val="right"/>
                    <w:jc w:val="center"/>
                  </w:pPr>
                  <w:r>
                    <w:t xml:space="preserve">1.8</w:t>
                  </w:r>
                </w:p>
              </w:tc>
            </w:tr>
            <w:tr>
              <w:tc>
                <w:tcPr/>
                <w:p>
                  <w:pPr>
                    <w:pStyle w:val="Compact"/>
                    <w:jc w:val="right"/>
                    <w:jc w:val="center"/>
                  </w:pPr>
                  <w:r>
                    <w:t xml:space="preserve">16</w:t>
                  </w:r>
                </w:p>
              </w:tc>
              <w:tc>
                <w:tcPr/>
                <w:p>
                  <w:pPr>
                    <w:pStyle w:val="Compact"/>
                    <w:jc w:val="right"/>
                    <w:jc w:val="center"/>
                  </w:pPr>
                  <w:r>
                    <w:t xml:space="preserve">3.08</w:t>
                  </w:r>
                </w:p>
              </w:tc>
              <w:tc>
                <w:tcPr/>
                <w:p>
                  <w:pPr>
                    <w:pStyle w:val="Compact"/>
                    <w:jc w:val="right"/>
                    <w:jc w:val="center"/>
                  </w:pPr>
                  <w:r>
                    <w:t xml:space="preserve">29.1</w:t>
                  </w:r>
                </w:p>
              </w:tc>
              <w:tc>
                <w:tcPr/>
                <w:p>
                  <w:pPr>
                    <w:pStyle w:val="Compact"/>
                    <w:jc w:val="right"/>
                    <w:jc w:val="center"/>
                  </w:pPr>
                  <w:r>
                    <w:t xml:space="preserve">6.15</w:t>
                  </w:r>
                </w:p>
              </w:tc>
              <w:tc>
                <w:tcPr/>
                <w:p>
                  <w:pPr>
                    <w:pStyle w:val="Compact"/>
                    <w:jc w:val="right"/>
                    <w:jc w:val="center"/>
                  </w:pPr>
                  <w:r>
                    <w:t xml:space="preserve">15.8</w:t>
                  </w:r>
                </w:p>
              </w:tc>
              <w:tc>
                <w:tcPr/>
                <w:p>
                  <w:pPr>
                    <w:pStyle w:val="Compact"/>
                    <w:jc w:val="right"/>
                    <w:jc w:val="center"/>
                  </w:pPr>
                  <w:r>
                    <w:t xml:space="preserve">2.05</w:t>
                  </w:r>
                </w:p>
              </w:tc>
            </w:tr>
            <w:tr>
              <w:tc>
                <w:tcPr/>
                <w:p>
                  <w:pPr>
                    <w:pStyle w:val="Compact"/>
                    <w:jc w:val="right"/>
                    <w:jc w:val="center"/>
                  </w:pPr>
                  <w:r>
                    <w:t xml:space="preserve">17</w:t>
                  </w:r>
                </w:p>
              </w:tc>
              <w:tc>
                <w:tcPr/>
                <w:p>
                  <w:pPr>
                    <w:pStyle w:val="Compact"/>
                    <w:jc w:val="right"/>
                    <w:jc w:val="center"/>
                  </w:pPr>
                  <w:r>
                    <w:t xml:space="preserve">7.8</w:t>
                  </w:r>
                </w:p>
              </w:tc>
              <w:tc>
                <w:tcPr/>
                <w:p>
                  <w:pPr>
                    <w:pStyle w:val="Compact"/>
                    <w:jc w:val="right"/>
                    <w:jc w:val="center"/>
                  </w:pPr>
                  <w:r>
                    <w:t xml:space="preserve">26.4</w:t>
                  </w:r>
                </w:p>
              </w:tc>
              <w:tc>
                <w:tcPr/>
                <w:p>
                  <w:pPr>
                    <w:pStyle w:val="Compact"/>
                    <w:jc w:val="right"/>
                    <w:jc w:val="center"/>
                  </w:pPr>
                  <w:r>
                    <w:t xml:space="preserve">5.88</w:t>
                  </w:r>
                </w:p>
              </w:tc>
              <w:tc>
                <w:tcPr/>
                <w:p>
                  <w:pPr>
                    <w:pStyle w:val="Compact"/>
                    <w:jc w:val="right"/>
                    <w:jc w:val="center"/>
                  </w:pPr>
                  <w:r>
                    <w:t xml:space="preserve">21.9</w:t>
                  </w:r>
                </w:p>
              </w:tc>
              <w:tc>
                <w:tcPr/>
                <w:p>
                  <w:pPr>
                    <w:pStyle w:val="Compact"/>
                    <w:jc w:val="right"/>
                    <w:jc w:val="center"/>
                  </w:pPr>
                  <w:r>
                    <w:t xml:space="preserve">1.64</w:t>
                  </w:r>
                </w:p>
              </w:tc>
            </w:tr>
            <w:tr>
              <w:tc>
                <w:tcPr/>
                <w:p>
                  <w:pPr>
                    <w:pStyle w:val="Compact"/>
                    <w:jc w:val="right"/>
                    <w:jc w:val="center"/>
                  </w:pPr>
                  <w:r>
                    <w:t xml:space="preserve">18</w:t>
                  </w:r>
                </w:p>
              </w:tc>
              <w:tc>
                <w:tcPr/>
                <w:p>
                  <w:pPr>
                    <w:pStyle w:val="Compact"/>
                    <w:jc w:val="right"/>
                    <w:jc w:val="center"/>
                  </w:pPr>
                  <w:r>
                    <w:t xml:space="preserve">7.51</w:t>
                  </w:r>
                </w:p>
              </w:tc>
              <w:tc>
                <w:tcPr/>
                <w:p>
                  <w:pPr>
                    <w:pStyle w:val="Compact"/>
                    <w:jc w:val="right"/>
                    <w:jc w:val="center"/>
                  </w:pPr>
                  <w:r>
                    <w:t xml:space="preserve">27.4</w:t>
                  </w:r>
                </w:p>
              </w:tc>
              <w:tc>
                <w:tcPr/>
                <w:p>
                  <w:pPr>
                    <w:pStyle w:val="Compact"/>
                    <w:jc w:val="right"/>
                    <w:jc w:val="center"/>
                  </w:pPr>
                  <w:r>
                    <w:t xml:space="preserve">5.84</w:t>
                  </w:r>
                </w:p>
              </w:tc>
              <w:tc>
                <w:tcPr/>
                <w:p>
                  <w:pPr>
                    <w:pStyle w:val="Compact"/>
                    <w:jc w:val="right"/>
                    <w:jc w:val="center"/>
                  </w:pPr>
                  <w:r>
                    <w:t xml:space="preserve">20</w:t>
                  </w:r>
                </w:p>
              </w:tc>
              <w:tc>
                <w:tcPr/>
                <w:p>
                  <w:pPr>
                    <w:pStyle w:val="Compact"/>
                    <w:jc w:val="right"/>
                    <w:jc w:val="center"/>
                  </w:pPr>
                  <w:r>
                    <w:t xml:space="preserve">1.63</w:t>
                  </w:r>
                </w:p>
              </w:tc>
            </w:tr>
            <w:tr>
              <w:tc>
                <w:tcPr/>
                <w:p>
                  <w:pPr>
                    <w:pStyle w:val="Compact"/>
                    <w:jc w:val="right"/>
                    <w:jc w:val="center"/>
                  </w:pPr>
                  <w:r>
                    <w:t xml:space="preserve">19</w:t>
                  </w:r>
                </w:p>
              </w:tc>
              <w:tc>
                <w:tcPr/>
                <w:p>
                  <w:pPr>
                    <w:pStyle w:val="Compact"/>
                    <w:jc w:val="right"/>
                    <w:jc w:val="center"/>
                  </w:pPr>
                  <w:r>
                    <w:t xml:space="preserve">8.48</w:t>
                  </w:r>
                </w:p>
              </w:tc>
              <w:tc>
                <w:tcPr/>
                <w:p>
                  <w:pPr>
                    <w:pStyle w:val="Compact"/>
                    <w:jc w:val="right"/>
                    <w:jc w:val="center"/>
                  </w:pPr>
                  <w:r>
                    <w:t xml:space="preserve">27</w:t>
                  </w:r>
                </w:p>
              </w:tc>
              <w:tc>
                <w:tcPr/>
                <w:p>
                  <w:pPr>
                    <w:pStyle w:val="Compact"/>
                    <w:jc w:val="right"/>
                    <w:jc w:val="center"/>
                  </w:pPr>
                  <w:r>
                    <w:t xml:space="preserve">7.11</w:t>
                  </w:r>
                </w:p>
              </w:tc>
              <w:tc>
                <w:tcPr/>
                <w:p>
                  <w:pPr>
                    <w:pStyle w:val="Compact"/>
                    <w:jc w:val="right"/>
                    <w:jc w:val="center"/>
                  </w:pPr>
                  <w:r>
                    <w:t xml:space="preserve">21.8</w:t>
                  </w:r>
                </w:p>
              </w:tc>
              <w:tc>
                <w:tcPr/>
                <w:p>
                  <w:pPr>
                    <w:pStyle w:val="Compact"/>
                    <w:jc w:val="right"/>
                    <w:jc w:val="center"/>
                  </w:pPr>
                  <w:r>
                    <w:t xml:space="preserve">1.5</w:t>
                  </w:r>
                </w:p>
              </w:tc>
            </w:tr>
          </w:tbl>
          <w:bookmarkEnd w:id="95"/>
          <w:p/>
        </w:tc>
      </w:tr>
    </w:tbl>
    <w:bookmarkEnd w:id="96"/>
    <w:bookmarkStart w:id="99" w:name="Xc987739a58e5854fe31352d470a2bebef9123c1"/>
    <w:p>
      <w:pPr>
        <w:pStyle w:val="Heading2"/>
      </w:pPr>
      <w:r>
        <w:t xml:space="preserve">14.2 Appendix B — Response-surface design matrix and responses</w:t>
      </w:r>
    </w:p>
    <w:p>
      <w:pPr>
        <w:pStyle w:val="FirstParagraph"/>
      </w:pPr>
      <w:r>
        <w:t xml:space="preserve">The coded settings of the face-centred central composite design are given first (</w:t>
      </w:r>
      <w:hyperlink w:anchor="tbl-appb1">
        <w:r>
          <w:rPr>
            <w:rStyle w:val="Hyperlink"/>
          </w:rPr>
          <w:t xml:space="preserve">Table 19</w:t>
        </w:r>
      </w:hyperlink>
      <w:r>
        <w:t xml:space="preserve">), followed by the responses obtained (</w:t>
      </w:r>
      <w:hyperlink w:anchor="tbl-appb2">
        <w:r>
          <w:rPr>
            <w:rStyle w:val="Hyperlink"/>
          </w:rPr>
          <w:t xml:space="preserve">Table 20</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7" w:name="tbl-appb1"/>
          <w:p>
            <w:pPr>
              <w:jc w:val="center"/>
            </w:pPr>
            <w:pPr>
              <w:jc w:val="left"/>
              <w:spacing w:before="200"/>
              <w:pStyle w:val="ImageCaption"/>
            </w:pPr>
            <w:r>
              <w:t xml:space="preserve">Table 19: Response-surface design, coded factor settings.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jc w:val="center"/>
                  </w:pPr>
                  <w:r>
                    <w:t xml:space="preserve">Run</w:t>
                  </w:r>
                </w:p>
              </w:tc>
              <w:tc>
                <w:tcPr/>
                <w:p>
                  <w:pPr>
                    <w:pStyle w:val="Compact"/>
                    <w:jc w:val="left"/>
                    <w:jc w:val="center"/>
                  </w:pPr>
                  <w:r>
                    <w:t xml:space="preserve">Type</w:t>
                  </w:r>
                </w:p>
              </w:tc>
              <w:tc>
                <w:tcPr/>
                <w:p>
                  <w:pPr>
                    <w:pStyle w:val="Compact"/>
                    <w:jc w:val="right"/>
                    <w:jc w:val="center"/>
                  </w:pPr>
                  <w:r>
                    <w:t xml:space="preserve">A</w:t>
                  </w:r>
                </w:p>
              </w:tc>
              <w:tc>
                <w:tcPr/>
                <w:p>
                  <w:pPr>
                    <w:pStyle w:val="Compact"/>
                    <w:jc w:val="right"/>
                    <w:jc w:val="center"/>
                  </w:pPr>
                  <w:r>
                    <w:t xml:space="preserve">B</w:t>
                  </w:r>
                </w:p>
              </w:tc>
              <w:tc>
                <w:tcPr/>
                <w:p>
                  <w:pPr>
                    <w:pStyle w:val="Compact"/>
                    <w:jc w:val="right"/>
                    <w:jc w:val="center"/>
                  </w:pPr>
                  <w:r>
                    <w:t xml:space="preserve">E</w:t>
                  </w:r>
                </w:p>
              </w:tc>
              <w:tc>
                <w:tcPr/>
                <w:p>
                  <w:pPr>
                    <w:pStyle w:val="Compact"/>
                    <w:jc w:val="right"/>
                    <w:jc w:val="center"/>
                  </w:pPr>
                  <w:r>
                    <w:t xml:space="preserve">C</w:t>
                  </w:r>
                </w:p>
              </w:tc>
            </w:tr>
            <w:tr>
              <w:tc>
                <w:tcPr/>
                <w:p>
                  <w:pPr>
                    <w:pStyle w:val="Compact"/>
                    <w:jc w:val="right"/>
                    <w:jc w:val="center"/>
                  </w:pPr>
                  <w:r>
                    <w:t xml:space="preserve">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7</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8</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9</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10</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11</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12</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13</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14</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15</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16</w:t>
                  </w:r>
                </w:p>
              </w:tc>
              <w:tc>
                <w:tcPr/>
                <w:p>
                  <w:pPr>
                    <w:pStyle w:val="Compact"/>
                    <w:jc w:val="left"/>
                    <w:jc w:val="center"/>
                  </w:pPr>
                  <w:r>
                    <w:t xml:space="preserve">factorial</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right"/>
                    <w:jc w:val="center"/>
                  </w:pPr>
                  <w:r>
                    <w:t xml:space="preserve">17</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18</w:t>
                  </w:r>
                </w:p>
              </w:tc>
              <w:tc>
                <w:tcPr/>
                <w:p>
                  <w:pPr>
                    <w:pStyle w:val="Compact"/>
                    <w:jc w:val="left"/>
                    <w:jc w:val="center"/>
                  </w:pPr>
                  <w:r>
                    <w:t xml:space="preserve">axial</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19</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20</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21</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22</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r>
            <w:tr>
              <w:tc>
                <w:tcPr/>
                <w:p>
                  <w:pPr>
                    <w:pStyle w:val="Compact"/>
                    <w:jc w:val="right"/>
                    <w:jc w:val="center"/>
                  </w:pPr>
                  <w:r>
                    <w:t xml:space="preserve">23</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24</w:t>
                  </w:r>
                </w:p>
              </w:tc>
              <w:tc>
                <w:tcPr/>
                <w:p>
                  <w:pPr>
                    <w:pStyle w:val="Compact"/>
                    <w:jc w:val="left"/>
                    <w:jc w:val="center"/>
                  </w:pPr>
                  <w:r>
                    <w:t xml:space="preserve">axial</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right"/>
                    <w:jc w:val="center"/>
                  </w:pPr>
                  <w:r>
                    <w:t xml:space="preserve">25</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26</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27</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r>
              <w:tc>
                <w:tcPr/>
                <w:p>
                  <w:pPr>
                    <w:pStyle w:val="Compact"/>
                    <w:jc w:val="right"/>
                    <w:jc w:val="center"/>
                  </w:pPr>
                  <w:r>
                    <w:t xml:space="preserve">28</w:t>
                  </w:r>
                </w:p>
              </w:tc>
              <w:tc>
                <w:tcPr/>
                <w:p>
                  <w:pPr>
                    <w:pStyle w:val="Compact"/>
                    <w:jc w:val="left"/>
                    <w:jc w:val="center"/>
                  </w:pPr>
                  <w:r>
                    <w:t xml:space="preserve">center</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r>
          </w:tbl>
          <w:bookmarkEnd w:id="9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98" w:name="tbl-appb2"/>
          <w:p>
            <w:pPr>
              <w:jc w:val="center"/>
            </w:pPr>
            <w:pPr>
              <w:jc w:val="left"/>
              <w:spacing w:before="200"/>
              <w:pStyle w:val="ImageCaption"/>
            </w:pPr>
            <w:r>
              <w:t xml:space="preserve">Table 20: Response-surface design, measured responses.</w:t>
            </w:r>
          </w:p>
          <w:tbl>
            <w:tblPr>
              <w:tblStyle w:val="Table"/>
              <w:tblW w:type="pct" w:w="5000"/>
              <w:tblLayout w:type="fixed"/>
              <w:tblLook w:firstRow="1" w:lastRow="0" w:firstColumn="0" w:lastColumn="0" w:noHBand="0" w:noVBand="0" w:val="0020"/>
            </w:tblPr>
            <w:tblGrid>
              <w:gridCol w:w="565"/>
              <w:gridCol w:w="1373"/>
              <w:gridCol w:w="1535"/>
              <w:gridCol w:w="1293"/>
              <w:gridCol w:w="1535"/>
              <w:gridCol w:w="1616"/>
            </w:tblGrid>
            <w:tr>
              <w:trPr>
                <w:tblHeader w:val="on"/>
              </w:trPr>
              <w:tc>
                <w:tcPr/>
                <w:p>
                  <w:pPr>
                    <w:pStyle w:val="Compact"/>
                    <w:jc w:val="right"/>
                    <w:jc w:val="center"/>
                  </w:pPr>
                  <w:r>
                    <w:t xml:space="preserve">Run</w:t>
                  </w:r>
                </w:p>
              </w:tc>
              <w:tc>
                <w:tcPr/>
                <w:p>
                  <w:pPr>
                    <w:pStyle w:val="Compact"/>
                    <w:jc w:val="right"/>
                    <w:jc w:val="center"/>
                  </w:pPr>
                  <w:r>
                    <w:t xml:space="preserve">Afucosylation</w:t>
                  </w:r>
                </w:p>
              </w:tc>
              <w:tc>
                <w:tcPr/>
                <w:p>
                  <w:pPr>
                    <w:pStyle w:val="Compact"/>
                    <w:jc w:val="right"/>
                    <w:jc w:val="center"/>
                  </w:pPr>
                  <w:r>
                    <w:t xml:space="preserve">Galactosylation</w:t>
                  </w:r>
                </w:p>
              </w:tc>
              <w:tc>
                <w:tcPr/>
                <w:p>
                  <w:pPr>
                    <w:pStyle w:val="Compact"/>
                    <w:jc w:val="right"/>
                    <w:jc w:val="center"/>
                  </w:pPr>
                  <w:r>
                    <w:t xml:space="preserve">High mannose</w:t>
                  </w:r>
                </w:p>
              </w:tc>
              <w:tc>
                <w:tcPr/>
                <w:p>
                  <w:pPr>
                    <w:pStyle w:val="Compact"/>
                    <w:jc w:val="right"/>
                    <w:jc w:val="center"/>
                  </w:pPr>
                  <w:r>
                    <w:t xml:space="preserve">Acidic variants</w:t>
                  </w:r>
                </w:p>
              </w:tc>
              <w:tc>
                <w:tcPr/>
                <w:p>
                  <w:pPr>
                    <w:pStyle w:val="Compact"/>
                    <w:jc w:val="right"/>
                    <w:jc w:val="center"/>
                  </w:pPr>
                  <w:r>
                    <w:t xml:space="preserve">Aggregates (HMW)</w:t>
                  </w:r>
                </w:p>
              </w:tc>
            </w:tr>
            <w:tr>
              <w:tc>
                <w:tcPr/>
                <w:p>
                  <w:pPr>
                    <w:pStyle w:val="Compact"/>
                    <w:jc w:val="right"/>
                    <w:jc w:val="center"/>
                  </w:pPr>
                  <w:r>
                    <w:t xml:space="preserve">1</w:t>
                  </w:r>
                </w:p>
              </w:tc>
              <w:tc>
                <w:tcPr/>
                <w:p>
                  <w:pPr>
                    <w:pStyle w:val="Compact"/>
                    <w:jc w:val="right"/>
                    <w:jc w:val="center"/>
                  </w:pPr>
                  <w:r>
                    <w:t xml:space="preserve">9.43</w:t>
                  </w:r>
                </w:p>
              </w:tc>
              <w:tc>
                <w:tcPr/>
                <w:p>
                  <w:pPr>
                    <w:pStyle w:val="Compact"/>
                    <w:jc w:val="right"/>
                    <w:jc w:val="center"/>
                  </w:pPr>
                  <w:r>
                    <w:t xml:space="preserve">38.8</w:t>
                  </w:r>
                </w:p>
              </w:tc>
              <w:tc>
                <w:tcPr/>
                <w:p>
                  <w:pPr>
                    <w:pStyle w:val="Compact"/>
                    <w:jc w:val="right"/>
                    <w:jc w:val="center"/>
                  </w:pPr>
                  <w:r>
                    <w:t xml:space="preserve">5.44</w:t>
                  </w:r>
                </w:p>
              </w:tc>
              <w:tc>
                <w:tcPr/>
                <w:p>
                  <w:pPr>
                    <w:pStyle w:val="Compact"/>
                    <w:jc w:val="right"/>
                    <w:jc w:val="center"/>
                  </w:pPr>
                  <w:r>
                    <w:t xml:space="preserve">29.8</w:t>
                  </w:r>
                </w:p>
              </w:tc>
              <w:tc>
                <w:tcPr/>
                <w:p>
                  <w:pPr>
                    <w:pStyle w:val="Compact"/>
                    <w:jc w:val="right"/>
                    <w:jc w:val="center"/>
                  </w:pPr>
                  <w:r>
                    <w:t xml:space="preserve">0.827</w:t>
                  </w:r>
                </w:p>
              </w:tc>
            </w:tr>
            <w:tr>
              <w:tc>
                <w:tcPr/>
                <w:p>
                  <w:pPr>
                    <w:pStyle w:val="Compact"/>
                    <w:jc w:val="right"/>
                    <w:jc w:val="center"/>
                  </w:pPr>
                  <w:r>
                    <w:t xml:space="preserve">2</w:t>
                  </w:r>
                </w:p>
              </w:tc>
              <w:tc>
                <w:tcPr/>
                <w:p>
                  <w:pPr>
                    <w:pStyle w:val="Compact"/>
                    <w:jc w:val="right"/>
                    <w:jc w:val="center"/>
                  </w:pPr>
                  <w:r>
                    <w:t xml:space="preserve">11.8</w:t>
                  </w:r>
                </w:p>
              </w:tc>
              <w:tc>
                <w:tcPr/>
                <w:p>
                  <w:pPr>
                    <w:pStyle w:val="Compact"/>
                    <w:jc w:val="right"/>
                    <w:jc w:val="center"/>
                  </w:pPr>
                  <w:r>
                    <w:t xml:space="preserve">29</w:t>
                  </w:r>
                </w:p>
              </w:tc>
              <w:tc>
                <w:tcPr/>
                <w:p>
                  <w:pPr>
                    <w:pStyle w:val="Compact"/>
                    <w:jc w:val="right"/>
                    <w:jc w:val="center"/>
                  </w:pPr>
                  <w:r>
                    <w:t xml:space="preserve">5.55</w:t>
                  </w:r>
                </w:p>
              </w:tc>
              <w:tc>
                <w:tcPr/>
                <w:p>
                  <w:pPr>
                    <w:pStyle w:val="Compact"/>
                    <w:jc w:val="right"/>
                    <w:jc w:val="center"/>
                  </w:pPr>
                  <w:r>
                    <w:t xml:space="preserve">17.6</w:t>
                  </w:r>
                </w:p>
              </w:tc>
              <w:tc>
                <w:tcPr/>
                <w:p>
                  <w:pPr>
                    <w:pStyle w:val="Compact"/>
                    <w:jc w:val="right"/>
                    <w:jc w:val="center"/>
                  </w:pPr>
                  <w:r>
                    <w:t xml:space="preserve">0.791</w:t>
                  </w:r>
                </w:p>
              </w:tc>
            </w:tr>
            <w:tr>
              <w:tc>
                <w:tcPr/>
                <w:p>
                  <w:pPr>
                    <w:pStyle w:val="Compact"/>
                    <w:jc w:val="right"/>
                    <w:jc w:val="center"/>
                  </w:pPr>
                  <w:r>
                    <w:t xml:space="preserve">3</w:t>
                  </w:r>
                </w:p>
              </w:tc>
              <w:tc>
                <w:tcPr/>
                <w:p>
                  <w:pPr>
                    <w:pStyle w:val="Compact"/>
                    <w:jc w:val="right"/>
                    <w:jc w:val="center"/>
                  </w:pPr>
                  <w:r>
                    <w:t xml:space="preserve">4.5</w:t>
                  </w:r>
                </w:p>
              </w:tc>
              <w:tc>
                <w:tcPr/>
                <w:p>
                  <w:pPr>
                    <w:pStyle w:val="Compact"/>
                    <w:jc w:val="right"/>
                    <w:jc w:val="center"/>
                  </w:pPr>
                  <w:r>
                    <w:t xml:space="preserve">25.9</w:t>
                  </w:r>
                </w:p>
              </w:tc>
              <w:tc>
                <w:tcPr/>
                <w:p>
                  <w:pPr>
                    <w:pStyle w:val="Compact"/>
                    <w:jc w:val="right"/>
                    <w:jc w:val="center"/>
                  </w:pPr>
                  <w:r>
                    <w:t xml:space="preserve">5.65</w:t>
                  </w:r>
                </w:p>
              </w:tc>
              <w:tc>
                <w:tcPr/>
                <w:p>
                  <w:pPr>
                    <w:pStyle w:val="Compact"/>
                    <w:jc w:val="right"/>
                    <w:jc w:val="center"/>
                  </w:pPr>
                  <w:r>
                    <w:t xml:space="preserve">25.1</w:t>
                  </w:r>
                </w:p>
              </w:tc>
              <w:tc>
                <w:tcPr/>
                <w:p>
                  <w:pPr>
                    <w:pStyle w:val="Compact"/>
                    <w:jc w:val="right"/>
                    <w:jc w:val="center"/>
                  </w:pPr>
                  <w:r>
                    <w:t xml:space="preserve">1.33</w:t>
                  </w:r>
                </w:p>
              </w:tc>
            </w:tr>
            <w:tr>
              <w:tc>
                <w:tcPr/>
                <w:p>
                  <w:pPr>
                    <w:pStyle w:val="Compact"/>
                    <w:jc w:val="right"/>
                    <w:jc w:val="center"/>
                  </w:pPr>
                  <w:r>
                    <w:t xml:space="preserve">4</w:t>
                  </w:r>
                </w:p>
              </w:tc>
              <w:tc>
                <w:tcPr/>
                <w:p>
                  <w:pPr>
                    <w:pStyle w:val="Compact"/>
                    <w:jc w:val="right"/>
                    <w:jc w:val="center"/>
                  </w:pPr>
                  <w:r>
                    <w:t xml:space="preserve">5.38</w:t>
                  </w:r>
                </w:p>
              </w:tc>
              <w:tc>
                <w:tcPr/>
                <w:p>
                  <w:pPr>
                    <w:pStyle w:val="Compact"/>
                    <w:jc w:val="right"/>
                    <w:jc w:val="center"/>
                  </w:pPr>
                  <w:r>
                    <w:t xml:space="preserve">16.6</w:t>
                  </w:r>
                </w:p>
              </w:tc>
              <w:tc>
                <w:tcPr/>
                <w:p>
                  <w:pPr>
                    <w:pStyle w:val="Compact"/>
                    <w:jc w:val="right"/>
                    <w:jc w:val="center"/>
                  </w:pPr>
                  <w:r>
                    <w:t xml:space="preserve">5.38</w:t>
                  </w:r>
                </w:p>
              </w:tc>
              <w:tc>
                <w:tcPr/>
                <w:p>
                  <w:pPr>
                    <w:pStyle w:val="Compact"/>
                    <w:jc w:val="right"/>
                    <w:jc w:val="center"/>
                  </w:pPr>
                  <w:r>
                    <w:t xml:space="preserve">20</w:t>
                  </w:r>
                </w:p>
              </w:tc>
              <w:tc>
                <w:tcPr/>
                <w:p>
                  <w:pPr>
                    <w:pStyle w:val="Compact"/>
                    <w:jc w:val="right"/>
                    <w:jc w:val="center"/>
                  </w:pPr>
                  <w:r>
                    <w:t xml:space="preserve">1.37</w:t>
                  </w:r>
                </w:p>
              </w:tc>
            </w:tr>
            <w:tr>
              <w:tc>
                <w:tcPr/>
                <w:p>
                  <w:pPr>
                    <w:pStyle w:val="Compact"/>
                    <w:jc w:val="right"/>
                    <w:jc w:val="center"/>
                  </w:pPr>
                  <w:r>
                    <w:t xml:space="preserve">5</w:t>
                  </w:r>
                </w:p>
              </w:tc>
              <w:tc>
                <w:tcPr/>
                <w:p>
                  <w:pPr>
                    <w:pStyle w:val="Compact"/>
                    <w:jc w:val="right"/>
                    <w:jc w:val="center"/>
                  </w:pPr>
                  <w:r>
                    <w:t xml:space="preserve">10.4</w:t>
                  </w:r>
                </w:p>
              </w:tc>
              <w:tc>
                <w:tcPr/>
                <w:p>
                  <w:pPr>
                    <w:pStyle w:val="Compact"/>
                    <w:jc w:val="right"/>
                    <w:jc w:val="center"/>
                  </w:pPr>
                  <w:r>
                    <w:t xml:space="preserve">40.5</w:t>
                  </w:r>
                </w:p>
              </w:tc>
              <w:tc>
                <w:tcPr/>
                <w:p>
                  <w:pPr>
                    <w:pStyle w:val="Compact"/>
                    <w:jc w:val="right"/>
                    <w:jc w:val="center"/>
                  </w:pPr>
                  <w:r>
                    <w:t xml:space="preserve">4.23</w:t>
                  </w:r>
                </w:p>
              </w:tc>
              <w:tc>
                <w:tcPr/>
                <w:p>
                  <w:pPr>
                    <w:pStyle w:val="Compact"/>
                    <w:jc w:val="right"/>
                    <w:jc w:val="center"/>
                  </w:pPr>
                  <w:r>
                    <w:t xml:space="preserve">25.6</w:t>
                  </w:r>
                </w:p>
              </w:tc>
              <w:tc>
                <w:tcPr/>
                <w:p>
                  <w:pPr>
                    <w:pStyle w:val="Compact"/>
                    <w:jc w:val="right"/>
                    <w:jc w:val="center"/>
                  </w:pPr>
                  <w:r>
                    <w:t xml:space="preserve">0.803</w:t>
                  </w:r>
                </w:p>
              </w:tc>
            </w:tr>
            <w:tr>
              <w:tc>
                <w:tcPr/>
                <w:p>
                  <w:pPr>
                    <w:pStyle w:val="Compact"/>
                    <w:jc w:val="right"/>
                    <w:jc w:val="center"/>
                  </w:pPr>
                  <w:r>
                    <w:t xml:space="preserve">6</w:t>
                  </w:r>
                </w:p>
              </w:tc>
              <w:tc>
                <w:tcPr/>
                <w:p>
                  <w:pPr>
                    <w:pStyle w:val="Compact"/>
                    <w:jc w:val="right"/>
                    <w:jc w:val="center"/>
                  </w:pPr>
                  <w:r>
                    <w:t xml:space="preserve">10.1</w:t>
                  </w:r>
                </w:p>
              </w:tc>
              <w:tc>
                <w:tcPr/>
                <w:p>
                  <w:pPr>
                    <w:pStyle w:val="Compact"/>
                    <w:jc w:val="right"/>
                    <w:jc w:val="center"/>
                  </w:pPr>
                  <w:r>
                    <w:t xml:space="preserve">30.7</w:t>
                  </w:r>
                </w:p>
              </w:tc>
              <w:tc>
                <w:tcPr/>
                <w:p>
                  <w:pPr>
                    <w:pStyle w:val="Compact"/>
                    <w:jc w:val="right"/>
                    <w:jc w:val="center"/>
                  </w:pPr>
                  <w:r>
                    <w:t xml:space="preserve">4.17</w:t>
                  </w:r>
                </w:p>
              </w:tc>
              <w:tc>
                <w:tcPr/>
                <w:p>
                  <w:pPr>
                    <w:pStyle w:val="Compact"/>
                    <w:jc w:val="right"/>
                    <w:jc w:val="center"/>
                  </w:pPr>
                  <w:r>
                    <w:t xml:space="preserve">19.8</w:t>
                  </w:r>
                </w:p>
              </w:tc>
              <w:tc>
                <w:tcPr/>
                <w:p>
                  <w:pPr>
                    <w:pStyle w:val="Compact"/>
                    <w:jc w:val="right"/>
                    <w:jc w:val="center"/>
                  </w:pPr>
                  <w:r>
                    <w:t xml:space="preserve">0.707</w:t>
                  </w:r>
                </w:p>
              </w:tc>
            </w:tr>
            <w:tr>
              <w:tc>
                <w:tcPr/>
                <w:p>
                  <w:pPr>
                    <w:pStyle w:val="Compact"/>
                    <w:jc w:val="right"/>
                    <w:jc w:val="center"/>
                  </w:pPr>
                  <w:r>
                    <w:t xml:space="preserve">7</w:t>
                  </w:r>
                </w:p>
              </w:tc>
              <w:tc>
                <w:tcPr/>
                <w:p>
                  <w:pPr>
                    <w:pStyle w:val="Compact"/>
                    <w:jc w:val="right"/>
                    <w:jc w:val="center"/>
                  </w:pPr>
                  <w:r>
                    <w:t xml:space="preserve">5.12</w:t>
                  </w:r>
                </w:p>
              </w:tc>
              <w:tc>
                <w:tcPr/>
                <w:p>
                  <w:pPr>
                    <w:pStyle w:val="Compact"/>
                    <w:jc w:val="right"/>
                    <w:jc w:val="center"/>
                  </w:pPr>
                  <w:r>
                    <w:t xml:space="preserve">27.1</w:t>
                  </w:r>
                </w:p>
              </w:tc>
              <w:tc>
                <w:tcPr/>
                <w:p>
                  <w:pPr>
                    <w:pStyle w:val="Compact"/>
                    <w:jc w:val="right"/>
                    <w:jc w:val="center"/>
                  </w:pPr>
                  <w:r>
                    <w:t xml:space="preserve">4.63</w:t>
                  </w:r>
                </w:p>
              </w:tc>
              <w:tc>
                <w:tcPr/>
                <w:p>
                  <w:pPr>
                    <w:pStyle w:val="Compact"/>
                    <w:jc w:val="right"/>
                    <w:jc w:val="center"/>
                  </w:pPr>
                  <w:r>
                    <w:t xml:space="preserve">30.3</w:t>
                  </w:r>
                </w:p>
              </w:tc>
              <w:tc>
                <w:tcPr/>
                <w:p>
                  <w:pPr>
                    <w:pStyle w:val="Compact"/>
                    <w:jc w:val="right"/>
                    <w:jc w:val="center"/>
                  </w:pPr>
                  <w:r>
                    <w:t xml:space="preserve">1.24</w:t>
                  </w:r>
                </w:p>
              </w:tc>
            </w:tr>
            <w:tr>
              <w:tc>
                <w:tcPr/>
                <w:p>
                  <w:pPr>
                    <w:pStyle w:val="Compact"/>
                    <w:jc w:val="right"/>
                    <w:jc w:val="center"/>
                  </w:pPr>
                  <w:r>
                    <w:t xml:space="preserve">8</w:t>
                  </w:r>
                </w:p>
              </w:tc>
              <w:tc>
                <w:tcPr/>
                <w:p>
                  <w:pPr>
                    <w:pStyle w:val="Compact"/>
                    <w:jc w:val="right"/>
                    <w:jc w:val="center"/>
                  </w:pPr>
                  <w:r>
                    <w:t xml:space="preserve">6.13</w:t>
                  </w:r>
                </w:p>
              </w:tc>
              <w:tc>
                <w:tcPr/>
                <w:p>
                  <w:pPr>
                    <w:pStyle w:val="Compact"/>
                    <w:jc w:val="right"/>
                    <w:jc w:val="center"/>
                  </w:pPr>
                  <w:r>
                    <w:t xml:space="preserve">17.4</w:t>
                  </w:r>
                </w:p>
              </w:tc>
              <w:tc>
                <w:tcPr/>
                <w:p>
                  <w:pPr>
                    <w:pStyle w:val="Compact"/>
                    <w:jc w:val="right"/>
                    <w:jc w:val="center"/>
                  </w:pPr>
                  <w:r>
                    <w:t xml:space="preserve">4.64</w:t>
                  </w:r>
                </w:p>
              </w:tc>
              <w:tc>
                <w:tcPr/>
                <w:p>
                  <w:pPr>
                    <w:pStyle w:val="Compact"/>
                    <w:jc w:val="right"/>
                    <w:jc w:val="center"/>
                  </w:pPr>
                  <w:r>
                    <w:t xml:space="preserve">21.8</w:t>
                  </w:r>
                </w:p>
              </w:tc>
              <w:tc>
                <w:tcPr/>
                <w:p>
                  <w:pPr>
                    <w:pStyle w:val="Compact"/>
                    <w:jc w:val="right"/>
                    <w:jc w:val="center"/>
                  </w:pPr>
                  <w:r>
                    <w:t xml:space="preserve">1.41</w:t>
                  </w:r>
                </w:p>
              </w:tc>
            </w:tr>
            <w:tr>
              <w:tc>
                <w:tcPr/>
                <w:p>
                  <w:pPr>
                    <w:pStyle w:val="Compact"/>
                    <w:jc w:val="right"/>
                    <w:jc w:val="center"/>
                  </w:pPr>
                  <w:r>
                    <w:t xml:space="preserve">9</w:t>
                  </w:r>
                </w:p>
              </w:tc>
              <w:tc>
                <w:tcPr/>
                <w:p>
                  <w:pPr>
                    <w:pStyle w:val="Compact"/>
                    <w:jc w:val="right"/>
                    <w:jc w:val="center"/>
                  </w:pPr>
                  <w:r>
                    <w:t xml:space="preserve">8.92</w:t>
                  </w:r>
                </w:p>
              </w:tc>
              <w:tc>
                <w:tcPr/>
                <w:p>
                  <w:pPr>
                    <w:pStyle w:val="Compact"/>
                    <w:jc w:val="right"/>
                    <w:jc w:val="center"/>
                  </w:pPr>
                  <w:r>
                    <w:t xml:space="preserve">22</w:t>
                  </w:r>
                </w:p>
              </w:tc>
              <w:tc>
                <w:tcPr/>
                <w:p>
                  <w:pPr>
                    <w:pStyle w:val="Compact"/>
                    <w:jc w:val="right"/>
                    <w:jc w:val="center"/>
                  </w:pPr>
                  <w:r>
                    <w:t xml:space="preserve">6.79</w:t>
                  </w:r>
                </w:p>
              </w:tc>
              <w:tc>
                <w:tcPr/>
                <w:p>
                  <w:pPr>
                    <w:pStyle w:val="Compact"/>
                    <w:jc w:val="right"/>
                    <w:jc w:val="center"/>
                  </w:pPr>
                  <w:r>
                    <w:t xml:space="preserve">22.9</w:t>
                  </w:r>
                </w:p>
              </w:tc>
              <w:tc>
                <w:tcPr/>
                <w:p>
                  <w:pPr>
                    <w:pStyle w:val="Compact"/>
                    <w:jc w:val="right"/>
                    <w:jc w:val="center"/>
                  </w:pPr>
                  <w:r>
                    <w:t xml:space="preserve">1.5</w:t>
                  </w:r>
                </w:p>
              </w:tc>
            </w:tr>
            <w:tr>
              <w:tc>
                <w:tcPr/>
                <w:p>
                  <w:pPr>
                    <w:pStyle w:val="Compact"/>
                    <w:jc w:val="right"/>
                    <w:jc w:val="center"/>
                  </w:pPr>
                  <w:r>
                    <w:t xml:space="preserve">10</w:t>
                  </w:r>
                </w:p>
              </w:tc>
              <w:tc>
                <w:tcPr/>
                <w:p>
                  <w:pPr>
                    <w:pStyle w:val="Compact"/>
                    <w:jc w:val="right"/>
                    <w:jc w:val="center"/>
                  </w:pPr>
                  <w:r>
                    <w:t xml:space="preserve">5.89</w:t>
                  </w:r>
                </w:p>
              </w:tc>
              <w:tc>
                <w:tcPr/>
                <w:p>
                  <w:pPr>
                    <w:pStyle w:val="Compact"/>
                    <w:jc w:val="right"/>
                    <w:jc w:val="center"/>
                  </w:pPr>
                  <w:r>
                    <w:t xml:space="preserve">18.7</w:t>
                  </w:r>
                </w:p>
              </w:tc>
              <w:tc>
                <w:tcPr/>
                <w:p>
                  <w:pPr>
                    <w:pStyle w:val="Compact"/>
                    <w:jc w:val="right"/>
                    <w:jc w:val="center"/>
                  </w:pPr>
                  <w:r>
                    <w:t xml:space="preserve">8.81</w:t>
                  </w:r>
                </w:p>
              </w:tc>
              <w:tc>
                <w:tcPr/>
                <w:p>
                  <w:pPr>
                    <w:pStyle w:val="Compact"/>
                    <w:jc w:val="right"/>
                    <w:jc w:val="center"/>
                  </w:pPr>
                  <w:r>
                    <w:t xml:space="preserve">13.6</w:t>
                  </w:r>
                </w:p>
              </w:tc>
              <w:tc>
                <w:tcPr/>
                <w:p>
                  <w:pPr>
                    <w:pStyle w:val="Compact"/>
                    <w:jc w:val="right"/>
                    <w:jc w:val="center"/>
                  </w:pPr>
                  <w:r>
                    <w:t xml:space="preserve">1.53</w:t>
                  </w:r>
                </w:p>
              </w:tc>
            </w:tr>
            <w:tr>
              <w:tc>
                <w:tcPr/>
                <w:p>
                  <w:pPr>
                    <w:pStyle w:val="Compact"/>
                    <w:jc w:val="right"/>
                    <w:jc w:val="center"/>
                  </w:pPr>
                  <w:r>
                    <w:t xml:space="preserve">11</w:t>
                  </w:r>
                </w:p>
              </w:tc>
              <w:tc>
                <w:tcPr/>
                <w:p>
                  <w:pPr>
                    <w:pStyle w:val="Compact"/>
                    <w:jc w:val="right"/>
                    <w:jc w:val="center"/>
                  </w:pPr>
                  <w:r>
                    <w:t xml:space="preserve">8.05</w:t>
                  </w:r>
                </w:p>
              </w:tc>
              <w:tc>
                <w:tcPr/>
                <w:p>
                  <w:pPr>
                    <w:pStyle w:val="Compact"/>
                    <w:jc w:val="right"/>
                    <w:jc w:val="center"/>
                  </w:pPr>
                  <w:r>
                    <w:t xml:space="preserve">18.7</w:t>
                  </w:r>
                </w:p>
              </w:tc>
              <w:tc>
                <w:tcPr/>
                <w:p>
                  <w:pPr>
                    <w:pStyle w:val="Compact"/>
                    <w:jc w:val="right"/>
                    <w:jc w:val="center"/>
                  </w:pPr>
                  <w:r>
                    <w:t xml:space="preserve">6.11</w:t>
                  </w:r>
                </w:p>
              </w:tc>
              <w:tc>
                <w:tcPr/>
                <w:p>
                  <w:pPr>
                    <w:pStyle w:val="Compact"/>
                    <w:jc w:val="right"/>
                    <w:jc w:val="center"/>
                  </w:pPr>
                  <w:r>
                    <w:t xml:space="preserve">19.3</w:t>
                  </w:r>
                </w:p>
              </w:tc>
              <w:tc>
                <w:tcPr/>
                <w:p>
                  <w:pPr>
                    <w:pStyle w:val="Compact"/>
                    <w:jc w:val="right"/>
                    <w:jc w:val="center"/>
                  </w:pPr>
                  <w:r>
                    <w:t xml:space="preserve">1.99</w:t>
                  </w:r>
                </w:p>
              </w:tc>
            </w:tr>
            <w:tr>
              <w:tc>
                <w:tcPr/>
                <w:p>
                  <w:pPr>
                    <w:pStyle w:val="Compact"/>
                    <w:jc w:val="right"/>
                    <w:jc w:val="center"/>
                  </w:pPr>
                  <w:r>
                    <w:t xml:space="preserve">12</w:t>
                  </w:r>
                </w:p>
              </w:tc>
              <w:tc>
                <w:tcPr/>
                <w:p>
                  <w:pPr>
                    <w:pStyle w:val="Compact"/>
                    <w:jc w:val="right"/>
                    <w:jc w:val="center"/>
                  </w:pPr>
                  <w:r>
                    <w:t xml:space="preserve">5.17</w:t>
                  </w:r>
                </w:p>
              </w:tc>
              <w:tc>
                <w:tcPr/>
                <w:p>
                  <w:pPr>
                    <w:pStyle w:val="Compact"/>
                    <w:jc w:val="right"/>
                    <w:jc w:val="center"/>
                  </w:pPr>
                  <w:r>
                    <w:t xml:space="preserve">18.7</w:t>
                  </w:r>
                </w:p>
              </w:tc>
              <w:tc>
                <w:tcPr/>
                <w:p>
                  <w:pPr>
                    <w:pStyle w:val="Compact"/>
                    <w:jc w:val="right"/>
                    <w:jc w:val="center"/>
                  </w:pPr>
                  <w:r>
                    <w:t xml:space="preserve">7.34</w:t>
                  </w:r>
                </w:p>
              </w:tc>
              <w:tc>
                <w:tcPr/>
                <w:p>
                  <w:pPr>
                    <w:pStyle w:val="Compact"/>
                    <w:jc w:val="right"/>
                    <w:jc w:val="center"/>
                  </w:pPr>
                  <w:r>
                    <w:t xml:space="preserve">12.3</w:t>
                  </w:r>
                </w:p>
              </w:tc>
              <w:tc>
                <w:tcPr/>
                <w:p>
                  <w:pPr>
                    <w:pStyle w:val="Compact"/>
                    <w:jc w:val="right"/>
                    <w:jc w:val="center"/>
                  </w:pPr>
                  <w:r>
                    <w:t xml:space="preserve">2.15</w:t>
                  </w:r>
                </w:p>
              </w:tc>
            </w:tr>
            <w:tr>
              <w:tc>
                <w:tcPr/>
                <w:p>
                  <w:pPr>
                    <w:pStyle w:val="Compact"/>
                    <w:jc w:val="right"/>
                    <w:jc w:val="center"/>
                  </w:pPr>
                  <w:r>
                    <w:t xml:space="preserve">13</w:t>
                  </w:r>
                </w:p>
              </w:tc>
              <w:tc>
                <w:tcPr/>
                <w:p>
                  <w:pPr>
                    <w:pStyle w:val="Compact"/>
                    <w:jc w:val="right"/>
                    <w:jc w:val="center"/>
                  </w:pPr>
                  <w:r>
                    <w:t xml:space="preserve">5.41</w:t>
                  </w:r>
                </w:p>
              </w:tc>
              <w:tc>
                <w:tcPr/>
                <w:p>
                  <w:pPr>
                    <w:pStyle w:val="Compact"/>
                    <w:jc w:val="right"/>
                    <w:jc w:val="center"/>
                  </w:pPr>
                  <w:r>
                    <w:t xml:space="preserve">28.7</w:t>
                  </w:r>
                </w:p>
              </w:tc>
              <w:tc>
                <w:tcPr/>
                <w:p>
                  <w:pPr>
                    <w:pStyle w:val="Compact"/>
                    <w:jc w:val="right"/>
                    <w:jc w:val="center"/>
                  </w:pPr>
                  <w:r>
                    <w:t xml:space="preserve">6.97</w:t>
                  </w:r>
                </w:p>
              </w:tc>
              <w:tc>
                <w:tcPr/>
                <w:p>
                  <w:pPr>
                    <w:pStyle w:val="Compact"/>
                    <w:jc w:val="right"/>
                    <w:jc w:val="center"/>
                  </w:pPr>
                  <w:r>
                    <w:t xml:space="preserve">28.5</w:t>
                  </w:r>
                </w:p>
              </w:tc>
              <w:tc>
                <w:tcPr/>
                <w:p>
                  <w:pPr>
                    <w:pStyle w:val="Compact"/>
                    <w:jc w:val="right"/>
                    <w:jc w:val="center"/>
                  </w:pPr>
                  <w:r>
                    <w:t xml:space="preserve">1.45</w:t>
                  </w:r>
                </w:p>
              </w:tc>
            </w:tr>
            <w:tr>
              <w:tc>
                <w:tcPr/>
                <w:p>
                  <w:pPr>
                    <w:pStyle w:val="Compact"/>
                    <w:jc w:val="right"/>
                    <w:jc w:val="center"/>
                  </w:pPr>
                  <w:r>
                    <w:t xml:space="preserve">14</w:t>
                  </w:r>
                </w:p>
              </w:tc>
              <w:tc>
                <w:tcPr/>
                <w:p>
                  <w:pPr>
                    <w:pStyle w:val="Compact"/>
                    <w:jc w:val="right"/>
                    <w:jc w:val="center"/>
                  </w:pPr>
                  <w:r>
                    <w:t xml:space="preserve">2.84</w:t>
                  </w:r>
                </w:p>
              </w:tc>
              <w:tc>
                <w:tcPr/>
                <w:p>
                  <w:pPr>
                    <w:pStyle w:val="Compact"/>
                    <w:jc w:val="right"/>
                    <w:jc w:val="center"/>
                  </w:pPr>
                  <w:r>
                    <w:t xml:space="preserve">29.1</w:t>
                  </w:r>
                </w:p>
              </w:tc>
              <w:tc>
                <w:tcPr/>
                <w:p>
                  <w:pPr>
                    <w:pStyle w:val="Compact"/>
                    <w:jc w:val="right"/>
                    <w:jc w:val="center"/>
                  </w:pPr>
                  <w:r>
                    <w:t xml:space="preserve">7.36</w:t>
                  </w:r>
                </w:p>
              </w:tc>
              <w:tc>
                <w:tcPr/>
                <w:p>
                  <w:pPr>
                    <w:pStyle w:val="Compact"/>
                    <w:jc w:val="right"/>
                    <w:jc w:val="center"/>
                  </w:pPr>
                  <w:r>
                    <w:t xml:space="preserve">18.5</w:t>
                  </w:r>
                </w:p>
              </w:tc>
              <w:tc>
                <w:tcPr/>
                <w:p>
                  <w:pPr>
                    <w:pStyle w:val="Compact"/>
                    <w:jc w:val="right"/>
                    <w:jc w:val="center"/>
                  </w:pPr>
                  <w:r>
                    <w:t xml:space="preserve">1.7</w:t>
                  </w:r>
                </w:p>
              </w:tc>
            </w:tr>
            <w:tr>
              <w:tc>
                <w:tcPr/>
                <w:p>
                  <w:pPr>
                    <w:pStyle w:val="Compact"/>
                    <w:jc w:val="right"/>
                    <w:jc w:val="center"/>
                  </w:pPr>
                  <w:r>
                    <w:t xml:space="preserve">15</w:t>
                  </w:r>
                </w:p>
              </w:tc>
              <w:tc>
                <w:tcPr/>
                <w:p>
                  <w:pPr>
                    <w:pStyle w:val="Compact"/>
                    <w:jc w:val="right"/>
                    <w:jc w:val="center"/>
                  </w:pPr>
                  <w:r>
                    <w:t xml:space="preserve">6.2</w:t>
                  </w:r>
                </w:p>
              </w:tc>
              <w:tc>
                <w:tcPr/>
                <w:p>
                  <w:pPr>
                    <w:pStyle w:val="Compact"/>
                    <w:jc w:val="right"/>
                    <w:jc w:val="center"/>
                  </w:pPr>
                  <w:r>
                    <w:t xml:space="preserve">25.4</w:t>
                  </w:r>
                </w:p>
              </w:tc>
              <w:tc>
                <w:tcPr/>
                <w:p>
                  <w:pPr>
                    <w:pStyle w:val="Compact"/>
                    <w:jc w:val="right"/>
                    <w:jc w:val="center"/>
                  </w:pPr>
                  <w:r>
                    <w:t xml:space="preserve">5.95</w:t>
                  </w:r>
                </w:p>
              </w:tc>
              <w:tc>
                <w:tcPr/>
                <w:p>
                  <w:pPr>
                    <w:pStyle w:val="Compact"/>
                    <w:jc w:val="right"/>
                    <w:jc w:val="center"/>
                  </w:pPr>
                  <w:r>
                    <w:t xml:space="preserve">26.5</w:t>
                  </w:r>
                </w:p>
              </w:tc>
              <w:tc>
                <w:tcPr/>
                <w:p>
                  <w:pPr>
                    <w:pStyle w:val="Compact"/>
                    <w:jc w:val="right"/>
                    <w:jc w:val="center"/>
                  </w:pPr>
                  <w:r>
                    <w:t xml:space="preserve">2.08</w:t>
                  </w:r>
                </w:p>
              </w:tc>
            </w:tr>
            <w:tr>
              <w:tc>
                <w:tcPr/>
                <w:p>
                  <w:pPr>
                    <w:pStyle w:val="Compact"/>
                    <w:jc w:val="right"/>
                    <w:jc w:val="center"/>
                  </w:pPr>
                  <w:r>
                    <w:t xml:space="preserve">16</w:t>
                  </w:r>
                </w:p>
              </w:tc>
              <w:tc>
                <w:tcPr/>
                <w:p>
                  <w:pPr>
                    <w:pStyle w:val="Compact"/>
                    <w:jc w:val="right"/>
                    <w:jc w:val="center"/>
                  </w:pPr>
                  <w:r>
                    <w:t xml:space="preserve">4.19</w:t>
                  </w:r>
                </w:p>
              </w:tc>
              <w:tc>
                <w:tcPr/>
                <w:p>
                  <w:pPr>
                    <w:pStyle w:val="Compact"/>
                    <w:jc w:val="right"/>
                    <w:jc w:val="center"/>
                  </w:pPr>
                  <w:r>
                    <w:t xml:space="preserve">27.2</w:t>
                  </w:r>
                </w:p>
              </w:tc>
              <w:tc>
                <w:tcPr/>
                <w:p>
                  <w:pPr>
                    <w:pStyle w:val="Compact"/>
                    <w:jc w:val="right"/>
                    <w:jc w:val="center"/>
                  </w:pPr>
                  <w:r>
                    <w:t xml:space="preserve">6.8</w:t>
                  </w:r>
                </w:p>
              </w:tc>
              <w:tc>
                <w:tcPr/>
                <w:p>
                  <w:pPr>
                    <w:pStyle w:val="Compact"/>
                    <w:jc w:val="right"/>
                    <w:jc w:val="center"/>
                  </w:pPr>
                  <w:r>
                    <w:t xml:space="preserve">17.2</w:t>
                  </w:r>
                </w:p>
              </w:tc>
              <w:tc>
                <w:tcPr/>
                <w:p>
                  <w:pPr>
                    <w:pStyle w:val="Compact"/>
                    <w:jc w:val="right"/>
                    <w:jc w:val="center"/>
                  </w:pPr>
                  <w:r>
                    <w:t xml:space="preserve">2.01</w:t>
                  </w:r>
                </w:p>
              </w:tc>
            </w:tr>
            <w:tr>
              <w:tc>
                <w:tcPr/>
                <w:p>
                  <w:pPr>
                    <w:pStyle w:val="Compact"/>
                    <w:jc w:val="right"/>
                    <w:jc w:val="center"/>
                  </w:pPr>
                  <w:r>
                    <w:t xml:space="preserve">17</w:t>
                  </w:r>
                </w:p>
              </w:tc>
              <w:tc>
                <w:tcPr/>
                <w:p>
                  <w:pPr>
                    <w:pStyle w:val="Compact"/>
                    <w:jc w:val="right"/>
                    <w:jc w:val="center"/>
                  </w:pPr>
                  <w:r>
                    <w:t xml:space="preserve">7.82</w:t>
                  </w:r>
                </w:p>
              </w:tc>
              <w:tc>
                <w:tcPr/>
                <w:p>
                  <w:pPr>
                    <w:pStyle w:val="Compact"/>
                    <w:jc w:val="right"/>
                    <w:jc w:val="center"/>
                  </w:pPr>
                  <w:r>
                    <w:t xml:space="preserve">26.1</w:t>
                  </w:r>
                </w:p>
              </w:tc>
              <w:tc>
                <w:tcPr/>
                <w:p>
                  <w:pPr>
                    <w:pStyle w:val="Compact"/>
                    <w:jc w:val="right"/>
                    <w:jc w:val="center"/>
                  </w:pPr>
                  <w:r>
                    <w:t xml:space="preserve">4.59</w:t>
                  </w:r>
                </w:p>
              </w:tc>
              <w:tc>
                <w:tcPr/>
                <w:p>
                  <w:pPr>
                    <w:pStyle w:val="Compact"/>
                    <w:jc w:val="right"/>
                    <w:jc w:val="center"/>
                  </w:pPr>
                  <w:r>
                    <w:t xml:space="preserve">24.2</w:t>
                  </w:r>
                </w:p>
              </w:tc>
              <w:tc>
                <w:tcPr/>
                <w:p>
                  <w:pPr>
                    <w:pStyle w:val="Compact"/>
                    <w:jc w:val="right"/>
                    <w:jc w:val="center"/>
                  </w:pPr>
                  <w:r>
                    <w:t xml:space="preserve">1.15</w:t>
                  </w:r>
                </w:p>
              </w:tc>
            </w:tr>
            <w:tr>
              <w:tc>
                <w:tcPr/>
                <w:p>
                  <w:pPr>
                    <w:pStyle w:val="Compact"/>
                    <w:jc w:val="right"/>
                    <w:jc w:val="center"/>
                  </w:pPr>
                  <w:r>
                    <w:t xml:space="preserve">18</w:t>
                  </w:r>
                </w:p>
              </w:tc>
              <w:tc>
                <w:tcPr/>
                <w:p>
                  <w:pPr>
                    <w:pStyle w:val="Compact"/>
                    <w:jc w:val="right"/>
                    <w:jc w:val="center"/>
                  </w:pPr>
                  <w:r>
                    <w:t xml:space="preserve">6.07</w:t>
                  </w:r>
                </w:p>
              </w:tc>
              <w:tc>
                <w:tcPr/>
                <w:p>
                  <w:pPr>
                    <w:pStyle w:val="Compact"/>
                    <w:jc w:val="right"/>
                    <w:jc w:val="center"/>
                  </w:pPr>
                  <w:r>
                    <w:t xml:space="preserve">23.7</w:t>
                  </w:r>
                </w:p>
              </w:tc>
              <w:tc>
                <w:tcPr/>
                <w:p>
                  <w:pPr>
                    <w:pStyle w:val="Compact"/>
                    <w:jc w:val="right"/>
                    <w:jc w:val="center"/>
                  </w:pPr>
                  <w:r>
                    <w:t xml:space="preserve">7.72</w:t>
                  </w:r>
                </w:p>
              </w:tc>
              <w:tc>
                <w:tcPr/>
                <w:p>
                  <w:pPr>
                    <w:pStyle w:val="Compact"/>
                    <w:jc w:val="right"/>
                    <w:jc w:val="center"/>
                  </w:pPr>
                  <w:r>
                    <w:t xml:space="preserve">19.3</w:t>
                  </w:r>
                </w:p>
              </w:tc>
              <w:tc>
                <w:tcPr/>
                <w:p>
                  <w:pPr>
                    <w:pStyle w:val="Compact"/>
                    <w:jc w:val="right"/>
                    <w:jc w:val="center"/>
                  </w:pPr>
                  <w:r>
                    <w:t xml:space="preserve">1.82</w:t>
                  </w:r>
                </w:p>
              </w:tc>
            </w:tr>
            <w:tr>
              <w:tc>
                <w:tcPr/>
                <w:p>
                  <w:pPr>
                    <w:pStyle w:val="Compact"/>
                    <w:jc w:val="right"/>
                    <w:jc w:val="center"/>
                  </w:pPr>
                  <w:r>
                    <w:t xml:space="preserve">19</w:t>
                  </w:r>
                </w:p>
              </w:tc>
              <w:tc>
                <w:tcPr/>
                <w:p>
                  <w:pPr>
                    <w:pStyle w:val="Compact"/>
                    <w:jc w:val="right"/>
                    <w:jc w:val="center"/>
                  </w:pPr>
                  <w:r>
                    <w:t xml:space="preserve">8.77</w:t>
                  </w:r>
                </w:p>
              </w:tc>
              <w:tc>
                <w:tcPr/>
                <w:p>
                  <w:pPr>
                    <w:pStyle w:val="Compact"/>
                    <w:jc w:val="right"/>
                    <w:jc w:val="center"/>
                  </w:pPr>
                  <w:r>
                    <w:t xml:space="preserve">24.3</w:t>
                  </w:r>
                </w:p>
              </w:tc>
              <w:tc>
                <w:tcPr/>
                <w:p>
                  <w:pPr>
                    <w:pStyle w:val="Compact"/>
                    <w:jc w:val="right"/>
                    <w:jc w:val="center"/>
                  </w:pPr>
                  <w:r>
                    <w:t xml:space="preserve">6.75</w:t>
                  </w:r>
                </w:p>
              </w:tc>
              <w:tc>
                <w:tcPr/>
                <w:p>
                  <w:pPr>
                    <w:pStyle w:val="Compact"/>
                    <w:jc w:val="right"/>
                    <w:jc w:val="center"/>
                  </w:pPr>
                  <w:r>
                    <w:t xml:space="preserve">19.9</w:t>
                  </w:r>
                </w:p>
              </w:tc>
              <w:tc>
                <w:tcPr/>
                <w:p>
                  <w:pPr>
                    <w:pStyle w:val="Compact"/>
                    <w:jc w:val="right"/>
                    <w:jc w:val="center"/>
                  </w:pPr>
                  <w:r>
                    <w:t xml:space="preserve">1.51</w:t>
                  </w:r>
                </w:p>
              </w:tc>
            </w:tr>
            <w:tr>
              <w:tc>
                <w:tcPr/>
                <w:p>
                  <w:pPr>
                    <w:pStyle w:val="Compact"/>
                    <w:jc w:val="right"/>
                    <w:jc w:val="center"/>
                  </w:pPr>
                  <w:r>
                    <w:t xml:space="preserve">20</w:t>
                  </w:r>
                </w:p>
              </w:tc>
              <w:tc>
                <w:tcPr/>
                <w:p>
                  <w:pPr>
                    <w:pStyle w:val="Compact"/>
                    <w:jc w:val="right"/>
                    <w:jc w:val="center"/>
                  </w:pPr>
                  <w:r>
                    <w:t xml:space="preserve">7.55</w:t>
                  </w:r>
                </w:p>
              </w:tc>
              <w:tc>
                <w:tcPr/>
                <w:p>
                  <w:pPr>
                    <w:pStyle w:val="Compact"/>
                    <w:jc w:val="right"/>
                    <w:jc w:val="center"/>
                  </w:pPr>
                  <w:r>
                    <w:t xml:space="preserve">27.9</w:t>
                  </w:r>
                </w:p>
              </w:tc>
              <w:tc>
                <w:tcPr/>
                <w:p>
                  <w:pPr>
                    <w:pStyle w:val="Compact"/>
                    <w:jc w:val="right"/>
                    <w:jc w:val="center"/>
                  </w:pPr>
                  <w:r>
                    <w:t xml:space="preserve">5.51</w:t>
                  </w:r>
                </w:p>
              </w:tc>
              <w:tc>
                <w:tcPr/>
                <w:p>
                  <w:pPr>
                    <w:pStyle w:val="Compact"/>
                    <w:jc w:val="right"/>
                    <w:jc w:val="center"/>
                  </w:pPr>
                  <w:r>
                    <w:t xml:space="preserve">26.8</w:t>
                  </w:r>
                </w:p>
              </w:tc>
              <w:tc>
                <w:tcPr/>
                <w:p>
                  <w:pPr>
                    <w:pStyle w:val="Compact"/>
                    <w:jc w:val="right"/>
                    <w:jc w:val="center"/>
                  </w:pPr>
                  <w:r>
                    <w:t xml:space="preserve">1.32</w:t>
                  </w:r>
                </w:p>
              </w:tc>
            </w:tr>
            <w:tr>
              <w:tc>
                <w:tcPr/>
                <w:p>
                  <w:pPr>
                    <w:pStyle w:val="Compact"/>
                    <w:jc w:val="right"/>
                    <w:jc w:val="center"/>
                  </w:pPr>
                  <w:r>
                    <w:t xml:space="preserve">21</w:t>
                  </w:r>
                </w:p>
              </w:tc>
              <w:tc>
                <w:tcPr/>
                <w:p>
                  <w:pPr>
                    <w:pStyle w:val="Compact"/>
                    <w:jc w:val="right"/>
                    <w:jc w:val="center"/>
                  </w:pPr>
                  <w:r>
                    <w:t xml:space="preserve">10.3</w:t>
                  </w:r>
                </w:p>
              </w:tc>
              <w:tc>
                <w:tcPr/>
                <w:p>
                  <w:pPr>
                    <w:pStyle w:val="Compact"/>
                    <w:jc w:val="right"/>
                    <w:jc w:val="center"/>
                  </w:pPr>
                  <w:r>
                    <w:t xml:space="preserve">30.8</w:t>
                  </w:r>
                </w:p>
              </w:tc>
              <w:tc>
                <w:tcPr/>
                <w:p>
                  <w:pPr>
                    <w:pStyle w:val="Compact"/>
                    <w:jc w:val="right"/>
                    <w:jc w:val="center"/>
                  </w:pPr>
                  <w:r>
                    <w:t xml:space="preserve">6.11</w:t>
                  </w:r>
                </w:p>
              </w:tc>
              <w:tc>
                <w:tcPr/>
                <w:p>
                  <w:pPr>
                    <w:pStyle w:val="Compact"/>
                    <w:jc w:val="right"/>
                    <w:jc w:val="center"/>
                  </w:pPr>
                  <w:r>
                    <w:t xml:space="preserve">20.8</w:t>
                  </w:r>
                </w:p>
              </w:tc>
              <w:tc>
                <w:tcPr/>
                <w:p>
                  <w:pPr>
                    <w:pStyle w:val="Compact"/>
                    <w:jc w:val="right"/>
                    <w:jc w:val="center"/>
                  </w:pPr>
                  <w:r>
                    <w:t xml:space="preserve">1.3</w:t>
                  </w:r>
                </w:p>
              </w:tc>
            </w:tr>
            <w:tr>
              <w:tc>
                <w:tcPr/>
                <w:p>
                  <w:pPr>
                    <w:pStyle w:val="Compact"/>
                    <w:jc w:val="right"/>
                    <w:jc w:val="center"/>
                  </w:pPr>
                  <w:r>
                    <w:t xml:space="preserve">22</w:t>
                  </w:r>
                </w:p>
              </w:tc>
              <w:tc>
                <w:tcPr/>
                <w:p>
                  <w:pPr>
                    <w:pStyle w:val="Compact"/>
                    <w:jc w:val="right"/>
                    <w:jc w:val="center"/>
                  </w:pPr>
                  <w:r>
                    <w:t xml:space="preserve">6.89</w:t>
                  </w:r>
                </w:p>
              </w:tc>
              <w:tc>
                <w:tcPr/>
                <w:p>
                  <w:pPr>
                    <w:pStyle w:val="Compact"/>
                    <w:jc w:val="right"/>
                    <w:jc w:val="center"/>
                  </w:pPr>
                  <w:r>
                    <w:t xml:space="preserve">22.5</w:t>
                  </w:r>
                </w:p>
              </w:tc>
              <w:tc>
                <w:tcPr/>
                <w:p>
                  <w:pPr>
                    <w:pStyle w:val="Compact"/>
                    <w:jc w:val="right"/>
                    <w:jc w:val="center"/>
                  </w:pPr>
                  <w:r>
                    <w:t xml:space="preserve">5.54</w:t>
                  </w:r>
                </w:p>
              </w:tc>
              <w:tc>
                <w:tcPr/>
                <w:p>
                  <w:pPr>
                    <w:pStyle w:val="Compact"/>
                    <w:jc w:val="right"/>
                    <w:jc w:val="center"/>
                  </w:pPr>
                  <w:r>
                    <w:t xml:space="preserve">22.4</w:t>
                  </w:r>
                </w:p>
              </w:tc>
              <w:tc>
                <w:tcPr/>
                <w:p>
                  <w:pPr>
                    <w:pStyle w:val="Compact"/>
                    <w:jc w:val="right"/>
                    <w:jc w:val="center"/>
                  </w:pPr>
                  <w:r>
                    <w:t xml:space="preserve">2.06</w:t>
                  </w:r>
                </w:p>
              </w:tc>
            </w:tr>
            <w:tr>
              <w:tc>
                <w:tcPr/>
                <w:p>
                  <w:pPr>
                    <w:pStyle w:val="Compact"/>
                    <w:jc w:val="right"/>
                    <w:jc w:val="center"/>
                  </w:pPr>
                  <w:r>
                    <w:t xml:space="preserve">23</w:t>
                  </w:r>
                </w:p>
              </w:tc>
              <w:tc>
                <w:tcPr/>
                <w:p>
                  <w:pPr>
                    <w:pStyle w:val="Compact"/>
                    <w:jc w:val="right"/>
                    <w:jc w:val="center"/>
                  </w:pPr>
                  <w:r>
                    <w:t xml:space="preserve">8.48</w:t>
                  </w:r>
                </w:p>
              </w:tc>
              <w:tc>
                <w:tcPr/>
                <w:p>
                  <w:pPr>
                    <w:pStyle w:val="Compact"/>
                    <w:jc w:val="right"/>
                    <w:jc w:val="center"/>
                  </w:pPr>
                  <w:r>
                    <w:t xml:space="preserve">27.1</w:t>
                  </w:r>
                </w:p>
              </w:tc>
              <w:tc>
                <w:tcPr/>
                <w:p>
                  <w:pPr>
                    <w:pStyle w:val="Compact"/>
                    <w:jc w:val="right"/>
                    <w:jc w:val="center"/>
                  </w:pPr>
                  <w:r>
                    <w:t xml:space="preserve">6.39</w:t>
                  </w:r>
                </w:p>
              </w:tc>
              <w:tc>
                <w:tcPr/>
                <w:p>
                  <w:pPr>
                    <w:pStyle w:val="Compact"/>
                    <w:jc w:val="right"/>
                    <w:jc w:val="center"/>
                  </w:pPr>
                  <w:r>
                    <w:t xml:space="preserve">25.7</w:t>
                  </w:r>
                </w:p>
              </w:tc>
              <w:tc>
                <w:tcPr/>
                <w:p>
                  <w:pPr>
                    <w:pStyle w:val="Compact"/>
                    <w:jc w:val="right"/>
                    <w:jc w:val="center"/>
                  </w:pPr>
                  <w:r>
                    <w:t xml:space="preserve">1.5</w:t>
                  </w:r>
                </w:p>
              </w:tc>
            </w:tr>
            <w:tr>
              <w:tc>
                <w:tcPr/>
                <w:p>
                  <w:pPr>
                    <w:pStyle w:val="Compact"/>
                    <w:jc w:val="right"/>
                    <w:jc w:val="center"/>
                  </w:pPr>
                  <w:r>
                    <w:t xml:space="preserve">24</w:t>
                  </w:r>
                </w:p>
              </w:tc>
              <w:tc>
                <w:tcPr/>
                <w:p>
                  <w:pPr>
                    <w:pStyle w:val="Compact"/>
                    <w:jc w:val="right"/>
                    <w:jc w:val="center"/>
                  </w:pPr>
                  <w:r>
                    <w:t xml:space="preserve">8.39</w:t>
                  </w:r>
                </w:p>
              </w:tc>
              <w:tc>
                <w:tcPr/>
                <w:p>
                  <w:pPr>
                    <w:pStyle w:val="Compact"/>
                    <w:jc w:val="right"/>
                    <w:jc w:val="center"/>
                  </w:pPr>
                  <w:r>
                    <w:t xml:space="preserve">23.5</w:t>
                  </w:r>
                </w:p>
              </w:tc>
              <w:tc>
                <w:tcPr/>
                <w:p>
                  <w:pPr>
                    <w:pStyle w:val="Compact"/>
                    <w:jc w:val="right"/>
                    <w:jc w:val="center"/>
                  </w:pPr>
                  <w:r>
                    <w:t xml:space="preserve">5.94</w:t>
                  </w:r>
                </w:p>
              </w:tc>
              <w:tc>
                <w:tcPr/>
                <w:p>
                  <w:pPr>
                    <w:pStyle w:val="Compact"/>
                    <w:jc w:val="right"/>
                    <w:jc w:val="center"/>
                  </w:pPr>
                  <w:r>
                    <w:t xml:space="preserve">19.2</w:t>
                  </w:r>
                </w:p>
              </w:tc>
              <w:tc>
                <w:tcPr/>
                <w:p>
                  <w:pPr>
                    <w:pStyle w:val="Compact"/>
                    <w:jc w:val="right"/>
                    <w:jc w:val="center"/>
                  </w:pPr>
                  <w:r>
                    <w:t xml:space="preserve">1.45</w:t>
                  </w:r>
                </w:p>
              </w:tc>
            </w:tr>
            <w:tr>
              <w:tc>
                <w:tcPr/>
                <w:p>
                  <w:pPr>
                    <w:pStyle w:val="Compact"/>
                    <w:jc w:val="right"/>
                    <w:jc w:val="center"/>
                  </w:pPr>
                  <w:r>
                    <w:t xml:space="preserve">25</w:t>
                  </w:r>
                </w:p>
              </w:tc>
              <w:tc>
                <w:tcPr/>
                <w:p>
                  <w:pPr>
                    <w:pStyle w:val="Compact"/>
                    <w:jc w:val="right"/>
                    <w:jc w:val="center"/>
                  </w:pPr>
                  <w:r>
                    <w:t xml:space="preserve">7.88</w:t>
                  </w:r>
                </w:p>
              </w:tc>
              <w:tc>
                <w:tcPr/>
                <w:p>
                  <w:pPr>
                    <w:pStyle w:val="Compact"/>
                    <w:jc w:val="right"/>
                    <w:jc w:val="center"/>
                  </w:pPr>
                  <w:r>
                    <w:t xml:space="preserve">23</w:t>
                  </w:r>
                </w:p>
              </w:tc>
              <w:tc>
                <w:tcPr/>
                <w:p>
                  <w:pPr>
                    <w:pStyle w:val="Compact"/>
                    <w:jc w:val="right"/>
                    <w:jc w:val="center"/>
                  </w:pPr>
                  <w:r>
                    <w:t xml:space="preserve">5.75</w:t>
                  </w:r>
                </w:p>
              </w:tc>
              <w:tc>
                <w:tcPr/>
                <w:p>
                  <w:pPr>
                    <w:pStyle w:val="Compact"/>
                    <w:jc w:val="right"/>
                    <w:jc w:val="center"/>
                  </w:pPr>
                  <w:r>
                    <w:t xml:space="preserve">20.5</w:t>
                  </w:r>
                </w:p>
              </w:tc>
              <w:tc>
                <w:tcPr/>
                <w:p>
                  <w:pPr>
                    <w:pStyle w:val="Compact"/>
                    <w:jc w:val="right"/>
                    <w:jc w:val="center"/>
                  </w:pPr>
                  <w:r>
                    <w:t xml:space="preserve">1.52</w:t>
                  </w:r>
                </w:p>
              </w:tc>
            </w:tr>
            <w:tr>
              <w:tc>
                <w:tcPr/>
                <w:p>
                  <w:pPr>
                    <w:pStyle w:val="Compact"/>
                    <w:jc w:val="right"/>
                    <w:jc w:val="center"/>
                  </w:pPr>
                  <w:r>
                    <w:t xml:space="preserve">26</w:t>
                  </w:r>
                </w:p>
              </w:tc>
              <w:tc>
                <w:tcPr/>
                <w:p>
                  <w:pPr>
                    <w:pStyle w:val="Compact"/>
                    <w:jc w:val="right"/>
                    <w:jc w:val="center"/>
                  </w:pPr>
                  <w:r>
                    <w:t xml:space="preserve">7.95</w:t>
                  </w:r>
                </w:p>
              </w:tc>
              <w:tc>
                <w:tcPr/>
                <w:p>
                  <w:pPr>
                    <w:pStyle w:val="Compact"/>
                    <w:jc w:val="right"/>
                    <w:jc w:val="center"/>
                  </w:pPr>
                  <w:r>
                    <w:t xml:space="preserve">27.3</w:t>
                  </w:r>
                </w:p>
              </w:tc>
              <w:tc>
                <w:tcPr/>
                <w:p>
                  <w:pPr>
                    <w:pStyle w:val="Compact"/>
                    <w:jc w:val="right"/>
                    <w:jc w:val="center"/>
                  </w:pPr>
                  <w:r>
                    <w:t xml:space="preserve">6.32</w:t>
                  </w:r>
                </w:p>
              </w:tc>
              <w:tc>
                <w:tcPr/>
                <w:p>
                  <w:pPr>
                    <w:pStyle w:val="Compact"/>
                    <w:jc w:val="right"/>
                    <w:jc w:val="center"/>
                  </w:pPr>
                  <w:r>
                    <w:t xml:space="preserve">22</w:t>
                  </w:r>
                </w:p>
              </w:tc>
              <w:tc>
                <w:tcPr/>
                <w:p>
                  <w:pPr>
                    <w:pStyle w:val="Compact"/>
                    <w:jc w:val="right"/>
                    <w:jc w:val="center"/>
                  </w:pPr>
                  <w:r>
                    <w:t xml:space="preserve">1.6</w:t>
                  </w:r>
                </w:p>
              </w:tc>
            </w:tr>
            <w:tr>
              <w:tc>
                <w:tcPr/>
                <w:p>
                  <w:pPr>
                    <w:pStyle w:val="Compact"/>
                    <w:jc w:val="right"/>
                    <w:jc w:val="center"/>
                  </w:pPr>
                  <w:r>
                    <w:t xml:space="preserve">27</w:t>
                  </w:r>
                </w:p>
              </w:tc>
              <w:tc>
                <w:tcPr/>
                <w:p>
                  <w:pPr>
                    <w:pStyle w:val="Compact"/>
                    <w:jc w:val="right"/>
                    <w:jc w:val="center"/>
                  </w:pPr>
                  <w:r>
                    <w:t xml:space="preserve">7.35</w:t>
                  </w:r>
                </w:p>
              </w:tc>
              <w:tc>
                <w:tcPr/>
                <w:p>
                  <w:pPr>
                    <w:pStyle w:val="Compact"/>
                    <w:jc w:val="right"/>
                    <w:jc w:val="center"/>
                  </w:pPr>
                  <w:r>
                    <w:t xml:space="preserve">25</w:t>
                  </w:r>
                </w:p>
              </w:tc>
              <w:tc>
                <w:tcPr/>
                <w:p>
                  <w:pPr>
                    <w:pStyle w:val="Compact"/>
                    <w:jc w:val="right"/>
                    <w:jc w:val="center"/>
                  </w:pPr>
                  <w:r>
                    <w:t xml:space="preserve">5.6</w:t>
                  </w:r>
                </w:p>
              </w:tc>
              <w:tc>
                <w:tcPr/>
                <w:p>
                  <w:pPr>
                    <w:pStyle w:val="Compact"/>
                    <w:jc w:val="right"/>
                    <w:jc w:val="center"/>
                  </w:pPr>
                  <w:r>
                    <w:t xml:space="preserve">22.4</w:t>
                  </w:r>
                </w:p>
              </w:tc>
              <w:tc>
                <w:tcPr/>
                <w:p>
                  <w:pPr>
                    <w:pStyle w:val="Compact"/>
                    <w:jc w:val="right"/>
                    <w:jc w:val="center"/>
                  </w:pPr>
                  <w:r>
                    <w:t xml:space="preserve">1.55</w:t>
                  </w:r>
                </w:p>
              </w:tc>
            </w:tr>
            <w:tr>
              <w:tc>
                <w:tcPr/>
                <w:p>
                  <w:pPr>
                    <w:pStyle w:val="Compact"/>
                    <w:jc w:val="right"/>
                    <w:jc w:val="center"/>
                  </w:pPr>
                  <w:r>
                    <w:t xml:space="preserve">28</w:t>
                  </w:r>
                </w:p>
              </w:tc>
              <w:tc>
                <w:tcPr/>
                <w:p>
                  <w:pPr>
                    <w:pStyle w:val="Compact"/>
                    <w:jc w:val="right"/>
                    <w:jc w:val="center"/>
                  </w:pPr>
                  <w:r>
                    <w:t xml:space="preserve">7.27</w:t>
                  </w:r>
                </w:p>
              </w:tc>
              <w:tc>
                <w:tcPr/>
                <w:p>
                  <w:pPr>
                    <w:pStyle w:val="Compact"/>
                    <w:jc w:val="right"/>
                    <w:jc w:val="center"/>
                  </w:pPr>
                  <w:r>
                    <w:t xml:space="preserve">28.2</w:t>
                  </w:r>
                </w:p>
              </w:tc>
              <w:tc>
                <w:tcPr/>
                <w:p>
                  <w:pPr>
                    <w:pStyle w:val="Compact"/>
                    <w:jc w:val="right"/>
                    <w:jc w:val="center"/>
                  </w:pPr>
                  <w:r>
                    <w:t xml:space="preserve">4.96</w:t>
                  </w:r>
                </w:p>
              </w:tc>
              <w:tc>
                <w:tcPr/>
                <w:p>
                  <w:pPr>
                    <w:pStyle w:val="Compact"/>
                    <w:jc w:val="right"/>
                    <w:jc w:val="center"/>
                  </w:pPr>
                  <w:r>
                    <w:t xml:space="preserve">21.1</w:t>
                  </w:r>
                </w:p>
              </w:tc>
              <w:tc>
                <w:tcPr/>
                <w:p>
                  <w:pPr>
                    <w:pStyle w:val="Compact"/>
                    <w:jc w:val="right"/>
                    <w:jc w:val="center"/>
                  </w:pPr>
                  <w:r>
                    <w:t xml:space="preserve">1.37</w:t>
                  </w:r>
                </w:p>
              </w:tc>
            </w:tr>
          </w:tbl>
          <w:bookmarkEnd w:id="98"/>
          <w:p/>
        </w:tc>
      </w:tr>
    </w:tbl>
    <w:bookmarkEnd w:id="99"/>
    <w:bookmarkStart w:id="109" w:name="Xa2fac5041b4173f7385fa99ae36b1e5b6f06fdd"/>
    <w:p>
      <w:pPr>
        <w:pStyle w:val="Heading2"/>
      </w:pPr>
      <w:r>
        <w:t xml:space="preserve">14.3 Appendix C — Full effect and coefficient tables</w:t>
      </w:r>
    </w:p>
    <w:p>
      <w:pPr>
        <w:pStyle w:val="FirstParagraph"/>
      </w:pPr>
      <w:r>
        <w:t xml:space="preserve">The screening model summaries for all five responses are given first (</w:t>
      </w:r>
      <w:hyperlink w:anchor="tbl-appc0">
        <w:r>
          <w:rPr>
            <w:rStyle w:val="Hyperlink"/>
          </w:rPr>
          <w:t xml:space="preserve">Table 21</w:t>
        </w:r>
      </w:hyperlink>
      <w:r>
        <w:t xml:space="preserve">), and the complete effect estimates for each response follow. The response-surface coefficient tables for the three responses not shown in §5.3 complete the appendix.</w:t>
      </w:r>
    </w:p>
    <w:tbl>
      <w:tblPr>
        <w:tblStyle w:val="Table"/>
        <w:tblW w:type="pct" w:w="5000"/>
        <w:tblLayout w:type="fixed"/>
        <w:tblLook w:firstRow="0" w:lastRow="0" w:firstColumn="0" w:lastColumn="0" w:noHBand="0" w:noVBand="0" w:val="0000"/>
      </w:tblPr>
      <w:tblGrid>
        <w:gridCol w:w="7920"/>
      </w:tblGrid>
      <w:tr>
        <w:tc>
          <w:tcPr/>
          <w:bookmarkStart w:id="100" w:name="tbl-appc0"/>
          <w:p>
            <w:pPr>
              <w:jc w:val="center"/>
            </w:pPr>
            <w:pPr>
              <w:jc w:val="left"/>
              <w:spacing w:before="200"/>
              <w:pStyle w:val="ImageCaption"/>
            </w:pPr>
            <w:r>
              <w:t xml:space="preserve">Table 21: Screening model summaries for all responses.</w:t>
            </w:r>
          </w:p>
          <w:tbl>
            <w:tblPr>
              <w:tblStyle w:val="Table"/>
              <w:tblW w:type="pct" w:w="5000"/>
              <w:tblLayout w:type="fixed"/>
              <w:tblLook w:firstRow="1" w:lastRow="0" w:firstColumn="0" w:lastColumn="0" w:noHBand="0" w:noVBand="0" w:val="0020"/>
            </w:tblPr>
            <w:tblGrid>
              <w:gridCol w:w="1782"/>
              <w:gridCol w:w="495"/>
              <w:gridCol w:w="693"/>
              <w:gridCol w:w="1089"/>
              <w:gridCol w:w="1188"/>
              <w:gridCol w:w="792"/>
              <w:gridCol w:w="1089"/>
              <w:gridCol w:w="792"/>
            </w:tblGrid>
            <w:tr>
              <w:trPr>
                <w:tblHeader w:val="on"/>
              </w:trPr>
              <w:tc>
                <w:tcPr/>
                <w:p>
                  <w:pPr>
                    <w:pStyle w:val="Compact"/>
                    <w:jc w:val="left"/>
                    <w:jc w:val="center"/>
                  </w:pPr>
                  <w:r>
                    <w:t xml:space="preserve">Response</w:t>
                  </w:r>
                </w:p>
              </w:tc>
              <w:tc>
                <w:tcPr/>
                <w:p>
                  <w:pPr>
                    <w:pStyle w:val="Compact"/>
                    <w:jc w:val="right"/>
                    <w:jc w:val="center"/>
                  </w:pPr>
                  <w:r>
                    <w:t xml:space="preserve">N</w:t>
                  </w:r>
                </w:p>
              </w:tc>
              <w:tc>
                <w:tcPr/>
                <w:p>
                  <w:pPr>
                    <w:pStyle w:val="Compact"/>
                    <w:jc w:val="right"/>
                    <w:jc w:val="center"/>
                  </w:pPr>
                  <w:r>
                    <w:t xml:space="preserve">R²</w:t>
                  </w:r>
                </w:p>
              </w:tc>
              <w:tc>
                <w:tcPr/>
                <w:p>
                  <w:pPr>
                    <w:pStyle w:val="Compact"/>
                    <w:jc w:val="right"/>
                    <w:jc w:val="center"/>
                  </w:pPr>
                  <w:r>
                    <w:t xml:space="preserve">Adj. R²</w:t>
                  </w:r>
                </w:p>
              </w:tc>
              <w:tc>
                <w:tcPr/>
                <w:p>
                  <w:pPr>
                    <w:pStyle w:val="Compact"/>
                    <w:jc w:val="right"/>
                    <w:jc w:val="center"/>
                  </w:pPr>
                  <w:r>
                    <w:t xml:space="preserve">Pred. R²</w:t>
                  </w:r>
                </w:p>
              </w:tc>
              <w:tc>
                <w:tcPr/>
                <w:p>
                  <w:pPr>
                    <w:pStyle w:val="Compact"/>
                    <w:jc w:val="right"/>
                    <w:jc w:val="center"/>
                  </w:pPr>
                  <w:r>
                    <w:t xml:space="preserve">F</w:t>
                  </w:r>
                </w:p>
              </w:tc>
              <w:tc>
                <w:tcPr/>
                <w:p>
                  <w:pPr>
                    <w:pStyle w:val="Compact"/>
                    <w:jc w:val="right"/>
                    <w:jc w:val="center"/>
                  </w:pPr>
                  <w:r>
                    <w:t xml:space="preserve">p-value</w:t>
                  </w:r>
                </w:p>
              </w:tc>
              <w:tc>
                <w:tcPr/>
                <w:p>
                  <w:pPr>
                    <w:pStyle w:val="Compact"/>
                    <w:jc w:val="right"/>
                    <w:jc w:val="center"/>
                  </w:pPr>
                  <w:r>
                    <w:t xml:space="preserve">RMSE</w:t>
                  </w:r>
                </w:p>
              </w:tc>
            </w:tr>
            <w:tr>
              <w:tc>
                <w:tcPr/>
                <w:p>
                  <w:pPr>
                    <w:pStyle w:val="Compact"/>
                    <w:jc w:val="left"/>
                    <w:jc w:val="center"/>
                  </w:pPr>
                  <w:r>
                    <w:t xml:space="preserve">Afucosylation</w:t>
                  </w:r>
                </w:p>
              </w:tc>
              <w:tc>
                <w:tcPr/>
                <w:p>
                  <w:pPr>
                    <w:pStyle w:val="Compact"/>
                    <w:jc w:val="right"/>
                    <w:jc w:val="center"/>
                  </w:pPr>
                  <w:r>
                    <w:t xml:space="preserve">19</w:t>
                  </w:r>
                </w:p>
              </w:tc>
              <w:tc>
                <w:tcPr/>
                <w:p>
                  <w:pPr>
                    <w:pStyle w:val="Compact"/>
                    <w:jc w:val="right"/>
                    <w:jc w:val="center"/>
                  </w:pPr>
                  <w:r>
                    <w:t xml:space="preserve">0.965</w:t>
                  </w:r>
                </w:p>
              </w:tc>
              <w:tc>
                <w:tcPr/>
                <w:p>
                  <w:pPr>
                    <w:pStyle w:val="Compact"/>
                    <w:jc w:val="right"/>
                    <w:jc w:val="center"/>
                  </w:pPr>
                  <w:r>
                    <w:t xml:space="preserve">0.79</w:t>
                  </w:r>
                </w:p>
              </w:tc>
              <w:tc>
                <w:tcPr/>
                <w:p>
                  <w:pPr>
                    <w:pStyle w:val="Compact"/>
                    <w:jc w:val="right"/>
                    <w:jc w:val="center"/>
                  </w:pPr>
                  <w:r>
                    <w:t xml:space="preserve">-47.4</w:t>
                  </w:r>
                </w:p>
              </w:tc>
              <w:tc>
                <w:tcPr/>
                <w:p>
                  <w:pPr>
                    <w:pStyle w:val="Compact"/>
                    <w:jc w:val="right"/>
                    <w:jc w:val="center"/>
                  </w:pPr>
                  <w:r>
                    <w:t xml:space="preserve">5.51</w:t>
                  </w:r>
                </w:p>
              </w:tc>
              <w:tc>
                <w:tcPr/>
                <w:p>
                  <w:pPr>
                    <w:pStyle w:val="Compact"/>
                    <w:jc w:val="right"/>
                    <w:jc w:val="center"/>
                  </w:pPr>
                  <w:r>
                    <w:t xml:space="preserve">0.0926</w:t>
                  </w:r>
                </w:p>
              </w:tc>
              <w:tc>
                <w:tcPr/>
                <w:p>
                  <w:pPr>
                    <w:pStyle w:val="Compact"/>
                    <w:jc w:val="right"/>
                    <w:jc w:val="center"/>
                  </w:pPr>
                  <w:r>
                    <w:t xml:space="preserve">1.06</w:t>
                  </w:r>
                </w:p>
              </w:tc>
            </w:tr>
            <w:tr>
              <w:tc>
                <w:tcPr/>
                <w:p>
                  <w:pPr>
                    <w:pStyle w:val="Compact"/>
                    <w:jc w:val="left"/>
                    <w:jc w:val="center"/>
                  </w:pPr>
                  <w:r>
                    <w:t xml:space="preserve">Galactosylation</w:t>
                  </w:r>
                </w:p>
              </w:tc>
              <w:tc>
                <w:tcPr/>
                <w:p>
                  <w:pPr>
                    <w:pStyle w:val="Compact"/>
                    <w:jc w:val="right"/>
                    <w:jc w:val="center"/>
                  </w:pPr>
                  <w:r>
                    <w:t xml:space="preserve">19</w:t>
                  </w:r>
                </w:p>
              </w:tc>
              <w:tc>
                <w:tcPr/>
                <w:p>
                  <w:pPr>
                    <w:pStyle w:val="Compact"/>
                    <w:jc w:val="right"/>
                    <w:jc w:val="center"/>
                  </w:pPr>
                  <w:r>
                    <w:t xml:space="preserve">0.998</w:t>
                  </w:r>
                </w:p>
              </w:tc>
              <w:tc>
                <w:tcPr/>
                <w:p>
                  <w:pPr>
                    <w:pStyle w:val="Compact"/>
                    <w:jc w:val="right"/>
                    <w:jc w:val="center"/>
                  </w:pPr>
                  <w:r>
                    <w:t xml:space="preserve">0.988</w:t>
                  </w:r>
                </w:p>
              </w:tc>
              <w:tc>
                <w:tcPr/>
                <w:p>
                  <w:pPr>
                    <w:pStyle w:val="Compact"/>
                    <w:jc w:val="right"/>
                    <w:jc w:val="center"/>
                  </w:pPr>
                  <w:r>
                    <w:t xml:space="preserve">-1.33</w:t>
                  </w:r>
                </w:p>
              </w:tc>
              <w:tc>
                <w:tcPr/>
                <w:p>
                  <w:pPr>
                    <w:pStyle w:val="Compact"/>
                    <w:jc w:val="right"/>
                    <w:jc w:val="center"/>
                  </w:pPr>
                  <w:r>
                    <w:t xml:space="preserve">103</w:t>
                  </w:r>
                </w:p>
              </w:tc>
              <w:tc>
                <w:tcPr/>
                <w:p>
                  <w:pPr>
                    <w:pStyle w:val="Compact"/>
                    <w:jc w:val="right"/>
                    <w:jc w:val="center"/>
                  </w:pPr>
                  <w:r>
                    <w:t xml:space="preserve">0.00138</w:t>
                  </w:r>
                </w:p>
              </w:tc>
              <w:tc>
                <w:tcPr/>
                <w:p>
                  <w:pPr>
                    <w:pStyle w:val="Compact"/>
                    <w:jc w:val="right"/>
                    <w:jc w:val="center"/>
                  </w:pPr>
                  <w:r>
                    <w:t xml:space="preserve">0.773</w:t>
                  </w:r>
                </w:p>
              </w:tc>
            </w:tr>
            <w:tr>
              <w:tc>
                <w:tcPr/>
                <w:p>
                  <w:pPr>
                    <w:pStyle w:val="Compact"/>
                    <w:jc w:val="left"/>
                    <w:jc w:val="center"/>
                  </w:pPr>
                  <w:r>
                    <w:t xml:space="preserve">High mannose</w:t>
                  </w:r>
                </w:p>
              </w:tc>
              <w:tc>
                <w:tcPr/>
                <w:p>
                  <w:pPr>
                    <w:pStyle w:val="Compact"/>
                    <w:jc w:val="right"/>
                    <w:jc w:val="center"/>
                  </w:pPr>
                  <w:r>
                    <w:t xml:space="preserve">19</w:t>
                  </w:r>
                </w:p>
              </w:tc>
              <w:tc>
                <w:tcPr/>
                <w:p>
                  <w:pPr>
                    <w:pStyle w:val="Compact"/>
                    <w:jc w:val="right"/>
                    <w:jc w:val="center"/>
                  </w:pPr>
                  <w:r>
                    <w:t xml:space="preserve">0.942</w:t>
                  </w:r>
                </w:p>
              </w:tc>
              <w:tc>
                <w:tcPr/>
                <w:p>
                  <w:pPr>
                    <w:pStyle w:val="Compact"/>
                    <w:jc w:val="right"/>
                    <w:jc w:val="center"/>
                  </w:pPr>
                  <w:r>
                    <w:t xml:space="preserve">0.65</w:t>
                  </w:r>
                </w:p>
              </w:tc>
              <w:tc>
                <w:tcPr/>
                <w:p>
                  <w:pPr>
                    <w:pStyle w:val="Compact"/>
                    <w:jc w:val="right"/>
                    <w:jc w:val="center"/>
                  </w:pPr>
                  <w:r>
                    <w:t xml:space="preserve">-7.99</w:t>
                  </w:r>
                </w:p>
              </w:tc>
              <w:tc>
                <w:tcPr/>
                <w:p>
                  <w:pPr>
                    <w:pStyle w:val="Compact"/>
                    <w:jc w:val="right"/>
                    <w:jc w:val="center"/>
                  </w:pPr>
                  <w:r>
                    <w:t xml:space="preserve">3.23</w:t>
                  </w:r>
                </w:p>
              </w:tc>
              <w:tc>
                <w:tcPr/>
                <w:p>
                  <w:pPr>
                    <w:pStyle w:val="Compact"/>
                    <w:jc w:val="right"/>
                    <w:jc w:val="center"/>
                  </w:pPr>
                  <w:r>
                    <w:t xml:space="preserve">0.182</w:t>
                  </w:r>
                </w:p>
              </w:tc>
              <w:tc>
                <w:tcPr/>
                <w:p>
                  <w:pPr>
                    <w:pStyle w:val="Compact"/>
                    <w:jc w:val="right"/>
                    <w:jc w:val="center"/>
                  </w:pPr>
                  <w:r>
                    <w:t xml:space="preserve">0.619</w:t>
                  </w:r>
                </w:p>
              </w:tc>
            </w:tr>
            <w:tr>
              <w:tc>
                <w:tcPr/>
                <w:p>
                  <w:pPr>
                    <w:pStyle w:val="Compact"/>
                    <w:jc w:val="left"/>
                    <w:jc w:val="center"/>
                  </w:pPr>
                  <w:r>
                    <w:t xml:space="preserve">Acidic variants</w:t>
                  </w:r>
                </w:p>
              </w:tc>
              <w:tc>
                <w:tcPr/>
                <w:p>
                  <w:pPr>
                    <w:pStyle w:val="Compact"/>
                    <w:jc w:val="right"/>
                    <w:jc w:val="center"/>
                  </w:pPr>
                  <w:r>
                    <w:t xml:space="preserve">19</w:t>
                  </w:r>
                </w:p>
              </w:tc>
              <w:tc>
                <w:tcPr/>
                <w:p>
                  <w:pPr>
                    <w:pStyle w:val="Compact"/>
                    <w:jc w:val="right"/>
                    <w:jc w:val="center"/>
                  </w:pPr>
                  <w:r>
                    <w:t xml:space="preserve">0.994</w:t>
                  </w:r>
                </w:p>
              </w:tc>
              <w:tc>
                <w:tcPr/>
                <w:p>
                  <w:pPr>
                    <w:pStyle w:val="Compact"/>
                    <w:jc w:val="right"/>
                    <w:jc w:val="center"/>
                  </w:pPr>
                  <w:r>
                    <w:t xml:space="preserve">0.963</w:t>
                  </w:r>
                </w:p>
              </w:tc>
              <w:tc>
                <w:tcPr/>
                <w:p>
                  <w:pPr>
                    <w:pStyle w:val="Compact"/>
                    <w:jc w:val="right"/>
                    <w:jc w:val="center"/>
                  </w:pPr>
                  <w:r>
                    <w:t xml:space="preserve">-0.442</w:t>
                  </w:r>
                </w:p>
              </w:tc>
              <w:tc>
                <w:tcPr/>
                <w:p>
                  <w:pPr>
                    <w:pStyle w:val="Compact"/>
                    <w:jc w:val="right"/>
                    <w:jc w:val="center"/>
                  </w:pPr>
                  <w:r>
                    <w:t xml:space="preserve">32.2</w:t>
                  </w:r>
                </w:p>
              </w:tc>
              <w:tc>
                <w:tcPr/>
                <w:p>
                  <w:pPr>
                    <w:pStyle w:val="Compact"/>
                    <w:jc w:val="right"/>
                    <w:jc w:val="center"/>
                  </w:pPr>
                  <w:r>
                    <w:t xml:space="preserve">0.00766</w:t>
                  </w:r>
                </w:p>
              </w:tc>
              <w:tc>
                <w:tcPr/>
                <w:p>
                  <w:pPr>
                    <w:pStyle w:val="Compact"/>
                    <w:jc w:val="right"/>
                    <w:jc w:val="center"/>
                  </w:pPr>
                  <w:r>
                    <w:t xml:space="preserve">0.957</w:t>
                  </w:r>
                </w:p>
              </w:tc>
            </w:tr>
            <w:tr>
              <w:tc>
                <w:tcPr/>
                <w:p>
                  <w:pPr>
                    <w:pStyle w:val="Compact"/>
                    <w:jc w:val="left"/>
                    <w:jc w:val="center"/>
                  </w:pPr>
                  <w:r>
                    <w:t xml:space="preserve">Aggregates (HMW)</w:t>
                  </w:r>
                </w:p>
              </w:tc>
              <w:tc>
                <w:tcPr/>
                <w:p>
                  <w:pPr>
                    <w:pStyle w:val="Compact"/>
                    <w:jc w:val="right"/>
                    <w:jc w:val="center"/>
                  </w:pPr>
                  <w:r>
                    <w:t xml:space="preserve">19</w:t>
                  </w:r>
                </w:p>
              </w:tc>
              <w:tc>
                <w:tcPr/>
                <w:p>
                  <w:pPr>
                    <w:pStyle w:val="Compact"/>
                    <w:jc w:val="right"/>
                    <w:jc w:val="center"/>
                  </w:pPr>
                  <w:r>
                    <w:t xml:space="preserve">0.995</w:t>
                  </w:r>
                </w:p>
              </w:tc>
              <w:tc>
                <w:tcPr/>
                <w:p>
                  <w:pPr>
                    <w:pStyle w:val="Compact"/>
                    <w:jc w:val="right"/>
                    <w:jc w:val="center"/>
                  </w:pPr>
                  <w:r>
                    <w:t xml:space="preserve">0.972</w:t>
                  </w:r>
                </w:p>
              </w:tc>
              <w:tc>
                <w:tcPr/>
                <w:p>
                  <w:pPr>
                    <w:pStyle w:val="Compact"/>
                    <w:jc w:val="right"/>
                    <w:jc w:val="center"/>
                  </w:pPr>
                  <w:r>
                    <w:t xml:space="preserve">-2.44</w:t>
                  </w:r>
                </w:p>
              </w:tc>
              <w:tc>
                <w:tcPr/>
                <w:p>
                  <w:pPr>
                    <w:pStyle w:val="Compact"/>
                    <w:jc w:val="right"/>
                    <w:jc w:val="center"/>
                  </w:pPr>
                  <w:r>
                    <w:t xml:space="preserve">42.2</w:t>
                  </w:r>
                </w:p>
              </w:tc>
              <w:tc>
                <w:tcPr/>
                <w:p>
                  <w:pPr>
                    <w:pStyle w:val="Compact"/>
                    <w:jc w:val="right"/>
                    <w:jc w:val="center"/>
                  </w:pPr>
                  <w:r>
                    <w:t xml:space="preserve">0.00515</w:t>
                  </w:r>
                </w:p>
              </w:tc>
              <w:tc>
                <w:tcPr/>
                <w:p>
                  <w:pPr>
                    <w:pStyle w:val="Compact"/>
                    <w:jc w:val="right"/>
                    <w:jc w:val="center"/>
                  </w:pPr>
                  <w:r>
                    <w:t xml:space="preserve">0.0829</w:t>
                  </w:r>
                </w:p>
              </w:tc>
            </w:tr>
          </w:tbl>
          <w:bookmarkEnd w:id="100"/>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1" w:name="tbl-appc-afucosylation"/>
          <w:p>
            <w:pPr>
              <w:jc w:val="center"/>
            </w:pPr>
            <w:pPr>
              <w:jc w:val="left"/>
              <w:spacing w:before="200"/>
              <w:pStyle w:val="ImageCaption"/>
            </w:pPr>
            <w:r>
              <w:t xml:space="preserve">Table 22: Screening effect estimates for afucosylation.</w:t>
            </w:r>
          </w:p>
          <w:tbl>
            <w:tblPr>
              <w:tblStyle w:val="Table"/>
              <w:tblW w:type="pct" w:w="5000"/>
              <w:tblLayout w:type="fixed"/>
              <w:tblLook w:firstRow="1" w:lastRow="0" w:firstColumn="0" w:lastColumn="0" w:noHBand="0" w:noVBand="0" w:val="0020"/>
            </w:tblPr>
            <w:tblGrid>
              <w:gridCol w:w="918"/>
              <w:gridCol w:w="1147"/>
              <w:gridCol w:w="1147"/>
              <w:gridCol w:w="1492"/>
              <w:gridCol w:w="1033"/>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AE</w:t>
                  </w:r>
                </w:p>
              </w:tc>
              <w:tc>
                <w:tcPr/>
                <w:p>
                  <w:pPr>
                    <w:pStyle w:val="Compact"/>
                    <w:jc w:val="right"/>
                    <w:jc w:val="center"/>
                  </w:pPr>
                  <w:r>
                    <w:t xml:space="preserve">2.46</w:t>
                  </w:r>
                </w:p>
              </w:tc>
              <w:tc>
                <w:tcPr/>
                <w:p>
                  <w:pPr>
                    <w:pStyle w:val="Compact"/>
                    <w:jc w:val="right"/>
                    <w:jc w:val="center"/>
                  </w:pPr>
                  <w:r>
                    <w:t xml:space="preserve">1.23</w:t>
                  </w:r>
                </w:p>
              </w:tc>
              <w:tc>
                <w:tcPr/>
                <w:p>
                  <w:pPr>
                    <w:pStyle w:val="Compact"/>
                    <w:jc w:val="right"/>
                    <w:jc w:val="center"/>
                  </w:pPr>
                  <w:r>
                    <w:t xml:space="preserve">0.266</w:t>
                  </w:r>
                </w:p>
              </w:tc>
              <w:tc>
                <w:tcPr/>
                <w:p>
                  <w:pPr>
                    <w:pStyle w:val="Compact"/>
                    <w:jc w:val="right"/>
                    <w:jc w:val="center"/>
                  </w:pPr>
                  <w:r>
                    <w:t xml:space="preserve">4.62</w:t>
                  </w:r>
                </w:p>
              </w:tc>
              <w:tc>
                <w:tcPr/>
                <w:p>
                  <w:pPr>
                    <w:pStyle w:val="Compact"/>
                    <w:jc w:val="right"/>
                    <w:jc w:val="center"/>
                  </w:pPr>
                  <w:r>
                    <w:t xml:space="preserve">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-2.37</w:t>
                  </w:r>
                </w:p>
              </w:tc>
              <w:tc>
                <w:tcPr/>
                <w:p>
                  <w:pPr>
                    <w:pStyle w:val="Compact"/>
                    <w:jc w:val="right"/>
                    <w:jc w:val="center"/>
                  </w:pPr>
                  <w:r>
                    <w:t xml:space="preserve">-1.19</w:t>
                  </w:r>
                </w:p>
              </w:tc>
              <w:tc>
                <w:tcPr/>
                <w:p>
                  <w:pPr>
                    <w:pStyle w:val="Compact"/>
                    <w:jc w:val="right"/>
                    <w:jc w:val="center"/>
                  </w:pPr>
                  <w:r>
                    <w:t xml:space="preserve">0.266</w:t>
                  </w:r>
                </w:p>
              </w:tc>
              <w:tc>
                <w:tcPr/>
                <w:p>
                  <w:pPr>
                    <w:pStyle w:val="Compact"/>
                    <w:jc w:val="right"/>
                    <w:jc w:val="center"/>
                  </w:pPr>
                  <w:r>
                    <w:t xml:space="preserve">-4.46</w:t>
                  </w:r>
                </w:p>
              </w:tc>
              <w:tc>
                <w:tcPr/>
                <w:p>
                  <w:pPr>
                    <w:pStyle w:val="Compact"/>
                    <w:jc w:val="right"/>
                    <w:jc w:val="center"/>
                  </w:pPr>
                  <w:r>
                    <w:t xml:space="preserve">0.0209</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-1.76</w:t>
                  </w:r>
                </w:p>
              </w:tc>
              <w:tc>
                <w:tcPr/>
                <w:p>
                  <w:pPr>
                    <w:pStyle w:val="Compact"/>
                    <w:jc w:val="right"/>
                    <w:jc w:val="center"/>
                  </w:pPr>
                  <w:r>
                    <w:t xml:space="preserve">-0.88</w:t>
                  </w:r>
                </w:p>
              </w:tc>
              <w:tc>
                <w:tcPr/>
                <w:p>
                  <w:pPr>
                    <w:pStyle w:val="Compact"/>
                    <w:jc w:val="right"/>
                    <w:jc w:val="center"/>
                  </w:pPr>
                  <w:r>
                    <w:t xml:space="preserve">0.266</w:t>
                  </w:r>
                </w:p>
              </w:tc>
              <w:tc>
                <w:tcPr/>
                <w:p>
                  <w:pPr>
                    <w:pStyle w:val="Compact"/>
                    <w:jc w:val="right"/>
                    <w:jc w:val="center"/>
                  </w:pPr>
                  <w:r>
                    <w:t xml:space="preserve">-3.31</w:t>
                  </w:r>
                </w:p>
              </w:tc>
              <w:tc>
                <w:tcPr/>
                <w:p>
                  <w:pPr>
                    <w:pStyle w:val="Compact"/>
                    <w:jc w:val="right"/>
                    <w:jc w:val="center"/>
                  </w:pPr>
                  <w:r>
                    <w:t xml:space="preserve">0.0455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-1.57</w:t>
                  </w:r>
                </w:p>
              </w:tc>
              <w:tc>
                <w:tcPr/>
                <w:p>
                  <w:pPr>
                    <w:pStyle w:val="Compact"/>
                    <w:jc w:val="right"/>
                    <w:jc w:val="center"/>
                  </w:pPr>
                  <w:r>
                    <w:t xml:space="preserve">-0.785</w:t>
                  </w:r>
                </w:p>
              </w:tc>
              <w:tc>
                <w:tcPr/>
                <w:p>
                  <w:pPr>
                    <w:pStyle w:val="Compact"/>
                    <w:jc w:val="right"/>
                    <w:jc w:val="center"/>
                  </w:pPr>
                  <w:r>
                    <w:t xml:space="preserve">0.266</w:t>
                  </w:r>
                </w:p>
              </w:tc>
              <w:tc>
                <w:tcPr/>
                <w:p>
                  <w:pPr>
                    <w:pStyle w:val="Compact"/>
                    <w:jc w:val="right"/>
                    <w:jc w:val="center"/>
                  </w:pPr>
                  <w:r>
                    <w:t xml:space="preserve">-2.95</w:t>
                  </w:r>
                </w:p>
              </w:tc>
              <w:tc>
                <w:tcPr/>
                <w:p>
                  <w:pPr>
                    <w:pStyle w:val="Compact"/>
                    <w:jc w:val="right"/>
                    <w:jc w:val="center"/>
                  </w:pPr>
                  <w:r>
                    <w:t xml:space="preserve">0.06</w:t>
                  </w:r>
                </w:p>
              </w:tc>
              <w:tc>
                <w:tcPr/>
                <w:p>
                  <w:pPr>
                    <w:pStyle w:val="Compact"/>
                  </w:pPr>
                </w:p>
              </w:tc>
            </w:tr>
            <w:tr>
              <w:tc>
                <w:tcPr/>
                <w:p>
                  <w:pPr>
                    <w:pStyle w:val="Compact"/>
                    <w:jc w:val="left"/>
                    <w:jc w:val="center"/>
                  </w:pPr>
                  <w:r>
                    <w:t xml:space="preserve">B</w:t>
                  </w:r>
                </w:p>
              </w:tc>
              <w:tc>
                <w:tcPr/>
                <w:p>
                  <w:pPr>
                    <w:pStyle w:val="Compact"/>
                    <w:jc w:val="right"/>
                    <w:jc w:val="center"/>
                  </w:pPr>
                  <w:r>
                    <w:t xml:space="preserve">-1.34</w:t>
                  </w:r>
                </w:p>
              </w:tc>
              <w:tc>
                <w:tcPr/>
                <w:p>
                  <w:pPr>
                    <w:pStyle w:val="Compact"/>
                    <w:jc w:val="right"/>
                    <w:jc w:val="center"/>
                  </w:pPr>
                  <w:r>
                    <w:t xml:space="preserve">-0.671</w:t>
                  </w:r>
                </w:p>
              </w:tc>
              <w:tc>
                <w:tcPr/>
                <w:p>
                  <w:pPr>
                    <w:pStyle w:val="Compact"/>
                    <w:jc w:val="right"/>
                    <w:jc w:val="center"/>
                  </w:pPr>
                  <w:r>
                    <w:t xml:space="preserve">0.266</w:t>
                  </w:r>
                </w:p>
              </w:tc>
              <w:tc>
                <w:tcPr/>
                <w:p>
                  <w:pPr>
                    <w:pStyle w:val="Compact"/>
                    <w:jc w:val="right"/>
                    <w:jc w:val="center"/>
                  </w:pPr>
                  <w:r>
                    <w:t xml:space="preserve">-2.53</w:t>
                  </w:r>
                </w:p>
              </w:tc>
              <w:tc>
                <w:tcPr/>
                <w:p>
                  <w:pPr>
                    <w:pStyle w:val="Compact"/>
                    <w:jc w:val="right"/>
                    <w:jc w:val="center"/>
                  </w:pPr>
                  <w:r>
                    <w:t xml:space="preserve">0.0858</w:t>
                  </w:r>
                </w:p>
              </w:tc>
              <w:tc>
                <w:tcPr/>
                <w:p>
                  <w:pPr>
                    <w:pStyle w:val="Compact"/>
                  </w:pPr>
                </w:p>
              </w:tc>
            </w:tr>
            <w:tr>
              <w:tc>
                <w:tcPr/>
                <w:p>
                  <w:pPr>
                    <w:pStyle w:val="Compact"/>
                    <w:jc w:val="left"/>
                    <w:jc w:val="center"/>
                  </w:pPr>
                  <w:r>
                    <w:t xml:space="preserve">D</w:t>
                  </w:r>
                </w:p>
              </w:tc>
              <w:tc>
                <w:tcPr/>
                <w:p>
                  <w:pPr>
                    <w:pStyle w:val="Compact"/>
                    <w:jc w:val="right"/>
                    <w:jc w:val="center"/>
                  </w:pPr>
                  <w:r>
                    <w:t xml:space="preserve">-1.33</w:t>
                  </w:r>
                </w:p>
              </w:tc>
              <w:tc>
                <w:tcPr/>
                <w:p>
                  <w:pPr>
                    <w:pStyle w:val="Compact"/>
                    <w:jc w:val="right"/>
                    <w:jc w:val="center"/>
                  </w:pPr>
                  <w:r>
                    <w:t xml:space="preserve">-0.664</w:t>
                  </w:r>
                </w:p>
              </w:tc>
              <w:tc>
                <w:tcPr/>
                <w:p>
                  <w:pPr>
                    <w:pStyle w:val="Compact"/>
                    <w:jc w:val="right"/>
                    <w:jc w:val="center"/>
                  </w:pPr>
                  <w:r>
                    <w:t xml:space="preserve">0.266</w:t>
                  </w:r>
                </w:p>
              </w:tc>
              <w:tc>
                <w:tcPr/>
                <w:p>
                  <w:pPr>
                    <w:pStyle w:val="Compact"/>
                    <w:jc w:val="right"/>
                    <w:jc w:val="center"/>
                  </w:pPr>
                  <w:r>
                    <w:t xml:space="preserve">-2.5</w:t>
                  </w:r>
                </w:p>
              </w:tc>
              <w:tc>
                <w:tcPr/>
                <w:p>
                  <w:pPr>
                    <w:pStyle w:val="Compact"/>
                    <w:jc w:val="right"/>
                    <w:jc w:val="center"/>
                  </w:pPr>
                  <w:r>
                    <w:t xml:space="preserve">0.0878</w:t>
                  </w:r>
                </w:p>
              </w:tc>
              <w:tc>
                <w:tcPr/>
                <w:p>
                  <w:pPr>
                    <w:pStyle w:val="Compact"/>
                  </w:pPr>
                </w:p>
              </w:tc>
            </w:tr>
            <w:tr>
              <w:tc>
                <w:tcPr/>
                <w:p>
                  <w:pPr>
                    <w:pStyle w:val="Compact"/>
                    <w:jc w:val="left"/>
                    <w:jc w:val="center"/>
                  </w:pPr>
                  <w:r>
                    <w:t xml:space="preserve">AB</w:t>
                  </w:r>
                </w:p>
              </w:tc>
              <w:tc>
                <w:tcPr/>
                <w:p>
                  <w:pPr>
                    <w:pStyle w:val="Compact"/>
                    <w:jc w:val="right"/>
                    <w:jc w:val="center"/>
                  </w:pPr>
                  <w:r>
                    <w:t xml:space="preserve">-1.28</w:t>
                  </w:r>
                </w:p>
              </w:tc>
              <w:tc>
                <w:tcPr/>
                <w:p>
                  <w:pPr>
                    <w:pStyle w:val="Compact"/>
                    <w:jc w:val="right"/>
                    <w:jc w:val="center"/>
                  </w:pPr>
                  <w:r>
                    <w:t xml:space="preserve">-0.64</w:t>
                  </w:r>
                </w:p>
              </w:tc>
              <w:tc>
                <w:tcPr/>
                <w:p>
                  <w:pPr>
                    <w:pStyle w:val="Compact"/>
                    <w:jc w:val="right"/>
                    <w:jc w:val="center"/>
                  </w:pPr>
                  <w:r>
                    <w:t xml:space="preserve">0.266</w:t>
                  </w:r>
                </w:p>
              </w:tc>
              <w:tc>
                <w:tcPr/>
                <w:p>
                  <w:pPr>
                    <w:pStyle w:val="Compact"/>
                    <w:jc w:val="right"/>
                    <w:jc w:val="center"/>
                  </w:pPr>
                  <w:r>
                    <w:t xml:space="preserve">-2.41</w:t>
                  </w:r>
                </w:p>
              </w:tc>
              <w:tc>
                <w:tcPr/>
                <w:p>
                  <w:pPr>
                    <w:pStyle w:val="Compact"/>
                    <w:jc w:val="right"/>
                    <w:jc w:val="center"/>
                  </w:pPr>
                  <w:r>
                    <w:t xml:space="preserve">0.0952</w:t>
                  </w:r>
                </w:p>
              </w:tc>
              <w:tc>
                <w:tcPr/>
                <w:p>
                  <w:pPr>
                    <w:pStyle w:val="Compact"/>
                  </w:pPr>
                </w:p>
              </w:tc>
            </w:tr>
            <w:tr>
              <w:tc>
                <w:tcPr/>
                <w:p>
                  <w:pPr>
                    <w:pStyle w:val="Compact"/>
                    <w:jc w:val="left"/>
                    <w:jc w:val="center"/>
                  </w:pPr>
                  <w:r>
                    <w:t xml:space="preserve">C</w:t>
                  </w:r>
                </w:p>
              </w:tc>
              <w:tc>
                <w:tcPr/>
                <w:p>
                  <w:pPr>
                    <w:pStyle w:val="Compact"/>
                    <w:jc w:val="right"/>
                    <w:jc w:val="center"/>
                  </w:pPr>
                  <w:r>
                    <w:t xml:space="preserve">-0.73</w:t>
                  </w:r>
                </w:p>
              </w:tc>
              <w:tc>
                <w:tcPr/>
                <w:p>
                  <w:pPr>
                    <w:pStyle w:val="Compact"/>
                    <w:jc w:val="right"/>
                    <w:jc w:val="center"/>
                  </w:pPr>
                  <w:r>
                    <w:t xml:space="preserve">-0.365</w:t>
                  </w:r>
                </w:p>
              </w:tc>
              <w:tc>
                <w:tcPr/>
                <w:p>
                  <w:pPr>
                    <w:pStyle w:val="Compact"/>
                    <w:jc w:val="right"/>
                    <w:jc w:val="center"/>
                  </w:pPr>
                  <w:r>
                    <w:t xml:space="preserve">0.266</w:t>
                  </w:r>
                </w:p>
              </w:tc>
              <w:tc>
                <w:tcPr/>
                <w:p>
                  <w:pPr>
                    <w:pStyle w:val="Compact"/>
                    <w:jc w:val="right"/>
                    <w:jc w:val="center"/>
                  </w:pPr>
                  <w:r>
                    <w:t xml:space="preserve">-1.37</w:t>
                  </w:r>
                </w:p>
              </w:tc>
              <w:tc>
                <w:tcPr/>
                <w:p>
                  <w:pPr>
                    <w:pStyle w:val="Compact"/>
                    <w:jc w:val="right"/>
                    <w:jc w:val="center"/>
                  </w:pPr>
                  <w:r>
                    <w:t xml:space="preserve">0.264</w:t>
                  </w:r>
                </w:p>
              </w:tc>
              <w:tc>
                <w:tcPr/>
                <w:p>
                  <w:pPr>
                    <w:pStyle w:val="Compact"/>
                  </w:pPr>
                </w:p>
              </w:tc>
            </w:tr>
            <w:tr>
              <w:tc>
                <w:tcPr/>
                <w:p>
                  <w:pPr>
                    <w:pStyle w:val="Compact"/>
                    <w:jc w:val="left"/>
                    <w:jc w:val="center"/>
                  </w:pPr>
                  <w:r>
                    <w:t xml:space="preserve">BD</w:t>
                  </w:r>
                </w:p>
              </w:tc>
              <w:tc>
                <w:tcPr/>
                <w:p>
                  <w:pPr>
                    <w:pStyle w:val="Compact"/>
                    <w:jc w:val="right"/>
                    <w:jc w:val="center"/>
                  </w:pPr>
                  <w:r>
                    <w:t xml:space="preserve">0.452</w:t>
                  </w:r>
                </w:p>
              </w:tc>
              <w:tc>
                <w:tcPr/>
                <w:p>
                  <w:pPr>
                    <w:pStyle w:val="Compact"/>
                    <w:jc w:val="right"/>
                    <w:jc w:val="center"/>
                  </w:pPr>
                  <w:r>
                    <w:t xml:space="preserve">0.226</w:t>
                  </w:r>
                </w:p>
              </w:tc>
              <w:tc>
                <w:tcPr/>
                <w:p>
                  <w:pPr>
                    <w:pStyle w:val="Compact"/>
                    <w:jc w:val="right"/>
                    <w:jc w:val="center"/>
                  </w:pPr>
                  <w:r>
                    <w:t xml:space="preserve">0.266</w:t>
                  </w:r>
                </w:p>
              </w:tc>
              <w:tc>
                <w:tcPr/>
                <w:p>
                  <w:pPr>
                    <w:pStyle w:val="Compact"/>
                    <w:jc w:val="right"/>
                    <w:jc w:val="center"/>
                  </w:pPr>
                  <w:r>
                    <w:t xml:space="preserve">0.85</w:t>
                  </w:r>
                </w:p>
              </w:tc>
              <w:tc>
                <w:tcPr/>
                <w:p>
                  <w:pPr>
                    <w:pStyle w:val="Compact"/>
                    <w:jc w:val="right"/>
                    <w:jc w:val="center"/>
                  </w:pPr>
                  <w:r>
                    <w:t xml:space="preserve">0.458</w:t>
                  </w:r>
                </w:p>
              </w:tc>
              <w:tc>
                <w:tcPr/>
                <w:p>
                  <w:pPr>
                    <w:pStyle w:val="Compact"/>
                  </w:pP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0.181</w:t>
                  </w:r>
                </w:p>
              </w:tc>
              <w:tc>
                <w:tcPr/>
                <w:p>
                  <w:pPr>
                    <w:pStyle w:val="Compact"/>
                    <w:jc w:val="right"/>
                    <w:jc w:val="center"/>
                  </w:pPr>
                  <w:r>
                    <w:t xml:space="preserve">0.266</w:t>
                  </w:r>
                </w:p>
              </w:tc>
              <w:tc>
                <w:tcPr/>
                <w:p>
                  <w:pPr>
                    <w:pStyle w:val="Compact"/>
                    <w:jc w:val="right"/>
                    <w:jc w:val="center"/>
                  </w:pPr>
                  <w:r>
                    <w:t xml:space="preserve">0.681</w:t>
                  </w:r>
                </w:p>
              </w:tc>
              <w:tc>
                <w:tcPr/>
                <w:p>
                  <w:pPr>
                    <w:pStyle w:val="Compact"/>
                    <w:jc w:val="right"/>
                    <w:jc w:val="center"/>
                  </w:pPr>
                  <w:r>
                    <w:t xml:space="preserve">0.545</w:t>
                  </w:r>
                </w:p>
              </w:tc>
              <w:tc>
                <w:tcPr/>
                <w:p>
                  <w:pPr>
                    <w:pStyle w:val="Compact"/>
                  </w:pPr>
                </w:p>
              </w:tc>
            </w:tr>
            <w:tr>
              <w:tc>
                <w:tcPr/>
                <w:p>
                  <w:pPr>
                    <w:pStyle w:val="Compact"/>
                    <w:jc w:val="left"/>
                    <w:jc w:val="center"/>
                  </w:pPr>
                  <w:r>
                    <w:t xml:space="preserve">AD</w:t>
                  </w:r>
                </w:p>
              </w:tc>
              <w:tc>
                <w:tcPr/>
                <w:p>
                  <w:pPr>
                    <w:pStyle w:val="Compact"/>
                    <w:jc w:val="right"/>
                    <w:jc w:val="center"/>
                  </w:pPr>
                  <w:r>
                    <w:t xml:space="preserve">-0.175</w:t>
                  </w:r>
                </w:p>
              </w:tc>
              <w:tc>
                <w:tcPr/>
                <w:p>
                  <w:pPr>
                    <w:pStyle w:val="Compact"/>
                    <w:jc w:val="right"/>
                    <w:jc w:val="center"/>
                  </w:pPr>
                  <w:r>
                    <w:t xml:space="preserve">-0.0876</w:t>
                  </w:r>
                </w:p>
              </w:tc>
              <w:tc>
                <w:tcPr/>
                <w:p>
                  <w:pPr>
                    <w:pStyle w:val="Compact"/>
                    <w:jc w:val="right"/>
                    <w:jc w:val="center"/>
                  </w:pPr>
                  <w:r>
                    <w:t xml:space="preserve">0.266</w:t>
                  </w:r>
                </w:p>
              </w:tc>
              <w:tc>
                <w:tcPr/>
                <w:p>
                  <w:pPr>
                    <w:pStyle w:val="Compact"/>
                    <w:jc w:val="right"/>
                    <w:jc w:val="center"/>
                  </w:pPr>
                  <w:r>
                    <w:t xml:space="preserve">-0.329</w:t>
                  </w:r>
                </w:p>
              </w:tc>
              <w:tc>
                <w:tcPr/>
                <w:p>
                  <w:pPr>
                    <w:pStyle w:val="Compact"/>
                    <w:jc w:val="right"/>
                    <w:jc w:val="center"/>
                  </w:pPr>
                  <w:r>
                    <w:t xml:space="preserve">0.764</w:t>
                  </w:r>
                </w:p>
              </w:tc>
              <w:tc>
                <w:tcPr/>
                <w:p>
                  <w:pPr>
                    <w:pStyle w:val="Compact"/>
                  </w:pPr>
                </w:p>
              </w:tc>
            </w:tr>
            <w:tr>
              <w:tc>
                <w:tcPr/>
                <w:p>
                  <w:pPr>
                    <w:pStyle w:val="Compact"/>
                    <w:jc w:val="left"/>
                    <w:jc w:val="center"/>
                  </w:pPr>
                  <w:r>
                    <w:t xml:space="preserve">BC</w:t>
                  </w:r>
                </w:p>
              </w:tc>
              <w:tc>
                <w:tcPr/>
                <w:p>
                  <w:pPr>
                    <w:pStyle w:val="Compact"/>
                    <w:jc w:val="right"/>
                    <w:jc w:val="center"/>
                  </w:pPr>
                  <w:r>
                    <w:t xml:space="preserve">-0.171</w:t>
                  </w:r>
                </w:p>
              </w:tc>
              <w:tc>
                <w:tcPr/>
                <w:p>
                  <w:pPr>
                    <w:pStyle w:val="Compact"/>
                    <w:jc w:val="right"/>
                    <w:jc w:val="center"/>
                  </w:pPr>
                  <w:r>
                    <w:t xml:space="preserve">-0.0856</w:t>
                  </w:r>
                </w:p>
              </w:tc>
              <w:tc>
                <w:tcPr/>
                <w:p>
                  <w:pPr>
                    <w:pStyle w:val="Compact"/>
                    <w:jc w:val="right"/>
                    <w:jc w:val="center"/>
                  </w:pPr>
                  <w:r>
                    <w:t xml:space="preserve">0.266</w:t>
                  </w:r>
                </w:p>
              </w:tc>
              <w:tc>
                <w:tcPr/>
                <w:p>
                  <w:pPr>
                    <w:pStyle w:val="Compact"/>
                    <w:jc w:val="right"/>
                    <w:jc w:val="center"/>
                  </w:pPr>
                  <w:r>
                    <w:t xml:space="preserve">-0.322</w:t>
                  </w:r>
                </w:p>
              </w:tc>
              <w:tc>
                <w:tcPr/>
                <w:p>
                  <w:pPr>
                    <w:pStyle w:val="Compact"/>
                    <w:jc w:val="right"/>
                    <w:jc w:val="center"/>
                  </w:pPr>
                  <w:r>
                    <w:t xml:space="preserve">0.769</w:t>
                  </w:r>
                </w:p>
              </w:tc>
              <w:tc>
                <w:tcPr/>
                <w:p>
                  <w:pPr>
                    <w:pStyle w:val="Compact"/>
                  </w:pPr>
                </w:p>
              </w:tc>
            </w:tr>
            <w:tr>
              <w:tc>
                <w:tcPr/>
                <w:p>
                  <w:pPr>
                    <w:pStyle w:val="Compact"/>
                    <w:jc w:val="left"/>
                    <w:jc w:val="center"/>
                  </w:pPr>
                  <w:r>
                    <w:t xml:space="preserve">CD</w:t>
                  </w:r>
                </w:p>
              </w:tc>
              <w:tc>
                <w:tcPr/>
                <w:p>
                  <w:pPr>
                    <w:pStyle w:val="Compact"/>
                    <w:jc w:val="right"/>
                    <w:jc w:val="center"/>
                  </w:pPr>
                  <w:r>
                    <w:t xml:space="preserve">-0.147</w:t>
                  </w:r>
                </w:p>
              </w:tc>
              <w:tc>
                <w:tcPr/>
                <w:p>
                  <w:pPr>
                    <w:pStyle w:val="Compact"/>
                    <w:jc w:val="right"/>
                    <w:jc w:val="center"/>
                  </w:pPr>
                  <w:r>
                    <w:t xml:space="preserve">-0.0736</w:t>
                  </w:r>
                </w:p>
              </w:tc>
              <w:tc>
                <w:tcPr/>
                <w:p>
                  <w:pPr>
                    <w:pStyle w:val="Compact"/>
                    <w:jc w:val="right"/>
                    <w:jc w:val="center"/>
                  </w:pPr>
                  <w:r>
                    <w:t xml:space="preserve">0.266</w:t>
                  </w:r>
                </w:p>
              </w:tc>
              <w:tc>
                <w:tcPr/>
                <w:p>
                  <w:pPr>
                    <w:pStyle w:val="Compact"/>
                    <w:jc w:val="right"/>
                    <w:jc w:val="center"/>
                  </w:pPr>
                  <w:r>
                    <w:t xml:space="preserve">-0.277</w:t>
                  </w:r>
                </w:p>
              </w:tc>
              <w:tc>
                <w:tcPr/>
                <w:p>
                  <w:pPr>
                    <w:pStyle w:val="Compact"/>
                    <w:jc w:val="right"/>
                    <w:jc w:val="center"/>
                  </w:pPr>
                  <w:r>
                    <w:t xml:space="preserve">0.8</w:t>
                  </w:r>
                </w:p>
              </w:tc>
              <w:tc>
                <w:tcPr/>
                <w:p>
                  <w:pPr>
                    <w:pStyle w:val="Compact"/>
                  </w:pPr>
                </w:p>
              </w:tc>
            </w:tr>
            <w:tr>
              <w:tc>
                <w:tcPr/>
                <w:p>
                  <w:pPr>
                    <w:pStyle w:val="Compact"/>
                    <w:jc w:val="left"/>
                    <w:jc w:val="center"/>
                  </w:pPr>
                  <w:r>
                    <w:t xml:space="preserve">DE</w:t>
                  </w:r>
                </w:p>
              </w:tc>
              <w:tc>
                <w:tcPr/>
                <w:p>
                  <w:pPr>
                    <w:pStyle w:val="Compact"/>
                    <w:jc w:val="right"/>
                    <w:jc w:val="center"/>
                  </w:pPr>
                  <w:r>
                    <w:t xml:space="preserve">0.0358</w:t>
                  </w:r>
                </w:p>
              </w:tc>
              <w:tc>
                <w:tcPr/>
                <w:p>
                  <w:pPr>
                    <w:pStyle w:val="Compact"/>
                    <w:jc w:val="right"/>
                    <w:jc w:val="center"/>
                  </w:pPr>
                  <w:r>
                    <w:t xml:space="preserve">0.0179</w:t>
                  </w:r>
                </w:p>
              </w:tc>
              <w:tc>
                <w:tcPr/>
                <w:p>
                  <w:pPr>
                    <w:pStyle w:val="Compact"/>
                    <w:jc w:val="right"/>
                    <w:jc w:val="center"/>
                  </w:pPr>
                  <w:r>
                    <w:t xml:space="preserve">0.266</w:t>
                  </w:r>
                </w:p>
              </w:tc>
              <w:tc>
                <w:tcPr/>
                <w:p>
                  <w:pPr>
                    <w:pStyle w:val="Compact"/>
                    <w:jc w:val="right"/>
                    <w:jc w:val="center"/>
                  </w:pPr>
                  <w:r>
                    <w:t xml:space="preserve">0.0674</w:t>
                  </w:r>
                </w:p>
              </w:tc>
              <w:tc>
                <w:tcPr/>
                <w:p>
                  <w:pPr>
                    <w:pStyle w:val="Compact"/>
                    <w:jc w:val="right"/>
                    <w:jc w:val="center"/>
                  </w:pPr>
                  <w:r>
                    <w:t xml:space="preserve">0.951</w:t>
                  </w:r>
                </w:p>
              </w:tc>
              <w:tc>
                <w:tcPr/>
                <w:p>
                  <w:pPr>
                    <w:pStyle w:val="Compact"/>
                  </w:pPr>
                </w:p>
              </w:tc>
            </w:tr>
            <w:tr>
              <w:tc>
                <w:tcPr/>
                <w:p>
                  <w:pPr>
                    <w:pStyle w:val="Compact"/>
                    <w:jc w:val="left"/>
                    <w:jc w:val="center"/>
                  </w:pPr>
                  <w:r>
                    <w:t xml:space="preserve">CE</w:t>
                  </w:r>
                </w:p>
              </w:tc>
              <w:tc>
                <w:tcPr/>
                <w:p>
                  <w:pPr>
                    <w:pStyle w:val="Compact"/>
                    <w:jc w:val="right"/>
                    <w:jc w:val="center"/>
                  </w:pPr>
                  <w:r>
                    <w:t xml:space="preserve">0.0118</w:t>
                  </w:r>
                </w:p>
              </w:tc>
              <w:tc>
                <w:tcPr/>
                <w:p>
                  <w:pPr>
                    <w:pStyle w:val="Compact"/>
                    <w:jc w:val="right"/>
                    <w:jc w:val="center"/>
                  </w:pPr>
                  <w:r>
                    <w:t xml:space="preserve">0.00591</w:t>
                  </w:r>
                </w:p>
              </w:tc>
              <w:tc>
                <w:tcPr/>
                <w:p>
                  <w:pPr>
                    <w:pStyle w:val="Compact"/>
                    <w:jc w:val="right"/>
                    <w:jc w:val="center"/>
                  </w:pPr>
                  <w:r>
                    <w:t xml:space="preserve">0.266</w:t>
                  </w:r>
                </w:p>
              </w:tc>
              <w:tc>
                <w:tcPr/>
                <w:p>
                  <w:pPr>
                    <w:pStyle w:val="Compact"/>
                    <w:jc w:val="right"/>
                    <w:jc w:val="center"/>
                  </w:pPr>
                  <w:r>
                    <w:t xml:space="preserve">0.0222</w:t>
                  </w:r>
                </w:p>
              </w:tc>
              <w:tc>
                <w:tcPr/>
                <w:p>
                  <w:pPr>
                    <w:pStyle w:val="Compact"/>
                    <w:jc w:val="right"/>
                    <w:jc w:val="center"/>
                  </w:pPr>
                  <w:r>
                    <w:t xml:space="preserve">0.984</w:t>
                  </w:r>
                </w:p>
              </w:tc>
              <w:tc>
                <w:tcPr/>
                <w:p>
                  <w:pPr>
                    <w:pStyle w:val="Compact"/>
                  </w:pPr>
                </w:p>
              </w:tc>
            </w:tr>
          </w:tbl>
          <w:bookmarkEnd w:id="101"/>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tbl-appc-galactosylation"/>
          <w:p>
            <w:pPr>
              <w:jc w:val="center"/>
            </w:pPr>
            <w:pPr>
              <w:jc w:val="left"/>
              <w:spacing w:before="200"/>
              <w:pStyle w:val="ImageCaption"/>
            </w:pPr>
            <w:r>
              <w:t xml:space="preserve">Table 23: Screening effect estimates for galactosylation.</w:t>
            </w:r>
          </w:p>
          <w:tbl>
            <w:tblPr>
              <w:tblStyle w:val="Table"/>
              <w:tblW w:type="pct" w:w="5000"/>
              <w:tblLayout w:type="fixed"/>
              <w:tblLook w:firstRow="1" w:lastRow="0" w:firstColumn="0" w:lastColumn="0" w:noHBand="0" w:noVBand="0" w:val="0020"/>
            </w:tblPr>
            <w:tblGrid>
              <w:gridCol w:w="931"/>
              <w:gridCol w:w="1164"/>
              <w:gridCol w:w="1048"/>
              <w:gridCol w:w="1514"/>
              <w:gridCol w:w="1048"/>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E</w:t>
                  </w:r>
                </w:p>
              </w:tc>
              <w:tc>
                <w:tcPr/>
                <w:p>
                  <w:pPr>
                    <w:pStyle w:val="Compact"/>
                    <w:jc w:val="right"/>
                    <w:jc w:val="center"/>
                  </w:pPr>
                  <w:r>
                    <w:t xml:space="preserve">-7.82</w:t>
                  </w:r>
                </w:p>
              </w:tc>
              <w:tc>
                <w:tcPr/>
                <w:p>
                  <w:pPr>
                    <w:pStyle w:val="Compact"/>
                    <w:jc w:val="right"/>
                    <w:jc w:val="center"/>
                  </w:pPr>
                  <w:r>
                    <w:t xml:space="preserve">-3.91</w:t>
                  </w:r>
                </w:p>
              </w:tc>
              <w:tc>
                <w:tcPr/>
                <w:p>
                  <w:pPr>
                    <w:pStyle w:val="Compact"/>
                    <w:jc w:val="right"/>
                    <w:jc w:val="center"/>
                  </w:pPr>
                  <w:r>
                    <w:t xml:space="preserve">0.193</w:t>
                  </w:r>
                </w:p>
              </w:tc>
              <w:tc>
                <w:tcPr/>
                <w:p>
                  <w:pPr>
                    <w:pStyle w:val="Compact"/>
                    <w:jc w:val="right"/>
                    <w:jc w:val="center"/>
                  </w:pPr>
                  <w:r>
                    <w:t xml:space="preserve">-20.2</w:t>
                  </w:r>
                </w:p>
              </w:tc>
              <w:tc>
                <w:tcPr/>
                <w:p>
                  <w:pPr>
                    <w:pStyle w:val="Compact"/>
                    <w:jc w:val="right"/>
                    <w:jc w:val="center"/>
                  </w:pPr>
                  <w:r>
                    <w:t xml:space="preserve">0.000264</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6.9</w:t>
                  </w:r>
                </w:p>
              </w:tc>
              <w:tc>
                <w:tcPr/>
                <w:p>
                  <w:pPr>
                    <w:pStyle w:val="Compact"/>
                    <w:jc w:val="right"/>
                    <w:jc w:val="center"/>
                  </w:pPr>
                  <w:r>
                    <w:t xml:space="preserve">3.45</w:t>
                  </w:r>
                </w:p>
              </w:tc>
              <w:tc>
                <w:tcPr/>
                <w:p>
                  <w:pPr>
                    <w:pStyle w:val="Compact"/>
                    <w:jc w:val="right"/>
                    <w:jc w:val="center"/>
                  </w:pPr>
                  <w:r>
                    <w:t xml:space="preserve">0.193</w:t>
                  </w:r>
                </w:p>
              </w:tc>
              <w:tc>
                <w:tcPr/>
                <w:p>
                  <w:pPr>
                    <w:pStyle w:val="Compact"/>
                    <w:jc w:val="right"/>
                    <w:jc w:val="center"/>
                  </w:pPr>
                  <w:r>
                    <w:t xml:space="preserve">17.9</w:t>
                  </w:r>
                </w:p>
              </w:tc>
              <w:tc>
                <w:tcPr/>
                <w:p>
                  <w:pPr>
                    <w:pStyle w:val="Compact"/>
                    <w:jc w:val="right"/>
                    <w:jc w:val="center"/>
                  </w:pPr>
                  <w:r>
                    <w:t xml:space="preserve">0.000382</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-5.79</w:t>
                  </w:r>
                </w:p>
              </w:tc>
              <w:tc>
                <w:tcPr/>
                <w:p>
                  <w:pPr>
                    <w:pStyle w:val="Compact"/>
                    <w:jc w:val="right"/>
                    <w:jc w:val="center"/>
                  </w:pPr>
                  <w:r>
                    <w:t xml:space="preserve">-2.9</w:t>
                  </w:r>
                </w:p>
              </w:tc>
              <w:tc>
                <w:tcPr/>
                <w:p>
                  <w:pPr>
                    <w:pStyle w:val="Compact"/>
                    <w:jc w:val="right"/>
                    <w:jc w:val="center"/>
                  </w:pPr>
                  <w:r>
                    <w:t xml:space="preserve">0.193</w:t>
                  </w:r>
                </w:p>
              </w:tc>
              <w:tc>
                <w:tcPr/>
                <w:p>
                  <w:pPr>
                    <w:pStyle w:val="Compact"/>
                    <w:jc w:val="right"/>
                    <w:jc w:val="center"/>
                  </w:pPr>
                  <w:r>
                    <w:t xml:space="preserve">-15</w:t>
                  </w:r>
                </w:p>
              </w:tc>
              <w:tc>
                <w:tcPr/>
                <w:p>
                  <w:pPr>
                    <w:pStyle w:val="Compact"/>
                    <w:jc w:val="right"/>
                    <w:jc w:val="center"/>
                  </w:pPr>
                  <w:r>
                    <w:t xml:space="preserve">0.000644</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-4.56</w:t>
                  </w:r>
                </w:p>
              </w:tc>
              <w:tc>
                <w:tcPr/>
                <w:p>
                  <w:pPr>
                    <w:pStyle w:val="Compact"/>
                    <w:jc w:val="right"/>
                    <w:jc w:val="center"/>
                  </w:pPr>
                  <w:r>
                    <w:t xml:space="preserve">-2.28</w:t>
                  </w:r>
                </w:p>
              </w:tc>
              <w:tc>
                <w:tcPr/>
                <w:p>
                  <w:pPr>
                    <w:pStyle w:val="Compact"/>
                    <w:jc w:val="right"/>
                    <w:jc w:val="center"/>
                  </w:pPr>
                  <w:r>
                    <w:t xml:space="preserve">0.193</w:t>
                  </w:r>
                </w:p>
              </w:tc>
              <w:tc>
                <w:tcPr/>
                <w:p>
                  <w:pPr>
                    <w:pStyle w:val="Compact"/>
                    <w:jc w:val="right"/>
                    <w:jc w:val="center"/>
                  </w:pPr>
                  <w:r>
                    <w:t xml:space="preserve">-11.8</w:t>
                  </w:r>
                </w:p>
              </w:tc>
              <w:tc>
                <w:tcPr/>
                <w:p>
                  <w:pPr>
                    <w:pStyle w:val="Compact"/>
                    <w:jc w:val="right"/>
                    <w:jc w:val="center"/>
                  </w:pPr>
                  <w:r>
                    <w:t xml:space="preserve">0.00131</w:t>
                  </w:r>
                </w:p>
              </w:tc>
              <w:tc>
                <w:tcPr/>
                <w:p>
                  <w:pPr>
                    <w:pStyle w:val="Compact"/>
                    <w:jc w:val="left"/>
                    <w:jc w:val="center"/>
                  </w:pPr>
                  <w:r>
                    <w:t xml:space="preserve">**</w:t>
                  </w:r>
                </w:p>
              </w:tc>
            </w:tr>
            <w:tr>
              <w:tc>
                <w:tcPr/>
                <w:p>
                  <w:pPr>
                    <w:pStyle w:val="Compact"/>
                    <w:jc w:val="left"/>
                    <w:jc w:val="center"/>
                  </w:pPr>
                  <w:r>
                    <w:t xml:space="preserve">BD</w:t>
                  </w:r>
                </w:p>
              </w:tc>
              <w:tc>
                <w:tcPr/>
                <w:p>
                  <w:pPr>
                    <w:pStyle w:val="Compact"/>
                    <w:jc w:val="right"/>
                    <w:jc w:val="center"/>
                  </w:pPr>
                  <w:r>
                    <w:t xml:space="preserve">3.7</w:t>
                  </w:r>
                </w:p>
              </w:tc>
              <w:tc>
                <w:tcPr/>
                <w:p>
                  <w:pPr>
                    <w:pStyle w:val="Compact"/>
                    <w:jc w:val="right"/>
                    <w:jc w:val="center"/>
                  </w:pPr>
                  <w:r>
                    <w:t xml:space="preserve">1.85</w:t>
                  </w:r>
                </w:p>
              </w:tc>
              <w:tc>
                <w:tcPr/>
                <w:p>
                  <w:pPr>
                    <w:pStyle w:val="Compact"/>
                    <w:jc w:val="right"/>
                    <w:jc w:val="center"/>
                  </w:pPr>
                  <w:r>
                    <w:t xml:space="preserve">0.193</w:t>
                  </w:r>
                </w:p>
              </w:tc>
              <w:tc>
                <w:tcPr/>
                <w:p>
                  <w:pPr>
                    <w:pStyle w:val="Compact"/>
                    <w:jc w:val="right"/>
                    <w:jc w:val="center"/>
                  </w:pPr>
                  <w:r>
                    <w:t xml:space="preserve">9.57</w:t>
                  </w:r>
                </w:p>
              </w:tc>
              <w:tc>
                <w:tcPr/>
                <w:p>
                  <w:pPr>
                    <w:pStyle w:val="Compact"/>
                    <w:jc w:val="right"/>
                    <w:jc w:val="center"/>
                  </w:pPr>
                  <w:r>
                    <w:t xml:space="preserve">0.00242</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3.6</w:t>
                  </w:r>
                </w:p>
              </w:tc>
              <w:tc>
                <w:tcPr/>
                <w:p>
                  <w:pPr>
                    <w:pStyle w:val="Compact"/>
                    <w:jc w:val="right"/>
                    <w:jc w:val="center"/>
                  </w:pPr>
                  <w:r>
                    <w:t xml:space="preserve">1.8</w:t>
                  </w:r>
                </w:p>
              </w:tc>
              <w:tc>
                <w:tcPr/>
                <w:p>
                  <w:pPr>
                    <w:pStyle w:val="Compact"/>
                    <w:jc w:val="right"/>
                    <w:jc w:val="center"/>
                  </w:pPr>
                  <w:r>
                    <w:t xml:space="preserve">0.193</w:t>
                  </w:r>
                </w:p>
              </w:tc>
              <w:tc>
                <w:tcPr/>
                <w:p>
                  <w:pPr>
                    <w:pStyle w:val="Compact"/>
                    <w:jc w:val="right"/>
                    <w:jc w:val="center"/>
                  </w:pPr>
                  <w:r>
                    <w:t xml:space="preserve">9.32</w:t>
                  </w:r>
                </w:p>
              </w:tc>
              <w:tc>
                <w:tcPr/>
                <w:p>
                  <w:pPr>
                    <w:pStyle w:val="Compact"/>
                    <w:jc w:val="right"/>
                    <w:jc w:val="center"/>
                  </w:pPr>
                  <w:r>
                    <w:t xml:space="preserve">0.00261</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3.54</w:t>
                  </w:r>
                </w:p>
              </w:tc>
              <w:tc>
                <w:tcPr/>
                <w:p>
                  <w:pPr>
                    <w:pStyle w:val="Compact"/>
                    <w:jc w:val="right"/>
                    <w:jc w:val="center"/>
                  </w:pPr>
                  <w:r>
                    <w:t xml:space="preserve">1.77</w:t>
                  </w:r>
                </w:p>
              </w:tc>
              <w:tc>
                <w:tcPr/>
                <w:p>
                  <w:pPr>
                    <w:pStyle w:val="Compact"/>
                    <w:jc w:val="right"/>
                    <w:jc w:val="center"/>
                  </w:pPr>
                  <w:r>
                    <w:t xml:space="preserve">0.193</w:t>
                  </w:r>
                </w:p>
              </w:tc>
              <w:tc>
                <w:tcPr/>
                <w:p>
                  <w:pPr>
                    <w:pStyle w:val="Compact"/>
                    <w:jc w:val="right"/>
                    <w:jc w:val="center"/>
                  </w:pPr>
                  <w:r>
                    <w:t xml:space="preserve">9.17</w:t>
                  </w:r>
                </w:p>
              </w:tc>
              <w:tc>
                <w:tcPr/>
                <w:p>
                  <w:pPr>
                    <w:pStyle w:val="Compact"/>
                    <w:jc w:val="right"/>
                    <w:jc w:val="center"/>
                  </w:pPr>
                  <w:r>
                    <w:t xml:space="preserve">0.00274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3.28</w:t>
                  </w:r>
                </w:p>
              </w:tc>
              <w:tc>
                <w:tcPr/>
                <w:p>
                  <w:pPr>
                    <w:pStyle w:val="Compact"/>
                    <w:jc w:val="right"/>
                    <w:jc w:val="center"/>
                  </w:pPr>
                  <w:r>
                    <w:t xml:space="preserve">1.64</w:t>
                  </w:r>
                </w:p>
              </w:tc>
              <w:tc>
                <w:tcPr/>
                <w:p>
                  <w:pPr>
                    <w:pStyle w:val="Compact"/>
                    <w:jc w:val="right"/>
                    <w:jc w:val="center"/>
                  </w:pPr>
                  <w:r>
                    <w:t xml:space="preserve">0.193</w:t>
                  </w:r>
                </w:p>
              </w:tc>
              <w:tc>
                <w:tcPr/>
                <w:p>
                  <w:pPr>
                    <w:pStyle w:val="Compact"/>
                    <w:jc w:val="right"/>
                    <w:jc w:val="center"/>
                  </w:pPr>
                  <w:r>
                    <w:t xml:space="preserve">8.49</w:t>
                  </w:r>
                </w:p>
              </w:tc>
              <w:tc>
                <w:tcPr/>
                <w:p>
                  <w:pPr>
                    <w:pStyle w:val="Compact"/>
                    <w:jc w:val="right"/>
                    <w:jc w:val="center"/>
                  </w:pPr>
                  <w:r>
                    <w:t xml:space="preserve">0.00343</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-2.45</w:t>
                  </w:r>
                </w:p>
              </w:tc>
              <w:tc>
                <w:tcPr/>
                <w:p>
                  <w:pPr>
                    <w:pStyle w:val="Compact"/>
                    <w:jc w:val="right"/>
                    <w:jc w:val="center"/>
                  </w:pPr>
                  <w:r>
                    <w:t xml:space="preserve">-1.23</w:t>
                  </w:r>
                </w:p>
              </w:tc>
              <w:tc>
                <w:tcPr/>
                <w:p>
                  <w:pPr>
                    <w:pStyle w:val="Compact"/>
                    <w:jc w:val="right"/>
                    <w:jc w:val="center"/>
                  </w:pPr>
                  <w:r>
                    <w:t xml:space="preserve">0.193</w:t>
                  </w:r>
                </w:p>
              </w:tc>
              <w:tc>
                <w:tcPr/>
                <w:p>
                  <w:pPr>
                    <w:pStyle w:val="Compact"/>
                    <w:jc w:val="right"/>
                    <w:jc w:val="center"/>
                  </w:pPr>
                  <w:r>
                    <w:t xml:space="preserve">-6.35</w:t>
                  </w:r>
                </w:p>
              </w:tc>
              <w:tc>
                <w:tcPr/>
                <w:p>
                  <w:pPr>
                    <w:pStyle w:val="Compact"/>
                    <w:jc w:val="right"/>
                    <w:jc w:val="center"/>
                  </w:pPr>
                  <w:r>
                    <w:t xml:space="preserve">0.0079</w:t>
                  </w:r>
                </w:p>
              </w:tc>
              <w:tc>
                <w:tcPr/>
                <w:p>
                  <w:pPr>
                    <w:pStyle w:val="Compact"/>
                    <w:jc w:val="left"/>
                    <w:jc w:val="center"/>
                  </w:pPr>
                  <w:r>
                    <w:t xml:space="preserve">**</w:t>
                  </w:r>
                </w:p>
              </w:tc>
            </w:tr>
            <w:tr>
              <w:tc>
                <w:tcPr/>
                <w:p>
                  <w:pPr>
                    <w:pStyle w:val="Compact"/>
                    <w:jc w:val="left"/>
                    <w:jc w:val="center"/>
                  </w:pPr>
                  <w:r>
                    <w:t xml:space="preserve">CD</w:t>
                  </w:r>
                </w:p>
              </w:tc>
              <w:tc>
                <w:tcPr/>
                <w:p>
                  <w:pPr>
                    <w:pStyle w:val="Compact"/>
                    <w:jc w:val="right"/>
                    <w:jc w:val="center"/>
                  </w:pPr>
                  <w:r>
                    <w:t xml:space="preserve">2.18</w:t>
                  </w:r>
                </w:p>
              </w:tc>
              <w:tc>
                <w:tcPr/>
                <w:p>
                  <w:pPr>
                    <w:pStyle w:val="Compact"/>
                    <w:jc w:val="right"/>
                    <w:jc w:val="center"/>
                  </w:pPr>
                  <w:r>
                    <w:t xml:space="preserve">1.09</w:t>
                  </w:r>
                </w:p>
              </w:tc>
              <w:tc>
                <w:tcPr/>
                <w:p>
                  <w:pPr>
                    <w:pStyle w:val="Compact"/>
                    <w:jc w:val="right"/>
                    <w:jc w:val="center"/>
                  </w:pPr>
                  <w:r>
                    <w:t xml:space="preserve">0.193</w:t>
                  </w:r>
                </w:p>
              </w:tc>
              <w:tc>
                <w:tcPr/>
                <w:p>
                  <w:pPr>
                    <w:pStyle w:val="Compact"/>
                    <w:jc w:val="right"/>
                    <w:jc w:val="center"/>
                  </w:pPr>
                  <w:r>
                    <w:t xml:space="preserve">5.64</w:t>
                  </w:r>
                </w:p>
              </w:tc>
              <w:tc>
                <w:tcPr/>
                <w:p>
                  <w:pPr>
                    <w:pStyle w:val="Compact"/>
                    <w:jc w:val="right"/>
                    <w:jc w:val="center"/>
                  </w:pPr>
                  <w:r>
                    <w:t xml:space="preserve">0.011</w:t>
                  </w:r>
                </w:p>
              </w:tc>
              <w:tc>
                <w:tcPr/>
                <w:p>
                  <w:pPr>
                    <w:pStyle w:val="Compact"/>
                    <w:jc w:val="left"/>
                    <w:jc w:val="center"/>
                  </w:pPr>
                  <w:r>
                    <w:t xml:space="preserve">*</w:t>
                  </w:r>
                </w:p>
              </w:tc>
            </w:tr>
            <w:tr>
              <w:tc>
                <w:tcPr/>
                <w:p>
                  <w:pPr>
                    <w:pStyle w:val="Compact"/>
                    <w:jc w:val="left"/>
                    <w:jc w:val="center"/>
                  </w:pPr>
                  <w:r>
                    <w:t xml:space="preserve">DE</w:t>
                  </w:r>
                </w:p>
              </w:tc>
              <w:tc>
                <w:tcPr/>
                <w:p>
                  <w:pPr>
                    <w:pStyle w:val="Compact"/>
                    <w:jc w:val="right"/>
                    <w:jc w:val="center"/>
                  </w:pPr>
                  <w:r>
                    <w:t xml:space="preserve">1.93</w:t>
                  </w:r>
                </w:p>
              </w:tc>
              <w:tc>
                <w:tcPr/>
                <w:p>
                  <w:pPr>
                    <w:pStyle w:val="Compact"/>
                    <w:jc w:val="right"/>
                    <w:jc w:val="center"/>
                  </w:pPr>
                  <w:r>
                    <w:t xml:space="preserve">0.963</w:t>
                  </w:r>
                </w:p>
              </w:tc>
              <w:tc>
                <w:tcPr/>
                <w:p>
                  <w:pPr>
                    <w:pStyle w:val="Compact"/>
                    <w:jc w:val="right"/>
                    <w:jc w:val="center"/>
                  </w:pPr>
                  <w:r>
                    <w:t xml:space="preserve">0.193</w:t>
                  </w:r>
                </w:p>
              </w:tc>
              <w:tc>
                <w:tcPr/>
                <w:p>
                  <w:pPr>
                    <w:pStyle w:val="Compact"/>
                    <w:jc w:val="right"/>
                    <w:jc w:val="center"/>
                  </w:pPr>
                  <w:r>
                    <w:t xml:space="preserve">4.98</w:t>
                  </w:r>
                </w:p>
              </w:tc>
              <w:tc>
                <w:tcPr/>
                <w:p>
                  <w:pPr>
                    <w:pStyle w:val="Compact"/>
                    <w:jc w:val="right"/>
                    <w:jc w:val="center"/>
                  </w:pPr>
                  <w:r>
                    <w:t xml:space="preserve">0.0155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1.49</w:t>
                  </w:r>
                </w:p>
              </w:tc>
              <w:tc>
                <w:tcPr/>
                <w:p>
                  <w:pPr>
                    <w:pStyle w:val="Compact"/>
                    <w:jc w:val="right"/>
                    <w:jc w:val="center"/>
                  </w:pPr>
                  <w:r>
                    <w:t xml:space="preserve">0.747</w:t>
                  </w:r>
                </w:p>
              </w:tc>
              <w:tc>
                <w:tcPr/>
                <w:p>
                  <w:pPr>
                    <w:pStyle w:val="Compact"/>
                    <w:jc w:val="right"/>
                    <w:jc w:val="center"/>
                  </w:pPr>
                  <w:r>
                    <w:t xml:space="preserve">0.193</w:t>
                  </w:r>
                </w:p>
              </w:tc>
              <w:tc>
                <w:tcPr/>
                <w:p>
                  <w:pPr>
                    <w:pStyle w:val="Compact"/>
                    <w:jc w:val="right"/>
                    <w:jc w:val="center"/>
                  </w:pPr>
                  <w:r>
                    <w:t xml:space="preserve">3.87</w:t>
                  </w:r>
                </w:p>
              </w:tc>
              <w:tc>
                <w:tcPr/>
                <w:p>
                  <w:pPr>
                    <w:pStyle w:val="Compact"/>
                    <w:jc w:val="right"/>
                    <w:jc w:val="center"/>
                  </w:pPr>
                  <w:r>
                    <w:t xml:space="preserve">0.0306</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-0.195</w:t>
                  </w:r>
                </w:p>
              </w:tc>
              <w:tc>
                <w:tcPr/>
                <w:p>
                  <w:pPr>
                    <w:pStyle w:val="Compact"/>
                    <w:jc w:val="right"/>
                    <w:jc w:val="center"/>
                  </w:pPr>
                  <w:r>
                    <w:t xml:space="preserve">-0.0974</w:t>
                  </w:r>
                </w:p>
              </w:tc>
              <w:tc>
                <w:tcPr/>
                <w:p>
                  <w:pPr>
                    <w:pStyle w:val="Compact"/>
                    <w:jc w:val="right"/>
                    <w:jc w:val="center"/>
                  </w:pPr>
                  <w:r>
                    <w:t xml:space="preserve">0.193</w:t>
                  </w:r>
                </w:p>
              </w:tc>
              <w:tc>
                <w:tcPr/>
                <w:p>
                  <w:pPr>
                    <w:pStyle w:val="Compact"/>
                    <w:jc w:val="right"/>
                    <w:jc w:val="center"/>
                  </w:pPr>
                  <w:r>
                    <w:t xml:space="preserve">-0.504</w:t>
                  </w:r>
                </w:p>
              </w:tc>
              <w:tc>
                <w:tcPr/>
                <w:p>
                  <w:pPr>
                    <w:pStyle w:val="Compact"/>
                    <w:jc w:val="right"/>
                    <w:jc w:val="center"/>
                  </w:pPr>
                  <w:r>
                    <w:t xml:space="preserve">0.649</w:t>
                  </w:r>
                </w:p>
              </w:tc>
              <w:tc>
                <w:tcPr/>
                <w:p>
                  <w:pPr>
                    <w:pStyle w:val="Compact"/>
                  </w:pPr>
                </w:p>
              </w:tc>
            </w:tr>
            <w:tr>
              <w:tc>
                <w:tcPr/>
                <w:p>
                  <w:pPr>
                    <w:pStyle w:val="Compact"/>
                    <w:jc w:val="left"/>
                    <w:jc w:val="center"/>
                  </w:pPr>
                  <w:r>
                    <w:t xml:space="preserve">BC</w:t>
                  </w:r>
                </w:p>
              </w:tc>
              <w:tc>
                <w:tcPr/>
                <w:p>
                  <w:pPr>
                    <w:pStyle w:val="Compact"/>
                    <w:jc w:val="right"/>
                    <w:jc w:val="center"/>
                  </w:pPr>
                  <w:r>
                    <w:t xml:space="preserve">-0.131</w:t>
                  </w:r>
                </w:p>
              </w:tc>
              <w:tc>
                <w:tcPr/>
                <w:p>
                  <w:pPr>
                    <w:pStyle w:val="Compact"/>
                    <w:jc w:val="right"/>
                    <w:jc w:val="center"/>
                  </w:pPr>
                  <w:r>
                    <w:t xml:space="preserve">-0.0657</w:t>
                  </w:r>
                </w:p>
              </w:tc>
              <w:tc>
                <w:tcPr/>
                <w:p>
                  <w:pPr>
                    <w:pStyle w:val="Compact"/>
                    <w:jc w:val="right"/>
                    <w:jc w:val="center"/>
                  </w:pPr>
                  <w:r>
                    <w:t xml:space="preserve">0.193</w:t>
                  </w:r>
                </w:p>
              </w:tc>
              <w:tc>
                <w:tcPr/>
                <w:p>
                  <w:pPr>
                    <w:pStyle w:val="Compact"/>
                    <w:jc w:val="right"/>
                    <w:jc w:val="center"/>
                  </w:pPr>
                  <w:r>
                    <w:t xml:space="preserve">-0.34</w:t>
                  </w:r>
                </w:p>
              </w:tc>
              <w:tc>
                <w:tcPr/>
                <w:p>
                  <w:pPr>
                    <w:pStyle w:val="Compact"/>
                    <w:jc w:val="right"/>
                    <w:jc w:val="center"/>
                  </w:pPr>
                  <w:r>
                    <w:t xml:space="preserve">0.756</w:t>
                  </w:r>
                </w:p>
              </w:tc>
              <w:tc>
                <w:tcPr/>
                <w:p>
                  <w:pPr>
                    <w:pStyle w:val="Compact"/>
                  </w:pPr>
                </w:p>
              </w:tc>
            </w:tr>
            <w:tr>
              <w:tc>
                <w:tcPr/>
                <w:p>
                  <w:pPr>
                    <w:pStyle w:val="Compact"/>
                    <w:jc w:val="left"/>
                    <w:jc w:val="center"/>
                  </w:pPr>
                  <w:r>
                    <w:t xml:space="preserve">CE</w:t>
                  </w:r>
                </w:p>
              </w:tc>
              <w:tc>
                <w:tcPr/>
                <w:p>
                  <w:pPr>
                    <w:pStyle w:val="Compact"/>
                    <w:jc w:val="right"/>
                    <w:jc w:val="center"/>
                  </w:pPr>
                  <w:r>
                    <w:t xml:space="preserve">0.119</w:t>
                  </w:r>
                </w:p>
              </w:tc>
              <w:tc>
                <w:tcPr/>
                <w:p>
                  <w:pPr>
                    <w:pStyle w:val="Compact"/>
                    <w:jc w:val="right"/>
                    <w:jc w:val="center"/>
                  </w:pPr>
                  <w:r>
                    <w:t xml:space="preserve">0.0596</w:t>
                  </w:r>
                </w:p>
              </w:tc>
              <w:tc>
                <w:tcPr/>
                <w:p>
                  <w:pPr>
                    <w:pStyle w:val="Compact"/>
                    <w:jc w:val="right"/>
                    <w:jc w:val="center"/>
                  </w:pPr>
                  <w:r>
                    <w:t xml:space="preserve">0.193</w:t>
                  </w:r>
                </w:p>
              </w:tc>
              <w:tc>
                <w:tcPr/>
                <w:p>
                  <w:pPr>
                    <w:pStyle w:val="Compact"/>
                    <w:jc w:val="right"/>
                    <w:jc w:val="center"/>
                  </w:pPr>
                  <w:r>
                    <w:t xml:space="preserve">0.309</w:t>
                  </w:r>
                </w:p>
              </w:tc>
              <w:tc>
                <w:tcPr/>
                <w:p>
                  <w:pPr>
                    <w:pStyle w:val="Compact"/>
                    <w:jc w:val="right"/>
                    <w:jc w:val="center"/>
                  </w:pPr>
                  <w:r>
                    <w:t xml:space="preserve">0.778</w:t>
                  </w:r>
                </w:p>
              </w:tc>
              <w:tc>
                <w:tcPr/>
                <w:p>
                  <w:pPr>
                    <w:pStyle w:val="Compact"/>
                  </w:pPr>
                </w:p>
              </w:tc>
            </w:tr>
          </w:tbl>
          <w:bookmarkEnd w:id="102"/>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3" w:name="tbl-appc-high-mannose"/>
          <w:p>
            <w:pPr>
              <w:jc w:val="center"/>
            </w:pPr>
            <w:pPr>
              <w:jc w:val="left"/>
              <w:spacing w:before="200"/>
              <w:pStyle w:val="ImageCaption"/>
            </w:pPr>
            <w:r>
              <w:t xml:space="preserve">Table 24: Screening effect estimates for high mannose.</w:t>
            </w:r>
          </w:p>
          <w:tbl>
            <w:tblPr>
              <w:tblStyle w:val="Table"/>
              <w:tblW w:type="pct" w:w="5000"/>
              <w:tblLayout w:type="fixed"/>
              <w:tblLook w:firstRow="1" w:lastRow="0" w:firstColumn="0" w:lastColumn="0" w:noHBand="0" w:noVBand="0" w:val="0020"/>
            </w:tblPr>
            <w:tblGrid>
              <w:gridCol w:w="880"/>
              <w:gridCol w:w="1210"/>
              <w:gridCol w:w="1210"/>
              <w:gridCol w:w="1430"/>
              <w:gridCol w:w="1100"/>
              <w:gridCol w:w="1210"/>
              <w:gridCol w:w="880"/>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1.51</w:t>
                  </w:r>
                </w:p>
              </w:tc>
              <w:tc>
                <w:tcPr/>
                <w:p>
                  <w:pPr>
                    <w:pStyle w:val="Compact"/>
                    <w:jc w:val="right"/>
                    <w:jc w:val="center"/>
                  </w:pPr>
                  <w:r>
                    <w:t xml:space="preserve">0.756</w:t>
                  </w:r>
                </w:p>
              </w:tc>
              <w:tc>
                <w:tcPr/>
                <w:p>
                  <w:pPr>
                    <w:pStyle w:val="Compact"/>
                    <w:jc w:val="right"/>
                    <w:jc w:val="center"/>
                  </w:pPr>
                  <w:r>
                    <w:t xml:space="preserve">0.155</w:t>
                  </w:r>
                </w:p>
              </w:tc>
              <w:tc>
                <w:tcPr/>
                <w:p>
                  <w:pPr>
                    <w:pStyle w:val="Compact"/>
                    <w:jc w:val="right"/>
                    <w:jc w:val="center"/>
                  </w:pPr>
                  <w:r>
                    <w:t xml:space="preserve">4.89</w:t>
                  </w:r>
                </w:p>
              </w:tc>
              <w:tc>
                <w:tcPr/>
                <w:p>
                  <w:pPr>
                    <w:pStyle w:val="Compact"/>
                    <w:jc w:val="right"/>
                    <w:jc w:val="center"/>
                  </w:pPr>
                  <w:r>
                    <w:t xml:space="preserve">0.0164</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-1.39</w:t>
                  </w:r>
                </w:p>
              </w:tc>
              <w:tc>
                <w:tcPr/>
                <w:p>
                  <w:pPr>
                    <w:pStyle w:val="Compact"/>
                    <w:jc w:val="right"/>
                    <w:jc w:val="center"/>
                  </w:pPr>
                  <w:r>
                    <w:t xml:space="preserve">-0.696</w:t>
                  </w:r>
                </w:p>
              </w:tc>
              <w:tc>
                <w:tcPr/>
                <w:p>
                  <w:pPr>
                    <w:pStyle w:val="Compact"/>
                    <w:jc w:val="right"/>
                    <w:jc w:val="center"/>
                  </w:pPr>
                  <w:r>
                    <w:t xml:space="preserve">0.155</w:t>
                  </w:r>
                </w:p>
              </w:tc>
              <w:tc>
                <w:tcPr/>
                <w:p>
                  <w:pPr>
                    <w:pStyle w:val="Compact"/>
                    <w:jc w:val="right"/>
                    <w:jc w:val="center"/>
                  </w:pPr>
                  <w:r>
                    <w:t xml:space="preserve">-4.5</w:t>
                  </w:r>
                </w:p>
              </w:tc>
              <w:tc>
                <w:tcPr/>
                <w:p>
                  <w:pPr>
                    <w:pStyle w:val="Compact"/>
                    <w:jc w:val="right"/>
                    <w:jc w:val="center"/>
                  </w:pPr>
                  <w:r>
                    <w:t xml:space="preserve">0.0205</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-0.446</w:t>
                  </w:r>
                </w:p>
              </w:tc>
              <w:tc>
                <w:tcPr/>
                <w:p>
                  <w:pPr>
                    <w:pStyle w:val="Compact"/>
                    <w:jc w:val="right"/>
                    <w:jc w:val="center"/>
                  </w:pPr>
                  <w:r>
                    <w:t xml:space="preserve">-0.223</w:t>
                  </w:r>
                </w:p>
              </w:tc>
              <w:tc>
                <w:tcPr/>
                <w:p>
                  <w:pPr>
                    <w:pStyle w:val="Compact"/>
                    <w:jc w:val="right"/>
                    <w:jc w:val="center"/>
                  </w:pPr>
                  <w:r>
                    <w:t xml:space="preserve">0.155</w:t>
                  </w:r>
                </w:p>
              </w:tc>
              <w:tc>
                <w:tcPr/>
                <w:p>
                  <w:pPr>
                    <w:pStyle w:val="Compact"/>
                    <w:jc w:val="right"/>
                    <w:jc w:val="center"/>
                  </w:pPr>
                  <w:r>
                    <w:t xml:space="preserve">-1.44</w:t>
                  </w:r>
                </w:p>
              </w:tc>
              <w:tc>
                <w:tcPr/>
                <w:p>
                  <w:pPr>
                    <w:pStyle w:val="Compact"/>
                    <w:jc w:val="right"/>
                    <w:jc w:val="center"/>
                  </w:pPr>
                  <w:r>
                    <w:t xml:space="preserve">0.245</w:t>
                  </w:r>
                </w:p>
              </w:tc>
              <w:tc>
                <w:tcPr/>
                <w:p>
                  <w:pPr>
                    <w:pStyle w:val="Compact"/>
                  </w:pPr>
                </w:p>
              </w:tc>
            </w:tr>
            <w:tr>
              <w:tc>
                <w:tcPr/>
                <w:p>
                  <w:pPr>
                    <w:pStyle w:val="Compact"/>
                    <w:jc w:val="left"/>
                    <w:jc w:val="center"/>
                  </w:pPr>
                  <w:r>
                    <w:t xml:space="preserve">BC</w:t>
                  </w:r>
                </w:p>
              </w:tc>
              <w:tc>
                <w:tcPr/>
                <w:p>
                  <w:pPr>
                    <w:pStyle w:val="Compact"/>
                    <w:jc w:val="right"/>
                    <w:jc w:val="center"/>
                  </w:pPr>
                  <w:r>
                    <w:t xml:space="preserve">0.369</w:t>
                  </w:r>
                </w:p>
              </w:tc>
              <w:tc>
                <w:tcPr/>
                <w:p>
                  <w:pPr>
                    <w:pStyle w:val="Compact"/>
                    <w:jc w:val="right"/>
                    <w:jc w:val="center"/>
                  </w:pPr>
                  <w:r>
                    <w:t xml:space="preserve">0.185</w:t>
                  </w:r>
                </w:p>
              </w:tc>
              <w:tc>
                <w:tcPr/>
                <w:p>
                  <w:pPr>
                    <w:pStyle w:val="Compact"/>
                    <w:jc w:val="right"/>
                    <w:jc w:val="center"/>
                  </w:pPr>
                  <w:r>
                    <w:t xml:space="preserve">0.155</w:t>
                  </w:r>
                </w:p>
              </w:tc>
              <w:tc>
                <w:tcPr/>
                <w:p>
                  <w:pPr>
                    <w:pStyle w:val="Compact"/>
                    <w:jc w:val="right"/>
                    <w:jc w:val="center"/>
                  </w:pPr>
                  <w:r>
                    <w:t xml:space="preserve">1.19</w:t>
                  </w:r>
                </w:p>
              </w:tc>
              <w:tc>
                <w:tcPr/>
                <w:p>
                  <w:pPr>
                    <w:pStyle w:val="Compact"/>
                    <w:jc w:val="right"/>
                    <w:jc w:val="center"/>
                  </w:pPr>
                  <w:r>
                    <w:t xml:space="preserve">0.318</w:t>
                  </w:r>
                </w:p>
              </w:tc>
              <w:tc>
                <w:tcPr/>
                <w:p>
                  <w:pPr>
                    <w:pStyle w:val="Compact"/>
                  </w:pPr>
                </w:p>
              </w:tc>
            </w:tr>
            <w:tr>
              <w:tc>
                <w:tcPr/>
                <w:p>
                  <w:pPr>
                    <w:pStyle w:val="Compact"/>
                    <w:jc w:val="left"/>
                    <w:jc w:val="center"/>
                  </w:pPr>
                  <w:r>
                    <w:t xml:space="preserve">E</w:t>
                  </w:r>
                </w:p>
              </w:tc>
              <w:tc>
                <w:tcPr/>
                <w:p>
                  <w:pPr>
                    <w:pStyle w:val="Compact"/>
                    <w:jc w:val="right"/>
                    <w:jc w:val="center"/>
                  </w:pPr>
                  <w:r>
                    <w:t xml:space="preserve">0.158</w:t>
                  </w:r>
                </w:p>
              </w:tc>
              <w:tc>
                <w:tcPr/>
                <w:p>
                  <w:pPr>
                    <w:pStyle w:val="Compact"/>
                    <w:jc w:val="right"/>
                    <w:jc w:val="center"/>
                  </w:pPr>
                  <w:r>
                    <w:t xml:space="preserve">0.0791</w:t>
                  </w:r>
                </w:p>
              </w:tc>
              <w:tc>
                <w:tcPr/>
                <w:p>
                  <w:pPr>
                    <w:pStyle w:val="Compact"/>
                    <w:jc w:val="right"/>
                    <w:jc w:val="center"/>
                  </w:pPr>
                  <w:r>
                    <w:t xml:space="preserve">0.155</w:t>
                  </w:r>
                </w:p>
              </w:tc>
              <w:tc>
                <w:tcPr/>
                <w:p>
                  <w:pPr>
                    <w:pStyle w:val="Compact"/>
                    <w:jc w:val="right"/>
                    <w:jc w:val="center"/>
                  </w:pPr>
                  <w:r>
                    <w:t xml:space="preserve">0.511</w:t>
                  </w:r>
                </w:p>
              </w:tc>
              <w:tc>
                <w:tcPr/>
                <w:p>
                  <w:pPr>
                    <w:pStyle w:val="Compact"/>
                    <w:jc w:val="right"/>
                    <w:jc w:val="center"/>
                  </w:pPr>
                  <w:r>
                    <w:t xml:space="preserve">0.645</w:t>
                  </w:r>
                </w:p>
              </w:tc>
              <w:tc>
                <w:tcPr/>
                <w:p>
                  <w:pPr>
                    <w:pStyle w:val="Compact"/>
                  </w:pPr>
                </w:p>
              </w:tc>
            </w:tr>
            <w:tr>
              <w:tc>
                <w:tcPr/>
                <w:p>
                  <w:pPr>
                    <w:pStyle w:val="Compact"/>
                    <w:jc w:val="left"/>
                    <w:jc w:val="center"/>
                  </w:pPr>
                  <w:r>
                    <w:t xml:space="preserve">D</w:t>
                  </w:r>
                </w:p>
              </w:tc>
              <w:tc>
                <w:tcPr/>
                <w:p>
                  <w:pPr>
                    <w:pStyle w:val="Compact"/>
                    <w:jc w:val="right"/>
                    <w:jc w:val="center"/>
                  </w:pPr>
                  <w:r>
                    <w:t xml:space="preserve">-0.139</w:t>
                  </w:r>
                </w:p>
              </w:tc>
              <w:tc>
                <w:tcPr/>
                <w:p>
                  <w:pPr>
                    <w:pStyle w:val="Compact"/>
                    <w:jc w:val="right"/>
                    <w:jc w:val="center"/>
                  </w:pPr>
                  <w:r>
                    <w:t xml:space="preserve">-0.0693</w:t>
                  </w:r>
                </w:p>
              </w:tc>
              <w:tc>
                <w:tcPr/>
                <w:p>
                  <w:pPr>
                    <w:pStyle w:val="Compact"/>
                    <w:jc w:val="right"/>
                    <w:jc w:val="center"/>
                  </w:pPr>
                  <w:r>
                    <w:t xml:space="preserve">0.155</w:t>
                  </w:r>
                </w:p>
              </w:tc>
              <w:tc>
                <w:tcPr/>
                <w:p>
                  <w:pPr>
                    <w:pStyle w:val="Compact"/>
                    <w:jc w:val="right"/>
                    <w:jc w:val="center"/>
                  </w:pPr>
                  <w:r>
                    <w:t xml:space="preserve">-0.448</w:t>
                  </w:r>
                </w:p>
              </w:tc>
              <w:tc>
                <w:tcPr/>
                <w:p>
                  <w:pPr>
                    <w:pStyle w:val="Compact"/>
                    <w:jc w:val="right"/>
                    <w:jc w:val="center"/>
                  </w:pPr>
                  <w:r>
                    <w:t xml:space="preserve">0.685</w:t>
                  </w:r>
                </w:p>
              </w:tc>
              <w:tc>
                <w:tcPr/>
                <w:p>
                  <w:pPr>
                    <w:pStyle w:val="Compact"/>
                  </w:pPr>
                </w:p>
              </w:tc>
            </w:tr>
            <w:tr>
              <w:tc>
                <w:tcPr/>
                <w:p>
                  <w:pPr>
                    <w:pStyle w:val="Compact"/>
                    <w:jc w:val="left"/>
                    <w:jc w:val="center"/>
                  </w:pPr>
                  <w:r>
                    <w:t xml:space="preserve">AC</w:t>
                  </w:r>
                </w:p>
              </w:tc>
              <w:tc>
                <w:tcPr/>
                <w:p>
                  <w:pPr>
                    <w:pStyle w:val="Compact"/>
                    <w:jc w:val="right"/>
                    <w:jc w:val="center"/>
                  </w:pPr>
                  <w:r>
                    <w:t xml:space="preserve">0.0897</w:t>
                  </w:r>
                </w:p>
              </w:tc>
              <w:tc>
                <w:tcPr/>
                <w:p>
                  <w:pPr>
                    <w:pStyle w:val="Compact"/>
                    <w:jc w:val="right"/>
                    <w:jc w:val="center"/>
                  </w:pPr>
                  <w:r>
                    <w:t xml:space="preserve">0.0449</w:t>
                  </w:r>
                </w:p>
              </w:tc>
              <w:tc>
                <w:tcPr/>
                <w:p>
                  <w:pPr>
                    <w:pStyle w:val="Compact"/>
                    <w:jc w:val="right"/>
                    <w:jc w:val="center"/>
                  </w:pPr>
                  <w:r>
                    <w:t xml:space="preserve">0.155</w:t>
                  </w:r>
                </w:p>
              </w:tc>
              <w:tc>
                <w:tcPr/>
                <w:p>
                  <w:pPr>
                    <w:pStyle w:val="Compact"/>
                    <w:jc w:val="right"/>
                    <w:jc w:val="center"/>
                  </w:pPr>
                  <w:r>
                    <w:t xml:space="preserve">0.29</w:t>
                  </w:r>
                </w:p>
              </w:tc>
              <w:tc>
                <w:tcPr/>
                <w:p>
                  <w:pPr>
                    <w:pStyle w:val="Compact"/>
                    <w:jc w:val="right"/>
                    <w:jc w:val="center"/>
                  </w:pPr>
                  <w:r>
                    <w:t xml:space="preserve">0.791</w:t>
                  </w:r>
                </w:p>
              </w:tc>
              <w:tc>
                <w:tcPr/>
                <w:p>
                  <w:pPr>
                    <w:pStyle w:val="Compact"/>
                  </w:pPr>
                </w:p>
              </w:tc>
            </w:tr>
            <w:tr>
              <w:tc>
                <w:tcPr/>
                <w:p>
                  <w:pPr>
                    <w:pStyle w:val="Compact"/>
                    <w:jc w:val="left"/>
                    <w:jc w:val="center"/>
                  </w:pPr>
                  <w:r>
                    <w:t xml:space="preserve">AE</w:t>
                  </w:r>
                </w:p>
              </w:tc>
              <w:tc>
                <w:tcPr/>
                <w:p>
                  <w:pPr>
                    <w:pStyle w:val="Compact"/>
                    <w:jc w:val="right"/>
                    <w:jc w:val="center"/>
                  </w:pPr>
                  <w:r>
                    <w:t xml:space="preserve">0.0894</w:t>
                  </w:r>
                </w:p>
              </w:tc>
              <w:tc>
                <w:tcPr/>
                <w:p>
                  <w:pPr>
                    <w:pStyle w:val="Compact"/>
                    <w:jc w:val="right"/>
                    <w:jc w:val="center"/>
                  </w:pPr>
                  <w:r>
                    <w:t xml:space="preserve">0.0447</w:t>
                  </w:r>
                </w:p>
              </w:tc>
              <w:tc>
                <w:tcPr/>
                <w:p>
                  <w:pPr>
                    <w:pStyle w:val="Compact"/>
                    <w:jc w:val="right"/>
                    <w:jc w:val="center"/>
                  </w:pPr>
                  <w:r>
                    <w:t xml:space="preserve">0.155</w:t>
                  </w:r>
                </w:p>
              </w:tc>
              <w:tc>
                <w:tcPr/>
                <w:p>
                  <w:pPr>
                    <w:pStyle w:val="Compact"/>
                    <w:jc w:val="right"/>
                    <w:jc w:val="center"/>
                  </w:pPr>
                  <w:r>
                    <w:t xml:space="preserve">0.289</w:t>
                  </w:r>
                </w:p>
              </w:tc>
              <w:tc>
                <w:tcPr/>
                <w:p>
                  <w:pPr>
                    <w:pStyle w:val="Compact"/>
                    <w:jc w:val="right"/>
                    <w:jc w:val="center"/>
                  </w:pPr>
                  <w:r>
                    <w:t xml:space="preserve">0.792</w:t>
                  </w:r>
                </w:p>
              </w:tc>
              <w:tc>
                <w:tcPr/>
                <w:p>
                  <w:pPr>
                    <w:pStyle w:val="Compact"/>
                  </w:pPr>
                </w:p>
              </w:tc>
            </w:tr>
            <w:tr>
              <w:tc>
                <w:tcPr/>
                <w:p>
                  <w:pPr>
                    <w:pStyle w:val="Compact"/>
                    <w:jc w:val="left"/>
                    <w:jc w:val="center"/>
                  </w:pPr>
                  <w:r>
                    <w:t xml:space="preserve">DE</w:t>
                  </w:r>
                </w:p>
              </w:tc>
              <w:tc>
                <w:tcPr/>
                <w:p>
                  <w:pPr>
                    <w:pStyle w:val="Compact"/>
                    <w:jc w:val="right"/>
                    <w:jc w:val="center"/>
                  </w:pPr>
                  <w:r>
                    <w:t xml:space="preserve">-0.0718</w:t>
                  </w:r>
                </w:p>
              </w:tc>
              <w:tc>
                <w:tcPr/>
                <w:p>
                  <w:pPr>
                    <w:pStyle w:val="Compact"/>
                    <w:jc w:val="right"/>
                    <w:jc w:val="center"/>
                  </w:pPr>
                  <w:r>
                    <w:t xml:space="preserve">-0.0359</w:t>
                  </w:r>
                </w:p>
              </w:tc>
              <w:tc>
                <w:tcPr/>
                <w:p>
                  <w:pPr>
                    <w:pStyle w:val="Compact"/>
                    <w:jc w:val="right"/>
                    <w:jc w:val="center"/>
                  </w:pPr>
                  <w:r>
                    <w:t xml:space="preserve">0.155</w:t>
                  </w:r>
                </w:p>
              </w:tc>
              <w:tc>
                <w:tcPr/>
                <w:p>
                  <w:pPr>
                    <w:pStyle w:val="Compact"/>
                    <w:jc w:val="right"/>
                    <w:jc w:val="center"/>
                  </w:pPr>
                  <w:r>
                    <w:t xml:space="preserve">-0.232</w:t>
                  </w:r>
                </w:p>
              </w:tc>
              <w:tc>
                <w:tcPr/>
                <w:p>
                  <w:pPr>
                    <w:pStyle w:val="Compact"/>
                    <w:jc w:val="right"/>
                    <w:jc w:val="center"/>
                  </w:pPr>
                  <w:r>
                    <w:t xml:space="preserve">0.831</w:t>
                  </w:r>
                </w:p>
              </w:tc>
              <w:tc>
                <w:tcPr/>
                <w:p>
                  <w:pPr>
                    <w:pStyle w:val="Compact"/>
                  </w:pPr>
                </w:p>
              </w:tc>
            </w:tr>
            <w:tr>
              <w:tc>
                <w:tcPr/>
                <w:p>
                  <w:pPr>
                    <w:pStyle w:val="Compact"/>
                    <w:jc w:val="left"/>
                    <w:jc w:val="center"/>
                  </w:pPr>
                  <w:r>
                    <w:t xml:space="preserve">CE</w:t>
                  </w:r>
                </w:p>
              </w:tc>
              <w:tc>
                <w:tcPr/>
                <w:p>
                  <w:pPr>
                    <w:pStyle w:val="Compact"/>
                    <w:jc w:val="right"/>
                    <w:jc w:val="center"/>
                  </w:pPr>
                  <w:r>
                    <w:t xml:space="preserve">-0.0552</w:t>
                  </w:r>
                </w:p>
              </w:tc>
              <w:tc>
                <w:tcPr/>
                <w:p>
                  <w:pPr>
                    <w:pStyle w:val="Compact"/>
                    <w:jc w:val="right"/>
                    <w:jc w:val="center"/>
                  </w:pPr>
                  <w:r>
                    <w:t xml:space="preserve">-0.0276</w:t>
                  </w:r>
                </w:p>
              </w:tc>
              <w:tc>
                <w:tcPr/>
                <w:p>
                  <w:pPr>
                    <w:pStyle w:val="Compact"/>
                    <w:jc w:val="right"/>
                    <w:jc w:val="center"/>
                  </w:pPr>
                  <w:r>
                    <w:t xml:space="preserve">0.155</w:t>
                  </w:r>
                </w:p>
              </w:tc>
              <w:tc>
                <w:tcPr/>
                <w:p>
                  <w:pPr>
                    <w:pStyle w:val="Compact"/>
                    <w:jc w:val="right"/>
                    <w:jc w:val="center"/>
                  </w:pPr>
                  <w:r>
                    <w:t xml:space="preserve">-0.179</w:t>
                  </w:r>
                </w:p>
              </w:tc>
              <w:tc>
                <w:tcPr/>
                <w:p>
                  <w:pPr>
                    <w:pStyle w:val="Compact"/>
                    <w:jc w:val="right"/>
                    <w:jc w:val="center"/>
                  </w:pPr>
                  <w:r>
                    <w:t xml:space="preserve">0.87</w:t>
                  </w:r>
                </w:p>
              </w:tc>
              <w:tc>
                <w:tcPr/>
                <w:p>
                  <w:pPr>
                    <w:pStyle w:val="Compact"/>
                  </w:pPr>
                </w:p>
              </w:tc>
            </w:tr>
            <w:tr>
              <w:tc>
                <w:tcPr/>
                <w:p>
                  <w:pPr>
                    <w:pStyle w:val="Compact"/>
                    <w:jc w:val="left"/>
                    <w:jc w:val="center"/>
                  </w:pPr>
                  <w:r>
                    <w:t xml:space="preserve">BE</w:t>
                  </w:r>
                </w:p>
              </w:tc>
              <w:tc>
                <w:tcPr/>
                <w:p>
                  <w:pPr>
                    <w:pStyle w:val="Compact"/>
                    <w:jc w:val="right"/>
                    <w:jc w:val="center"/>
                  </w:pPr>
                  <w:r>
                    <w:t xml:space="preserve">0.046</w:t>
                  </w:r>
                </w:p>
              </w:tc>
              <w:tc>
                <w:tcPr/>
                <w:p>
                  <w:pPr>
                    <w:pStyle w:val="Compact"/>
                    <w:jc w:val="right"/>
                    <w:jc w:val="center"/>
                  </w:pPr>
                  <w:r>
                    <w:t xml:space="preserve">0.023</w:t>
                  </w:r>
                </w:p>
              </w:tc>
              <w:tc>
                <w:tcPr/>
                <w:p>
                  <w:pPr>
                    <w:pStyle w:val="Compact"/>
                    <w:jc w:val="right"/>
                    <w:jc w:val="center"/>
                  </w:pPr>
                  <w:r>
                    <w:t xml:space="preserve">0.155</w:t>
                  </w:r>
                </w:p>
              </w:tc>
              <w:tc>
                <w:tcPr/>
                <w:p>
                  <w:pPr>
                    <w:pStyle w:val="Compact"/>
                    <w:jc w:val="right"/>
                    <w:jc w:val="center"/>
                  </w:pPr>
                  <w:r>
                    <w:t xml:space="preserve">0.149</w:t>
                  </w:r>
                </w:p>
              </w:tc>
              <w:tc>
                <w:tcPr/>
                <w:p>
                  <w:pPr>
                    <w:pStyle w:val="Compact"/>
                    <w:jc w:val="right"/>
                    <w:jc w:val="center"/>
                  </w:pPr>
                  <w:r>
                    <w:t xml:space="preserve">0.891</w:t>
                  </w:r>
                </w:p>
              </w:tc>
              <w:tc>
                <w:tcPr/>
                <w:p>
                  <w:pPr>
                    <w:pStyle w:val="Compact"/>
                  </w:pPr>
                </w:p>
              </w:tc>
            </w:tr>
            <w:tr>
              <w:tc>
                <w:tcPr/>
                <w:p>
                  <w:pPr>
                    <w:pStyle w:val="Compact"/>
                    <w:jc w:val="left"/>
                    <w:jc w:val="center"/>
                  </w:pPr>
                  <w:r>
                    <w:t xml:space="preserve">AB</w:t>
                  </w:r>
                </w:p>
              </w:tc>
              <w:tc>
                <w:tcPr/>
                <w:p>
                  <w:pPr>
                    <w:pStyle w:val="Compact"/>
                    <w:jc w:val="right"/>
                    <w:jc w:val="center"/>
                  </w:pPr>
                  <w:r>
                    <w:t xml:space="preserve">0.0432</w:t>
                  </w:r>
                </w:p>
              </w:tc>
              <w:tc>
                <w:tcPr/>
                <w:p>
                  <w:pPr>
                    <w:pStyle w:val="Compact"/>
                    <w:jc w:val="right"/>
                    <w:jc w:val="center"/>
                  </w:pPr>
                  <w:r>
                    <w:t xml:space="preserve">0.0216</w:t>
                  </w:r>
                </w:p>
              </w:tc>
              <w:tc>
                <w:tcPr/>
                <w:p>
                  <w:pPr>
                    <w:pStyle w:val="Compact"/>
                    <w:jc w:val="right"/>
                    <w:jc w:val="center"/>
                  </w:pPr>
                  <w:r>
                    <w:t xml:space="preserve">0.155</w:t>
                  </w:r>
                </w:p>
              </w:tc>
              <w:tc>
                <w:tcPr/>
                <w:p>
                  <w:pPr>
                    <w:pStyle w:val="Compact"/>
                    <w:jc w:val="right"/>
                    <w:jc w:val="center"/>
                  </w:pPr>
                  <w:r>
                    <w:t xml:space="preserve">0.14</w:t>
                  </w:r>
                </w:p>
              </w:tc>
              <w:tc>
                <w:tcPr/>
                <w:p>
                  <w:pPr>
                    <w:pStyle w:val="Compact"/>
                    <w:jc w:val="right"/>
                    <w:jc w:val="center"/>
                  </w:pPr>
                  <w:r>
                    <w:t xml:space="preserve">0.898</w:t>
                  </w:r>
                </w:p>
              </w:tc>
              <w:tc>
                <w:tcPr/>
                <w:p>
                  <w:pPr>
                    <w:pStyle w:val="Compact"/>
                  </w:pPr>
                </w:p>
              </w:tc>
            </w:tr>
            <w:tr>
              <w:tc>
                <w:tcPr/>
                <w:p>
                  <w:pPr>
                    <w:pStyle w:val="Compact"/>
                    <w:jc w:val="left"/>
                    <w:jc w:val="center"/>
                  </w:pPr>
                  <w:r>
                    <w:t xml:space="preserve">AD</w:t>
                  </w:r>
                </w:p>
              </w:tc>
              <w:tc>
                <w:tcPr/>
                <w:p>
                  <w:pPr>
                    <w:pStyle w:val="Compact"/>
                    <w:jc w:val="right"/>
                    <w:jc w:val="center"/>
                  </w:pPr>
                  <w:r>
                    <w:t xml:space="preserve">-0.0239</w:t>
                  </w:r>
                </w:p>
              </w:tc>
              <w:tc>
                <w:tcPr/>
                <w:p>
                  <w:pPr>
                    <w:pStyle w:val="Compact"/>
                    <w:jc w:val="right"/>
                    <w:jc w:val="center"/>
                  </w:pPr>
                  <w:r>
                    <w:t xml:space="preserve">-0.012</w:t>
                  </w:r>
                </w:p>
              </w:tc>
              <w:tc>
                <w:tcPr/>
                <w:p>
                  <w:pPr>
                    <w:pStyle w:val="Compact"/>
                    <w:jc w:val="right"/>
                    <w:jc w:val="center"/>
                  </w:pPr>
                  <w:r>
                    <w:t xml:space="preserve">0.155</w:t>
                  </w:r>
                </w:p>
              </w:tc>
              <w:tc>
                <w:tcPr/>
                <w:p>
                  <w:pPr>
                    <w:pStyle w:val="Compact"/>
                    <w:jc w:val="right"/>
                    <w:jc w:val="center"/>
                  </w:pPr>
                  <w:r>
                    <w:t xml:space="preserve">-0.0774</w:t>
                  </w:r>
                </w:p>
              </w:tc>
              <w:tc>
                <w:tcPr/>
                <w:p>
                  <w:pPr>
                    <w:pStyle w:val="Compact"/>
                    <w:jc w:val="right"/>
                    <w:jc w:val="center"/>
                  </w:pPr>
                  <w:r>
                    <w:t xml:space="preserve">0.943</w:t>
                  </w:r>
                </w:p>
              </w:tc>
              <w:tc>
                <w:tcPr/>
                <w:p>
                  <w:pPr>
                    <w:pStyle w:val="Compact"/>
                  </w:pPr>
                </w:p>
              </w:tc>
            </w:tr>
            <w:tr>
              <w:tc>
                <w:tcPr/>
                <w:p>
                  <w:pPr>
                    <w:pStyle w:val="Compact"/>
                    <w:jc w:val="left"/>
                    <w:jc w:val="center"/>
                  </w:pPr>
                  <w:r>
                    <w:t xml:space="preserve">CD</w:t>
                  </w:r>
                </w:p>
              </w:tc>
              <w:tc>
                <w:tcPr/>
                <w:p>
                  <w:pPr>
                    <w:pStyle w:val="Compact"/>
                    <w:jc w:val="right"/>
                    <w:jc w:val="center"/>
                  </w:pPr>
                  <w:r>
                    <w:t xml:space="preserve">-0.0232</w:t>
                  </w:r>
                </w:p>
              </w:tc>
              <w:tc>
                <w:tcPr/>
                <w:p>
                  <w:pPr>
                    <w:pStyle w:val="Compact"/>
                    <w:jc w:val="right"/>
                    <w:jc w:val="center"/>
                  </w:pPr>
                  <w:r>
                    <w:t xml:space="preserve">-0.0116</w:t>
                  </w:r>
                </w:p>
              </w:tc>
              <w:tc>
                <w:tcPr/>
                <w:p>
                  <w:pPr>
                    <w:pStyle w:val="Compact"/>
                    <w:jc w:val="right"/>
                    <w:jc w:val="center"/>
                  </w:pPr>
                  <w:r>
                    <w:t xml:space="preserve">0.155</w:t>
                  </w:r>
                </w:p>
              </w:tc>
              <w:tc>
                <w:tcPr/>
                <w:p>
                  <w:pPr>
                    <w:pStyle w:val="Compact"/>
                    <w:jc w:val="right"/>
                    <w:jc w:val="center"/>
                  </w:pPr>
                  <w:r>
                    <w:t xml:space="preserve">-0.075</w:t>
                  </w:r>
                </w:p>
              </w:tc>
              <w:tc>
                <w:tcPr/>
                <w:p>
                  <w:pPr>
                    <w:pStyle w:val="Compact"/>
                    <w:jc w:val="right"/>
                    <w:jc w:val="center"/>
                  </w:pPr>
                  <w:r>
                    <w:t xml:space="preserve">0.945</w:t>
                  </w:r>
                </w:p>
              </w:tc>
              <w:tc>
                <w:tcPr/>
                <w:p>
                  <w:pPr>
                    <w:pStyle w:val="Compact"/>
                  </w:pPr>
                </w:p>
              </w:tc>
            </w:tr>
            <w:tr>
              <w:tc>
                <w:tcPr/>
                <w:p>
                  <w:pPr>
                    <w:pStyle w:val="Compact"/>
                    <w:jc w:val="left"/>
                    <w:jc w:val="center"/>
                  </w:pPr>
                  <w:r>
                    <w:t xml:space="preserve">BD</w:t>
                  </w:r>
                </w:p>
              </w:tc>
              <w:tc>
                <w:tcPr/>
                <w:p>
                  <w:pPr>
                    <w:pStyle w:val="Compact"/>
                    <w:jc w:val="right"/>
                    <w:jc w:val="center"/>
                  </w:pPr>
                  <w:r>
                    <w:t xml:space="preserve">-0.000576</w:t>
                  </w:r>
                </w:p>
              </w:tc>
              <w:tc>
                <w:tcPr/>
                <w:p>
                  <w:pPr>
                    <w:pStyle w:val="Compact"/>
                    <w:jc w:val="right"/>
                    <w:jc w:val="center"/>
                  </w:pPr>
                  <w:r>
                    <w:t xml:space="preserve">-0.000288</w:t>
                  </w:r>
                </w:p>
              </w:tc>
              <w:tc>
                <w:tcPr/>
                <w:p>
                  <w:pPr>
                    <w:pStyle w:val="Compact"/>
                    <w:jc w:val="right"/>
                    <w:jc w:val="center"/>
                  </w:pPr>
                  <w:r>
                    <w:t xml:space="preserve">0.155</w:t>
                  </w:r>
                </w:p>
              </w:tc>
              <w:tc>
                <w:tcPr/>
                <w:p>
                  <w:pPr>
                    <w:pStyle w:val="Compact"/>
                    <w:jc w:val="right"/>
                    <w:jc w:val="center"/>
                  </w:pPr>
                  <w:r>
                    <w:t xml:space="preserve">-0.00186</w:t>
                  </w:r>
                </w:p>
              </w:tc>
              <w:tc>
                <w:tcPr/>
                <w:p>
                  <w:pPr>
                    <w:pStyle w:val="Compact"/>
                    <w:jc w:val="right"/>
                    <w:jc w:val="center"/>
                  </w:pPr>
                  <w:r>
                    <w:t xml:space="preserve">0.999</w:t>
                  </w:r>
                </w:p>
              </w:tc>
              <w:tc>
                <w:tcPr/>
                <w:p>
                  <w:pPr>
                    <w:pStyle w:val="Compact"/>
                  </w:pPr>
                </w:p>
              </w:tc>
            </w:tr>
          </w:tbl>
          <w:bookmarkEnd w:id="10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4" w:name="tbl-appc-acidic-variants"/>
          <w:p>
            <w:pPr>
              <w:jc w:val="center"/>
            </w:pPr>
            <w:pPr>
              <w:jc w:val="left"/>
              <w:spacing w:before="200"/>
              <w:pStyle w:val="ImageCaption"/>
            </w:pPr>
            <w:r>
              <w:t xml:space="preserve">Table 25: Screening effect estimates for acidic variants.</w:t>
            </w:r>
          </w:p>
          <w:tbl>
            <w:tblPr>
              <w:tblStyle w:val="Table"/>
              <w:tblW w:type="pct" w:w="5000"/>
              <w:tblLayout w:type="fixed"/>
              <w:tblLook w:firstRow="1" w:lastRow="0" w:firstColumn="0" w:lastColumn="0" w:noHBand="0" w:noVBand="0" w:val="0020"/>
            </w:tblPr>
            <w:tblGrid>
              <w:gridCol w:w="918"/>
              <w:gridCol w:w="1147"/>
              <w:gridCol w:w="1033"/>
              <w:gridCol w:w="1492"/>
              <w:gridCol w:w="1147"/>
              <w:gridCol w:w="1262"/>
              <w:gridCol w:w="918"/>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C</w:t>
                  </w:r>
                </w:p>
              </w:tc>
              <w:tc>
                <w:tcPr/>
                <w:p>
                  <w:pPr>
                    <w:pStyle w:val="Compact"/>
                    <w:jc w:val="right"/>
                    <w:jc w:val="center"/>
                  </w:pPr>
                  <w:r>
                    <w:t xml:space="preserve">-8.15</w:t>
                  </w:r>
                </w:p>
              </w:tc>
              <w:tc>
                <w:tcPr/>
                <w:p>
                  <w:pPr>
                    <w:pStyle w:val="Compact"/>
                    <w:jc w:val="right"/>
                    <w:jc w:val="center"/>
                  </w:pPr>
                  <w:r>
                    <w:t xml:space="preserve">-4.08</w:t>
                  </w:r>
                </w:p>
              </w:tc>
              <w:tc>
                <w:tcPr/>
                <w:p>
                  <w:pPr>
                    <w:pStyle w:val="Compact"/>
                    <w:jc w:val="right"/>
                    <w:jc w:val="center"/>
                  </w:pPr>
                  <w:r>
                    <w:t xml:space="preserve">0.239</w:t>
                  </w:r>
                </w:p>
              </w:tc>
              <w:tc>
                <w:tcPr/>
                <w:p>
                  <w:pPr>
                    <w:pStyle w:val="Compact"/>
                    <w:jc w:val="right"/>
                    <w:jc w:val="center"/>
                  </w:pPr>
                  <w:r>
                    <w:t xml:space="preserve">-17</w:t>
                  </w:r>
                </w:p>
              </w:tc>
              <w:tc>
                <w:tcPr/>
                <w:p>
                  <w:pPr>
                    <w:pStyle w:val="Compact"/>
                    <w:jc w:val="right"/>
                    <w:jc w:val="center"/>
                  </w:pPr>
                  <w:r>
                    <w:t xml:space="preserve">0.000441</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-4.17</w:t>
                  </w:r>
                </w:p>
              </w:tc>
              <w:tc>
                <w:tcPr/>
                <w:p>
                  <w:pPr>
                    <w:pStyle w:val="Compact"/>
                    <w:jc w:val="right"/>
                    <w:jc w:val="center"/>
                  </w:pPr>
                  <w:r>
                    <w:t xml:space="preserve">-2.08</w:t>
                  </w:r>
                </w:p>
              </w:tc>
              <w:tc>
                <w:tcPr/>
                <w:p>
                  <w:pPr>
                    <w:pStyle w:val="Compact"/>
                    <w:jc w:val="right"/>
                    <w:jc w:val="center"/>
                  </w:pPr>
                  <w:r>
                    <w:t xml:space="preserve">0.239</w:t>
                  </w:r>
                </w:p>
              </w:tc>
              <w:tc>
                <w:tcPr/>
                <w:p>
                  <w:pPr>
                    <w:pStyle w:val="Compact"/>
                    <w:jc w:val="right"/>
                    <w:jc w:val="center"/>
                  </w:pPr>
                  <w:r>
                    <w:t xml:space="preserve">-8.7</w:t>
                  </w:r>
                </w:p>
              </w:tc>
              <w:tc>
                <w:tcPr/>
                <w:p>
                  <w:pPr>
                    <w:pStyle w:val="Compact"/>
                    <w:jc w:val="right"/>
                    <w:jc w:val="center"/>
                  </w:pPr>
                  <w:r>
                    <w:t xml:space="preserve">0.00319</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2.97</w:t>
                  </w:r>
                </w:p>
              </w:tc>
              <w:tc>
                <w:tcPr/>
                <w:p>
                  <w:pPr>
                    <w:pStyle w:val="Compact"/>
                    <w:jc w:val="right"/>
                    <w:jc w:val="center"/>
                  </w:pPr>
                  <w:r>
                    <w:t xml:space="preserve">1.48</w:t>
                  </w:r>
                </w:p>
              </w:tc>
              <w:tc>
                <w:tcPr/>
                <w:p>
                  <w:pPr>
                    <w:pStyle w:val="Compact"/>
                    <w:jc w:val="right"/>
                    <w:jc w:val="center"/>
                  </w:pPr>
                  <w:r>
                    <w:t xml:space="preserve">0.239</w:t>
                  </w:r>
                </w:p>
              </w:tc>
              <w:tc>
                <w:tcPr/>
                <w:p>
                  <w:pPr>
                    <w:pStyle w:val="Compact"/>
                    <w:jc w:val="right"/>
                    <w:jc w:val="center"/>
                  </w:pPr>
                  <w:r>
                    <w:t xml:space="preserve">6.19</w:t>
                  </w:r>
                </w:p>
              </w:tc>
              <w:tc>
                <w:tcPr/>
                <w:p>
                  <w:pPr>
                    <w:pStyle w:val="Compact"/>
                    <w:jc w:val="right"/>
                    <w:jc w:val="center"/>
                  </w:pPr>
                  <w:r>
                    <w:t xml:space="preserve">0.00848</w:t>
                  </w:r>
                </w:p>
              </w:tc>
              <w:tc>
                <w:tcPr/>
                <w:p>
                  <w:pPr>
                    <w:pStyle w:val="Compact"/>
                    <w:jc w:val="left"/>
                    <w:jc w:val="center"/>
                  </w:pPr>
                  <w:r>
                    <w:t xml:space="preserve">**</w:t>
                  </w:r>
                </w:p>
              </w:tc>
            </w:tr>
            <w:tr>
              <w:tc>
                <w:tcPr/>
                <w:p>
                  <w:pPr>
                    <w:pStyle w:val="Compact"/>
                    <w:jc w:val="left"/>
                    <w:jc w:val="center"/>
                  </w:pPr>
                  <w:r>
                    <w:t xml:space="preserve">D</w:t>
                  </w:r>
                </w:p>
              </w:tc>
              <w:tc>
                <w:tcPr/>
                <w:p>
                  <w:pPr>
                    <w:pStyle w:val="Compact"/>
                    <w:jc w:val="right"/>
                    <w:jc w:val="center"/>
                  </w:pPr>
                  <w:r>
                    <w:t xml:space="preserve">-2.55</w:t>
                  </w:r>
                </w:p>
              </w:tc>
              <w:tc>
                <w:tcPr/>
                <w:p>
                  <w:pPr>
                    <w:pStyle w:val="Compact"/>
                    <w:jc w:val="right"/>
                    <w:jc w:val="center"/>
                  </w:pPr>
                  <w:r>
                    <w:t xml:space="preserve">-1.28</w:t>
                  </w:r>
                </w:p>
              </w:tc>
              <w:tc>
                <w:tcPr/>
                <w:p>
                  <w:pPr>
                    <w:pStyle w:val="Compact"/>
                    <w:jc w:val="right"/>
                    <w:jc w:val="center"/>
                  </w:pPr>
                  <w:r>
                    <w:t xml:space="preserve">0.239</w:t>
                  </w:r>
                </w:p>
              </w:tc>
              <w:tc>
                <w:tcPr/>
                <w:p>
                  <w:pPr>
                    <w:pStyle w:val="Compact"/>
                    <w:jc w:val="right"/>
                    <w:jc w:val="center"/>
                  </w:pPr>
                  <w:r>
                    <w:t xml:space="preserve">-5.34</w:t>
                  </w:r>
                </w:p>
              </w:tc>
              <w:tc>
                <w:tcPr/>
                <w:p>
                  <w:pPr>
                    <w:pStyle w:val="Compact"/>
                    <w:jc w:val="right"/>
                    <w:jc w:val="center"/>
                  </w:pPr>
                  <w:r>
                    <w:t xml:space="preserve">0.0129</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1.98</w:t>
                  </w:r>
                </w:p>
              </w:tc>
              <w:tc>
                <w:tcPr/>
                <w:p>
                  <w:pPr>
                    <w:pStyle w:val="Compact"/>
                    <w:jc w:val="right"/>
                    <w:jc w:val="center"/>
                  </w:pPr>
                  <w:r>
                    <w:t xml:space="preserve">0.992</w:t>
                  </w:r>
                </w:p>
              </w:tc>
              <w:tc>
                <w:tcPr/>
                <w:p>
                  <w:pPr>
                    <w:pStyle w:val="Compact"/>
                    <w:jc w:val="right"/>
                    <w:jc w:val="center"/>
                  </w:pPr>
                  <w:r>
                    <w:t xml:space="preserve">0.239</w:t>
                  </w:r>
                </w:p>
              </w:tc>
              <w:tc>
                <w:tcPr/>
                <w:p>
                  <w:pPr>
                    <w:pStyle w:val="Compact"/>
                    <w:jc w:val="right"/>
                    <w:jc w:val="center"/>
                  </w:pPr>
                  <w:r>
                    <w:t xml:space="preserve">4.15</w:t>
                  </w:r>
                </w:p>
              </w:tc>
              <w:tc>
                <w:tcPr/>
                <w:p>
                  <w:pPr>
                    <w:pStyle w:val="Compact"/>
                    <w:jc w:val="right"/>
                    <w:jc w:val="center"/>
                  </w:pPr>
                  <w:r>
                    <w:t xml:space="preserve">0.0255</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-1.93</w:t>
                  </w:r>
                </w:p>
              </w:tc>
              <w:tc>
                <w:tcPr/>
                <w:p>
                  <w:pPr>
                    <w:pStyle w:val="Compact"/>
                    <w:jc w:val="right"/>
                    <w:jc w:val="center"/>
                  </w:pPr>
                  <w:r>
                    <w:t xml:space="preserve">-0.964</w:t>
                  </w:r>
                </w:p>
              </w:tc>
              <w:tc>
                <w:tcPr/>
                <w:p>
                  <w:pPr>
                    <w:pStyle w:val="Compact"/>
                    <w:jc w:val="right"/>
                    <w:jc w:val="center"/>
                  </w:pPr>
                  <w:r>
                    <w:t xml:space="preserve">0.239</w:t>
                  </w:r>
                </w:p>
              </w:tc>
              <w:tc>
                <w:tcPr/>
                <w:p>
                  <w:pPr>
                    <w:pStyle w:val="Compact"/>
                    <w:jc w:val="right"/>
                    <w:jc w:val="center"/>
                  </w:pPr>
                  <w:r>
                    <w:t xml:space="preserve">-4.03</w:t>
                  </w:r>
                </w:p>
              </w:tc>
              <w:tc>
                <w:tcPr/>
                <w:p>
                  <w:pPr>
                    <w:pStyle w:val="Compact"/>
                    <w:jc w:val="right"/>
                    <w:jc w:val="center"/>
                  </w:pPr>
                  <w:r>
                    <w:t xml:space="preserve">0.0275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1.73</w:t>
                  </w:r>
                </w:p>
              </w:tc>
              <w:tc>
                <w:tcPr/>
                <w:p>
                  <w:pPr>
                    <w:pStyle w:val="Compact"/>
                    <w:jc w:val="right"/>
                    <w:jc w:val="center"/>
                  </w:pPr>
                  <w:r>
                    <w:t xml:space="preserve">0.865</w:t>
                  </w:r>
                </w:p>
              </w:tc>
              <w:tc>
                <w:tcPr/>
                <w:p>
                  <w:pPr>
                    <w:pStyle w:val="Compact"/>
                    <w:jc w:val="right"/>
                    <w:jc w:val="center"/>
                  </w:pPr>
                  <w:r>
                    <w:t xml:space="preserve">0.239</w:t>
                  </w:r>
                </w:p>
              </w:tc>
              <w:tc>
                <w:tcPr/>
                <w:p>
                  <w:pPr>
                    <w:pStyle w:val="Compact"/>
                    <w:jc w:val="right"/>
                    <w:jc w:val="center"/>
                  </w:pPr>
                  <w:r>
                    <w:t xml:space="preserve">3.61</w:t>
                  </w:r>
                </w:p>
              </w:tc>
              <w:tc>
                <w:tcPr/>
                <w:p>
                  <w:pPr>
                    <w:pStyle w:val="Compact"/>
                    <w:jc w:val="right"/>
                    <w:jc w:val="center"/>
                  </w:pPr>
                  <w:r>
                    <w:t xml:space="preserve">0.0364</w:t>
                  </w:r>
                </w:p>
              </w:tc>
              <w:tc>
                <w:tcPr/>
                <w:p>
                  <w:pPr>
                    <w:pStyle w:val="Compact"/>
                    <w:jc w:val="left"/>
                    <w:jc w:val="center"/>
                  </w:pPr>
                  <w:r>
                    <w:t xml:space="preserve">*</w:t>
                  </w:r>
                </w:p>
              </w:tc>
            </w:tr>
            <w:tr>
              <w:tc>
                <w:tcPr/>
                <w:p>
                  <w:pPr>
                    <w:pStyle w:val="Compact"/>
                    <w:jc w:val="left"/>
                    <w:jc w:val="center"/>
                  </w:pPr>
                  <w:r>
                    <w:t xml:space="preserve">AD</w:t>
                  </w:r>
                </w:p>
              </w:tc>
              <w:tc>
                <w:tcPr/>
                <w:p>
                  <w:pPr>
                    <w:pStyle w:val="Compact"/>
                    <w:jc w:val="right"/>
                    <w:jc w:val="center"/>
                  </w:pPr>
                  <w:r>
                    <w:t xml:space="preserve">-0.669</w:t>
                  </w:r>
                </w:p>
              </w:tc>
              <w:tc>
                <w:tcPr/>
                <w:p>
                  <w:pPr>
                    <w:pStyle w:val="Compact"/>
                    <w:jc w:val="right"/>
                    <w:jc w:val="center"/>
                  </w:pPr>
                  <w:r>
                    <w:t xml:space="preserve">-0.335</w:t>
                  </w:r>
                </w:p>
              </w:tc>
              <w:tc>
                <w:tcPr/>
                <w:p>
                  <w:pPr>
                    <w:pStyle w:val="Compact"/>
                    <w:jc w:val="right"/>
                    <w:jc w:val="center"/>
                  </w:pPr>
                  <w:r>
                    <w:t xml:space="preserve">0.239</w:t>
                  </w:r>
                </w:p>
              </w:tc>
              <w:tc>
                <w:tcPr/>
                <w:p>
                  <w:pPr>
                    <w:pStyle w:val="Compact"/>
                    <w:jc w:val="right"/>
                    <w:jc w:val="center"/>
                  </w:pPr>
                  <w:r>
                    <w:t xml:space="preserve">-1.4</w:t>
                  </w:r>
                </w:p>
              </w:tc>
              <w:tc>
                <w:tcPr/>
                <w:p>
                  <w:pPr>
                    <w:pStyle w:val="Compact"/>
                    <w:jc w:val="right"/>
                    <w:jc w:val="center"/>
                  </w:pPr>
                  <w:r>
                    <w:t xml:space="preserve">0.256</w:t>
                  </w:r>
                </w:p>
              </w:tc>
              <w:tc>
                <w:tcPr/>
                <w:p>
                  <w:pPr>
                    <w:pStyle w:val="Compact"/>
                  </w:pPr>
                </w:p>
              </w:tc>
            </w:tr>
            <w:tr>
              <w:tc>
                <w:tcPr/>
                <w:p>
                  <w:pPr>
                    <w:pStyle w:val="Compact"/>
                    <w:jc w:val="left"/>
                    <w:jc w:val="center"/>
                  </w:pPr>
                  <w:r>
                    <w:t xml:space="preserve">CE</w:t>
                  </w:r>
                </w:p>
              </w:tc>
              <w:tc>
                <w:tcPr/>
                <w:p>
                  <w:pPr>
                    <w:pStyle w:val="Compact"/>
                    <w:jc w:val="right"/>
                    <w:jc w:val="center"/>
                  </w:pPr>
                  <w:r>
                    <w:t xml:space="preserve">-0.494</w:t>
                  </w:r>
                </w:p>
              </w:tc>
              <w:tc>
                <w:tcPr/>
                <w:p>
                  <w:pPr>
                    <w:pStyle w:val="Compact"/>
                    <w:jc w:val="right"/>
                    <w:jc w:val="center"/>
                  </w:pPr>
                  <w:r>
                    <w:t xml:space="preserve">-0.247</w:t>
                  </w:r>
                </w:p>
              </w:tc>
              <w:tc>
                <w:tcPr/>
                <w:p>
                  <w:pPr>
                    <w:pStyle w:val="Compact"/>
                    <w:jc w:val="right"/>
                    <w:jc w:val="center"/>
                  </w:pPr>
                  <w:r>
                    <w:t xml:space="preserve">0.239</w:t>
                  </w:r>
                </w:p>
              </w:tc>
              <w:tc>
                <w:tcPr/>
                <w:p>
                  <w:pPr>
                    <w:pStyle w:val="Compact"/>
                    <w:jc w:val="right"/>
                    <w:jc w:val="center"/>
                  </w:pPr>
                  <w:r>
                    <w:t xml:space="preserve">-1.03</w:t>
                  </w:r>
                </w:p>
              </w:tc>
              <w:tc>
                <w:tcPr/>
                <w:p>
                  <w:pPr>
                    <w:pStyle w:val="Compact"/>
                    <w:jc w:val="right"/>
                    <w:jc w:val="center"/>
                  </w:pPr>
                  <w:r>
                    <w:t xml:space="preserve">0.378</w:t>
                  </w:r>
                </w:p>
              </w:tc>
              <w:tc>
                <w:tcPr/>
                <w:p>
                  <w:pPr>
                    <w:pStyle w:val="Compact"/>
                  </w:pPr>
                </w:p>
              </w:tc>
            </w:tr>
            <w:tr>
              <w:tc>
                <w:tcPr/>
                <w:p>
                  <w:pPr>
                    <w:pStyle w:val="Compact"/>
                    <w:jc w:val="left"/>
                    <w:jc w:val="center"/>
                  </w:pPr>
                  <w:r>
                    <w:t xml:space="preserve">CD</w:t>
                  </w:r>
                </w:p>
              </w:tc>
              <w:tc>
                <w:tcPr/>
                <w:p>
                  <w:pPr>
                    <w:pStyle w:val="Compact"/>
                    <w:jc w:val="right"/>
                    <w:jc w:val="center"/>
                  </w:pPr>
                  <w:r>
                    <w:t xml:space="preserve">-0.492</w:t>
                  </w:r>
                </w:p>
              </w:tc>
              <w:tc>
                <w:tcPr/>
                <w:p>
                  <w:pPr>
                    <w:pStyle w:val="Compact"/>
                    <w:jc w:val="right"/>
                    <w:jc w:val="center"/>
                  </w:pPr>
                  <w:r>
                    <w:t xml:space="preserve">-0.246</w:t>
                  </w:r>
                </w:p>
              </w:tc>
              <w:tc>
                <w:tcPr/>
                <w:p>
                  <w:pPr>
                    <w:pStyle w:val="Compact"/>
                    <w:jc w:val="right"/>
                    <w:jc w:val="center"/>
                  </w:pPr>
                  <w:r>
                    <w:t xml:space="preserve">0.239</w:t>
                  </w:r>
                </w:p>
              </w:tc>
              <w:tc>
                <w:tcPr/>
                <w:p>
                  <w:pPr>
                    <w:pStyle w:val="Compact"/>
                    <w:jc w:val="right"/>
                    <w:jc w:val="center"/>
                  </w:pPr>
                  <w:r>
                    <w:t xml:space="preserve">-1.03</w:t>
                  </w:r>
                </w:p>
              </w:tc>
              <w:tc>
                <w:tcPr/>
                <w:p>
                  <w:pPr>
                    <w:pStyle w:val="Compact"/>
                    <w:jc w:val="right"/>
                    <w:jc w:val="center"/>
                  </w:pPr>
                  <w:r>
                    <w:t xml:space="preserve">0.379</w:t>
                  </w:r>
                </w:p>
              </w:tc>
              <w:tc>
                <w:tcPr/>
                <w:p>
                  <w:pPr>
                    <w:pStyle w:val="Compact"/>
                  </w:pPr>
                </w:p>
              </w:tc>
            </w:tr>
            <w:tr>
              <w:tc>
                <w:tcPr/>
                <w:p>
                  <w:pPr>
                    <w:pStyle w:val="Compact"/>
                    <w:jc w:val="left"/>
                    <w:jc w:val="center"/>
                  </w:pPr>
                  <w:r>
                    <w:t xml:space="preserve">BD</w:t>
                  </w:r>
                </w:p>
              </w:tc>
              <w:tc>
                <w:tcPr/>
                <w:p>
                  <w:pPr>
                    <w:pStyle w:val="Compact"/>
                    <w:jc w:val="right"/>
                    <w:jc w:val="center"/>
                  </w:pPr>
                  <w:r>
                    <w:t xml:space="preserve">-0.215</w:t>
                  </w:r>
                </w:p>
              </w:tc>
              <w:tc>
                <w:tcPr/>
                <w:p>
                  <w:pPr>
                    <w:pStyle w:val="Compact"/>
                    <w:jc w:val="right"/>
                    <w:jc w:val="center"/>
                  </w:pPr>
                  <w:r>
                    <w:t xml:space="preserve">-0.108</w:t>
                  </w:r>
                </w:p>
              </w:tc>
              <w:tc>
                <w:tcPr/>
                <w:p>
                  <w:pPr>
                    <w:pStyle w:val="Compact"/>
                    <w:jc w:val="right"/>
                    <w:jc w:val="center"/>
                  </w:pPr>
                  <w:r>
                    <w:t xml:space="preserve">0.239</w:t>
                  </w:r>
                </w:p>
              </w:tc>
              <w:tc>
                <w:tcPr/>
                <w:p>
                  <w:pPr>
                    <w:pStyle w:val="Compact"/>
                    <w:jc w:val="right"/>
                    <w:jc w:val="center"/>
                  </w:pPr>
                  <w:r>
                    <w:t xml:space="preserve">-0.449</w:t>
                  </w:r>
                </w:p>
              </w:tc>
              <w:tc>
                <w:tcPr/>
                <w:p>
                  <w:pPr>
                    <w:pStyle w:val="Compact"/>
                    <w:jc w:val="right"/>
                    <w:jc w:val="center"/>
                  </w:pPr>
                  <w:r>
                    <w:t xml:space="preserve">0.684</w:t>
                  </w:r>
                </w:p>
              </w:tc>
              <w:tc>
                <w:tcPr/>
                <w:p>
                  <w:pPr>
                    <w:pStyle w:val="Compact"/>
                  </w:pPr>
                </w:p>
              </w:tc>
            </w:tr>
            <w:tr>
              <w:tc>
                <w:tcPr/>
                <w:p>
                  <w:pPr>
                    <w:pStyle w:val="Compact"/>
                    <w:jc w:val="left"/>
                    <w:jc w:val="center"/>
                  </w:pPr>
                  <w:r>
                    <w:t xml:space="preserve">BC</w:t>
                  </w:r>
                </w:p>
              </w:tc>
              <w:tc>
                <w:tcPr/>
                <w:p>
                  <w:pPr>
                    <w:pStyle w:val="Compact"/>
                    <w:jc w:val="right"/>
                    <w:jc w:val="center"/>
                  </w:pPr>
                  <w:r>
                    <w:t xml:space="preserve">0.151</w:t>
                  </w:r>
                </w:p>
              </w:tc>
              <w:tc>
                <w:tcPr/>
                <w:p>
                  <w:pPr>
                    <w:pStyle w:val="Compact"/>
                    <w:jc w:val="right"/>
                    <w:jc w:val="center"/>
                  </w:pPr>
                  <w:r>
                    <w:t xml:space="preserve">0.0757</w:t>
                  </w:r>
                </w:p>
              </w:tc>
              <w:tc>
                <w:tcPr/>
                <w:p>
                  <w:pPr>
                    <w:pStyle w:val="Compact"/>
                    <w:jc w:val="right"/>
                    <w:jc w:val="center"/>
                  </w:pPr>
                  <w:r>
                    <w:t xml:space="preserve">0.239</w:t>
                  </w:r>
                </w:p>
              </w:tc>
              <w:tc>
                <w:tcPr/>
                <w:p>
                  <w:pPr>
                    <w:pStyle w:val="Compact"/>
                    <w:jc w:val="right"/>
                    <w:jc w:val="center"/>
                  </w:pPr>
                  <w:r>
                    <w:t xml:space="preserve">0.316</w:t>
                  </w:r>
                </w:p>
              </w:tc>
              <w:tc>
                <w:tcPr/>
                <w:p>
                  <w:pPr>
                    <w:pStyle w:val="Compact"/>
                    <w:jc w:val="right"/>
                    <w:jc w:val="center"/>
                  </w:pPr>
                  <w:r>
                    <w:t xml:space="preserve">0.773</w:t>
                  </w:r>
                </w:p>
              </w:tc>
              <w:tc>
                <w:tcPr/>
                <w:p>
                  <w:pPr>
                    <w:pStyle w:val="Compact"/>
                  </w:pPr>
                </w:p>
              </w:tc>
            </w:tr>
            <w:tr>
              <w:tc>
                <w:tcPr/>
                <w:p>
                  <w:pPr>
                    <w:pStyle w:val="Compact"/>
                    <w:jc w:val="left"/>
                    <w:jc w:val="center"/>
                  </w:pPr>
                  <w:r>
                    <w:t xml:space="preserve">DE</w:t>
                  </w:r>
                </w:p>
              </w:tc>
              <w:tc>
                <w:tcPr/>
                <w:p>
                  <w:pPr>
                    <w:pStyle w:val="Compact"/>
                    <w:jc w:val="right"/>
                    <w:jc w:val="center"/>
                  </w:pPr>
                  <w:r>
                    <w:t xml:space="preserve">0.0324</w:t>
                  </w:r>
                </w:p>
              </w:tc>
              <w:tc>
                <w:tcPr/>
                <w:p>
                  <w:pPr>
                    <w:pStyle w:val="Compact"/>
                    <w:jc w:val="right"/>
                    <w:jc w:val="center"/>
                  </w:pPr>
                  <w:r>
                    <w:t xml:space="preserve">0.0162</w:t>
                  </w:r>
                </w:p>
              </w:tc>
              <w:tc>
                <w:tcPr/>
                <w:p>
                  <w:pPr>
                    <w:pStyle w:val="Compact"/>
                    <w:jc w:val="right"/>
                    <w:jc w:val="center"/>
                  </w:pPr>
                  <w:r>
                    <w:t xml:space="preserve">0.239</w:t>
                  </w:r>
                </w:p>
              </w:tc>
              <w:tc>
                <w:tcPr/>
                <w:p>
                  <w:pPr>
                    <w:pStyle w:val="Compact"/>
                    <w:jc w:val="right"/>
                    <w:jc w:val="center"/>
                  </w:pPr>
                  <w:r>
                    <w:t xml:space="preserve">0.0676</w:t>
                  </w:r>
                </w:p>
              </w:tc>
              <w:tc>
                <w:tcPr/>
                <w:p>
                  <w:pPr>
                    <w:pStyle w:val="Compact"/>
                    <w:jc w:val="right"/>
                    <w:jc w:val="center"/>
                  </w:pPr>
                  <w:r>
                    <w:t xml:space="preserve">0.95</w:t>
                  </w:r>
                </w:p>
              </w:tc>
              <w:tc>
                <w:tcPr/>
                <w:p>
                  <w:pPr>
                    <w:pStyle w:val="Compact"/>
                  </w:pPr>
                </w:p>
              </w:tc>
            </w:tr>
            <w:tr>
              <w:tc>
                <w:tcPr/>
                <w:p>
                  <w:pPr>
                    <w:pStyle w:val="Compact"/>
                    <w:jc w:val="left"/>
                    <w:jc w:val="center"/>
                  </w:pPr>
                  <w:r>
                    <w:t xml:space="preserve">E</w:t>
                  </w:r>
                </w:p>
              </w:tc>
              <w:tc>
                <w:tcPr/>
                <w:p>
                  <w:pPr>
                    <w:pStyle w:val="Compact"/>
                    <w:jc w:val="right"/>
                    <w:jc w:val="center"/>
                  </w:pPr>
                  <w:r>
                    <w:t xml:space="preserve">0.0235</w:t>
                  </w:r>
                </w:p>
              </w:tc>
              <w:tc>
                <w:tcPr/>
                <w:p>
                  <w:pPr>
                    <w:pStyle w:val="Compact"/>
                    <w:jc w:val="right"/>
                    <w:jc w:val="center"/>
                  </w:pPr>
                  <w:r>
                    <w:t xml:space="preserve">0.0117</w:t>
                  </w:r>
                </w:p>
              </w:tc>
              <w:tc>
                <w:tcPr/>
                <w:p>
                  <w:pPr>
                    <w:pStyle w:val="Compact"/>
                    <w:jc w:val="right"/>
                    <w:jc w:val="center"/>
                  </w:pPr>
                  <w:r>
                    <w:t xml:space="preserve">0.239</w:t>
                  </w:r>
                </w:p>
              </w:tc>
              <w:tc>
                <w:tcPr/>
                <w:p>
                  <w:pPr>
                    <w:pStyle w:val="Compact"/>
                    <w:jc w:val="right"/>
                    <w:jc w:val="center"/>
                  </w:pPr>
                  <w:r>
                    <w:t xml:space="preserve">0.049</w:t>
                  </w:r>
                </w:p>
              </w:tc>
              <w:tc>
                <w:tcPr/>
                <w:p>
                  <w:pPr>
                    <w:pStyle w:val="Compact"/>
                    <w:jc w:val="right"/>
                    <w:jc w:val="center"/>
                  </w:pPr>
                  <w:r>
                    <w:t xml:space="preserve">0.964</w:t>
                  </w:r>
                </w:p>
              </w:tc>
              <w:tc>
                <w:tcPr/>
                <w:p>
                  <w:pPr>
                    <w:pStyle w:val="Compact"/>
                  </w:pPr>
                </w:p>
              </w:tc>
            </w:tr>
            <w:tr>
              <w:tc>
                <w:tcPr/>
                <w:p>
                  <w:pPr>
                    <w:pStyle w:val="Compact"/>
                    <w:jc w:val="left"/>
                    <w:jc w:val="center"/>
                  </w:pPr>
                  <w:r>
                    <w:t xml:space="preserve">AE</w:t>
                  </w:r>
                </w:p>
              </w:tc>
              <w:tc>
                <w:tcPr/>
                <w:p>
                  <w:pPr>
                    <w:pStyle w:val="Compact"/>
                    <w:jc w:val="right"/>
                    <w:jc w:val="center"/>
                  </w:pPr>
                  <w:r>
                    <w:t xml:space="preserve">0.0226</w:t>
                  </w:r>
                </w:p>
              </w:tc>
              <w:tc>
                <w:tcPr/>
                <w:p>
                  <w:pPr>
                    <w:pStyle w:val="Compact"/>
                    <w:jc w:val="right"/>
                    <w:jc w:val="center"/>
                  </w:pPr>
                  <w:r>
                    <w:t xml:space="preserve">0.0113</w:t>
                  </w:r>
                </w:p>
              </w:tc>
              <w:tc>
                <w:tcPr/>
                <w:p>
                  <w:pPr>
                    <w:pStyle w:val="Compact"/>
                    <w:jc w:val="right"/>
                    <w:jc w:val="center"/>
                  </w:pPr>
                  <w:r>
                    <w:t xml:space="preserve">0.239</w:t>
                  </w:r>
                </w:p>
              </w:tc>
              <w:tc>
                <w:tcPr/>
                <w:p>
                  <w:pPr>
                    <w:pStyle w:val="Compact"/>
                    <w:jc w:val="right"/>
                    <w:jc w:val="center"/>
                  </w:pPr>
                  <w:r>
                    <w:t xml:space="preserve">0.0472</w:t>
                  </w:r>
                </w:p>
              </w:tc>
              <w:tc>
                <w:tcPr/>
                <w:p>
                  <w:pPr>
                    <w:pStyle w:val="Compact"/>
                    <w:jc w:val="right"/>
                    <w:jc w:val="center"/>
                  </w:pPr>
                  <w:r>
                    <w:t xml:space="preserve">0.965</w:t>
                  </w:r>
                </w:p>
              </w:tc>
              <w:tc>
                <w:tcPr/>
                <w:p>
                  <w:pPr>
                    <w:pStyle w:val="Compact"/>
                  </w:pPr>
                </w:p>
              </w:tc>
            </w:tr>
          </w:tbl>
          <w:bookmarkEnd w:id="104"/>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5" w:name="tbl-appc-aggregates-hmw"/>
          <w:p>
            <w:pPr>
              <w:jc w:val="center"/>
            </w:pPr>
            <w:pPr>
              <w:jc w:val="left"/>
              <w:spacing w:before="200"/>
              <w:pStyle w:val="ImageCaption"/>
            </w:pPr>
            <w:r>
              <w:t xml:space="preserve">Table 26: Screening effect estimates for aggregates (hmw).</w:t>
            </w:r>
          </w:p>
          <w:tbl>
            <w:tblPr>
              <w:tblStyle w:val="Table"/>
              <w:tblW w:type="pct" w:w="5000"/>
              <w:tblLayout w:type="fixed"/>
              <w:tblLook w:firstRow="1" w:lastRow="0" w:firstColumn="0" w:lastColumn="0" w:noHBand="0" w:noVBand="0" w:val="0020"/>
            </w:tblPr>
            <w:tblGrid>
              <w:gridCol w:w="931"/>
              <w:gridCol w:w="1164"/>
              <w:gridCol w:w="1164"/>
              <w:gridCol w:w="1514"/>
              <w:gridCol w:w="931"/>
              <w:gridCol w:w="1281"/>
              <w:gridCol w:w="931"/>
            </w:tblGrid>
            <w:tr>
              <w:trPr>
                <w:tblHeader w:val="on"/>
              </w:trPr>
              <w:tc>
                <w:tcPr/>
                <w:p>
                  <w:pPr>
                    <w:pStyle w:val="Compact"/>
                    <w:jc w:val="left"/>
                    <w:jc w:val="center"/>
                  </w:pPr>
                  <w:r>
                    <w:t xml:space="preserve">Term</w:t>
                  </w:r>
                </w:p>
              </w:tc>
              <w:tc>
                <w:tcPr/>
                <w:p>
                  <w:pPr>
                    <w:pStyle w:val="Compact"/>
                    <w:jc w:val="right"/>
                    <w:jc w:val="center"/>
                  </w:pPr>
                  <w:r>
                    <w:t xml:space="preserve">Effect</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A</w:t>
                  </w:r>
                </w:p>
              </w:tc>
              <w:tc>
                <w:tcPr/>
                <w:p>
                  <w:pPr>
                    <w:pStyle w:val="Compact"/>
                    <w:jc w:val="right"/>
                    <w:jc w:val="center"/>
                  </w:pPr>
                  <w:r>
                    <w:t xml:space="preserve">0.834</w:t>
                  </w:r>
                </w:p>
              </w:tc>
              <w:tc>
                <w:tcPr/>
                <w:p>
                  <w:pPr>
                    <w:pStyle w:val="Compact"/>
                    <w:jc w:val="right"/>
                    <w:jc w:val="center"/>
                  </w:pPr>
                  <w:r>
                    <w:t xml:space="preserve">0.417</w:t>
                  </w:r>
                </w:p>
              </w:tc>
              <w:tc>
                <w:tcPr/>
                <w:p>
                  <w:pPr>
                    <w:pStyle w:val="Compact"/>
                    <w:jc w:val="right"/>
                    <w:jc w:val="center"/>
                  </w:pPr>
                  <w:r>
                    <w:t xml:space="preserve">0.0207</w:t>
                  </w:r>
                </w:p>
              </w:tc>
              <w:tc>
                <w:tcPr/>
                <w:p>
                  <w:pPr>
                    <w:pStyle w:val="Compact"/>
                    <w:jc w:val="right"/>
                    <w:jc w:val="center"/>
                  </w:pPr>
                  <w:r>
                    <w:t xml:space="preserve">20.1</w:t>
                  </w:r>
                </w:p>
              </w:tc>
              <w:tc>
                <w:tcPr/>
                <w:p>
                  <w:pPr>
                    <w:pStyle w:val="Compact"/>
                    <w:jc w:val="right"/>
                    <w:jc w:val="center"/>
                  </w:pPr>
                  <w:r>
                    <w:t xml:space="preserve">0.000268</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0.578</w:t>
                  </w:r>
                </w:p>
              </w:tc>
              <w:tc>
                <w:tcPr/>
                <w:p>
                  <w:pPr>
                    <w:pStyle w:val="Compact"/>
                    <w:jc w:val="right"/>
                    <w:jc w:val="center"/>
                  </w:pPr>
                  <w:r>
                    <w:t xml:space="preserve">0.289</w:t>
                  </w:r>
                </w:p>
              </w:tc>
              <w:tc>
                <w:tcPr/>
                <w:p>
                  <w:pPr>
                    <w:pStyle w:val="Compact"/>
                    <w:jc w:val="right"/>
                    <w:jc w:val="center"/>
                  </w:pPr>
                  <w:r>
                    <w:t xml:space="preserve">0.0207</w:t>
                  </w:r>
                </w:p>
              </w:tc>
              <w:tc>
                <w:tcPr/>
                <w:p>
                  <w:pPr>
                    <w:pStyle w:val="Compact"/>
                    <w:jc w:val="right"/>
                    <w:jc w:val="center"/>
                  </w:pPr>
                  <w:r>
                    <w:t xml:space="preserve">13.9</w:t>
                  </w:r>
                </w:p>
              </w:tc>
              <w:tc>
                <w:tcPr/>
                <w:p>
                  <w:pPr>
                    <w:pStyle w:val="Compact"/>
                    <w:jc w:val="right"/>
                    <w:jc w:val="center"/>
                  </w:pPr>
                  <w:r>
                    <w:t xml:space="preserve">0.0008</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-0.141</w:t>
                  </w:r>
                </w:p>
              </w:tc>
              <w:tc>
                <w:tcPr/>
                <w:p>
                  <w:pPr>
                    <w:pStyle w:val="Compact"/>
                    <w:jc w:val="right"/>
                    <w:jc w:val="center"/>
                  </w:pPr>
                  <w:r>
                    <w:t xml:space="preserve">-0.0705</w:t>
                  </w:r>
                </w:p>
              </w:tc>
              <w:tc>
                <w:tcPr/>
                <w:p>
                  <w:pPr>
                    <w:pStyle w:val="Compact"/>
                    <w:jc w:val="right"/>
                    <w:jc w:val="center"/>
                  </w:pPr>
                  <w:r>
                    <w:t xml:space="preserve">0.0207</w:t>
                  </w:r>
                </w:p>
              </w:tc>
              <w:tc>
                <w:tcPr/>
                <w:p>
                  <w:pPr>
                    <w:pStyle w:val="Compact"/>
                    <w:jc w:val="right"/>
                    <w:jc w:val="center"/>
                  </w:pPr>
                  <w:r>
                    <w:t xml:space="preserve">-3.4</w:t>
                  </w:r>
                </w:p>
              </w:tc>
              <w:tc>
                <w:tcPr/>
                <w:p>
                  <w:pPr>
                    <w:pStyle w:val="Compact"/>
                    <w:jc w:val="right"/>
                    <w:jc w:val="center"/>
                  </w:pPr>
                  <w:r>
                    <w:t xml:space="preserve">0.0424</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0.116</w:t>
                  </w:r>
                </w:p>
              </w:tc>
              <w:tc>
                <w:tcPr/>
                <w:p>
                  <w:pPr>
                    <w:pStyle w:val="Compact"/>
                    <w:jc w:val="right"/>
                    <w:jc w:val="center"/>
                  </w:pPr>
                  <w:r>
                    <w:t xml:space="preserve">0.058</w:t>
                  </w:r>
                </w:p>
              </w:tc>
              <w:tc>
                <w:tcPr/>
                <w:p>
                  <w:pPr>
                    <w:pStyle w:val="Compact"/>
                    <w:jc w:val="right"/>
                    <w:jc w:val="center"/>
                  </w:pPr>
                  <w:r>
                    <w:t xml:space="preserve">0.0207</w:t>
                  </w:r>
                </w:p>
              </w:tc>
              <w:tc>
                <w:tcPr/>
                <w:p>
                  <w:pPr>
                    <w:pStyle w:val="Compact"/>
                    <w:jc w:val="right"/>
                    <w:jc w:val="center"/>
                  </w:pPr>
                  <w:r>
                    <w:t xml:space="preserve">2.8</w:t>
                  </w:r>
                </w:p>
              </w:tc>
              <w:tc>
                <w:tcPr/>
                <w:p>
                  <w:pPr>
                    <w:pStyle w:val="Compact"/>
                    <w:jc w:val="right"/>
                    <w:jc w:val="center"/>
                  </w:pPr>
                  <w:r>
                    <w:t xml:space="preserve">0.0678</w:t>
                  </w:r>
                </w:p>
              </w:tc>
              <w:tc>
                <w:tcPr/>
                <w:p>
                  <w:pPr>
                    <w:pStyle w:val="Compact"/>
                  </w:pPr>
                </w:p>
              </w:tc>
            </w:tr>
            <w:tr>
              <w:tc>
                <w:tcPr/>
                <w:p>
                  <w:pPr>
                    <w:pStyle w:val="Compact"/>
                    <w:jc w:val="left"/>
                    <w:jc w:val="center"/>
                  </w:pPr>
                  <w:r>
                    <w:t xml:space="preserve">CD</w:t>
                  </w:r>
                </w:p>
              </w:tc>
              <w:tc>
                <w:tcPr/>
                <w:p>
                  <w:pPr>
                    <w:pStyle w:val="Compact"/>
                    <w:jc w:val="right"/>
                    <w:jc w:val="center"/>
                  </w:pPr>
                  <w:r>
                    <w:t xml:space="preserve">-0.0742</w:t>
                  </w:r>
                </w:p>
              </w:tc>
              <w:tc>
                <w:tcPr/>
                <w:p>
                  <w:pPr>
                    <w:pStyle w:val="Compact"/>
                    <w:jc w:val="right"/>
                    <w:jc w:val="center"/>
                  </w:pPr>
                  <w:r>
                    <w:t xml:space="preserve">-0.0371</w:t>
                  </w:r>
                </w:p>
              </w:tc>
              <w:tc>
                <w:tcPr/>
                <w:p>
                  <w:pPr>
                    <w:pStyle w:val="Compact"/>
                    <w:jc w:val="right"/>
                    <w:jc w:val="center"/>
                  </w:pPr>
                  <w:r>
                    <w:t xml:space="preserve">0.0207</w:t>
                  </w:r>
                </w:p>
              </w:tc>
              <w:tc>
                <w:tcPr/>
                <w:p>
                  <w:pPr>
                    <w:pStyle w:val="Compact"/>
                    <w:jc w:val="right"/>
                    <w:jc w:val="center"/>
                  </w:pPr>
                  <w:r>
                    <w:t xml:space="preserve">-1.79</w:t>
                  </w:r>
                </w:p>
              </w:tc>
              <w:tc>
                <w:tcPr/>
                <w:p>
                  <w:pPr>
                    <w:pStyle w:val="Compact"/>
                    <w:jc w:val="right"/>
                    <w:jc w:val="center"/>
                  </w:pPr>
                  <w:r>
                    <w:t xml:space="preserve">0.171</w:t>
                  </w:r>
                </w:p>
              </w:tc>
              <w:tc>
                <w:tcPr/>
                <w:p>
                  <w:pPr>
                    <w:pStyle w:val="Compact"/>
                  </w:pPr>
                </w:p>
              </w:tc>
            </w:tr>
            <w:tr>
              <w:tc>
                <w:tcPr/>
                <w:p>
                  <w:pPr>
                    <w:pStyle w:val="Compact"/>
                    <w:jc w:val="left"/>
                    <w:jc w:val="center"/>
                  </w:pPr>
                  <w:r>
                    <w:t xml:space="preserve">AD</w:t>
                  </w:r>
                </w:p>
              </w:tc>
              <w:tc>
                <w:tcPr/>
                <w:p>
                  <w:pPr>
                    <w:pStyle w:val="Compact"/>
                    <w:jc w:val="right"/>
                    <w:jc w:val="center"/>
                  </w:pPr>
                  <w:r>
                    <w:t xml:space="preserve">-0.0666</w:t>
                  </w:r>
                </w:p>
              </w:tc>
              <w:tc>
                <w:tcPr/>
                <w:p>
                  <w:pPr>
                    <w:pStyle w:val="Compact"/>
                    <w:jc w:val="right"/>
                    <w:jc w:val="center"/>
                  </w:pPr>
                  <w:r>
                    <w:t xml:space="preserve">-0.0333</w:t>
                  </w:r>
                </w:p>
              </w:tc>
              <w:tc>
                <w:tcPr/>
                <w:p>
                  <w:pPr>
                    <w:pStyle w:val="Compact"/>
                    <w:jc w:val="right"/>
                    <w:jc w:val="center"/>
                  </w:pPr>
                  <w:r>
                    <w:t xml:space="preserve">0.0207</w:t>
                  </w:r>
                </w:p>
              </w:tc>
              <w:tc>
                <w:tcPr/>
                <w:p>
                  <w:pPr>
                    <w:pStyle w:val="Compact"/>
                    <w:jc w:val="right"/>
                    <w:jc w:val="center"/>
                  </w:pPr>
                  <w:r>
                    <w:t xml:space="preserve">-1.61</w:t>
                  </w:r>
                </w:p>
              </w:tc>
              <w:tc>
                <w:tcPr/>
                <w:p>
                  <w:pPr>
                    <w:pStyle w:val="Compact"/>
                    <w:jc w:val="right"/>
                    <w:jc w:val="center"/>
                  </w:pPr>
                  <w:r>
                    <w:t xml:space="preserve">0.206</w:t>
                  </w:r>
                </w:p>
              </w:tc>
              <w:tc>
                <w:tcPr/>
                <w:p>
                  <w:pPr>
                    <w:pStyle w:val="Compact"/>
                  </w:pPr>
                </w:p>
              </w:tc>
            </w:tr>
            <w:tr>
              <w:tc>
                <w:tcPr/>
                <w:p>
                  <w:pPr>
                    <w:pStyle w:val="Compact"/>
                    <w:jc w:val="left"/>
                    <w:jc w:val="center"/>
                  </w:pPr>
                  <w:r>
                    <w:t xml:space="preserve">AB</w:t>
                  </w:r>
                </w:p>
              </w:tc>
              <w:tc>
                <w:tcPr/>
                <w:p>
                  <w:pPr>
                    <w:pStyle w:val="Compact"/>
                    <w:jc w:val="right"/>
                    <w:jc w:val="center"/>
                  </w:pPr>
                  <w:r>
                    <w:t xml:space="preserve">-0.0593</w:t>
                  </w:r>
                </w:p>
              </w:tc>
              <w:tc>
                <w:tcPr/>
                <w:p>
                  <w:pPr>
                    <w:pStyle w:val="Compact"/>
                    <w:jc w:val="right"/>
                    <w:jc w:val="center"/>
                  </w:pPr>
                  <w:r>
                    <w:t xml:space="preserve">-0.0297</w:t>
                  </w:r>
                </w:p>
              </w:tc>
              <w:tc>
                <w:tcPr/>
                <w:p>
                  <w:pPr>
                    <w:pStyle w:val="Compact"/>
                    <w:jc w:val="right"/>
                    <w:jc w:val="center"/>
                  </w:pPr>
                  <w:r>
                    <w:t xml:space="preserve">0.0207</w:t>
                  </w:r>
                </w:p>
              </w:tc>
              <w:tc>
                <w:tcPr/>
                <w:p>
                  <w:pPr>
                    <w:pStyle w:val="Compact"/>
                    <w:jc w:val="right"/>
                    <w:jc w:val="center"/>
                  </w:pPr>
                  <w:r>
                    <w:t xml:space="preserve">-1.43</w:t>
                  </w:r>
                </w:p>
              </w:tc>
              <w:tc>
                <w:tcPr/>
                <w:p>
                  <w:pPr>
                    <w:pStyle w:val="Compact"/>
                    <w:jc w:val="right"/>
                    <w:jc w:val="center"/>
                  </w:pPr>
                  <w:r>
                    <w:t xml:space="preserve">0.248</w:t>
                  </w:r>
                </w:p>
              </w:tc>
              <w:tc>
                <w:tcPr/>
                <w:p>
                  <w:pPr>
                    <w:pStyle w:val="Compact"/>
                  </w:pPr>
                </w:p>
              </w:tc>
            </w:tr>
            <w:tr>
              <w:tc>
                <w:tcPr/>
                <w:p>
                  <w:pPr>
                    <w:pStyle w:val="Compact"/>
                    <w:jc w:val="left"/>
                    <w:jc w:val="center"/>
                  </w:pPr>
                  <w:r>
                    <w:t xml:space="preserve">DE</w:t>
                  </w:r>
                </w:p>
              </w:tc>
              <w:tc>
                <w:tcPr/>
                <w:p>
                  <w:pPr>
                    <w:pStyle w:val="Compact"/>
                    <w:jc w:val="right"/>
                    <w:jc w:val="center"/>
                  </w:pPr>
                  <w:r>
                    <w:t xml:space="preserve">-0.0554</w:t>
                  </w:r>
                </w:p>
              </w:tc>
              <w:tc>
                <w:tcPr/>
                <w:p>
                  <w:pPr>
                    <w:pStyle w:val="Compact"/>
                    <w:jc w:val="right"/>
                    <w:jc w:val="center"/>
                  </w:pPr>
                  <w:r>
                    <w:t xml:space="preserve">-0.0277</w:t>
                  </w:r>
                </w:p>
              </w:tc>
              <w:tc>
                <w:tcPr/>
                <w:p>
                  <w:pPr>
                    <w:pStyle w:val="Compact"/>
                    <w:jc w:val="right"/>
                    <w:jc w:val="center"/>
                  </w:pPr>
                  <w:r>
                    <w:t xml:space="preserve">0.0207</w:t>
                  </w:r>
                </w:p>
              </w:tc>
              <w:tc>
                <w:tcPr/>
                <w:p>
                  <w:pPr>
                    <w:pStyle w:val="Compact"/>
                    <w:jc w:val="right"/>
                    <w:jc w:val="center"/>
                  </w:pPr>
                  <w:r>
                    <w:t xml:space="preserve">-1.34</w:t>
                  </w:r>
                </w:p>
              </w:tc>
              <w:tc>
                <w:tcPr/>
                <w:p>
                  <w:pPr>
                    <w:pStyle w:val="Compact"/>
                    <w:jc w:val="right"/>
                    <w:jc w:val="center"/>
                  </w:pPr>
                  <w:r>
                    <w:t xml:space="preserve">0.274</w:t>
                  </w:r>
                </w:p>
              </w:tc>
              <w:tc>
                <w:tcPr/>
                <w:p>
                  <w:pPr>
                    <w:pStyle w:val="Compact"/>
                  </w:pPr>
                </w:p>
              </w:tc>
            </w:tr>
            <w:tr>
              <w:tc>
                <w:tcPr/>
                <w:p>
                  <w:pPr>
                    <w:pStyle w:val="Compact"/>
                    <w:jc w:val="left"/>
                    <w:jc w:val="center"/>
                  </w:pPr>
                  <w:r>
                    <w:t xml:space="preserve">D</w:t>
                  </w:r>
                </w:p>
              </w:tc>
              <w:tc>
                <w:tcPr/>
                <w:p>
                  <w:pPr>
                    <w:pStyle w:val="Compact"/>
                    <w:jc w:val="right"/>
                    <w:jc w:val="center"/>
                  </w:pPr>
                  <w:r>
                    <w:t xml:space="preserve">-0.0548</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BD</w:t>
                  </w:r>
                </w:p>
              </w:tc>
              <w:tc>
                <w:tcPr/>
                <w:p>
                  <w:pPr>
                    <w:pStyle w:val="Compact"/>
                    <w:jc w:val="right"/>
                    <w:jc w:val="center"/>
                  </w:pPr>
                  <w:r>
                    <w:t xml:space="preserve">-0.0547</w:t>
                  </w:r>
                </w:p>
              </w:tc>
              <w:tc>
                <w:tcPr/>
                <w:p>
                  <w:pPr>
                    <w:pStyle w:val="Compact"/>
                    <w:jc w:val="right"/>
                    <w:jc w:val="center"/>
                  </w:pPr>
                  <w:r>
                    <w:t xml:space="preserve">-0.0274</w:t>
                  </w:r>
                </w:p>
              </w:tc>
              <w:tc>
                <w:tcPr/>
                <w:p>
                  <w:pPr>
                    <w:pStyle w:val="Compact"/>
                    <w:jc w:val="right"/>
                    <w:jc w:val="center"/>
                  </w:pPr>
                  <w:r>
                    <w:t xml:space="preserve">0.0207</w:t>
                  </w:r>
                </w:p>
              </w:tc>
              <w:tc>
                <w:tcPr/>
                <w:p>
                  <w:pPr>
                    <w:pStyle w:val="Compact"/>
                    <w:jc w:val="right"/>
                    <w:jc w:val="center"/>
                  </w:pPr>
                  <w:r>
                    <w:t xml:space="preserve">-1.32</w:t>
                  </w:r>
                </w:p>
              </w:tc>
              <w:tc>
                <w:tcPr/>
                <w:p>
                  <w:pPr>
                    <w:pStyle w:val="Compact"/>
                    <w:jc w:val="right"/>
                    <w:jc w:val="center"/>
                  </w:pPr>
                  <w:r>
                    <w:t xml:space="preserve">0.278</w:t>
                  </w:r>
                </w:p>
              </w:tc>
              <w:tc>
                <w:tcPr/>
                <w:p>
                  <w:pPr>
                    <w:pStyle w:val="Compact"/>
                  </w:pPr>
                </w:p>
              </w:tc>
            </w:tr>
            <w:tr>
              <w:tc>
                <w:tcPr/>
                <w:p>
                  <w:pPr>
                    <w:pStyle w:val="Compact"/>
                    <w:jc w:val="left"/>
                    <w:jc w:val="center"/>
                  </w:pPr>
                  <w:r>
                    <w:t xml:space="preserve">AE</w:t>
                  </w:r>
                </w:p>
              </w:tc>
              <w:tc>
                <w:tcPr/>
                <w:p>
                  <w:pPr>
                    <w:pStyle w:val="Compact"/>
                    <w:jc w:val="right"/>
                    <w:jc w:val="center"/>
                  </w:pPr>
                  <w:r>
                    <w:t xml:space="preserve">0.0416</w:t>
                  </w:r>
                </w:p>
              </w:tc>
              <w:tc>
                <w:tcPr/>
                <w:p>
                  <w:pPr>
                    <w:pStyle w:val="Compact"/>
                    <w:jc w:val="right"/>
                    <w:jc w:val="center"/>
                  </w:pPr>
                  <w:r>
                    <w:t xml:space="preserve">0.0208</w:t>
                  </w:r>
                </w:p>
              </w:tc>
              <w:tc>
                <w:tcPr/>
                <w:p>
                  <w:pPr>
                    <w:pStyle w:val="Compact"/>
                    <w:jc w:val="right"/>
                    <w:jc w:val="center"/>
                  </w:pPr>
                  <w:r>
                    <w:t xml:space="preserve">0.0207</w:t>
                  </w:r>
                </w:p>
              </w:tc>
              <w:tc>
                <w:tcPr/>
                <w:p>
                  <w:pPr>
                    <w:pStyle w:val="Compact"/>
                    <w:jc w:val="right"/>
                    <w:jc w:val="center"/>
                  </w:pPr>
                  <w:r>
                    <w:t xml:space="preserve">1</w:t>
                  </w:r>
                </w:p>
              </w:tc>
              <w:tc>
                <w:tcPr/>
                <w:p>
                  <w:pPr>
                    <w:pStyle w:val="Compact"/>
                    <w:jc w:val="right"/>
                    <w:jc w:val="center"/>
                  </w:pPr>
                  <w:r>
                    <w:t xml:space="preserve">0.39</w:t>
                  </w:r>
                </w:p>
              </w:tc>
              <w:tc>
                <w:tcPr/>
                <w:p>
                  <w:pPr>
                    <w:pStyle w:val="Compact"/>
                  </w:pPr>
                </w:p>
              </w:tc>
            </w:tr>
            <w:tr>
              <w:tc>
                <w:tcPr/>
                <w:p>
                  <w:pPr>
                    <w:pStyle w:val="Compact"/>
                    <w:jc w:val="left"/>
                    <w:jc w:val="center"/>
                  </w:pPr>
                  <w:r>
                    <w:t xml:space="preserve">BC</w:t>
                  </w:r>
                </w:p>
              </w:tc>
              <w:tc>
                <w:tcPr/>
                <w:p>
                  <w:pPr>
                    <w:pStyle w:val="Compact"/>
                    <w:jc w:val="right"/>
                    <w:jc w:val="center"/>
                  </w:pPr>
                  <w:r>
                    <w:t xml:space="preserve">-0.0235</w:t>
                  </w:r>
                </w:p>
              </w:tc>
              <w:tc>
                <w:tcPr/>
                <w:p>
                  <w:pPr>
                    <w:pStyle w:val="Compact"/>
                    <w:jc w:val="right"/>
                    <w:jc w:val="center"/>
                  </w:pPr>
                  <w:r>
                    <w:t xml:space="preserve">-0.0118</w:t>
                  </w:r>
                </w:p>
              </w:tc>
              <w:tc>
                <w:tcPr/>
                <w:p>
                  <w:pPr>
                    <w:pStyle w:val="Compact"/>
                    <w:jc w:val="right"/>
                    <w:jc w:val="center"/>
                  </w:pPr>
                  <w:r>
                    <w:t xml:space="preserve">0.0207</w:t>
                  </w:r>
                </w:p>
              </w:tc>
              <w:tc>
                <w:tcPr/>
                <w:p>
                  <w:pPr>
                    <w:pStyle w:val="Compact"/>
                    <w:jc w:val="right"/>
                    <w:jc w:val="center"/>
                  </w:pPr>
                  <w:r>
                    <w:t xml:space="preserve">-0.567</w:t>
                  </w:r>
                </w:p>
              </w:tc>
              <w:tc>
                <w:tcPr/>
                <w:p>
                  <w:pPr>
                    <w:pStyle w:val="Compact"/>
                    <w:jc w:val="right"/>
                    <w:jc w:val="center"/>
                  </w:pPr>
                  <w:r>
                    <w:t xml:space="preserve">0.61</w:t>
                  </w:r>
                </w:p>
              </w:tc>
              <w:tc>
                <w:tcPr/>
                <w:p>
                  <w:pPr>
                    <w:pStyle w:val="Compact"/>
                  </w:pPr>
                </w:p>
              </w:tc>
            </w:tr>
            <w:tr>
              <w:tc>
                <w:tcPr/>
                <w:p>
                  <w:pPr>
                    <w:pStyle w:val="Compact"/>
                    <w:jc w:val="left"/>
                    <w:jc w:val="center"/>
                  </w:pPr>
                  <w:r>
                    <w:t xml:space="preserve">CE</w:t>
                  </w:r>
                </w:p>
              </w:tc>
              <w:tc>
                <w:tcPr/>
                <w:p>
                  <w:pPr>
                    <w:pStyle w:val="Compact"/>
                    <w:jc w:val="right"/>
                    <w:jc w:val="center"/>
                  </w:pPr>
                  <w:r>
                    <w:t xml:space="preserve">0.0222</w:t>
                  </w:r>
                </w:p>
              </w:tc>
              <w:tc>
                <w:tcPr/>
                <w:p>
                  <w:pPr>
                    <w:pStyle w:val="Compact"/>
                    <w:jc w:val="right"/>
                    <w:jc w:val="center"/>
                  </w:pPr>
                  <w:r>
                    <w:t xml:space="preserve">0.0111</w:t>
                  </w:r>
                </w:p>
              </w:tc>
              <w:tc>
                <w:tcPr/>
                <w:p>
                  <w:pPr>
                    <w:pStyle w:val="Compact"/>
                    <w:jc w:val="right"/>
                    <w:jc w:val="center"/>
                  </w:pPr>
                  <w:r>
                    <w:t xml:space="preserve">0.0207</w:t>
                  </w:r>
                </w:p>
              </w:tc>
              <w:tc>
                <w:tcPr/>
                <w:p>
                  <w:pPr>
                    <w:pStyle w:val="Compact"/>
                    <w:jc w:val="right"/>
                    <w:jc w:val="center"/>
                  </w:pPr>
                  <w:r>
                    <w:t xml:space="preserve">0.537</w:t>
                  </w:r>
                </w:p>
              </w:tc>
              <w:tc>
                <w:tcPr/>
                <w:p>
                  <w:pPr>
                    <w:pStyle w:val="Compact"/>
                    <w:jc w:val="right"/>
                    <w:jc w:val="center"/>
                  </w:pPr>
                  <w:r>
                    <w:t xml:space="preserve">0.629</w:t>
                  </w:r>
                </w:p>
              </w:tc>
              <w:tc>
                <w:tcPr/>
                <w:p>
                  <w:pPr>
                    <w:pStyle w:val="Compact"/>
                  </w:pPr>
                </w:p>
              </w:tc>
            </w:tr>
            <w:tr>
              <w:tc>
                <w:tcPr/>
                <w:p>
                  <w:pPr>
                    <w:pStyle w:val="Compact"/>
                    <w:jc w:val="left"/>
                    <w:jc w:val="center"/>
                  </w:pPr>
                  <w:r>
                    <w:t xml:space="preserve">B</w:t>
                  </w:r>
                </w:p>
              </w:tc>
              <w:tc>
                <w:tcPr/>
                <w:p>
                  <w:pPr>
                    <w:pStyle w:val="Compact"/>
                    <w:jc w:val="right"/>
                    <w:jc w:val="center"/>
                  </w:pPr>
                  <w:r>
                    <w:t xml:space="preserve">-0.00671</w:t>
                  </w:r>
                </w:p>
              </w:tc>
              <w:tc>
                <w:tcPr/>
                <w:p>
                  <w:pPr>
                    <w:pStyle w:val="Compact"/>
                    <w:jc w:val="right"/>
                    <w:jc w:val="center"/>
                  </w:pPr>
                  <w:r>
                    <w:t xml:space="preserve">-0.00336</w:t>
                  </w:r>
                </w:p>
              </w:tc>
              <w:tc>
                <w:tcPr/>
                <w:p>
                  <w:pPr>
                    <w:pStyle w:val="Compact"/>
                    <w:jc w:val="right"/>
                    <w:jc w:val="center"/>
                  </w:pPr>
                  <w:r>
                    <w:t xml:space="preserve">0.0207</w:t>
                  </w:r>
                </w:p>
              </w:tc>
              <w:tc>
                <w:tcPr/>
                <w:p>
                  <w:pPr>
                    <w:pStyle w:val="Compact"/>
                    <w:jc w:val="right"/>
                    <w:jc w:val="center"/>
                  </w:pPr>
                  <w:r>
                    <w:t xml:space="preserve">-0.162</w:t>
                  </w:r>
                </w:p>
              </w:tc>
              <w:tc>
                <w:tcPr/>
                <w:p>
                  <w:pPr>
                    <w:pStyle w:val="Compact"/>
                    <w:jc w:val="right"/>
                    <w:jc w:val="center"/>
                  </w:pPr>
                  <w:r>
                    <w:t xml:space="preserve">0.882</w:t>
                  </w:r>
                </w:p>
              </w:tc>
              <w:tc>
                <w:tcPr/>
                <w:p>
                  <w:pPr>
                    <w:pStyle w:val="Compact"/>
                  </w:pPr>
                </w:p>
              </w:tc>
            </w:tr>
            <w:tr>
              <w:tc>
                <w:tcPr/>
                <w:p>
                  <w:pPr>
                    <w:pStyle w:val="Compact"/>
                    <w:jc w:val="left"/>
                    <w:jc w:val="center"/>
                  </w:pPr>
                  <w:r>
                    <w:t xml:space="preserve">AC</w:t>
                  </w:r>
                </w:p>
              </w:tc>
              <w:tc>
                <w:tcPr/>
                <w:p>
                  <w:pPr>
                    <w:pStyle w:val="Compact"/>
                    <w:jc w:val="right"/>
                    <w:jc w:val="center"/>
                  </w:pPr>
                  <w:r>
                    <w:t xml:space="preserve">-0.00663</w:t>
                  </w:r>
                </w:p>
              </w:tc>
              <w:tc>
                <w:tcPr/>
                <w:p>
                  <w:pPr>
                    <w:pStyle w:val="Compact"/>
                    <w:jc w:val="right"/>
                    <w:jc w:val="center"/>
                  </w:pPr>
                  <w:r>
                    <w:t xml:space="preserve">-0.00332</w:t>
                  </w:r>
                </w:p>
              </w:tc>
              <w:tc>
                <w:tcPr/>
                <w:p>
                  <w:pPr>
                    <w:pStyle w:val="Compact"/>
                    <w:jc w:val="right"/>
                    <w:jc w:val="center"/>
                  </w:pPr>
                  <w:r>
                    <w:t xml:space="preserve">0.0207</w:t>
                  </w:r>
                </w:p>
              </w:tc>
              <w:tc>
                <w:tcPr/>
                <w:p>
                  <w:pPr>
                    <w:pStyle w:val="Compact"/>
                    <w:jc w:val="right"/>
                    <w:jc w:val="center"/>
                  </w:pPr>
                  <w:r>
                    <w:t xml:space="preserve">-0.16</w:t>
                  </w:r>
                </w:p>
              </w:tc>
              <w:tc>
                <w:tcPr/>
                <w:p>
                  <w:pPr>
                    <w:pStyle w:val="Compact"/>
                    <w:jc w:val="right"/>
                    <w:jc w:val="center"/>
                  </w:pPr>
                  <w:r>
                    <w:t xml:space="preserve">0.883</w:t>
                  </w:r>
                </w:p>
              </w:tc>
              <w:tc>
                <w:tcPr/>
                <w:p>
                  <w:pPr>
                    <w:pStyle w:val="Compact"/>
                  </w:pPr>
                </w:p>
              </w:tc>
            </w:tr>
          </w:tbl>
          <w:bookmarkEnd w:id="10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6" w:name="tbl-appc2-afucosylation"/>
          <w:p>
            <w:pPr>
              <w:jc w:val="center"/>
            </w:pPr>
            <w:pPr>
              <w:jc w:val="left"/>
              <w:spacing w:before="200"/>
              <w:pStyle w:val="ImageCaption"/>
            </w:pPr>
            <w:r>
              <w:t xml:space="preserve">Table 27: Response-surface coefficients for afucosylation.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8.04</w:t>
                  </w:r>
                </w:p>
              </w:tc>
              <w:tc>
                <w:tcPr/>
                <w:p>
                  <w:pPr>
                    <w:pStyle w:val="Compact"/>
                    <w:jc w:val="right"/>
                    <w:jc w:val="center"/>
                  </w:pPr>
                  <w:r>
                    <w:t xml:space="preserve">0.202</w:t>
                  </w:r>
                </w:p>
              </w:tc>
              <w:tc>
                <w:tcPr/>
                <w:p>
                  <w:pPr>
                    <w:pStyle w:val="Compact"/>
                    <w:jc w:val="right"/>
                    <w:jc w:val="center"/>
                  </w:pPr>
                  <w:r>
                    <w:t xml:space="preserve">39.8</w:t>
                  </w:r>
                </w:p>
              </w:tc>
              <w:tc>
                <w:tcPr/>
                <w:p>
                  <w:pPr>
                    <w:pStyle w:val="Compact"/>
                    <w:jc w:val="right"/>
                    <w:jc w:val="center"/>
                  </w:pPr>
                  <w:r>
                    <w:t xml:space="preserve">5.74e-15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-0.997</w:t>
                  </w:r>
                </w:p>
              </w:tc>
              <w:tc>
                <w:tcPr/>
                <w:p>
                  <w:pPr>
                    <w:pStyle w:val="Compact"/>
                    <w:jc w:val="right"/>
                    <w:jc w:val="center"/>
                  </w:pPr>
                  <w:r>
                    <w:t xml:space="preserve">0.138</w:t>
                  </w:r>
                </w:p>
              </w:tc>
              <w:tc>
                <w:tcPr/>
                <w:p>
                  <w:pPr>
                    <w:pStyle w:val="Compact"/>
                    <w:jc w:val="right"/>
                    <w:jc w:val="center"/>
                  </w:pPr>
                  <w:r>
                    <w:t xml:space="preserve">-7.24</w:t>
                  </w:r>
                </w:p>
              </w:tc>
              <w:tc>
                <w:tcPr/>
                <w:p>
                  <w:pPr>
                    <w:pStyle w:val="Compact"/>
                    <w:jc w:val="right"/>
                    <w:jc w:val="center"/>
                  </w:pPr>
                  <w:r>
                    <w:t xml:space="preserve">6.52e-06</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-0.551</w:t>
                  </w:r>
                </w:p>
              </w:tc>
              <w:tc>
                <w:tcPr/>
                <w:p>
                  <w:pPr>
                    <w:pStyle w:val="Compact"/>
                    <w:jc w:val="right"/>
                    <w:jc w:val="center"/>
                  </w:pPr>
                  <w:r>
                    <w:t xml:space="preserve">0.138</w:t>
                  </w:r>
                </w:p>
              </w:tc>
              <w:tc>
                <w:tcPr/>
                <w:p>
                  <w:pPr>
                    <w:pStyle w:val="Compact"/>
                    <w:jc w:val="right"/>
                    <w:jc w:val="center"/>
                  </w:pPr>
                  <w:r>
                    <w:t xml:space="preserve">-4</w:t>
                  </w:r>
                </w:p>
              </w:tc>
              <w:tc>
                <w:tcPr/>
                <w:p>
                  <w:pPr>
                    <w:pStyle w:val="Compact"/>
                    <w:jc w:val="right"/>
                    <w:jc w:val="center"/>
                  </w:pPr>
                  <w:r>
                    <w:t xml:space="preserve">0.00151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-1.3</w:t>
                  </w:r>
                </w:p>
              </w:tc>
              <w:tc>
                <w:tcPr/>
                <w:p>
                  <w:pPr>
                    <w:pStyle w:val="Compact"/>
                    <w:jc w:val="right"/>
                    <w:jc w:val="center"/>
                  </w:pPr>
                  <w:r>
                    <w:t xml:space="preserve">0.138</w:t>
                  </w:r>
                </w:p>
              </w:tc>
              <w:tc>
                <w:tcPr/>
                <w:p>
                  <w:pPr>
                    <w:pStyle w:val="Compact"/>
                    <w:jc w:val="right"/>
                    <w:jc w:val="center"/>
                  </w:pPr>
                  <w:r>
                    <w:t xml:space="preserve">-9.45</w:t>
                  </w:r>
                </w:p>
              </w:tc>
              <w:tc>
                <w:tcPr/>
                <w:p>
                  <w:pPr>
                    <w:pStyle w:val="Compact"/>
                    <w:jc w:val="right"/>
                    <w:jc w:val="center"/>
                  </w:pPr>
                  <w:r>
                    <w:t xml:space="preserve">3.45e-07</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-0.367</w:t>
                  </w:r>
                </w:p>
              </w:tc>
              <w:tc>
                <w:tcPr/>
                <w:p>
                  <w:pPr>
                    <w:pStyle w:val="Compact"/>
                    <w:jc w:val="right"/>
                    <w:jc w:val="center"/>
                  </w:pPr>
                  <w:r>
                    <w:t xml:space="preserve">0.138</w:t>
                  </w:r>
                </w:p>
              </w:tc>
              <w:tc>
                <w:tcPr/>
                <w:p>
                  <w:pPr>
                    <w:pStyle w:val="Compact"/>
                    <w:jc w:val="right"/>
                    <w:jc w:val="center"/>
                  </w:pPr>
                  <w:r>
                    <w:t xml:space="preserve">-2.67</w:t>
                  </w:r>
                </w:p>
              </w:tc>
              <w:tc>
                <w:tcPr/>
                <w:p>
                  <w:pPr>
                    <w:pStyle w:val="Compact"/>
                    <w:jc w:val="right"/>
                    <w:jc w:val="center"/>
                  </w:pPr>
                  <w:r>
                    <w:t xml:space="preserve">0.0194</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-0.63</w:t>
                  </w:r>
                </w:p>
              </w:tc>
              <w:tc>
                <w:tcPr/>
                <w:p>
                  <w:pPr>
                    <w:pStyle w:val="Compact"/>
                    <w:jc w:val="right"/>
                    <w:jc w:val="center"/>
                  </w:pPr>
                  <w:r>
                    <w:t xml:space="preserve">0.146</w:t>
                  </w:r>
                </w:p>
              </w:tc>
              <w:tc>
                <w:tcPr/>
                <w:p>
                  <w:pPr>
                    <w:pStyle w:val="Compact"/>
                    <w:jc w:val="right"/>
                    <w:jc w:val="center"/>
                  </w:pPr>
                  <w:r>
                    <w:t xml:space="preserve">-4.32</w:t>
                  </w:r>
                </w:p>
              </w:tc>
              <w:tc>
                <w:tcPr/>
                <w:p>
                  <w:pPr>
                    <w:pStyle w:val="Compact"/>
                    <w:jc w:val="right"/>
                    <w:jc w:val="center"/>
                  </w:pPr>
                  <w:r>
                    <w:t xml:space="preserve">0.000837</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1.32</w:t>
                  </w:r>
                </w:p>
              </w:tc>
              <w:tc>
                <w:tcPr/>
                <w:p>
                  <w:pPr>
                    <w:pStyle w:val="Compact"/>
                    <w:jc w:val="right"/>
                    <w:jc w:val="center"/>
                  </w:pPr>
                  <w:r>
                    <w:t xml:space="preserve">0.146</w:t>
                  </w:r>
                </w:p>
              </w:tc>
              <w:tc>
                <w:tcPr/>
                <w:p>
                  <w:pPr>
                    <w:pStyle w:val="Compact"/>
                    <w:jc w:val="right"/>
                    <w:jc w:val="center"/>
                  </w:pPr>
                  <w:r>
                    <w:t xml:space="preserve">9.06</w:t>
                  </w:r>
                </w:p>
              </w:tc>
              <w:tc>
                <w:tcPr/>
                <w:p>
                  <w:pPr>
                    <w:pStyle w:val="Compact"/>
                    <w:jc w:val="right"/>
                    <w:jc w:val="center"/>
                  </w:pPr>
                  <w:r>
                    <w:t xml:space="preserve">5.6e-07</w:t>
                  </w:r>
                </w:p>
              </w:tc>
              <w:tc>
                <w:tcPr/>
                <w:p>
                  <w:pPr>
                    <w:pStyle w:val="Compact"/>
                    <w:jc w:val="left"/>
                    <w:jc w:val="center"/>
                  </w:pPr>
                  <w:r>
                    <w:t xml:space="preserve">***</w:t>
                  </w:r>
                </w:p>
              </w:tc>
            </w:tr>
            <w:tr>
              <w:tc>
                <w:tcPr/>
                <w:p>
                  <w:pPr>
                    <w:pStyle w:val="Compact"/>
                    <w:jc w:val="left"/>
                    <w:jc w:val="center"/>
                  </w:pPr>
                  <w:r>
                    <w:t xml:space="preserve">AC</w:t>
                  </w:r>
                </w:p>
              </w:tc>
              <w:tc>
                <w:tcPr/>
                <w:p>
                  <w:pPr>
                    <w:pStyle w:val="Compact"/>
                    <w:jc w:val="right"/>
                    <w:jc w:val="center"/>
                  </w:pPr>
                  <w:r>
                    <w:t xml:space="preserve">-0.907</w:t>
                  </w:r>
                </w:p>
              </w:tc>
              <w:tc>
                <w:tcPr/>
                <w:p>
                  <w:pPr>
                    <w:pStyle w:val="Compact"/>
                    <w:jc w:val="right"/>
                    <w:jc w:val="center"/>
                  </w:pPr>
                  <w:r>
                    <w:t xml:space="preserve">0.146</w:t>
                  </w:r>
                </w:p>
              </w:tc>
              <w:tc>
                <w:tcPr/>
                <w:p>
                  <w:pPr>
                    <w:pStyle w:val="Compact"/>
                    <w:jc w:val="right"/>
                    <w:jc w:val="center"/>
                  </w:pPr>
                  <w:r>
                    <w:t xml:space="preserve">-6.21</w:t>
                  </w:r>
                </w:p>
              </w:tc>
              <w:tc>
                <w:tcPr/>
                <w:p>
                  <w:pPr>
                    <w:pStyle w:val="Compact"/>
                    <w:jc w:val="right"/>
                    <w:jc w:val="center"/>
                  </w:pPr>
                  <w:r>
                    <w:t xml:space="preserve">3.16e-05</w:t>
                  </w:r>
                </w:p>
              </w:tc>
              <w:tc>
                <w:tcPr/>
                <w:p>
                  <w:pPr>
                    <w:pStyle w:val="Compact"/>
                    <w:jc w:val="left"/>
                    <w:jc w:val="center"/>
                  </w:pPr>
                  <w:r>
                    <w:t xml:space="preserve">***</w:t>
                  </w:r>
                </w:p>
              </w:tc>
            </w:tr>
            <w:tr>
              <w:tc>
                <w:tcPr/>
                <w:p>
                  <w:pPr>
                    <w:pStyle w:val="Compact"/>
                    <w:jc w:val="left"/>
                    <w:jc w:val="center"/>
                  </w:pPr>
                  <w:r>
                    <w:t xml:space="preserve">BE</w:t>
                  </w:r>
                </w:p>
              </w:tc>
              <w:tc>
                <w:tcPr/>
                <w:p>
                  <w:pPr>
                    <w:pStyle w:val="Compact"/>
                    <w:jc w:val="right"/>
                    <w:jc w:val="center"/>
                  </w:pPr>
                  <w:r>
                    <w:t xml:space="preserve">0.362</w:t>
                  </w:r>
                </w:p>
              </w:tc>
              <w:tc>
                <w:tcPr/>
                <w:p>
                  <w:pPr>
                    <w:pStyle w:val="Compact"/>
                    <w:jc w:val="right"/>
                    <w:jc w:val="center"/>
                  </w:pPr>
                  <w:r>
                    <w:t xml:space="preserve">0.146</w:t>
                  </w:r>
                </w:p>
              </w:tc>
              <w:tc>
                <w:tcPr/>
                <w:p>
                  <w:pPr>
                    <w:pStyle w:val="Compact"/>
                    <w:jc w:val="right"/>
                    <w:jc w:val="center"/>
                  </w:pPr>
                  <w:r>
                    <w:t xml:space="preserve">2.48</w:t>
                  </w:r>
                </w:p>
              </w:tc>
              <w:tc>
                <w:tcPr/>
                <w:p>
                  <w:pPr>
                    <w:pStyle w:val="Compact"/>
                    <w:jc w:val="right"/>
                    <w:jc w:val="center"/>
                  </w:pPr>
                  <w:r>
                    <w:t xml:space="preserve">0.0277</w:t>
                  </w:r>
                </w:p>
              </w:tc>
              <w:tc>
                <w:tcPr/>
                <w:p>
                  <w:pPr>
                    <w:pStyle w:val="Compact"/>
                    <w:jc w:val="left"/>
                    <w:jc w:val="center"/>
                  </w:pPr>
                  <w:r>
                    <w:t xml:space="preserve">*</w:t>
                  </w:r>
                </w:p>
              </w:tc>
            </w:tr>
            <w:tr>
              <w:tc>
                <w:tcPr/>
                <w:p>
                  <w:pPr>
                    <w:pStyle w:val="Compact"/>
                    <w:jc w:val="left"/>
                    <w:jc w:val="center"/>
                  </w:pPr>
                  <w:r>
                    <w:t xml:space="preserve">BC</w:t>
                  </w:r>
                </w:p>
              </w:tc>
              <w:tc>
                <w:tcPr/>
                <w:p>
                  <w:pPr>
                    <w:pStyle w:val="Compact"/>
                    <w:jc w:val="right"/>
                    <w:jc w:val="center"/>
                  </w:pPr>
                  <w:r>
                    <w:t xml:space="preserve">-0.0703</w:t>
                  </w:r>
                </w:p>
              </w:tc>
              <w:tc>
                <w:tcPr/>
                <w:p>
                  <w:pPr>
                    <w:pStyle w:val="Compact"/>
                    <w:jc w:val="right"/>
                    <w:jc w:val="center"/>
                  </w:pPr>
                  <w:r>
                    <w:t xml:space="preserve">0.146</w:t>
                  </w:r>
                </w:p>
              </w:tc>
              <w:tc>
                <w:tcPr/>
                <w:p>
                  <w:pPr>
                    <w:pStyle w:val="Compact"/>
                    <w:jc w:val="right"/>
                    <w:jc w:val="center"/>
                  </w:pPr>
                  <w:r>
                    <w:t xml:space="preserve">-0.481</w:t>
                  </w:r>
                </w:p>
              </w:tc>
              <w:tc>
                <w:tcPr/>
                <w:p>
                  <w:pPr>
                    <w:pStyle w:val="Compact"/>
                    <w:jc w:val="right"/>
                    <w:jc w:val="center"/>
                  </w:pPr>
                  <w:r>
                    <w:t xml:space="preserve">0.638</w:t>
                  </w:r>
                </w:p>
              </w:tc>
              <w:tc>
                <w:tcPr/>
                <w:p>
                  <w:pPr>
                    <w:pStyle w:val="Compact"/>
                  </w:pPr>
                </w:p>
              </w:tc>
            </w:tr>
            <w:tr>
              <w:tc>
                <w:tcPr/>
                <w:p>
                  <w:pPr>
                    <w:pStyle w:val="Compact"/>
                    <w:jc w:val="left"/>
                    <w:jc w:val="center"/>
                  </w:pPr>
                  <w:r>
                    <w:t xml:space="preserve">EC</w:t>
                  </w:r>
                </w:p>
              </w:tc>
              <w:tc>
                <w:tcPr/>
                <w:p>
                  <w:pPr>
                    <w:pStyle w:val="Compact"/>
                    <w:jc w:val="right"/>
                    <w:jc w:val="center"/>
                  </w:pPr>
                  <w:r>
                    <w:t xml:space="preserve">0.0322</w:t>
                  </w:r>
                </w:p>
              </w:tc>
              <w:tc>
                <w:tcPr/>
                <w:p>
                  <w:pPr>
                    <w:pStyle w:val="Compact"/>
                    <w:jc w:val="right"/>
                    <w:jc w:val="center"/>
                  </w:pPr>
                  <w:r>
                    <w:t xml:space="preserve">0.146</w:t>
                  </w:r>
                </w:p>
              </w:tc>
              <w:tc>
                <w:tcPr/>
                <w:p>
                  <w:pPr>
                    <w:pStyle w:val="Compact"/>
                    <w:jc w:val="right"/>
                    <w:jc w:val="center"/>
                  </w:pPr>
                  <w:r>
                    <w:t xml:space="preserve">0.221</w:t>
                  </w:r>
                </w:p>
              </w:tc>
              <w:tc>
                <w:tcPr/>
                <w:p>
                  <w:pPr>
                    <w:pStyle w:val="Compact"/>
                    <w:jc w:val="right"/>
                    <w:jc w:val="center"/>
                  </w:pPr>
                  <w:r>
                    <w:t xml:space="preserve">0.829</w:t>
                  </w:r>
                </w:p>
              </w:tc>
              <w:tc>
                <w:tcPr/>
                <w:p>
                  <w:pPr>
                    <w:pStyle w:val="Compact"/>
                  </w:pPr>
                </w:p>
              </w:tc>
            </w:tr>
            <w:tr>
              <w:tc>
                <w:tcPr/>
                <w:p>
                  <w:pPr>
                    <w:pStyle w:val="Compact"/>
                    <w:jc w:val="left"/>
                    <w:jc w:val="center"/>
                  </w:pPr>
                  <w:r>
                    <w:t xml:space="preserve">A²</w:t>
                  </w:r>
                </w:p>
              </w:tc>
              <w:tc>
                <w:tcPr/>
                <w:p>
                  <w:pPr>
                    <w:pStyle w:val="Compact"/>
                    <w:jc w:val="right"/>
                    <w:jc w:val="center"/>
                  </w:pPr>
                  <w:r>
                    <w:t xml:space="preserve">-1.37</w:t>
                  </w:r>
                </w:p>
              </w:tc>
              <w:tc>
                <w:tcPr/>
                <w:p>
                  <w:pPr>
                    <w:pStyle w:val="Compact"/>
                    <w:jc w:val="right"/>
                    <w:jc w:val="center"/>
                  </w:pPr>
                  <w:r>
                    <w:t xml:space="preserve">0.364</w:t>
                  </w:r>
                </w:p>
              </w:tc>
              <w:tc>
                <w:tcPr/>
                <w:p>
                  <w:pPr>
                    <w:pStyle w:val="Compact"/>
                    <w:jc w:val="right"/>
                    <w:jc w:val="center"/>
                  </w:pPr>
                  <w:r>
                    <w:t xml:space="preserve">-3.77</w:t>
                  </w:r>
                </w:p>
              </w:tc>
              <w:tc>
                <w:tcPr/>
                <w:p>
                  <w:pPr>
                    <w:pStyle w:val="Compact"/>
                    <w:jc w:val="right"/>
                    <w:jc w:val="center"/>
                  </w:pPr>
                  <w:r>
                    <w:t xml:space="preserve">0.00233</w:t>
                  </w:r>
                </w:p>
              </w:tc>
              <w:tc>
                <w:tcPr/>
                <w:p>
                  <w:pPr>
                    <w:pStyle w:val="Compact"/>
                    <w:jc w:val="left"/>
                    <w:jc w:val="center"/>
                  </w:pPr>
                  <w:r>
                    <w:t xml:space="preserve">**</w:t>
                  </w:r>
                </w:p>
              </w:tc>
            </w:tr>
            <w:tr>
              <w:tc>
                <w:tcPr/>
                <w:p>
                  <w:pPr>
                    <w:pStyle w:val="Compact"/>
                    <w:jc w:val="left"/>
                    <w:jc w:val="center"/>
                  </w:pPr>
                  <w:r>
                    <w:t xml:space="preserve">B²</w:t>
                  </w:r>
                </w:p>
              </w:tc>
              <w:tc>
                <w:tcPr/>
                <w:p>
                  <w:pPr>
                    <w:pStyle w:val="Compact"/>
                    <w:jc w:val="right"/>
                    <w:jc w:val="center"/>
                  </w:pPr>
                  <w:r>
                    <w:t xml:space="preserve">-0.157</w:t>
                  </w:r>
                </w:p>
              </w:tc>
              <w:tc>
                <w:tcPr/>
                <w:p>
                  <w:pPr>
                    <w:pStyle w:val="Compact"/>
                    <w:jc w:val="right"/>
                    <w:jc w:val="center"/>
                  </w:pPr>
                  <w:r>
                    <w:t xml:space="preserve">0.364</w:t>
                  </w:r>
                </w:p>
              </w:tc>
              <w:tc>
                <w:tcPr/>
                <w:p>
                  <w:pPr>
                    <w:pStyle w:val="Compact"/>
                    <w:jc w:val="right"/>
                    <w:jc w:val="center"/>
                  </w:pPr>
                  <w:r>
                    <w:t xml:space="preserve">-0.431</w:t>
                  </w:r>
                </w:p>
              </w:tc>
              <w:tc>
                <w:tcPr/>
                <w:p>
                  <w:pPr>
                    <w:pStyle w:val="Compact"/>
                    <w:jc w:val="right"/>
                    <w:jc w:val="center"/>
                  </w:pPr>
                  <w:r>
                    <w:t xml:space="preserve">0.673</w:t>
                  </w:r>
                </w:p>
              </w:tc>
              <w:tc>
                <w:tcPr/>
                <w:p>
                  <w:pPr>
                    <w:pStyle w:val="Compact"/>
                  </w:pPr>
                </w:p>
              </w:tc>
            </w:tr>
            <w:tr>
              <w:tc>
                <w:tcPr/>
                <w:p>
                  <w:pPr>
                    <w:pStyle w:val="Compact"/>
                    <w:jc w:val="left"/>
                    <w:jc w:val="center"/>
                  </w:pPr>
                  <w:r>
                    <w:t xml:space="preserve">E²</w:t>
                  </w:r>
                </w:p>
              </w:tc>
              <w:tc>
                <w:tcPr/>
                <w:p>
                  <w:pPr>
                    <w:pStyle w:val="Compact"/>
                    <w:jc w:val="right"/>
                    <w:jc w:val="center"/>
                  </w:pPr>
                  <w:r>
                    <w:t xml:space="preserve">0.257</w:t>
                  </w:r>
                </w:p>
              </w:tc>
              <w:tc>
                <w:tcPr/>
                <w:p>
                  <w:pPr>
                    <w:pStyle w:val="Compact"/>
                    <w:jc w:val="right"/>
                    <w:jc w:val="center"/>
                  </w:pPr>
                  <w:r>
                    <w:t xml:space="preserve">0.364</w:t>
                  </w:r>
                </w:p>
              </w:tc>
              <w:tc>
                <w:tcPr/>
                <w:p>
                  <w:pPr>
                    <w:pStyle w:val="Compact"/>
                    <w:jc w:val="right"/>
                    <w:jc w:val="center"/>
                  </w:pPr>
                  <w:r>
                    <w:t xml:space="preserve">0.705</w:t>
                  </w:r>
                </w:p>
              </w:tc>
              <w:tc>
                <w:tcPr/>
                <w:p>
                  <w:pPr>
                    <w:pStyle w:val="Compact"/>
                    <w:jc w:val="right"/>
                    <w:jc w:val="center"/>
                  </w:pPr>
                  <w:r>
                    <w:t xml:space="preserve">0.493</w:t>
                  </w:r>
                </w:p>
              </w:tc>
              <w:tc>
                <w:tcPr/>
                <w:p>
                  <w:pPr>
                    <w:pStyle w:val="Compact"/>
                  </w:pPr>
                </w:p>
              </w:tc>
            </w:tr>
            <w:tr>
              <w:tc>
                <w:tcPr/>
                <w:p>
                  <w:pPr>
                    <w:pStyle w:val="Compact"/>
                    <w:jc w:val="left"/>
                    <w:jc w:val="center"/>
                  </w:pPr>
                  <w:r>
                    <w:t xml:space="preserve">C²</w:t>
                  </w:r>
                </w:p>
              </w:tc>
              <w:tc>
                <w:tcPr/>
                <w:p>
                  <w:pPr>
                    <w:pStyle w:val="Compact"/>
                    <w:jc w:val="right"/>
                    <w:jc w:val="center"/>
                  </w:pPr>
                  <w:r>
                    <w:t xml:space="preserve">0.117</w:t>
                  </w:r>
                </w:p>
              </w:tc>
              <w:tc>
                <w:tcPr/>
                <w:p>
                  <w:pPr>
                    <w:pStyle w:val="Compact"/>
                    <w:jc w:val="right"/>
                    <w:jc w:val="center"/>
                  </w:pPr>
                  <w:r>
                    <w:t xml:space="preserve">0.364</w:t>
                  </w:r>
                </w:p>
              </w:tc>
              <w:tc>
                <w:tcPr/>
                <w:p>
                  <w:pPr>
                    <w:pStyle w:val="Compact"/>
                    <w:jc w:val="right"/>
                    <w:jc w:val="center"/>
                  </w:pPr>
                  <w:r>
                    <w:t xml:space="preserve">0.323</w:t>
                  </w:r>
                </w:p>
              </w:tc>
              <w:tc>
                <w:tcPr/>
                <w:p>
                  <w:pPr>
                    <w:pStyle w:val="Compact"/>
                    <w:jc w:val="right"/>
                    <w:jc w:val="center"/>
                  </w:pPr>
                  <w:r>
                    <w:t xml:space="preserve">0.752</w:t>
                  </w:r>
                </w:p>
              </w:tc>
              <w:tc>
                <w:tcPr/>
                <w:p>
                  <w:pPr>
                    <w:pStyle w:val="Compact"/>
                  </w:pPr>
                </w:p>
              </w:tc>
            </w:tr>
          </w:tbl>
          <w:bookmarkEnd w:id="10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7" w:name="tbl-appc2-acidic-variants"/>
          <w:p>
            <w:pPr>
              <w:jc w:val="center"/>
            </w:pPr>
            <w:pPr>
              <w:jc w:val="left"/>
              <w:spacing w:before="200"/>
              <w:pStyle w:val="ImageCaption"/>
            </w:pPr>
            <w:r>
              <w:t xml:space="preserve">Table 28: Response-surface coefficients for acidic variants.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22</w:t>
                  </w:r>
                </w:p>
              </w:tc>
              <w:tc>
                <w:tcPr/>
                <w:p>
                  <w:pPr>
                    <w:pStyle w:val="Compact"/>
                    <w:jc w:val="right"/>
                    <w:jc w:val="center"/>
                  </w:pPr>
                  <w:r>
                    <w:t xml:space="preserve">0.542</w:t>
                  </w:r>
                </w:p>
              </w:tc>
              <w:tc>
                <w:tcPr/>
                <w:p>
                  <w:pPr>
                    <w:pStyle w:val="Compact"/>
                    <w:jc w:val="right"/>
                    <w:jc w:val="center"/>
                  </w:pPr>
                  <w:r>
                    <w:t xml:space="preserve">40.6</w:t>
                  </w:r>
                </w:p>
              </w:tc>
              <w:tc>
                <w:tcPr/>
                <w:p>
                  <w:pPr>
                    <w:pStyle w:val="Compact"/>
                    <w:jc w:val="right"/>
                    <w:jc w:val="center"/>
                  </w:pPr>
                  <w:r>
                    <w:t xml:space="preserve">4.43e-15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-2.01</w:t>
                  </w:r>
                </w:p>
              </w:tc>
              <w:tc>
                <w:tcPr/>
                <w:p>
                  <w:pPr>
                    <w:pStyle w:val="Compact"/>
                    <w:jc w:val="right"/>
                    <w:jc w:val="center"/>
                  </w:pPr>
                  <w:r>
                    <w:t xml:space="preserve">0.369</w:t>
                  </w:r>
                </w:p>
              </w:tc>
              <w:tc>
                <w:tcPr/>
                <w:p>
                  <w:pPr>
                    <w:pStyle w:val="Compact"/>
                    <w:jc w:val="right"/>
                    <w:jc w:val="center"/>
                  </w:pPr>
                  <w:r>
                    <w:t xml:space="preserve">-5.44</w:t>
                  </w:r>
                </w:p>
              </w:tc>
              <w:tc>
                <w:tcPr/>
                <w:p>
                  <w:pPr>
                    <w:pStyle w:val="Compact"/>
                    <w:jc w:val="right"/>
                    <w:jc w:val="center"/>
                  </w:pPr>
                  <w:r>
                    <w:t xml:space="preserve">0.000113</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1.9</w:t>
                  </w:r>
                </w:p>
              </w:tc>
              <w:tc>
                <w:tcPr/>
                <w:p>
                  <w:pPr>
                    <w:pStyle w:val="Compact"/>
                    <w:jc w:val="right"/>
                    <w:jc w:val="center"/>
                  </w:pPr>
                  <w:r>
                    <w:t xml:space="preserve">0.369</w:t>
                  </w:r>
                </w:p>
              </w:tc>
              <w:tc>
                <w:tcPr/>
                <w:p>
                  <w:pPr>
                    <w:pStyle w:val="Compact"/>
                    <w:jc w:val="right"/>
                    <w:jc w:val="center"/>
                  </w:pPr>
                  <w:r>
                    <w:t xml:space="preserve">5.14</w:t>
                  </w:r>
                </w:p>
              </w:tc>
              <w:tc>
                <w:tcPr/>
                <w:p>
                  <w:pPr>
                    <w:pStyle w:val="Compact"/>
                    <w:jc w:val="right"/>
                    <w:jc w:val="center"/>
                  </w:pPr>
                  <w:r>
                    <w:t xml:space="preserve">0.000191</w:t>
                  </w:r>
                </w:p>
              </w:tc>
              <w:tc>
                <w:tcPr/>
                <w:p>
                  <w:pPr>
                    <w:pStyle w:val="Compact"/>
                    <w:jc w:val="left"/>
                    <w:jc w:val="center"/>
                  </w:pPr>
                  <w:r>
                    <w:t xml:space="preserve">***</w:t>
                  </w:r>
                </w:p>
              </w:tc>
            </w:tr>
            <w:tr>
              <w:tc>
                <w:tcPr/>
                <w:p>
                  <w:pPr>
                    <w:pStyle w:val="Compact"/>
                    <w:jc w:val="left"/>
                    <w:jc w:val="center"/>
                  </w:pPr>
                  <w:r>
                    <w:t xml:space="preserve">E</w:t>
                  </w:r>
                </w:p>
              </w:tc>
              <w:tc>
                <w:tcPr/>
                <w:p>
                  <w:pPr>
                    <w:pStyle w:val="Compact"/>
                    <w:jc w:val="right"/>
                    <w:jc w:val="center"/>
                  </w:pPr>
                  <w:r>
                    <w:t xml:space="preserve">-0.124</w:t>
                  </w:r>
                </w:p>
              </w:tc>
              <w:tc>
                <w:tcPr/>
                <w:p>
                  <w:pPr>
                    <w:pStyle w:val="Compact"/>
                    <w:jc w:val="right"/>
                    <w:jc w:val="center"/>
                  </w:pPr>
                  <w:r>
                    <w:t xml:space="preserve">0.369</w:t>
                  </w:r>
                </w:p>
              </w:tc>
              <w:tc>
                <w:tcPr/>
                <w:p>
                  <w:pPr>
                    <w:pStyle w:val="Compact"/>
                    <w:jc w:val="right"/>
                    <w:jc w:val="center"/>
                  </w:pPr>
                  <w:r>
                    <w:t xml:space="preserve">-0.335</w:t>
                  </w:r>
                </w:p>
              </w:tc>
              <w:tc>
                <w:tcPr/>
                <w:p>
                  <w:pPr>
                    <w:pStyle w:val="Compact"/>
                    <w:jc w:val="right"/>
                    <w:jc w:val="center"/>
                  </w:pPr>
                  <w:r>
                    <w:t xml:space="preserve">0.743</w:t>
                  </w:r>
                </w:p>
              </w:tc>
              <w:tc>
                <w:tcPr/>
                <w:p>
                  <w:pPr>
                    <w:pStyle w:val="Compact"/>
                  </w:pPr>
                </w:p>
              </w:tc>
            </w:tr>
            <w:tr>
              <w:tc>
                <w:tcPr/>
                <w:p>
                  <w:pPr>
                    <w:pStyle w:val="Compact"/>
                    <w:jc w:val="left"/>
                    <w:jc w:val="center"/>
                  </w:pPr>
                  <w:r>
                    <w:t xml:space="preserve">C</w:t>
                  </w:r>
                </w:p>
              </w:tc>
              <w:tc>
                <w:tcPr/>
                <w:p>
                  <w:pPr>
                    <w:pStyle w:val="Compact"/>
                    <w:jc w:val="right"/>
                    <w:jc w:val="center"/>
                  </w:pPr>
                  <w:r>
                    <w:t xml:space="preserve">-4.09</w:t>
                  </w:r>
                </w:p>
              </w:tc>
              <w:tc>
                <w:tcPr/>
                <w:p>
                  <w:pPr>
                    <w:pStyle w:val="Compact"/>
                    <w:jc w:val="right"/>
                    <w:jc w:val="center"/>
                  </w:pPr>
                  <w:r>
                    <w:t xml:space="preserve">0.369</w:t>
                  </w:r>
                </w:p>
              </w:tc>
              <w:tc>
                <w:tcPr/>
                <w:p>
                  <w:pPr>
                    <w:pStyle w:val="Compact"/>
                    <w:jc w:val="right"/>
                    <w:jc w:val="center"/>
                  </w:pPr>
                  <w:r>
                    <w:t xml:space="preserve">-11.1</w:t>
                  </w:r>
                </w:p>
              </w:tc>
              <w:tc>
                <w:tcPr/>
                <w:p>
                  <w:pPr>
                    <w:pStyle w:val="Compact"/>
                    <w:jc w:val="right"/>
                    <w:jc w:val="center"/>
                  </w:pPr>
                  <w:r>
                    <w:t xml:space="preserve">5.4e-08</w:t>
                  </w:r>
                </w:p>
              </w:tc>
              <w:tc>
                <w:tcPr/>
                <w:p>
                  <w:pPr>
                    <w:pStyle w:val="Compact"/>
                    <w:jc w:val="left"/>
                    <w:jc w:val="center"/>
                  </w:pPr>
                  <w:r>
                    <w:t xml:space="preserve">***</w:t>
                  </w:r>
                </w:p>
              </w:tc>
            </w:tr>
            <w:tr>
              <w:tc>
                <w:tcPr/>
                <w:p>
                  <w:pPr>
                    <w:pStyle w:val="Compact"/>
                    <w:jc w:val="left"/>
                    <w:jc w:val="center"/>
                  </w:pPr>
                  <w:r>
                    <w:t xml:space="preserve">AB</w:t>
                  </w:r>
                </w:p>
              </w:tc>
              <w:tc>
                <w:tcPr/>
                <w:p>
                  <w:pPr>
                    <w:pStyle w:val="Compact"/>
                    <w:jc w:val="right"/>
                    <w:jc w:val="center"/>
                  </w:pPr>
                  <w:r>
                    <w:t xml:space="preserve">1.11</w:t>
                  </w:r>
                </w:p>
              </w:tc>
              <w:tc>
                <w:tcPr/>
                <w:p>
                  <w:pPr>
                    <w:pStyle w:val="Compact"/>
                    <w:jc w:val="right"/>
                    <w:jc w:val="center"/>
                  </w:pPr>
                  <w:r>
                    <w:t xml:space="preserve">0.392</w:t>
                  </w:r>
                </w:p>
              </w:tc>
              <w:tc>
                <w:tcPr/>
                <w:p>
                  <w:pPr>
                    <w:pStyle w:val="Compact"/>
                    <w:jc w:val="right"/>
                    <w:jc w:val="center"/>
                  </w:pPr>
                  <w:r>
                    <w:t xml:space="preserve">2.84</w:t>
                  </w:r>
                </w:p>
              </w:tc>
              <w:tc>
                <w:tcPr/>
                <w:p>
                  <w:pPr>
                    <w:pStyle w:val="Compact"/>
                    <w:jc w:val="right"/>
                    <w:jc w:val="center"/>
                  </w:pPr>
                  <w:r>
                    <w:t xml:space="preserve">0.0139</w:t>
                  </w:r>
                </w:p>
              </w:tc>
              <w:tc>
                <w:tcPr/>
                <w:p>
                  <w:pPr>
                    <w:pStyle w:val="Compact"/>
                    <w:jc w:val="left"/>
                    <w:jc w:val="center"/>
                  </w:pPr>
                  <w:r>
                    <w:t xml:space="preserve">*</w:t>
                  </w:r>
                </w:p>
              </w:tc>
            </w:tr>
            <w:tr>
              <w:tc>
                <w:tcPr/>
                <w:p>
                  <w:pPr>
                    <w:pStyle w:val="Compact"/>
                    <w:jc w:val="left"/>
                    <w:jc w:val="center"/>
                  </w:pPr>
                  <w:r>
                    <w:t xml:space="preserve">AE</w:t>
                  </w:r>
                </w:p>
              </w:tc>
              <w:tc>
                <w:tcPr/>
                <w:p>
                  <w:pPr>
                    <w:pStyle w:val="Compact"/>
                    <w:jc w:val="right"/>
                    <w:jc w:val="center"/>
                  </w:pPr>
                  <w:r>
                    <w:t xml:space="preserve">-0.793</w:t>
                  </w:r>
                </w:p>
              </w:tc>
              <w:tc>
                <w:tcPr/>
                <w:p>
                  <w:pPr>
                    <w:pStyle w:val="Compact"/>
                    <w:jc w:val="right"/>
                    <w:jc w:val="center"/>
                  </w:pPr>
                  <w:r>
                    <w:t xml:space="preserve">0.392</w:t>
                  </w:r>
                </w:p>
              </w:tc>
              <w:tc>
                <w:tcPr/>
                <w:p>
                  <w:pPr>
                    <w:pStyle w:val="Compact"/>
                    <w:jc w:val="right"/>
                    <w:jc w:val="center"/>
                  </w:pPr>
                  <w:r>
                    <w:t xml:space="preserve">-2.03</w:t>
                  </w:r>
                </w:p>
              </w:tc>
              <w:tc>
                <w:tcPr/>
                <w:p>
                  <w:pPr>
                    <w:pStyle w:val="Compact"/>
                    <w:jc w:val="right"/>
                    <w:jc w:val="center"/>
                  </w:pPr>
                  <w:r>
                    <w:t xml:space="preserve">0.0638</w:t>
                  </w:r>
                </w:p>
              </w:tc>
              <w:tc>
                <w:tcPr/>
                <w:p>
                  <w:pPr>
                    <w:pStyle w:val="Compact"/>
                  </w:pPr>
                </w:p>
              </w:tc>
            </w:tr>
            <w:tr>
              <w:tc>
                <w:tcPr/>
                <w:p>
                  <w:pPr>
                    <w:pStyle w:val="Compact"/>
                    <w:jc w:val="left"/>
                    <w:jc w:val="center"/>
                  </w:pPr>
                  <w:r>
                    <w:t xml:space="preserve">AC</w:t>
                  </w:r>
                </w:p>
              </w:tc>
              <w:tc>
                <w:tcPr/>
                <w:p>
                  <w:pPr>
                    <w:pStyle w:val="Compact"/>
                    <w:jc w:val="right"/>
                    <w:jc w:val="center"/>
                  </w:pPr>
                  <w:r>
                    <w:t xml:space="preserve">-0.248</w:t>
                  </w:r>
                </w:p>
              </w:tc>
              <w:tc>
                <w:tcPr/>
                <w:p>
                  <w:pPr>
                    <w:pStyle w:val="Compact"/>
                    <w:jc w:val="right"/>
                    <w:jc w:val="center"/>
                  </w:pPr>
                  <w:r>
                    <w:t xml:space="preserve">0.392</w:t>
                  </w:r>
                </w:p>
              </w:tc>
              <w:tc>
                <w:tcPr/>
                <w:p>
                  <w:pPr>
                    <w:pStyle w:val="Compact"/>
                    <w:jc w:val="right"/>
                    <w:jc w:val="center"/>
                  </w:pPr>
                  <w:r>
                    <w:t xml:space="preserve">-0.633</w:t>
                  </w:r>
                </w:p>
              </w:tc>
              <w:tc>
                <w:tcPr/>
                <w:p>
                  <w:pPr>
                    <w:pStyle w:val="Compact"/>
                    <w:jc w:val="right"/>
                    <w:jc w:val="center"/>
                  </w:pPr>
                  <w:r>
                    <w:t xml:space="preserve">0.538</w:t>
                  </w:r>
                </w:p>
              </w:tc>
              <w:tc>
                <w:tcPr/>
                <w:p>
                  <w:pPr>
                    <w:pStyle w:val="Compact"/>
                  </w:pPr>
                </w:p>
              </w:tc>
            </w:tr>
            <w:tr>
              <w:tc>
                <w:tcPr/>
                <w:p>
                  <w:pPr>
                    <w:pStyle w:val="Compact"/>
                    <w:jc w:val="left"/>
                    <w:jc w:val="center"/>
                  </w:pPr>
                  <w:r>
                    <w:t xml:space="preserve">BE</w:t>
                  </w:r>
                </w:p>
              </w:tc>
              <w:tc>
                <w:tcPr/>
                <w:p>
                  <w:pPr>
                    <w:pStyle w:val="Compact"/>
                    <w:jc w:val="right"/>
                    <w:jc w:val="center"/>
                  </w:pPr>
                  <w:r>
                    <w:t xml:space="preserve">0.655</w:t>
                  </w:r>
                </w:p>
              </w:tc>
              <w:tc>
                <w:tcPr/>
                <w:p>
                  <w:pPr>
                    <w:pStyle w:val="Compact"/>
                    <w:jc w:val="right"/>
                    <w:jc w:val="center"/>
                  </w:pPr>
                  <w:r>
                    <w:t xml:space="preserve">0.392</w:t>
                  </w:r>
                </w:p>
              </w:tc>
              <w:tc>
                <w:tcPr/>
                <w:p>
                  <w:pPr>
                    <w:pStyle w:val="Compact"/>
                    <w:jc w:val="right"/>
                    <w:jc w:val="center"/>
                  </w:pPr>
                  <w:r>
                    <w:t xml:space="preserve">1.67</w:t>
                  </w:r>
                </w:p>
              </w:tc>
              <w:tc>
                <w:tcPr/>
                <w:p>
                  <w:pPr>
                    <w:pStyle w:val="Compact"/>
                    <w:jc w:val="right"/>
                    <w:jc w:val="center"/>
                  </w:pPr>
                  <w:r>
                    <w:t xml:space="preserve">0.118</w:t>
                  </w:r>
                </w:p>
              </w:tc>
              <w:tc>
                <w:tcPr/>
                <w:p>
                  <w:pPr>
                    <w:pStyle w:val="Compact"/>
                  </w:pPr>
                </w:p>
              </w:tc>
            </w:tr>
            <w:tr>
              <w:tc>
                <w:tcPr/>
                <w:p>
                  <w:pPr>
                    <w:pStyle w:val="Compact"/>
                    <w:jc w:val="left"/>
                    <w:jc w:val="center"/>
                  </w:pPr>
                  <w:r>
                    <w:t xml:space="preserve">BC</w:t>
                  </w:r>
                </w:p>
              </w:tc>
              <w:tc>
                <w:tcPr/>
                <w:p>
                  <w:pPr>
                    <w:pStyle w:val="Compact"/>
                    <w:jc w:val="right"/>
                    <w:jc w:val="center"/>
                  </w:pPr>
                  <w:r>
                    <w:t xml:space="preserve">-0.0111</w:t>
                  </w:r>
                </w:p>
              </w:tc>
              <w:tc>
                <w:tcPr/>
                <w:p>
                  <w:pPr>
                    <w:pStyle w:val="Compact"/>
                    <w:jc w:val="right"/>
                    <w:jc w:val="center"/>
                  </w:pPr>
                  <w:r>
                    <w:t xml:space="preserve">0.392</w:t>
                  </w:r>
                </w:p>
              </w:tc>
              <w:tc>
                <w:tcPr/>
                <w:p>
                  <w:pPr>
                    <w:pStyle w:val="Compact"/>
                    <w:jc w:val="right"/>
                    <w:jc w:val="center"/>
                  </w:pPr>
                  <w:r>
                    <w:t xml:space="preserve">-0.0283</w:t>
                  </w:r>
                </w:p>
              </w:tc>
              <w:tc>
                <w:tcPr/>
                <w:p>
                  <w:pPr>
                    <w:pStyle w:val="Compact"/>
                    <w:jc w:val="right"/>
                    <w:jc w:val="center"/>
                  </w:pPr>
                  <w:r>
                    <w:t xml:space="preserve">0.978</w:t>
                  </w:r>
                </w:p>
              </w:tc>
              <w:tc>
                <w:tcPr/>
                <w:p>
                  <w:pPr>
                    <w:pStyle w:val="Compact"/>
                  </w:pPr>
                </w:p>
              </w:tc>
            </w:tr>
            <w:tr>
              <w:tc>
                <w:tcPr/>
                <w:p>
                  <w:pPr>
                    <w:pStyle w:val="Compact"/>
                    <w:jc w:val="left"/>
                    <w:jc w:val="center"/>
                  </w:pPr>
                  <w:r>
                    <w:t xml:space="preserve">EC</w:t>
                  </w:r>
                </w:p>
              </w:tc>
              <w:tc>
                <w:tcPr/>
                <w:p>
                  <w:pPr>
                    <w:pStyle w:val="Compact"/>
                    <w:jc w:val="right"/>
                    <w:jc w:val="center"/>
                  </w:pPr>
                  <w:r>
                    <w:t xml:space="preserve">0.465</w:t>
                  </w:r>
                </w:p>
              </w:tc>
              <w:tc>
                <w:tcPr/>
                <w:p>
                  <w:pPr>
                    <w:pStyle w:val="Compact"/>
                    <w:jc w:val="right"/>
                    <w:jc w:val="center"/>
                  </w:pPr>
                  <w:r>
                    <w:t xml:space="preserve">0.392</w:t>
                  </w:r>
                </w:p>
              </w:tc>
              <w:tc>
                <w:tcPr/>
                <w:p>
                  <w:pPr>
                    <w:pStyle w:val="Compact"/>
                    <w:jc w:val="right"/>
                    <w:jc w:val="center"/>
                  </w:pPr>
                  <w:r>
                    <w:t xml:space="preserve">1.19</w:t>
                  </w:r>
                </w:p>
              </w:tc>
              <w:tc>
                <w:tcPr/>
                <w:p>
                  <w:pPr>
                    <w:pStyle w:val="Compact"/>
                    <w:jc w:val="right"/>
                    <w:jc w:val="center"/>
                  </w:pPr>
                  <w:r>
                    <w:t xml:space="preserve">0.256</w:t>
                  </w:r>
                </w:p>
              </w:tc>
              <w:tc>
                <w:tcPr/>
                <w:p>
                  <w:pPr>
                    <w:pStyle w:val="Compact"/>
                  </w:pPr>
                </w:p>
              </w:tc>
            </w:tr>
            <w:tr>
              <w:tc>
                <w:tcPr/>
                <w:p>
                  <w:pPr>
                    <w:pStyle w:val="Compact"/>
                    <w:jc w:val="left"/>
                    <w:jc w:val="center"/>
                  </w:pPr>
                  <w:r>
                    <w:t xml:space="preserve">A²</w:t>
                  </w:r>
                </w:p>
              </w:tc>
              <w:tc>
                <w:tcPr/>
                <w:p>
                  <w:pPr>
                    <w:pStyle w:val="Compact"/>
                    <w:jc w:val="right"/>
                    <w:jc w:val="center"/>
                  </w:pPr>
                  <w:r>
                    <w:t xml:space="preserve">-0.586</w:t>
                  </w:r>
                </w:p>
              </w:tc>
              <w:tc>
                <w:tcPr/>
                <w:p>
                  <w:pPr>
                    <w:pStyle w:val="Compact"/>
                    <w:jc w:val="right"/>
                    <w:jc w:val="center"/>
                  </w:pPr>
                  <w:r>
                    <w:t xml:space="preserve">0.975</w:t>
                  </w:r>
                </w:p>
              </w:tc>
              <w:tc>
                <w:tcPr/>
                <w:p>
                  <w:pPr>
                    <w:pStyle w:val="Compact"/>
                    <w:jc w:val="right"/>
                    <w:jc w:val="center"/>
                  </w:pPr>
                  <w:r>
                    <w:t xml:space="preserve">-0.601</w:t>
                  </w:r>
                </w:p>
              </w:tc>
              <w:tc>
                <w:tcPr/>
                <w:p>
                  <w:pPr>
                    <w:pStyle w:val="Compact"/>
                    <w:jc w:val="right"/>
                    <w:jc w:val="center"/>
                  </w:pPr>
                  <w:r>
                    <w:t xml:space="preserve">0.558</w:t>
                  </w:r>
                </w:p>
              </w:tc>
              <w:tc>
                <w:tcPr/>
                <w:p>
                  <w:pPr>
                    <w:pStyle w:val="Compact"/>
                  </w:pPr>
                </w:p>
              </w:tc>
            </w:tr>
            <w:tr>
              <w:tc>
                <w:tcPr/>
                <w:p>
                  <w:pPr>
                    <w:pStyle w:val="Compact"/>
                    <w:jc w:val="left"/>
                    <w:jc w:val="center"/>
                  </w:pPr>
                  <w:r>
                    <w:t xml:space="preserve">B²</w:t>
                  </w:r>
                </w:p>
              </w:tc>
              <w:tc>
                <w:tcPr/>
                <w:p>
                  <w:pPr>
                    <w:pStyle w:val="Compact"/>
                    <w:jc w:val="right"/>
                    <w:jc w:val="center"/>
                  </w:pPr>
                  <w:r>
                    <w:t xml:space="preserve">1.03</w:t>
                  </w:r>
                </w:p>
              </w:tc>
              <w:tc>
                <w:tcPr/>
                <w:p>
                  <w:pPr>
                    <w:pStyle w:val="Compact"/>
                    <w:jc w:val="right"/>
                    <w:jc w:val="center"/>
                  </w:pPr>
                  <w:r>
                    <w:t xml:space="preserve">0.975</w:t>
                  </w:r>
                </w:p>
              </w:tc>
              <w:tc>
                <w:tcPr/>
                <w:p>
                  <w:pPr>
                    <w:pStyle w:val="Compact"/>
                    <w:jc w:val="right"/>
                    <w:jc w:val="center"/>
                  </w:pPr>
                  <w:r>
                    <w:t xml:space="preserve">1.06</w:t>
                  </w:r>
                </w:p>
              </w:tc>
              <w:tc>
                <w:tcPr/>
                <w:p>
                  <w:pPr>
                    <w:pStyle w:val="Compact"/>
                    <w:jc w:val="right"/>
                    <w:jc w:val="center"/>
                  </w:pPr>
                  <w:r>
                    <w:t xml:space="preserve">0.311</w:t>
                  </w:r>
                </w:p>
              </w:tc>
              <w:tc>
                <w:tcPr/>
                <w:p>
                  <w:pPr>
                    <w:pStyle w:val="Compact"/>
                  </w:pPr>
                </w:p>
              </w:tc>
            </w:tr>
            <w:tr>
              <w:tc>
                <w:tcPr/>
                <w:p>
                  <w:pPr>
                    <w:pStyle w:val="Compact"/>
                    <w:jc w:val="left"/>
                    <w:jc w:val="center"/>
                  </w:pPr>
                  <w:r>
                    <w:t xml:space="preserve">E²</w:t>
                  </w:r>
                </w:p>
              </w:tc>
              <w:tc>
                <w:tcPr/>
                <w:p>
                  <w:pPr>
                    <w:pStyle w:val="Compact"/>
                    <w:jc w:val="right"/>
                    <w:jc w:val="center"/>
                  </w:pPr>
                  <w:r>
                    <w:t xml:space="preserve">-0.718</w:t>
                  </w:r>
                </w:p>
              </w:tc>
              <w:tc>
                <w:tcPr/>
                <w:p>
                  <w:pPr>
                    <w:pStyle w:val="Compact"/>
                    <w:jc w:val="right"/>
                    <w:jc w:val="center"/>
                  </w:pPr>
                  <w:r>
                    <w:t xml:space="preserve">0.975</w:t>
                  </w:r>
                </w:p>
              </w:tc>
              <w:tc>
                <w:tcPr/>
                <w:p>
                  <w:pPr>
                    <w:pStyle w:val="Compact"/>
                    <w:jc w:val="right"/>
                    <w:jc w:val="center"/>
                  </w:pPr>
                  <w:r>
                    <w:t xml:space="preserve">-0.736</w:t>
                  </w:r>
                </w:p>
              </w:tc>
              <w:tc>
                <w:tcPr/>
                <w:p>
                  <w:pPr>
                    <w:pStyle w:val="Compact"/>
                    <w:jc w:val="right"/>
                    <w:jc w:val="center"/>
                  </w:pPr>
                  <w:r>
                    <w:t xml:space="preserve">0.475</w:t>
                  </w:r>
                </w:p>
              </w:tc>
              <w:tc>
                <w:tcPr/>
                <w:p>
                  <w:pPr>
                    <w:pStyle w:val="Compact"/>
                  </w:pPr>
                </w:p>
              </w:tc>
            </w:tr>
            <w:tr>
              <w:tc>
                <w:tcPr/>
                <w:p>
                  <w:pPr>
                    <w:pStyle w:val="Compact"/>
                    <w:jc w:val="left"/>
                    <w:jc w:val="center"/>
                  </w:pPr>
                  <w:r>
                    <w:t xml:space="preserve">C²</w:t>
                  </w:r>
                </w:p>
              </w:tc>
              <w:tc>
                <w:tcPr/>
                <w:p>
                  <w:pPr>
                    <w:pStyle w:val="Compact"/>
                    <w:jc w:val="right"/>
                    <w:jc w:val="center"/>
                  </w:pPr>
                  <w:r>
                    <w:t xml:space="preserve">0.13</w:t>
                  </w:r>
                </w:p>
              </w:tc>
              <w:tc>
                <w:tcPr/>
                <w:p>
                  <w:pPr>
                    <w:pStyle w:val="Compact"/>
                    <w:jc w:val="right"/>
                    <w:jc w:val="center"/>
                  </w:pPr>
                  <w:r>
                    <w:t xml:space="preserve">0.975</w:t>
                  </w:r>
                </w:p>
              </w:tc>
              <w:tc>
                <w:tcPr/>
                <w:p>
                  <w:pPr>
                    <w:pStyle w:val="Compact"/>
                    <w:jc w:val="right"/>
                    <w:jc w:val="center"/>
                  </w:pPr>
                  <w:r>
                    <w:t xml:space="preserve">0.133</w:t>
                  </w:r>
                </w:p>
              </w:tc>
              <w:tc>
                <w:tcPr/>
                <w:p>
                  <w:pPr>
                    <w:pStyle w:val="Compact"/>
                    <w:jc w:val="right"/>
                    <w:jc w:val="center"/>
                  </w:pPr>
                  <w:r>
                    <w:t xml:space="preserve">0.896</w:t>
                  </w:r>
                </w:p>
              </w:tc>
              <w:tc>
                <w:tcPr/>
                <w:p>
                  <w:pPr>
                    <w:pStyle w:val="Compact"/>
                  </w:pPr>
                </w:p>
              </w:tc>
            </w:tr>
          </w:tbl>
          <w:bookmarkEnd w:id="107"/>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8" w:name="tbl-appc2-aggregates-hmw"/>
          <w:p>
            <w:pPr>
              <w:jc w:val="center"/>
            </w:pPr>
            <w:pPr>
              <w:jc w:val="left"/>
              <w:spacing w:before="200"/>
              <w:pStyle w:val="ImageCaption"/>
            </w:pPr>
            <w:r>
              <w:t xml:space="preserve">Table 29: Response-surface coefficients for aggregates (hmw).</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jc w:val="center"/>
                  </w:pPr>
                  <w:r>
                    <w:t xml:space="preserve">Term</w:t>
                  </w:r>
                </w:p>
              </w:tc>
              <w:tc>
                <w:tcPr/>
                <w:p>
                  <w:pPr>
                    <w:pStyle w:val="Compact"/>
                    <w:jc w:val="right"/>
                    <w:jc w:val="center"/>
                  </w:pPr>
                  <w:r>
                    <w:t xml:space="preserve">Coef.</w:t>
                  </w:r>
                </w:p>
              </w:tc>
              <w:tc>
                <w:tcPr/>
                <w:p>
                  <w:pPr>
                    <w:pStyle w:val="Compact"/>
                    <w:jc w:val="right"/>
                    <w:jc w:val="center"/>
                  </w:pPr>
                  <w:r>
                    <w:t xml:space="preserve">Std. err.</w:t>
                  </w:r>
                </w:p>
              </w:tc>
              <w:tc>
                <w:tcPr/>
                <w:p>
                  <w:pPr>
                    <w:pStyle w:val="Compact"/>
                    <w:jc w:val="right"/>
                    <w:jc w:val="center"/>
                  </w:pPr>
                  <w:r>
                    <w:t xml:space="preserve">t</w:t>
                  </w:r>
                </w:p>
              </w:tc>
              <w:tc>
                <w:tcPr/>
                <w:p>
                  <w:pPr>
                    <w:pStyle w:val="Compact"/>
                    <w:jc w:val="right"/>
                    <w:jc w:val="center"/>
                  </w:pPr>
                  <w:r>
                    <w:t xml:space="preserve">p-value</w:t>
                  </w:r>
                </w:p>
              </w:tc>
              <w:tc>
                <w:tcPr/>
                <w:p>
                  <w:pPr>
                    <w:pStyle w:val="Compact"/>
                    <w:jc w:val="left"/>
                    <w:jc w:val="center"/>
                  </w:pPr>
                  <w:r>
                    <w:t xml:space="preserve">Sig.</w:t>
                  </w:r>
                </w:p>
              </w:tc>
            </w:tr>
            <w:tr>
              <w:tc>
                <w:tcPr/>
                <w:p>
                  <w:pPr>
                    <w:pStyle w:val="Compact"/>
                    <w:jc w:val="left"/>
                    <w:jc w:val="center"/>
                  </w:pPr>
                  <w:r>
                    <w:t xml:space="preserve">Intercept</w:t>
                  </w:r>
                </w:p>
              </w:tc>
              <w:tc>
                <w:tcPr/>
                <w:p>
                  <w:pPr>
                    <w:pStyle w:val="Compact"/>
                    <w:jc w:val="right"/>
                    <w:jc w:val="center"/>
                  </w:pPr>
                  <w:r>
                    <w:t xml:space="preserve">1.52</w:t>
                  </w:r>
                </w:p>
              </w:tc>
              <w:tc>
                <w:tcPr/>
                <w:p>
                  <w:pPr>
                    <w:pStyle w:val="Compact"/>
                    <w:jc w:val="right"/>
                    <w:jc w:val="center"/>
                  </w:pPr>
                  <w:r>
                    <w:t xml:space="preserve">0.0341</w:t>
                  </w:r>
                </w:p>
              </w:tc>
              <w:tc>
                <w:tcPr/>
                <w:p>
                  <w:pPr>
                    <w:pStyle w:val="Compact"/>
                    <w:jc w:val="right"/>
                    <w:jc w:val="center"/>
                  </w:pPr>
                  <w:r>
                    <w:t xml:space="preserve">44.8</w:t>
                  </w:r>
                </w:p>
              </w:tc>
              <w:tc>
                <w:tcPr/>
                <w:p>
                  <w:pPr>
                    <w:pStyle w:val="Compact"/>
                    <w:jc w:val="right"/>
                    <w:jc w:val="center"/>
                  </w:pPr>
                  <w:r>
                    <w:t xml:space="preserve">1.25e-15</w:t>
                  </w:r>
                </w:p>
              </w:tc>
              <w:tc>
                <w:tcPr/>
                <w:p>
                  <w:pPr>
                    <w:pStyle w:val="Compact"/>
                    <w:jc w:val="left"/>
                    <w:jc w:val="center"/>
                  </w:pPr>
                  <w:r>
                    <w:t xml:space="preserve">***</w:t>
                  </w:r>
                </w:p>
              </w:tc>
            </w:tr>
            <w:tr>
              <w:tc>
                <w:tcPr/>
                <w:p>
                  <w:pPr>
                    <w:pStyle w:val="Compact"/>
                    <w:jc w:val="left"/>
                    <w:jc w:val="center"/>
                  </w:pPr>
                  <w:r>
                    <w:t xml:space="preserve">A</w:t>
                  </w:r>
                </w:p>
              </w:tc>
              <w:tc>
                <w:tcPr/>
                <w:p>
                  <w:pPr>
                    <w:pStyle w:val="Compact"/>
                    <w:jc w:val="right"/>
                    <w:jc w:val="center"/>
                  </w:pPr>
                  <w:r>
                    <w:t xml:space="preserve">0.367</w:t>
                  </w:r>
                </w:p>
              </w:tc>
              <w:tc>
                <w:tcPr/>
                <w:p>
                  <w:pPr>
                    <w:pStyle w:val="Compact"/>
                    <w:jc w:val="right"/>
                    <w:jc w:val="center"/>
                  </w:pPr>
                  <w:r>
                    <w:t xml:space="preserve">0.0232</w:t>
                  </w:r>
                </w:p>
              </w:tc>
              <w:tc>
                <w:tcPr/>
                <w:p>
                  <w:pPr>
                    <w:pStyle w:val="Compact"/>
                    <w:jc w:val="right"/>
                    <w:jc w:val="center"/>
                  </w:pPr>
                  <w:r>
                    <w:t xml:space="preserve">15.8</w:t>
                  </w:r>
                </w:p>
              </w:tc>
              <w:tc>
                <w:tcPr/>
                <w:p>
                  <w:pPr>
                    <w:pStyle w:val="Compact"/>
                    <w:jc w:val="right"/>
                    <w:jc w:val="center"/>
                  </w:pPr>
                  <w:r>
                    <w:t xml:space="preserve">7.26e-10</w:t>
                  </w:r>
                </w:p>
              </w:tc>
              <w:tc>
                <w:tcPr/>
                <w:p>
                  <w:pPr>
                    <w:pStyle w:val="Compact"/>
                    <w:jc w:val="left"/>
                    <w:jc w:val="center"/>
                  </w:pPr>
                  <w:r>
                    <w:t xml:space="preserve">***</w:t>
                  </w:r>
                </w:p>
              </w:tc>
            </w:tr>
            <w:tr>
              <w:tc>
                <w:tcPr/>
                <w:p>
                  <w:pPr>
                    <w:pStyle w:val="Compact"/>
                    <w:jc w:val="left"/>
                    <w:jc w:val="center"/>
                  </w:pPr>
                  <w:r>
                    <w:t xml:space="preserve">B</w:t>
                  </w:r>
                </w:p>
              </w:tc>
              <w:tc>
                <w:tcPr/>
                <w:p>
                  <w:pPr>
                    <w:pStyle w:val="Compact"/>
                    <w:jc w:val="right"/>
                    <w:jc w:val="center"/>
                  </w:pPr>
                  <w:r>
                    <w:t xml:space="preserve">-0.0157</w:t>
                  </w:r>
                </w:p>
              </w:tc>
              <w:tc>
                <w:tcPr/>
                <w:p>
                  <w:pPr>
                    <w:pStyle w:val="Compact"/>
                    <w:jc w:val="right"/>
                    <w:jc w:val="center"/>
                  </w:pPr>
                  <w:r>
                    <w:t xml:space="preserve">0.0232</w:t>
                  </w:r>
                </w:p>
              </w:tc>
              <w:tc>
                <w:tcPr/>
                <w:p>
                  <w:pPr>
                    <w:pStyle w:val="Compact"/>
                    <w:jc w:val="right"/>
                    <w:jc w:val="center"/>
                  </w:pPr>
                  <w:r>
                    <w:t xml:space="preserve">-0.675</w:t>
                  </w:r>
                </w:p>
              </w:tc>
              <w:tc>
                <w:tcPr/>
                <w:p>
                  <w:pPr>
                    <w:pStyle w:val="Compact"/>
                    <w:jc w:val="right"/>
                    <w:jc w:val="center"/>
                  </w:pPr>
                  <w:r>
                    <w:t xml:space="preserve">0.512</w:t>
                  </w:r>
                </w:p>
              </w:tc>
              <w:tc>
                <w:tcPr/>
                <w:p>
                  <w:pPr>
                    <w:pStyle w:val="Compact"/>
                  </w:pPr>
                </w:p>
              </w:tc>
            </w:tr>
            <w:tr>
              <w:tc>
                <w:tcPr/>
                <w:p>
                  <w:pPr>
                    <w:pStyle w:val="Compact"/>
                    <w:jc w:val="left"/>
                    <w:jc w:val="center"/>
                  </w:pPr>
                  <w:r>
                    <w:t xml:space="preserve">E</w:t>
                  </w:r>
                </w:p>
              </w:tc>
              <w:tc>
                <w:tcPr/>
                <w:p>
                  <w:pPr>
                    <w:pStyle w:val="Compact"/>
                    <w:jc w:val="right"/>
                    <w:jc w:val="center"/>
                  </w:pPr>
                  <w:r>
                    <w:t xml:space="preserve">0.281</w:t>
                  </w:r>
                </w:p>
              </w:tc>
              <w:tc>
                <w:tcPr/>
                <w:p>
                  <w:pPr>
                    <w:pStyle w:val="Compact"/>
                    <w:jc w:val="right"/>
                    <w:jc w:val="center"/>
                  </w:pPr>
                  <w:r>
                    <w:t xml:space="preserve">0.0232</w:t>
                  </w:r>
                </w:p>
              </w:tc>
              <w:tc>
                <w:tcPr/>
                <w:p>
                  <w:pPr>
                    <w:pStyle w:val="Compact"/>
                    <w:jc w:val="right"/>
                    <w:jc w:val="center"/>
                  </w:pPr>
                  <w:r>
                    <w:t xml:space="preserve">12.1</w:t>
                  </w:r>
                </w:p>
              </w:tc>
              <w:tc>
                <w:tcPr/>
                <w:p>
                  <w:pPr>
                    <w:pStyle w:val="Compact"/>
                    <w:jc w:val="right"/>
                    <w:jc w:val="center"/>
                  </w:pPr>
                  <w:r>
                    <w:t xml:space="preserve">1.91e-08</w:t>
                  </w:r>
                </w:p>
              </w:tc>
              <w:tc>
                <w:tcPr/>
                <w:p>
                  <w:pPr>
                    <w:pStyle w:val="Compact"/>
                    <w:jc w:val="left"/>
                    <w:jc w:val="center"/>
                  </w:pPr>
                  <w:r>
                    <w:t xml:space="preserve">***</w:t>
                  </w:r>
                </w:p>
              </w:tc>
            </w:tr>
            <w:tr>
              <w:tc>
                <w:tcPr/>
                <w:p>
                  <w:pPr>
                    <w:pStyle w:val="Compact"/>
                    <w:jc w:val="left"/>
                    <w:jc w:val="center"/>
                  </w:pPr>
                  <w:r>
                    <w:t xml:space="preserve">C</w:t>
                  </w:r>
                </w:p>
              </w:tc>
              <w:tc>
                <w:tcPr/>
                <w:p>
                  <w:pPr>
                    <w:pStyle w:val="Compact"/>
                    <w:jc w:val="right"/>
                    <w:jc w:val="center"/>
                  </w:pPr>
                  <w:r>
                    <w:t xml:space="preserve">0.0225</w:t>
                  </w:r>
                </w:p>
              </w:tc>
              <w:tc>
                <w:tcPr/>
                <w:p>
                  <w:pPr>
                    <w:pStyle w:val="Compact"/>
                    <w:jc w:val="right"/>
                    <w:jc w:val="center"/>
                  </w:pPr>
                  <w:r>
                    <w:t xml:space="preserve">0.0232</w:t>
                  </w:r>
                </w:p>
              </w:tc>
              <w:tc>
                <w:tcPr/>
                <w:p>
                  <w:pPr>
                    <w:pStyle w:val="Compact"/>
                    <w:jc w:val="right"/>
                    <w:jc w:val="center"/>
                  </w:pPr>
                  <w:r>
                    <w:t xml:space="preserve">0.971</w:t>
                  </w:r>
                </w:p>
              </w:tc>
              <w:tc>
                <w:tcPr/>
                <w:p>
                  <w:pPr>
                    <w:pStyle w:val="Compact"/>
                    <w:jc w:val="right"/>
                    <w:jc w:val="center"/>
                  </w:pPr>
                  <w:r>
                    <w:t xml:space="preserve">0.349</w:t>
                  </w:r>
                </w:p>
              </w:tc>
              <w:tc>
                <w:tcPr/>
                <w:p>
                  <w:pPr>
                    <w:pStyle w:val="Compact"/>
                  </w:pPr>
                </w:p>
              </w:tc>
            </w:tr>
            <w:tr>
              <w:tc>
                <w:tcPr/>
                <w:p>
                  <w:pPr>
                    <w:pStyle w:val="Compact"/>
                    <w:jc w:val="left"/>
                    <w:jc w:val="center"/>
                  </w:pPr>
                  <w:r>
                    <w:t xml:space="preserve">AB</w:t>
                  </w:r>
                </w:p>
              </w:tc>
              <w:tc>
                <w:tcPr/>
                <w:p>
                  <w:pPr>
                    <w:pStyle w:val="Compact"/>
                    <w:jc w:val="right"/>
                    <w:jc w:val="center"/>
                  </w:pPr>
                  <w:r>
                    <w:t xml:space="preserve">0.0135</w:t>
                  </w:r>
                </w:p>
              </w:tc>
              <w:tc>
                <w:tcPr/>
                <w:p>
                  <w:pPr>
                    <w:pStyle w:val="Compact"/>
                    <w:jc w:val="right"/>
                    <w:jc w:val="center"/>
                  </w:pPr>
                  <w:r>
                    <w:t xml:space="preserve">0.0246</w:t>
                  </w:r>
                </w:p>
              </w:tc>
              <w:tc>
                <w:tcPr/>
                <w:p>
                  <w:pPr>
                    <w:pStyle w:val="Compact"/>
                    <w:jc w:val="right"/>
                    <w:jc w:val="center"/>
                  </w:pPr>
                  <w:r>
                    <w:t xml:space="preserve">0.547</w:t>
                  </w:r>
                </w:p>
              </w:tc>
              <w:tc>
                <w:tcPr/>
                <w:p>
                  <w:pPr>
                    <w:pStyle w:val="Compact"/>
                    <w:jc w:val="right"/>
                    <w:jc w:val="center"/>
                  </w:pPr>
                  <w:r>
                    <w:t xml:space="preserve">0.593</w:t>
                  </w:r>
                </w:p>
              </w:tc>
              <w:tc>
                <w:tcPr/>
                <w:p>
                  <w:pPr>
                    <w:pStyle w:val="Compact"/>
                  </w:pPr>
                </w:p>
              </w:tc>
            </w:tr>
            <w:tr>
              <w:tc>
                <w:tcPr/>
                <w:p>
                  <w:pPr>
                    <w:pStyle w:val="Compact"/>
                    <w:jc w:val="left"/>
                    <w:jc w:val="center"/>
                  </w:pPr>
                  <w:r>
                    <w:t xml:space="preserve">AE</w:t>
                  </w:r>
                </w:p>
              </w:tc>
              <w:tc>
                <w:tcPr/>
                <w:p>
                  <w:pPr>
                    <w:pStyle w:val="Compact"/>
                    <w:jc w:val="right"/>
                    <w:jc w:val="center"/>
                  </w:pPr>
                  <w:r>
                    <w:t xml:space="preserve">-0.0106</w:t>
                  </w:r>
                </w:p>
              </w:tc>
              <w:tc>
                <w:tcPr/>
                <w:p>
                  <w:pPr>
                    <w:pStyle w:val="Compact"/>
                    <w:jc w:val="right"/>
                    <w:jc w:val="center"/>
                  </w:pPr>
                  <w:r>
                    <w:t xml:space="preserve">0.0246</w:t>
                  </w:r>
                </w:p>
              </w:tc>
              <w:tc>
                <w:tcPr/>
                <w:p>
                  <w:pPr>
                    <w:pStyle w:val="Compact"/>
                    <w:jc w:val="right"/>
                    <w:jc w:val="center"/>
                  </w:pPr>
                  <w:r>
                    <w:t xml:space="preserve">-0.43</w:t>
                  </w:r>
                </w:p>
              </w:tc>
              <w:tc>
                <w:tcPr/>
                <w:p>
                  <w:pPr>
                    <w:pStyle w:val="Compact"/>
                    <w:jc w:val="right"/>
                    <w:jc w:val="center"/>
                  </w:pPr>
                  <w:r>
                    <w:t xml:space="preserve">0.674</w:t>
                  </w:r>
                </w:p>
              </w:tc>
              <w:tc>
                <w:tcPr/>
                <w:p>
                  <w:pPr>
                    <w:pStyle w:val="Compact"/>
                  </w:pPr>
                </w:p>
              </w:tc>
            </w:tr>
            <w:tr>
              <w:tc>
                <w:tcPr/>
                <w:p>
                  <w:pPr>
                    <w:pStyle w:val="Compact"/>
                    <w:jc w:val="left"/>
                    <w:jc w:val="center"/>
                  </w:pPr>
                  <w:r>
                    <w:t xml:space="preserve">AC</w:t>
                  </w:r>
                </w:p>
              </w:tc>
              <w:tc>
                <w:tcPr/>
                <w:p>
                  <w:pPr>
                    <w:pStyle w:val="Compact"/>
                    <w:jc w:val="right"/>
                    <w:jc w:val="center"/>
                  </w:pPr>
                  <w:r>
                    <w:t xml:space="preserve">0.0179</w:t>
                  </w:r>
                </w:p>
              </w:tc>
              <w:tc>
                <w:tcPr/>
                <w:p>
                  <w:pPr>
                    <w:pStyle w:val="Compact"/>
                    <w:jc w:val="right"/>
                    <w:jc w:val="center"/>
                  </w:pPr>
                  <w:r>
                    <w:t xml:space="preserve">0.0246</w:t>
                  </w:r>
                </w:p>
              </w:tc>
              <w:tc>
                <w:tcPr/>
                <w:p>
                  <w:pPr>
                    <w:pStyle w:val="Compact"/>
                    <w:jc w:val="right"/>
                    <w:jc w:val="center"/>
                  </w:pPr>
                  <w:r>
                    <w:t xml:space="preserve">0.727</w:t>
                  </w:r>
                </w:p>
              </w:tc>
              <w:tc>
                <w:tcPr/>
                <w:p>
                  <w:pPr>
                    <w:pStyle w:val="Compact"/>
                    <w:jc w:val="right"/>
                    <w:jc w:val="center"/>
                  </w:pPr>
                  <w:r>
                    <w:t xml:space="preserve">0.48</w:t>
                  </w:r>
                </w:p>
              </w:tc>
              <w:tc>
                <w:tcPr/>
                <w:p>
                  <w:pPr>
                    <w:pStyle w:val="Compact"/>
                  </w:pPr>
                </w:p>
              </w:tc>
            </w:tr>
            <w:tr>
              <w:tc>
                <w:tcPr/>
                <w:p>
                  <w:pPr>
                    <w:pStyle w:val="Compact"/>
                    <w:jc w:val="left"/>
                    <w:jc w:val="center"/>
                  </w:pPr>
                  <w:r>
                    <w:t xml:space="preserve">BE</w:t>
                  </w:r>
                </w:p>
              </w:tc>
              <w:tc>
                <w:tcPr/>
                <w:p>
                  <w:pPr>
                    <w:pStyle w:val="Compact"/>
                    <w:jc w:val="right"/>
                    <w:jc w:val="center"/>
                  </w:pPr>
                  <w:r>
                    <w:t xml:space="preserve">-0.00713</w:t>
                  </w:r>
                </w:p>
              </w:tc>
              <w:tc>
                <w:tcPr/>
                <w:p>
                  <w:pPr>
                    <w:pStyle w:val="Compact"/>
                    <w:jc w:val="right"/>
                    <w:jc w:val="center"/>
                  </w:pPr>
                  <w:r>
                    <w:t xml:space="preserve">0.0246</w:t>
                  </w:r>
                </w:p>
              </w:tc>
              <w:tc>
                <w:tcPr/>
                <w:p>
                  <w:pPr>
                    <w:pStyle w:val="Compact"/>
                    <w:jc w:val="right"/>
                    <w:jc w:val="center"/>
                  </w:pPr>
                  <w:r>
                    <w:t xml:space="preserve">-0.29</w:t>
                  </w:r>
                </w:p>
              </w:tc>
              <w:tc>
                <w:tcPr/>
                <w:p>
                  <w:pPr>
                    <w:pStyle w:val="Compact"/>
                    <w:jc w:val="right"/>
                    <w:jc w:val="center"/>
                  </w:pPr>
                  <w:r>
                    <w:t xml:space="preserve">0.777</w:t>
                  </w:r>
                </w:p>
              </w:tc>
              <w:tc>
                <w:tcPr/>
                <w:p>
                  <w:pPr>
                    <w:pStyle w:val="Compact"/>
                  </w:pPr>
                </w:p>
              </w:tc>
            </w:tr>
            <w:tr>
              <w:tc>
                <w:tcPr/>
                <w:p>
                  <w:pPr>
                    <w:pStyle w:val="Compact"/>
                    <w:jc w:val="left"/>
                    <w:jc w:val="center"/>
                  </w:pPr>
                  <w:r>
                    <w:t xml:space="preserve">BC</w:t>
                  </w:r>
                </w:p>
              </w:tc>
              <w:tc>
                <w:tcPr/>
                <w:p>
                  <w:pPr>
                    <w:pStyle w:val="Compact"/>
                    <w:jc w:val="right"/>
                    <w:jc w:val="center"/>
                  </w:pPr>
                  <w:r>
                    <w:t xml:space="preserve">0.00414</w:t>
                  </w:r>
                </w:p>
              </w:tc>
              <w:tc>
                <w:tcPr/>
                <w:p>
                  <w:pPr>
                    <w:pStyle w:val="Compact"/>
                    <w:jc w:val="right"/>
                    <w:jc w:val="center"/>
                  </w:pPr>
                  <w:r>
                    <w:t xml:space="preserve">0.0246</w:t>
                  </w:r>
                </w:p>
              </w:tc>
              <w:tc>
                <w:tcPr/>
                <w:p>
                  <w:pPr>
                    <w:pStyle w:val="Compact"/>
                    <w:jc w:val="right"/>
                    <w:jc w:val="center"/>
                  </w:pPr>
                  <w:r>
                    <w:t xml:space="preserve">0.168</w:t>
                  </w:r>
                </w:p>
              </w:tc>
              <w:tc>
                <w:tcPr/>
                <w:p>
                  <w:pPr>
                    <w:pStyle w:val="Compact"/>
                    <w:jc w:val="right"/>
                    <w:jc w:val="center"/>
                  </w:pPr>
                  <w:r>
                    <w:t xml:space="preserve">0.869</w:t>
                  </w:r>
                </w:p>
              </w:tc>
              <w:tc>
                <w:tcPr/>
                <w:p>
                  <w:pPr>
                    <w:pStyle w:val="Compact"/>
                  </w:pPr>
                </w:p>
              </w:tc>
            </w:tr>
            <w:tr>
              <w:tc>
                <w:tcPr/>
                <w:p>
                  <w:pPr>
                    <w:pStyle w:val="Compact"/>
                    <w:jc w:val="left"/>
                    <w:jc w:val="center"/>
                  </w:pPr>
                  <w:r>
                    <w:t xml:space="preserve">EC</w:t>
                  </w:r>
                </w:p>
              </w:tc>
              <w:tc>
                <w:tcPr/>
                <w:p>
                  <w:pPr>
                    <w:pStyle w:val="Compact"/>
                    <w:jc w:val="right"/>
                    <w:jc w:val="center"/>
                  </w:pPr>
                  <w:r>
                    <w:t xml:space="preserve">0.0105</w:t>
                  </w:r>
                </w:p>
              </w:tc>
              <w:tc>
                <w:tcPr/>
                <w:p>
                  <w:pPr>
                    <w:pStyle w:val="Compact"/>
                    <w:jc w:val="right"/>
                    <w:jc w:val="center"/>
                  </w:pPr>
                  <w:r>
                    <w:t xml:space="preserve">0.0246</w:t>
                  </w:r>
                </w:p>
              </w:tc>
              <w:tc>
                <w:tcPr/>
                <w:p>
                  <w:pPr>
                    <w:pStyle w:val="Compact"/>
                    <w:jc w:val="right"/>
                    <w:jc w:val="center"/>
                  </w:pPr>
                  <w:r>
                    <w:t xml:space="preserve">0.426</w:t>
                  </w:r>
                </w:p>
              </w:tc>
              <w:tc>
                <w:tcPr/>
                <w:p>
                  <w:pPr>
                    <w:pStyle w:val="Compact"/>
                    <w:jc w:val="right"/>
                    <w:jc w:val="center"/>
                  </w:pPr>
                  <w:r>
                    <w:t xml:space="preserve">0.677</w:t>
                  </w:r>
                </w:p>
              </w:tc>
              <w:tc>
                <w:tcPr/>
                <w:p>
                  <w:pPr>
                    <w:pStyle w:val="Compact"/>
                  </w:pPr>
                </w:p>
              </w:tc>
            </w:tr>
            <w:tr>
              <w:tc>
                <w:tcPr/>
                <w:p>
                  <w:pPr>
                    <w:pStyle w:val="Compact"/>
                    <w:jc w:val="left"/>
                    <w:jc w:val="center"/>
                  </w:pPr>
                  <w:r>
                    <w:t xml:space="preserve">A²</w:t>
                  </w:r>
                </w:p>
              </w:tc>
              <w:tc>
                <w:tcPr/>
                <w:p>
                  <w:pPr>
                    <w:pStyle w:val="Compact"/>
                    <w:jc w:val="right"/>
                    <w:jc w:val="center"/>
                  </w:pPr>
                  <w:r>
                    <w:t xml:space="preserve">-0.0533</w:t>
                  </w:r>
                </w:p>
              </w:tc>
              <w:tc>
                <w:tcPr/>
                <w:p>
                  <w:pPr>
                    <w:pStyle w:val="Compact"/>
                    <w:jc w:val="right"/>
                    <w:jc w:val="center"/>
                  </w:pPr>
                  <w:r>
                    <w:t xml:space="preserve">0.0613</w:t>
                  </w:r>
                </w:p>
              </w:tc>
              <w:tc>
                <w:tcPr/>
                <w:p>
                  <w:pPr>
                    <w:pStyle w:val="Compact"/>
                    <w:jc w:val="right"/>
                    <w:jc w:val="center"/>
                  </w:pPr>
                  <w:r>
                    <w:t xml:space="preserve">-0.87</w:t>
                  </w:r>
                </w:p>
              </w:tc>
              <w:tc>
                <w:tcPr/>
                <w:p>
                  <w:pPr>
                    <w:pStyle w:val="Compact"/>
                    <w:jc w:val="right"/>
                    <w:jc w:val="center"/>
                  </w:pPr>
                  <w:r>
                    <w:t xml:space="preserve">0.4</w:t>
                  </w:r>
                </w:p>
              </w:tc>
              <w:tc>
                <w:tcPr/>
                <w:p>
                  <w:pPr>
                    <w:pStyle w:val="Compact"/>
                  </w:pPr>
                </w:p>
              </w:tc>
            </w:tr>
            <w:tr>
              <w:tc>
                <w:tcPr/>
                <w:p>
                  <w:pPr>
                    <w:pStyle w:val="Compact"/>
                    <w:jc w:val="left"/>
                    <w:jc w:val="center"/>
                  </w:pPr>
                  <w:r>
                    <w:t xml:space="preserve">B²</w:t>
                  </w:r>
                </w:p>
              </w:tc>
              <w:tc>
                <w:tcPr/>
                <w:p>
                  <w:pPr>
                    <w:pStyle w:val="Compact"/>
                    <w:jc w:val="right"/>
                    <w:jc w:val="center"/>
                  </w:pPr>
                  <w:r>
                    <w:t xml:space="preserve">-0.119</w:t>
                  </w:r>
                </w:p>
              </w:tc>
              <w:tc>
                <w:tcPr/>
                <w:p>
                  <w:pPr>
                    <w:pStyle w:val="Compact"/>
                    <w:jc w:val="right"/>
                    <w:jc w:val="center"/>
                  </w:pPr>
                  <w:r>
                    <w:t xml:space="preserve">0.0613</w:t>
                  </w:r>
                </w:p>
              </w:tc>
              <w:tc>
                <w:tcPr/>
                <w:p>
                  <w:pPr>
                    <w:pStyle w:val="Compact"/>
                    <w:jc w:val="right"/>
                    <w:jc w:val="center"/>
                  </w:pPr>
                  <w:r>
                    <w:t xml:space="preserve">-1.93</w:t>
                  </w:r>
                </w:p>
              </w:tc>
              <w:tc>
                <w:tcPr/>
                <w:p>
                  <w:pPr>
                    <w:pStyle w:val="Compact"/>
                    <w:jc w:val="right"/>
                    <w:jc w:val="center"/>
                  </w:pPr>
                  <w:r>
                    <w:t xml:space="preserve">0.0752</w:t>
                  </w:r>
                </w:p>
              </w:tc>
              <w:tc>
                <w:tcPr/>
                <w:p>
                  <w:pPr>
                    <w:pStyle w:val="Compact"/>
                  </w:pPr>
                </w:p>
              </w:tc>
            </w:tr>
            <w:tr>
              <w:tc>
                <w:tcPr/>
                <w:p>
                  <w:pPr>
                    <w:pStyle w:val="Compact"/>
                    <w:jc w:val="left"/>
                    <w:jc w:val="center"/>
                  </w:pPr>
                  <w:r>
                    <w:t xml:space="preserve">E²</w:t>
                  </w:r>
                </w:p>
              </w:tc>
              <w:tc>
                <w:tcPr/>
                <w:p>
                  <w:pPr>
                    <w:pStyle w:val="Compact"/>
                    <w:jc w:val="right"/>
                    <w:jc w:val="center"/>
                  </w:pPr>
                  <w:r>
                    <w:t xml:space="preserve">0.143</w:t>
                  </w:r>
                </w:p>
              </w:tc>
              <w:tc>
                <w:tcPr/>
                <w:p>
                  <w:pPr>
                    <w:pStyle w:val="Compact"/>
                    <w:jc w:val="right"/>
                    <w:jc w:val="center"/>
                  </w:pPr>
                  <w:r>
                    <w:t xml:space="preserve">0.0613</w:t>
                  </w:r>
                </w:p>
              </w:tc>
              <w:tc>
                <w:tcPr/>
                <w:p>
                  <w:pPr>
                    <w:pStyle w:val="Compact"/>
                    <w:jc w:val="right"/>
                    <w:jc w:val="center"/>
                  </w:pPr>
                  <w:r>
                    <w:t xml:space="preserve">2.33</w:t>
                  </w:r>
                </w:p>
              </w:tc>
              <w:tc>
                <w:tcPr/>
                <w:p>
                  <w:pPr>
                    <w:pStyle w:val="Compact"/>
                    <w:jc w:val="right"/>
                    <w:jc w:val="center"/>
                  </w:pPr>
                  <w:r>
                    <w:t xml:space="preserve">0.0366</w:t>
                  </w:r>
                </w:p>
              </w:tc>
              <w:tc>
                <w:tcPr/>
                <w:p>
                  <w:pPr>
                    <w:pStyle w:val="Compact"/>
                    <w:jc w:val="left"/>
                    <w:jc w:val="center"/>
                  </w:pPr>
                  <w:r>
                    <w:t xml:space="preserve">*</w:t>
                  </w:r>
                </w:p>
              </w:tc>
            </w:tr>
            <w:tr>
              <w:tc>
                <w:tcPr/>
                <w:p>
                  <w:pPr>
                    <w:pStyle w:val="Compact"/>
                    <w:jc w:val="left"/>
                    <w:jc w:val="center"/>
                  </w:pPr>
                  <w:r>
                    <w:t xml:space="preserve">C²</w:t>
                  </w:r>
                </w:p>
              </w:tc>
              <w:tc>
                <w:tcPr/>
                <w:p>
                  <w:pPr>
                    <w:pStyle w:val="Compact"/>
                    <w:jc w:val="right"/>
                    <w:jc w:val="center"/>
                  </w:pPr>
                  <w:r>
                    <w:t xml:space="preserve">-0.0626</w:t>
                  </w:r>
                </w:p>
              </w:tc>
              <w:tc>
                <w:tcPr/>
                <w:p>
                  <w:pPr>
                    <w:pStyle w:val="Compact"/>
                    <w:jc w:val="right"/>
                    <w:jc w:val="center"/>
                  </w:pPr>
                  <w:r>
                    <w:t xml:space="preserve">0.0613</w:t>
                  </w:r>
                </w:p>
              </w:tc>
              <w:tc>
                <w:tcPr/>
                <w:p>
                  <w:pPr>
                    <w:pStyle w:val="Compact"/>
                    <w:jc w:val="right"/>
                    <w:jc w:val="center"/>
                  </w:pPr>
                  <w:r>
                    <w:t xml:space="preserve">-1.02</w:t>
                  </w:r>
                </w:p>
              </w:tc>
              <w:tc>
                <w:tcPr/>
                <w:p>
                  <w:pPr>
                    <w:pStyle w:val="Compact"/>
                    <w:jc w:val="right"/>
                    <w:jc w:val="center"/>
                  </w:pPr>
                  <w:r>
                    <w:t xml:space="preserve">0.326</w:t>
                  </w:r>
                </w:p>
              </w:tc>
              <w:tc>
                <w:tcPr/>
                <w:p>
                  <w:pPr>
                    <w:pStyle w:val="Compact"/>
                  </w:pPr>
                </w:p>
              </w:tc>
            </w:tr>
          </w:tbl>
          <w:bookmarkEnd w:id="108"/>
          <w:p/>
        </w:tc>
      </w:tr>
    </w:tbl>
    <w:bookmarkEnd w:id="109"/>
    <w:bookmarkStart w:id="111" w:name="appendix-d-analytical-methods-summary"/>
    <w:p>
      <w:pPr>
        <w:pStyle w:val="Heading2"/>
      </w:pPr>
      <w:r>
        <w:t xml:space="preserve">14.4 Appendix D — Analytical methods summary</w:t>
      </w:r>
    </w:p>
    <w:p>
      <w:pPr>
        <w:pStyle w:val="FirstParagraph"/>
      </w:pPr>
      <w:r>
        <w:t xml:space="preserve">The validated methods used for the responses and the released attributes of this step are listed below (</w:t>
      </w:r>
      <w:hyperlink w:anchor="tbl-appd0">
        <w:r>
          <w:rPr>
            <w:rStyle w:val="Hyperlink"/>
          </w:rPr>
          <w:t xml:space="preserve">Table 30</w:t>
        </w:r>
      </w:hyperlink>
      <w:r>
        <w:t xml:space="preserve">). Method performance is summarized here and reported in full in the validation reports.</w:t>
      </w:r>
    </w:p>
    <w:tbl>
      <w:tblPr>
        <w:tblStyle w:val="Table"/>
        <w:tblW w:type="pct" w:w="5000"/>
        <w:tblLayout w:type="fixed"/>
        <w:tblLook w:firstRow="0" w:lastRow="0" w:firstColumn="0" w:lastColumn="0" w:noHBand="0" w:noVBand="0" w:val="0000"/>
      </w:tblPr>
      <w:tblGrid>
        <w:gridCol w:w="7920"/>
      </w:tblGrid>
      <w:tr>
        <w:tc>
          <w:tcPr/>
          <w:bookmarkStart w:id="110" w:name="tbl-appd0"/>
          <w:p>
            <w:pPr>
              <w:jc w:val="center"/>
            </w:pPr>
            <w:pPr>
              <w:jc w:val="left"/>
              <w:spacing w:before="200"/>
              <w:pStyle w:val="ImageCaption"/>
            </w:pPr>
            <w:r>
              <w:t xml:space="preserve">Table 30: Validated analytical methods supporting this report.</w:t>
            </w:r>
          </w:p>
          <w:tbl>
            <w:tblPr>
              <w:tblStyle w:val="Table"/>
              <w:tblW w:type="pct" w:w="5000"/>
              <w:tblLayout w:type="fixed"/>
              <w:tblLook w:firstRow="1" w:lastRow="0" w:firstColumn="0" w:lastColumn="0" w:noHBand="0" w:noVBand="0" w:val="0020"/>
            </w:tblPr>
            <w:tblGrid>
              <w:gridCol w:w="1050"/>
              <w:gridCol w:w="5333"/>
              <w:gridCol w:w="1535"/>
            </w:tblGrid>
            <w:tr>
              <w:trPr>
                <w:tblHeader w:val="on"/>
              </w:trPr>
              <w:tc>
                <w:tcPr/>
                <w:p>
                  <w:pPr>
                    <w:pStyle w:val="Compact"/>
                    <w:jc w:val="left"/>
                    <w:jc w:val="center"/>
                  </w:pPr>
                  <w:r>
                    <w:t xml:space="preserve">Reference</w:t>
                  </w:r>
                </w:p>
              </w:tc>
              <w:tc>
                <w:tcPr/>
                <w:p>
                  <w:pPr>
                    <w:pStyle w:val="Compact"/>
                    <w:jc w:val="left"/>
                    <w:jc w:val="center"/>
                  </w:pPr>
                  <w:r>
                    <w:t xml:space="preserve">Title</w:t>
                  </w:r>
                </w:p>
              </w:tc>
              <w:tc>
                <w:tcPr/>
                <w:p>
                  <w:pPr>
                    <w:pStyle w:val="Compact"/>
                    <w:jc w:val="left"/>
                    <w:jc w:val="center"/>
                  </w:pPr>
                  <w:r>
                    <w:t xml:space="preserve">Type</w:t>
                  </w:r>
                </w:p>
              </w:tc>
            </w:tr>
            <w:tr>
              <w:tc>
                <w:tcPr/>
                <w:p>
                  <w:pPr>
                    <w:pStyle w:val="Compact"/>
                    <w:jc w:val="left"/>
                    <w:jc w:val="center"/>
                  </w:pPr>
                  <w:r>
                    <w:t xml:space="preserve">SOP-1001</w:t>
                  </w:r>
                </w:p>
              </w:tc>
              <w:tc>
                <w:tcPr/>
                <w:p>
                  <w:pPr>
                    <w:pStyle w:val="Compact"/>
                    <w:jc w:val="left"/>
                    <w:jc w:val="center"/>
                  </w:pPr>
                  <w:r>
                    <w:t xml:space="preserve">Qualification of Scale-Down Models</w:t>
                  </w:r>
                </w:p>
              </w:tc>
              <w:tc>
                <w:tcPr/>
                <w:p>
                  <w:pPr>
                    <w:pStyle w:val="Compact"/>
                    <w:jc w:val="left"/>
                    <w:jc w:val="center"/>
                  </w:pPr>
                  <w:r>
                    <w:t xml:space="preserve">SOP</w:t>
                  </w:r>
                </w:p>
              </w:tc>
            </w:tr>
            <w:tr>
              <w:tc>
                <w:tcPr/>
                <w:p>
                  <w:pPr>
                    <w:pStyle w:val="Compact"/>
                    <w:jc w:val="left"/>
                    <w:jc w:val="center"/>
                  </w:pPr>
                  <w:r>
                    <w:t xml:space="preserve">SOP-1002</w:t>
                  </w:r>
                </w:p>
              </w:tc>
              <w:tc>
                <w:tcPr/>
                <w:p>
                  <w:pPr>
                    <w:pStyle w:val="Compact"/>
                    <w:jc w:val="left"/>
                    <w:jc w:val="center"/>
                  </w:pPr>
                  <w:r>
                    <w:t xml:space="preserve">Design, Execution and Statistical Analysis of DoE Studies</w:t>
                  </w:r>
                </w:p>
              </w:tc>
              <w:tc>
                <w:tcPr/>
                <w:p>
                  <w:pPr>
                    <w:pStyle w:val="Compact"/>
                    <w:jc w:val="left"/>
                    <w:jc w:val="center"/>
                  </w:pPr>
                  <w:r>
                    <w:t xml:space="preserve">SOP</w:t>
                  </w:r>
                </w:p>
              </w:tc>
            </w:tr>
            <w:tr>
              <w:tc>
                <w:tcPr/>
                <w:p>
                  <w:pPr>
                    <w:pStyle w:val="Compact"/>
                    <w:jc w:val="left"/>
                    <w:jc w:val="center"/>
                  </w:pPr>
                  <w:r>
                    <w:t xml:space="preserve">SOP-2003</w:t>
                  </w:r>
                </w:p>
              </w:tc>
              <w:tc>
                <w:tcPr/>
                <w:p>
                  <w:pPr>
                    <w:pStyle w:val="Compact"/>
                    <w:jc w:val="left"/>
                    <w:jc w:val="center"/>
                  </w:pPr>
                  <w:r>
                    <w:t xml:space="preserve">Operation of the Production Bioreactor (Fed-Batch)</w:t>
                  </w:r>
                </w:p>
              </w:tc>
              <w:tc>
                <w:tcPr/>
                <w:p>
                  <w:pPr>
                    <w:pStyle w:val="Compact"/>
                    <w:jc w:val="left"/>
                    <w:jc w:val="center"/>
                  </w:pPr>
                  <w:r>
                    <w:t xml:space="preserve">SOP</w:t>
                  </w:r>
                </w:p>
              </w:tc>
            </w:tr>
            <w:tr>
              <w:tc>
                <w:tcPr/>
                <w:p>
                  <w:pPr>
                    <w:pStyle w:val="Compact"/>
                    <w:jc w:val="left"/>
                    <w:jc w:val="center"/>
                  </w:pPr>
                  <w:r>
                    <w:t xml:space="preserve">SOP-2004</w:t>
                  </w:r>
                </w:p>
              </w:tc>
              <w:tc>
                <w:tcPr/>
                <w:p>
                  <w:pPr>
                    <w:pStyle w:val="Compact"/>
                    <w:jc w:val="left"/>
                    <w:jc w:val="center"/>
                  </w:pPr>
                  <w:r>
                    <w:t xml:space="preserve">Cell-Culture Media and Feed Preparation</w:t>
                  </w:r>
                </w:p>
              </w:tc>
              <w:tc>
                <w:tcPr/>
                <w:p>
                  <w:pPr>
                    <w:pStyle w:val="Compact"/>
                    <w:jc w:val="left"/>
                    <w:jc w:val="center"/>
                  </w:pPr>
                  <w:r>
                    <w:t xml:space="preserve">SOP</w:t>
                  </w:r>
                </w:p>
              </w:tc>
            </w:tr>
            <w:tr>
              <w:tc>
                <w:tcPr/>
                <w:p>
                  <w:pPr>
                    <w:pStyle w:val="Compact"/>
                    <w:jc w:val="left"/>
                    <w:jc w:val="center"/>
                  </w:pPr>
                  <w:r>
                    <w:t xml:space="preserve">SOP-3010</w:t>
                  </w:r>
                </w:p>
              </w:tc>
              <w:tc>
                <w:tcPr/>
                <w:p>
                  <w:pPr>
                    <w:pStyle w:val="Compact"/>
                    <w:jc w:val="left"/>
                    <w:jc w:val="center"/>
                  </w:pPr>
                  <w:r>
                    <w:t xml:space="preserve">Released N-Glycan Mapping by 2-AB HILIC-UPLC</w:t>
                  </w:r>
                </w:p>
              </w:tc>
              <w:tc>
                <w:tcPr/>
                <w:p>
                  <w:pPr>
                    <w:pStyle w:val="Compact"/>
                    <w:jc w:val="left"/>
                    <w:jc w:val="center"/>
                  </w:pPr>
                  <w:r>
                    <w:t xml:space="preserve">SOP</w:t>
                  </w:r>
                </w:p>
              </w:tc>
            </w:tr>
            <w:tr>
              <w:tc>
                <w:tcPr/>
                <w:p>
                  <w:pPr>
                    <w:pStyle w:val="Compact"/>
                    <w:jc w:val="left"/>
                    <w:jc w:val="center"/>
                  </w:pPr>
                  <w:r>
                    <w:t xml:space="preserve">SOP-3011</w:t>
                  </w:r>
                </w:p>
              </w:tc>
              <w:tc>
                <w:tcPr/>
                <w:p>
                  <w:pPr>
                    <w:pStyle w:val="Compact"/>
                    <w:jc w:val="left"/>
                    <w:jc w:val="center"/>
                  </w:pPr>
                  <w:r>
                    <w:t xml:space="preserve">Size-Variant Analysis by SEC-HPLC</w:t>
                  </w:r>
                </w:p>
              </w:tc>
              <w:tc>
                <w:tcPr/>
                <w:p>
                  <w:pPr>
                    <w:pStyle w:val="Compact"/>
                    <w:jc w:val="left"/>
                    <w:jc w:val="center"/>
                  </w:pPr>
                  <w:r>
                    <w:t xml:space="preserve">SOP</w:t>
                  </w:r>
                </w:p>
              </w:tc>
            </w:tr>
            <w:tr>
              <w:tc>
                <w:tcPr/>
                <w:p>
                  <w:pPr>
                    <w:pStyle w:val="Compact"/>
                    <w:jc w:val="left"/>
                    <w:jc w:val="center"/>
                  </w:pPr>
                  <w:r>
                    <w:t xml:space="preserve">SOP-3012</w:t>
                  </w:r>
                </w:p>
              </w:tc>
              <w:tc>
                <w:tcPr/>
                <w:p>
                  <w:pPr>
                    <w:pStyle w:val="Compact"/>
                    <w:jc w:val="left"/>
                    <w:jc w:val="center"/>
                  </w:pPr>
                  <w:r>
                    <w:t xml:space="preserve">Host-Cell-Protein Quantitation by ELISA</w:t>
                  </w:r>
                </w:p>
              </w:tc>
              <w:tc>
                <w:tcPr/>
                <w:p>
                  <w:pPr>
                    <w:pStyle w:val="Compact"/>
                    <w:jc w:val="left"/>
                    <w:jc w:val="center"/>
                  </w:pPr>
                  <w:r>
                    <w:t xml:space="preserve">SOP</w:t>
                  </w:r>
                </w:p>
              </w:tc>
            </w:tr>
            <w:tr>
              <w:tc>
                <w:tcPr/>
                <w:p>
                  <w:pPr>
                    <w:pStyle w:val="Compact"/>
                    <w:jc w:val="left"/>
                    <w:jc w:val="center"/>
                  </w:pPr>
                  <w:r>
                    <w:t xml:space="preserve">SOP-3013</w:t>
                  </w:r>
                </w:p>
              </w:tc>
              <w:tc>
                <w:tcPr/>
                <w:p>
                  <w:pPr>
                    <w:pStyle w:val="Compact"/>
                    <w:jc w:val="left"/>
                    <w:jc w:val="center"/>
                  </w:pPr>
                  <w:r>
                    <w:t xml:space="preserve">Charge-Variant Analysis by icIEF</w:t>
                  </w:r>
                </w:p>
              </w:tc>
              <w:tc>
                <w:tcPr/>
                <w:p>
                  <w:pPr>
                    <w:pStyle w:val="Compact"/>
                    <w:jc w:val="left"/>
                    <w:jc w:val="center"/>
                  </w:pPr>
                  <w:r>
                    <w:t xml:space="preserve">SOP</w:t>
                  </w:r>
                </w:p>
              </w:tc>
            </w:tr>
            <w:tr>
              <w:tc>
                <w:tcPr/>
                <w:p>
                  <w:pPr>
                    <w:pStyle w:val="Compact"/>
                    <w:jc w:val="left"/>
                    <w:jc w:val="center"/>
                  </w:pPr>
                  <w:r>
                    <w:t xml:space="preserve">SOP-3014</w:t>
                  </w:r>
                </w:p>
              </w:tc>
              <w:tc>
                <w:tcPr/>
                <w:p>
                  <w:pPr>
                    <w:pStyle w:val="Compact"/>
                    <w:jc w:val="left"/>
                    <w:jc w:val="center"/>
                  </w:pPr>
                  <w:r>
                    <w:t xml:space="preserve">Residual Host-Cell DNA by qPCR</w:t>
                  </w:r>
                </w:p>
              </w:tc>
              <w:tc>
                <w:tcPr/>
                <w:p>
                  <w:pPr>
                    <w:pStyle w:val="Compact"/>
                    <w:jc w:val="left"/>
                    <w:jc w:val="center"/>
                  </w:pPr>
                  <w:r>
                    <w:t xml:space="preserve">SOP</w:t>
                  </w:r>
                </w:p>
              </w:tc>
            </w:tr>
            <w:tr>
              <w:tc>
                <w:tcPr/>
                <w:p>
                  <w:pPr>
                    <w:pStyle w:val="Compact"/>
                    <w:jc w:val="left"/>
                    <w:jc w:val="center"/>
                  </w:pPr>
                  <w:r>
                    <w:t xml:space="preserve">SOP-4001</w:t>
                  </w:r>
                </w:p>
              </w:tc>
              <w:tc>
                <w:tcPr/>
                <w:p>
                  <w:pPr>
                    <w:pStyle w:val="Compact"/>
                    <w:jc w:val="left"/>
                    <w:jc w:val="center"/>
                  </w:pPr>
                  <w:r>
                    <w:t xml:space="preserve">Process-Parameter Classification and Control-Strategy Definition</w:t>
                  </w:r>
                </w:p>
              </w:tc>
              <w:tc>
                <w:tcPr/>
                <w:p>
                  <w:pPr>
                    <w:pStyle w:val="Compact"/>
                    <w:jc w:val="left"/>
                    <w:jc w:val="center"/>
                  </w:pPr>
                  <w:r>
                    <w:t xml:space="preserve">SOP</w:t>
                  </w:r>
                </w:p>
              </w:tc>
            </w:tr>
            <w:tr>
              <w:tc>
                <w:tcPr/>
                <w:p>
                  <w:pPr>
                    <w:pStyle w:val="Compact"/>
                    <w:jc w:val="left"/>
                    <w:jc w:val="center"/>
                  </w:pPr>
                  <w:r>
                    <w:t xml:space="preserve">AMV-3010</w:t>
                  </w:r>
                </w:p>
              </w:tc>
              <w:tc>
                <w:tcPr/>
                <w:p>
                  <w:pPr>
                    <w:pStyle w:val="Compact"/>
                    <w:jc w:val="left"/>
                    <w:jc w:val="center"/>
                  </w:pPr>
                  <w:r>
                    <w:t xml:space="preserve">N-Glycan Map (2-AB HILIC-UPLC)</w:t>
                  </w:r>
                </w:p>
              </w:tc>
              <w:tc>
                <w:tcPr/>
                <w:p>
                  <w:pPr>
                    <w:pStyle w:val="Compact"/>
                    <w:jc w:val="left"/>
                    <w:jc w:val="center"/>
                  </w:pPr>
                  <w:r>
                    <w:t xml:space="preserve">Method validation</w:t>
                  </w:r>
                </w:p>
              </w:tc>
            </w:tr>
            <w:tr>
              <w:tc>
                <w:tcPr/>
                <w:p>
                  <w:pPr>
                    <w:pStyle w:val="Compact"/>
                    <w:jc w:val="left"/>
                    <w:jc w:val="center"/>
                  </w:pPr>
                  <w:r>
                    <w:t xml:space="preserve">AMV-3011</w:t>
                  </w:r>
                </w:p>
              </w:tc>
              <w:tc>
                <w:tcPr/>
                <w:p>
                  <w:pPr>
                    <w:pStyle w:val="Compact"/>
                    <w:jc w:val="left"/>
                    <w:jc w:val="center"/>
                  </w:pPr>
                  <w:r>
                    <w:t xml:space="preserve">Size-Variants (SEC-HPLC)</w:t>
                  </w:r>
                </w:p>
              </w:tc>
              <w:tc>
                <w:tcPr/>
                <w:p>
                  <w:pPr>
                    <w:pStyle w:val="Compact"/>
                    <w:jc w:val="left"/>
                    <w:jc w:val="center"/>
                  </w:pPr>
                  <w:r>
                    <w:t xml:space="preserve">Method validation</w:t>
                  </w:r>
                </w:p>
              </w:tc>
            </w:tr>
            <w:tr>
              <w:tc>
                <w:tcPr/>
                <w:p>
                  <w:pPr>
                    <w:pStyle w:val="Compact"/>
                    <w:jc w:val="left"/>
                    <w:jc w:val="center"/>
                  </w:pPr>
                  <w:r>
                    <w:t xml:space="preserve">AMV-3012</w:t>
                  </w:r>
                </w:p>
              </w:tc>
              <w:tc>
                <w:tcPr/>
                <w:p>
                  <w:pPr>
                    <w:pStyle w:val="Compact"/>
                    <w:jc w:val="left"/>
                    <w:jc w:val="center"/>
                  </w:pPr>
                  <w:r>
                    <w:t xml:space="preserve">Host-Cell Protein ELISA</w:t>
                  </w:r>
                </w:p>
              </w:tc>
              <w:tc>
                <w:tcPr/>
                <w:p>
                  <w:pPr>
                    <w:pStyle w:val="Compact"/>
                    <w:jc w:val="left"/>
                    <w:jc w:val="center"/>
                  </w:pPr>
                  <w:r>
                    <w:t xml:space="preserve">Method validation</w:t>
                  </w:r>
                </w:p>
              </w:tc>
            </w:tr>
            <w:tr>
              <w:tc>
                <w:tcPr/>
                <w:p>
                  <w:pPr>
                    <w:pStyle w:val="Compact"/>
                    <w:jc w:val="left"/>
                    <w:jc w:val="center"/>
                  </w:pPr>
                  <w:r>
                    <w:t xml:space="preserve">AMV-3013</w:t>
                  </w:r>
                </w:p>
              </w:tc>
              <w:tc>
                <w:tcPr/>
                <w:p>
                  <w:pPr>
                    <w:pStyle w:val="Compact"/>
                    <w:jc w:val="left"/>
                    <w:jc w:val="center"/>
                  </w:pPr>
                  <w:r>
                    <w:t xml:space="preserve">Charge Variants (icIEF)</w:t>
                  </w:r>
                </w:p>
              </w:tc>
              <w:tc>
                <w:tcPr/>
                <w:p>
                  <w:pPr>
                    <w:pStyle w:val="Compact"/>
                    <w:jc w:val="left"/>
                    <w:jc w:val="center"/>
                  </w:pPr>
                  <w:r>
                    <w:t xml:space="preserve">Method validation</w:t>
                  </w:r>
                </w:p>
              </w:tc>
            </w:tr>
            <w:tr>
              <w:tc>
                <w:tcPr/>
                <w:p>
                  <w:pPr>
                    <w:pStyle w:val="Compact"/>
                    <w:jc w:val="left"/>
                    <w:jc w:val="center"/>
                  </w:pPr>
                  <w:r>
                    <w:t xml:space="preserve">AMV-3014</w:t>
                  </w:r>
                </w:p>
              </w:tc>
              <w:tc>
                <w:tcPr/>
                <w:p>
                  <w:pPr>
                    <w:pStyle w:val="Compact"/>
                    <w:jc w:val="left"/>
                    <w:jc w:val="center"/>
                  </w:pPr>
                  <w:r>
                    <w:t xml:space="preserve">Residual DNA (qPCR)</w:t>
                  </w:r>
                </w:p>
              </w:tc>
              <w:tc>
                <w:tcPr/>
                <w:p>
                  <w:pPr>
                    <w:pStyle w:val="Compact"/>
                    <w:jc w:val="left"/>
                    <w:jc w:val="center"/>
                  </w:pPr>
                  <w:r>
                    <w:t xml:space="preserve">Method validation</w:t>
                  </w:r>
                </w:p>
              </w:tc>
            </w:tr>
          </w:tbl>
          <w:bookmarkEnd w:id="110"/>
          <w:p/>
        </w:tc>
      </w:tr>
    </w:tbl>
    <w:p>
      <w:pPr>
        <w:pStyle w:val="BodyText"/>
      </w:pPr>
      <w:r>
        <w:t xml:space="preserve">The released N-glycan map (AMV-3010) reports afucosylation, galactosylation and high mannose from one separation, with a relative precision of 2.5 %, an accuracy of 99.0 % and a limit of quantitation of 0.5 % of glycans. The host cell protein ELISA (AMV-3012) has a relative precision of 9.5 %, an accuracy of 95.0 % and a limit of quantitation of 1.0 ng/mg. Size-variant analysis (AMV-3011), charge-variant analysis (AMV-3013) and residual DNA (AMV-3014) are qualified for their reportable ranges in their own validation reports, which are the location of record for their performance characteristics.</w:t>
      </w:r>
    </w:p>
    <w:bookmarkEnd w:id="111"/>
    <w:bookmarkEnd w:id="112"/>
    <w:bookmarkStart w:id="121" w:name="references"/>
    <w:p>
      <w:pPr>
        <w:pStyle w:val="Heading1"/>
      </w:pPr>
      <w:r>
        <w:t xml:space="preserve">References</w:t>
      </w:r>
    </w:p>
    <w:bookmarkStart w:id="120" w:name="refs"/>
    <w:bookmarkStart w:id="113" w:name="ref-amab2009"/>
    <w:p>
      <w:pPr>
        <w:pStyle w:val="Bibliography"/>
      </w:pPr>
      <w:r>
        <w:t xml:space="preserve">CMC Biotech Working Group. 2009.</w:t>
      </w:r>
      <w:r>
        <w:t xml:space="preserve"> </w:t>
      </w:r>
      <w:r>
        <w:rPr>
          <w:i/>
          <w:iCs/>
        </w:rPr>
        <w:t xml:space="preserve">A-Mab: A Case Study in Bioprocess Development</w:t>
      </w:r>
      <w:r>
        <w:t xml:space="preserve">. CASSS.</w:t>
      </w:r>
    </w:p>
    <w:bookmarkEnd w:id="113"/>
    <w:bookmarkStart w:id="114" w:name="ref-ichq10"/>
    <w:p>
      <w:pPr>
        <w:pStyle w:val="Bibliography"/>
      </w:pPr>
      <w:r>
        <w:t xml:space="preserve">International Council for Harmonisation. 2008.</w:t>
      </w:r>
      <w:r>
        <w:t xml:space="preserve"> </w:t>
      </w:r>
      <w:r>
        <w:rPr>
          <w:i/>
          <w:iCs/>
        </w:rPr>
        <w:t xml:space="preserve">ICH Q10: Pharmaceutical Quality System</w:t>
      </w:r>
      <w:r>
        <w:t xml:space="preserve">. ICH.</w:t>
      </w:r>
    </w:p>
    <w:bookmarkEnd w:id="114"/>
    <w:bookmarkStart w:id="115" w:name="ref-ichq8"/>
    <w:p>
      <w:pPr>
        <w:pStyle w:val="Bibliography"/>
      </w:pPr>
      <w:r>
        <w:t xml:space="preserve">International Council for Harmonisation. 2009.</w:t>
      </w:r>
      <w:r>
        <w:t xml:space="preserve"> </w:t>
      </w:r>
      <w:r>
        <w:rPr>
          <w:i/>
          <w:iCs/>
        </w:rPr>
        <w:t xml:space="preserve">ICH Q8(R2): Pharmaceutical Development</w:t>
      </w:r>
      <w:r>
        <w:t xml:space="preserve">. ICH.</w:t>
      </w:r>
    </w:p>
    <w:bookmarkEnd w:id="115"/>
    <w:bookmarkStart w:id="116" w:name="ref-ichq11"/>
    <w:p>
      <w:pPr>
        <w:pStyle w:val="Bibliography"/>
      </w:pPr>
      <w:r>
        <w:t xml:space="preserve">International Council for Harmonisation. 2012.</w:t>
      </w:r>
      <w:r>
        <w:t xml:space="preserve"> </w:t>
      </w:r>
      <w:r>
        <w:rPr>
          <w:i/>
          <w:iCs/>
        </w:rPr>
        <w:t xml:space="preserve">ICH Q11: Development and Manufacture of Drug Substances</w:t>
      </w:r>
      <w:r>
        <w:t xml:space="preserve">. ICH.</w:t>
      </w:r>
    </w:p>
    <w:bookmarkEnd w:id="116"/>
    <w:bookmarkStart w:id="117" w:name="ref-ichq5a"/>
    <w:p>
      <w:pPr>
        <w:pStyle w:val="Bibliography"/>
      </w:pPr>
      <w:r>
        <w:t xml:space="preserve">International Council for Harmonisation. 2023a.</w:t>
      </w:r>
      <w:r>
        <w:t xml:space="preserve"> </w:t>
      </w:r>
      <w:r>
        <w:rPr>
          <w:i/>
          <w:iCs/>
        </w:rPr>
        <w:t xml:space="preserve">ICH Q5A(R2): Viral Safety Evaluation of Biotechnology Products Derived from Cell Lines of Human or Animal Origin</w:t>
      </w:r>
      <w:r>
        <w:t xml:space="preserve">. ICH.</w:t>
      </w:r>
    </w:p>
    <w:bookmarkEnd w:id="117"/>
    <w:bookmarkStart w:id="118" w:name="ref-ichq9"/>
    <w:p>
      <w:pPr>
        <w:pStyle w:val="Bibliography"/>
      </w:pPr>
      <w:r>
        <w:t xml:space="preserve">International Council for Harmonisation. 2023b.</w:t>
      </w:r>
      <w:r>
        <w:t xml:space="preserve"> </w:t>
      </w:r>
      <w:r>
        <w:rPr>
          <w:i/>
          <w:iCs/>
        </w:rPr>
        <w:t xml:space="preserve">ICH Q9(R1): Quality Risk Management</w:t>
      </w:r>
      <w:r>
        <w:t xml:space="preserve">. ICH.</w:t>
      </w:r>
    </w:p>
    <w:bookmarkEnd w:id="118"/>
    <w:bookmarkStart w:id="119" w:name="ref-fda2011"/>
    <w:p>
      <w:pPr>
        <w:pStyle w:val="Bibliography"/>
      </w:pPr>
      <w:r>
        <w:t xml:space="preserve">U.S. Food and Drug Administration. 2011.</w:t>
      </w:r>
      <w:r>
        <w:t xml:space="preserve"> </w:t>
      </w:r>
      <w:r>
        <w:rPr>
          <w:i/>
          <w:iCs/>
        </w:rPr>
        <w:t xml:space="preserve">Guidance for Industry: Process Validation — General Principles and Practices</w:t>
      </w:r>
      <w:r>
        <w:t xml:space="preserve">. FDA.</w:t>
      </w:r>
    </w:p>
    <w:bookmarkEnd w:id="119"/>
    <w:bookmarkEnd w:id="120"/>
    <w:bookmarkEnd w:id="12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6" Target="media/rId56.png" /><Relationship Type="http://schemas.openxmlformats.org/officeDocument/2006/relationships/image" Id="rId45" Target="media/rId45.png" /><Relationship Type="http://schemas.openxmlformats.org/officeDocument/2006/relationships/image" Id="rId49" Target="media/rId49.png" /><Relationship Type="http://schemas.openxmlformats.org/officeDocument/2006/relationships/image" Id="rId78" Target="media/rId78.png" /><Relationship Type="http://schemas.openxmlformats.org/officeDocument/2006/relationships/image" Id="rId70" Target="media/rId70.png" /><Relationship Type="http://schemas.openxmlformats.org/officeDocument/2006/relationships/image" Id="rId74" Target="media/rId74.png" /><Relationship Type="http://schemas.openxmlformats.org/officeDocument/2006/relationships/image" Id="rId62" Target="media/rId62.png" /><Relationship Type="http://schemas.openxmlformats.org/officeDocument/2006/relationships/image" Id="rId66" Target="media/rId6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Process Characterization Report</dc:title>
  <dc:creator>Process Development / Manufacturing Science &amp; Technology (MSAT)</dc:creator>
  <cp:keywords/>
  <dcterms:created xsi:type="dcterms:W3CDTF">2026-07-27T13:42:18Z</dcterms:created>
  <dcterms:modified xsi:type="dcterms:W3CDTF">2026-07-27T13:42:18Z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2026-07-24</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Production Bioreactor (Step 3) — PCR-003</vt:lpwstr>
  </property>
  <property fmtid="{D5CDD505-2E9C-101B-9397-08002B2CF9AE}" pid="15" name="tbl-cap-location">
    <vt:lpwstr>top</vt:lpwstr>
  </property>
  <property fmtid="{D5CDD505-2E9C-101B-9397-08002B2CF9AE}" pid="16" name="toc-title">
    <vt:lpwstr>Table of contents</vt:lpwstr>
  </property>
</Properties>
</file>