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AEX, anion exchange chromatography;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DoE, design of experiments; DS, drug substance; FMEA, failure mode</w:t>
      </w:r>
      <w:r>
        <w:t xml:space="preserve"> </w:t>
      </w:r>
      <w:r>
        <w:t xml:space="preserve">and effects analysis; GPP, general process parameter; HCP, host cell protein; HMW, high</w:t>
      </w:r>
      <w:r>
        <w:t xml:space="preserve"> </w:t>
      </w:r>
      <w:r>
        <w:t xml:space="preserve">molecular weight; ICH, International Council for Harmonisation; icIEF, imaged capillary</w:t>
      </w:r>
      <w:r>
        <w:t xml:space="preserve"> </w:t>
      </w:r>
      <w:r>
        <w:t xml:space="preserve">isoelectric focusing; IgG1, immunoglobulin G subclass 1; KPP, key process parameter; LRV,</w:t>
      </w:r>
      <w:r>
        <w:t xml:space="preserve"> </w:t>
      </w:r>
      <w:r>
        <w:t xml:space="preserve">log reduction value; MSAT, Manufacturing Science and Technology; MVM, minute virus of mice;</w:t>
      </w:r>
      <w:r>
        <w:t xml:space="preserve"> </w:t>
      </w:r>
      <w:r>
        <w:t xml:space="preserve">NOR, normal operating range; PAR, proven acceptable range; PCMP, Process Characterization</w:t>
      </w:r>
      <w:r>
        <w:t xml:space="preserve"> </w:t>
      </w:r>
      <w:r>
        <w:t xml:space="preserve">Master Plan; PCMR, Process Characterization Master Report; PCP, Process Characterization</w:t>
      </w:r>
      <w:r>
        <w:t xml:space="preserve"> </w:t>
      </w:r>
      <w:r>
        <w:t xml:space="preserve">Plan; PCR, Process Characterization Report; pCO2, dissolved carbon dioxide partial pressure;</w:t>
      </w:r>
      <w:r>
        <w:t xml:space="preserve"> </w:t>
      </w:r>
      <w:r>
        <w:t xml:space="preserve">PPQ, process performance qualification; PTP, Process Transfer Plan; QbD, quality by design;</w:t>
      </w:r>
      <w:r>
        <w:t xml:space="preserve"> </w:t>
      </w:r>
      <w:r>
        <w:t xml:space="preserve">RA, risk assessment; RPN, risk priority number; RRF, risk ranking and filtering; SEC,</w:t>
      </w:r>
      <w:r>
        <w:t xml:space="preserve"> </w:t>
      </w:r>
      <w:r>
        <w:t xml:space="preserve">size-exclusion chromatography; SOP, standard operating procedure; TMP, transmembrane</w:t>
      </w:r>
      <w:r>
        <w:t xml:space="preserve"> </w:t>
      </w:r>
      <w:r>
        <w:t xml:space="preserve">pressure; UF/DF, ultrafiltration and diafiltration;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assessment decides which A-Mab process parameters are characterized, and by what kind</w:t>
      </w:r>
      <w:r>
        <w:t xml:space="preserve"> </w:t>
      </w:r>
      <w:r>
        <w:t xml:space="preserve">of study. It is performed before any characterization study is executed, and its output is</w:t>
      </w:r>
      <w:r>
        <w:t xml:space="preserve"> </w:t>
      </w:r>
      <w:r>
        <w:t xml:space="preserve">the study scope that the Process Characterization Plans then carry out.</w:t>
      </w:r>
    </w:p>
    <w:p>
      <w:pPr>
        <w:pStyle w:val="BodyText"/>
      </w:pPr>
      <w:r>
        <w:t xml:space="preserve">The A-Mab drug-substance process is being transferred from the development site to the</w:t>
      </w:r>
      <w:r>
        <w:t xml:space="preserve"> </w:t>
      </w:r>
      <w:r>
        <w:t xml:space="preserve">commercial drug-substance site under PTP-001. Characterization at commercial-equivalent</w:t>
      </w:r>
      <w:r>
        <w:t xml:space="preserve"> </w:t>
      </w:r>
      <w:r>
        <w:t xml:space="preserve">scale-down is the evidence that supports that transfer and the operating ranges filed with</w:t>
      </w:r>
      <w:r>
        <w:t xml:space="preserve"> </w:t>
      </w:r>
      <w:r>
        <w:t xml:space="preserve">it, and because characterization effort is finite, the purpose of this assessment is to</w:t>
      </w:r>
      <w:r>
        <w:t xml:space="preserve"> </w:t>
      </w:r>
      <w:r>
        <w:t xml:space="preserve">place that effort where the risk to product quality lies and to record why the remaining</w:t>
      </w:r>
      <w:r>
        <w:t xml:space="preserve"> </w:t>
      </w:r>
      <w:r>
        <w:t xml:space="preserve">parameters need less.</w:t>
      </w:r>
    </w:p>
    <w:p>
      <w:pPr>
        <w:pStyle w:val="BodyText"/>
      </w:pPr>
      <w:r>
        <w:t xml:space="preserve">The assessment covers the 37 process parameters of the drug-substance train</w:t>
      </w:r>
      <w:r>
        <w:t xml:space="preserve"> </w:t>
      </w:r>
      <w:r>
        <w:t xml:space="preserve">(Steps 3 to 10). For each parameter it records a</w:t>
      </w:r>
      <w:r>
        <w:t xml:space="preserve"> </w:t>
      </w:r>
      <w:r>
        <w:t xml:space="preserve">potential failure mode, the quality attributes that failure mode could reach, a</w:t>
      </w:r>
      <w:r>
        <w:t xml:space="preserve"> </w:t>
      </w:r>
      <w:r>
        <w:t xml:space="preserve">pre-characterization risk score and an assigned study type. Raw-material attributes,</w:t>
      </w:r>
      <w:r>
        <w:t xml:space="preserve"> </w:t>
      </w:r>
      <w:r>
        <w:t xml:space="preserve">equipment qualification and analytical method performance are outside its scope and are</w:t>
      </w:r>
      <w:r>
        <w:t xml:space="preserve"> </w:t>
      </w:r>
      <w:r>
        <w:t xml:space="preserve">addressed by PTP-001 and by the method validation records (AMV series). The drug product</w:t>
      </w:r>
      <w:r>
        <w:t xml:space="preserve"> </w:t>
      </w:r>
      <w:r>
        <w:t xml:space="preserve">process is outside the scope of the whole characterization package.</w:t>
      </w:r>
    </w:p>
    <w:p>
      <w:pPr>
        <w:pStyle w:val="BodyText"/>
      </w:pPr>
      <w:r>
        <w:t xml:space="preserve">Two things this document does not do should be clear at the outset. It does not classify any</w:t>
      </w:r>
      <w:r>
        <w:t xml:space="preserve"> </w:t>
      </w:r>
      <w:r>
        <w:t xml:space="preserve">parameter, because the critical, well-controlled critical, key and general process parameter</w:t>
      </w:r>
      <w:r>
        <w:t xml:space="preserve"> </w:t>
      </w:r>
      <w:r>
        <w:t xml:space="preserve">designations are outputs of the characterization studies, and they are assigned in the</w:t>
      </w:r>
      <w:r>
        <w:t xml:space="preserve"> </w:t>
      </w:r>
      <w:r>
        <w:t xml:space="preserve">individual reports for each step (PCR-003 through PCR-010) and consolidated in PCMR-001. It</w:t>
      </w:r>
      <w:r>
        <w:t xml:space="preserve"> </w:t>
      </w:r>
      <w:r>
        <w:t xml:space="preserve">also calculates no residual risk, since the control strategy that would reduce the risk is</w:t>
      </w:r>
      <w:r>
        <w:t xml:space="preserve"> </w:t>
      </w:r>
      <w:r>
        <w:t xml:space="preserve">not yet defined. What is recorded here is the risk as it stands, with the controls that</w:t>
      </w:r>
      <w:r>
        <w:t xml:space="preserve"> </w:t>
      </w:r>
      <w:r>
        <w:t xml:space="preserve">exist today.</w:t>
      </w:r>
    </w:p>
    <w:p>
      <w:pPr>
        <w:pStyle w:val="BodyText"/>
      </w:pPr>
      <w:r>
        <w:t xml:space="preserve">The documents that frame this one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Parent and downstream documents of this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3"/>
              <w:gridCol w:w="4844"/>
              <w:gridCol w:w="19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bookmarkEnd w:id="13"/>
    <w:bookmarkStart w:id="18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The method ranks each parameter twice and uses the combined score to choose a study type.</w:t>
      </w:r>
      <w:r>
        <w:t xml:space="preserve"> </w:t>
      </w:r>
      <w:r>
        <w:t xml:space="preserve">The first ranking is the potential impact of the parameter on a quality attribute, and the</w:t>
      </w:r>
      <w:r>
        <w:t xml:space="preserve"> </w:t>
      </w:r>
      <w:r>
        <w:t xml:space="preserve">second is the potential for that parameter to interact with other parameters of the same</w:t>
      </w:r>
      <w:r>
        <w:t xml:space="preserve"> </w:t>
      </w:r>
      <w:r>
        <w:t xml:space="preserve">unit operation. This is the risk ranking and filtering approach of the A-Mab case study</w:t>
      </w:r>
      <w:r>
        <w:t xml:space="preserve"> </w:t>
      </w:r>
      <w:r>
        <w:t xml:space="preserve">(CMC Biotech Working Group 2009)</w:t>
      </w:r>
      <w:r>
        <w:t xml:space="preserve">, applied at the point in the lifecycle (Stage 1, process design) at which the</w:t>
      </w:r>
      <w:r>
        <w:t xml:space="preserve"> </w:t>
      </w:r>
      <w:r>
        <w:t xml:space="preserve">commercial process is established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Two assessments are kept separate throughout, because they answer different questions. The</w:t>
      </w:r>
      <w:r>
        <w:t xml:space="preserve"> </w:t>
      </w:r>
      <w:r>
        <w:t xml:space="preserve">criticality of a quality attribute is a property of the molecule and of the patient, and it</w:t>
      </w:r>
      <w:r>
        <w:t xml:space="preserve"> </w:t>
      </w:r>
      <w:r>
        <w:t xml:space="preserve">is assessed on impact and uncertainty alone (Tool #1 of the case study). The risk carried by</w:t>
      </w:r>
      <w:r>
        <w:t xml:space="preserve"> </w:t>
      </w:r>
      <w:r>
        <w:t xml:space="preserve">a process parameter is a property of the process, and it uses severity, occurrence and</w:t>
      </w:r>
      <w:r>
        <w:t xml:space="preserve"> </w:t>
      </w:r>
      <w:r>
        <w:t xml:space="preserve">detection. Confusing the two would let manufacturing capability change the criticality of an</w:t>
      </w:r>
      <w:r>
        <w:t xml:space="preserve"> </w:t>
      </w:r>
      <w:r>
        <w:t xml:space="preserve">attribute, and criticality must not depend on how well a particular facility happens to</w:t>
      </w:r>
      <w:r>
        <w:t xml:space="preserve"> </w:t>
      </w:r>
      <w:r>
        <w:t xml:space="preserve">control a parameter.</w:t>
      </w:r>
    </w:p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Every attribute</w:t>
      </w:r>
      <w:r>
        <w:t xml:space="preserve"> </w:t>
      </w:r>
      <w:r>
        <w:t xml:space="preserve">carries a criticality level, and the attributes at high and very high criticality are</w:t>
      </w:r>
      <w:r>
        <w:t xml:space="preserve"> </w:t>
      </w:r>
      <w:r>
        <w:t xml:space="preserve">treated as critical for the purposes of this assessment</w:t>
      </w:r>
      <w:r>
        <w:t xml:space="preserve"> </w:t>
      </w:r>
      <w:r>
        <w:t xml:space="preserve">(CMC Biotech Working Group 2009)</w:t>
      </w:r>
      <w:r>
        <w:t xml:space="preserve">. The consequence for a</w:t>
      </w:r>
      <w:r>
        <w:t xml:space="preserve"> </w:t>
      </w:r>
      <w:r>
        <w:t xml:space="preserve">process parameter is that its severity is inherited from the most critical attribute it can</w:t>
      </w:r>
      <w:r>
        <w:t xml:space="preserve"> </w:t>
      </w:r>
      <w:r>
        <w:t xml:space="preserve">affect, so a parameter that reaches several attributes takes the severity of the worst of</w:t>
      </w:r>
      <w:r>
        <w:t xml:space="preserve"> </w:t>
      </w:r>
      <w:r>
        <w:t xml:space="preserve">them and a parameter linked to no attribute at all sits at the bottom of the scale.</w:t>
      </w:r>
    </w:p>
    <w:p>
      <w:pPr>
        <w:pStyle w:val="BodyText"/>
      </w:pPr>
      <w:r>
        <w:t xml:space="preserve">The three scoring scales are given in</w:t>
      </w:r>
      <w:r>
        <w:t xml:space="preserve"> </w:t>
      </w:r>
      <w:hyperlink w:anchor="tbl-scales">
        <w:r>
          <w:rPr>
            <w:rStyle w:val="Hyperlink"/>
          </w:rPr>
          <w:t xml:space="preserve">Table 3</w:t>
        </w:r>
      </w:hyperlink>
      <w:r>
        <w:t xml:space="preserve">. Severity describes the consequence of the</w:t>
      </w:r>
      <w:r>
        <w:t xml:space="preserve"> </w:t>
      </w:r>
      <w:r>
        <w:t xml:space="preserve">failure mode for the product, occurrence describes how often the parameter is expected to</w:t>
      </w:r>
      <w:r>
        <w:t xml:space="preserve"> </w:t>
      </w:r>
      <w:r>
        <w:t xml:space="preserve">leave its range with the controls that exist today, and detection describes whether the</w:t>
      </w:r>
      <w:r>
        <w:t xml:space="preserve"> </w:t>
      </w:r>
      <w:r>
        <w:t xml:space="preserve">resulting change would be seen and where in the process or in the testing programme it would</w:t>
      </w:r>
      <w:r>
        <w:t xml:space="preserve"> </w:t>
      </w:r>
      <w:r>
        <w:t xml:space="preserve">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ca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Severity, occurrence and detection scales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720"/>
              <w:gridCol w:w="880"/>
              <w:gridCol w:w="53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Occurrence and detection are scored as they stand before characterization, and the</w:t>
      </w:r>
      <w:r>
        <w:t xml:space="preserve"> </w:t>
      </w:r>
      <w:r>
        <w:t xml:space="preserve">assignment is given in</w:t>
      </w:r>
      <w:r>
        <w:t xml:space="preserve"> </w:t>
      </w:r>
      <w:hyperlink w:anchor="tbl-od">
        <w:r>
          <w:rPr>
            <w:rStyle w:val="Hyperlink"/>
          </w:rPr>
          <w:t xml:space="preserve">Table 4</w:t>
        </w:r>
      </w:hyperlink>
      <w:r>
        <w:t xml:space="preserve">. A parameter that can affect a quality attribute takes the</w:t>
      </w:r>
      <w:r>
        <w:t xml:space="preserve"> </w:t>
      </w:r>
      <w:r>
        <w:t xml:space="preserve">higher occurrence band, because the range that would keep the attribute inside its limit is</w:t>
      </w:r>
      <w:r>
        <w:t xml:space="preserve"> </w:t>
      </w:r>
      <w:r>
        <w:t xml:space="preserve">not yet known and the current range is not yet proven. Detection is scored from where the</w:t>
      </w:r>
      <w:r>
        <w:t xml:space="preserve"> </w:t>
      </w:r>
      <w:r>
        <w:t xml:space="preserve">failure would surface. A glycan or charge change is not visible during the operation that</w:t>
      </w:r>
      <w:r>
        <w:t xml:space="preserve"> </w:t>
      </w:r>
      <w:r>
        <w:t xml:space="preserve">forms it and is found at release testing (the second detection band). A loss of viral</w:t>
      </w:r>
      <w:r>
        <w:t xml:space="preserve"> </w:t>
      </w:r>
      <w:r>
        <w:t xml:space="preserve">clearance is not visible at all on the drug substance, since clearance is demonstrated in</w:t>
      </w:r>
      <w:r>
        <w:t xml:space="preserve"> </w:t>
      </w:r>
      <w:r>
        <w:t xml:space="preserve">small-scale spiking studies and is never measured on the batch</w:t>
      </w:r>
      <w:r>
        <w:t xml:space="preserve"> </w:t>
      </w:r>
      <w:r>
        <w:t xml:space="preserve">(International Council for Harmonisation 2023a)</w:t>
      </w:r>
      <w:r>
        <w:t xml:space="preserve">, so the</w:t>
      </w:r>
      <w:r>
        <w:t xml:space="preserve"> </w:t>
      </w:r>
      <w:r>
        <w:t xml:space="preserve">8 parameters that can reach a viral-clearance attribute take the lowest</w:t>
      </w:r>
      <w:r>
        <w:t xml:space="preserve"> </w:t>
      </w:r>
      <w:r>
        <w:t xml:space="preserve">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o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Initial occurrence and detection assignment, before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87"/>
              <w:gridCol w:w="1980"/>
              <w:gridCol w:w="189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Occurrence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Detection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Viral-clearance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Product-quality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product of the three scores is the initial risk priority number, which ranks parameters</w:t>
      </w:r>
      <w:r>
        <w:t xml:space="preserve"> </w:t>
      </w:r>
      <w:r>
        <w:t xml:space="preserve">against one another and is not a probability. Priority follows from severity. A parameter</w:t>
      </w:r>
      <w:r>
        <w:t xml:space="preserve"> </w:t>
      </w:r>
      <w:r>
        <w:t xml:space="preserve">that can affect an attribute at the high severity band or above is ranked High priority, a</w:t>
      </w:r>
      <w:r>
        <w:t xml:space="preserve"> </w:t>
      </w:r>
      <w:r>
        <w:t xml:space="preserve">parameter linked only to a less severe attribute is ranked Medium, and a parameter that acts</w:t>
      </w:r>
      <w:r>
        <w:t xml:space="preserve"> </w:t>
      </w:r>
      <w:r>
        <w:t xml:space="preserve">on process performance alone is ranked Low.</w:t>
      </w:r>
    </w:p>
    <w:p>
      <w:pPr>
        <w:pStyle w:val="BodyText"/>
      </w:pPr>
      <w:r>
        <w:t xml:space="preserve">The study type is then decided by the combined risk score. Both rankings use the impact</w:t>
      </w:r>
      <w:r>
        <w:t xml:space="preserve"> </w:t>
      </w:r>
      <w:r>
        <w:t xml:space="preserve">scale in</w:t>
      </w:r>
      <w:r>
        <w:t xml:space="preserve"> </w:t>
      </w:r>
      <w:hyperlink w:anchor="tbl-rrf-impact">
        <w:r>
          <w:rPr>
            <w:rStyle w:val="Hyperlink"/>
          </w:rPr>
          <w:t xml:space="preserve">Table 5</w:t>
        </w:r>
      </w:hyperlink>
      <w:r>
        <w:t xml:space="preserve">, and their product is mapped to a study type by the bands in</w:t>
      </w:r>
      <w:r>
        <w:t xml:space="preserve"> </w:t>
      </w:r>
      <w:hyperlink w:anchor="tbl-rrf-bands">
        <w:r>
          <w:rPr>
            <w:rStyle w:val="Hyperlink"/>
          </w:rPr>
          <w:t xml:space="preserve">Table 6</w:t>
        </w:r>
      </w:hyperlink>
      <w:r>
        <w:t xml:space="preserve">. Parameters at the top band are studied together in a multivariate design,</w:t>
      </w:r>
      <w:r>
        <w:t xml:space="preserve"> </w:t>
      </w:r>
      <w:r>
        <w:t xml:space="preserve">because an effect that depends on the level of a second parameter cannot be estimated one</w:t>
      </w:r>
      <w:r>
        <w:t xml:space="preserve"> </w:t>
      </w:r>
      <w:r>
        <w:t xml:space="preserve">factor at a time. Parameters in the middle band go to a multivariate design as well, unless</w:t>
      </w:r>
      <w:r>
        <w:t xml:space="preserve"> </w:t>
      </w:r>
      <w:r>
        <w:t xml:space="preserve">a univariate study can be justified from the mechanism by which the parameter acts and from</w:t>
      </w:r>
      <w:r>
        <w:t xml:space="preserve"> </w:t>
      </w:r>
      <w:r>
        <w:t xml:space="preserve">the controls already placed on it. Parameters at the bottom of the scale need no new study,</w:t>
      </w:r>
      <w:r>
        <w:t xml:space="preserve"> </w:t>
      </w:r>
      <w:r>
        <w:t xml:space="preserve">and their ranges are supported by platform knowledge and by the existing manufacturing</w:t>
      </w:r>
      <w:r>
        <w:t xml:space="preserve"> </w:t>
      </w:r>
      <w:r>
        <w:t xml:space="preserve">controls (procedural and equipment).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rf-imp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Impact scale used for both rankings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1"/>
              <w:gridCol w:w="913"/>
              <w:gridCol w:w="5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Variation not detectable/within assay variability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acceptable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acceptable range, can be near edge of failure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rf-b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Combined risk score and the study type it assigns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and above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or justified 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and below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study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Where no data or rationale was available to score a parameter, the parameter was ranked at</w:t>
      </w:r>
      <w:r>
        <w:t xml:space="preserve"> </w:t>
      </w:r>
      <w:r>
        <w:t xml:space="preserve">the highest level</w:t>
      </w:r>
      <w:r>
        <w:t xml:space="preserve"> </w:t>
      </w:r>
      <w:r>
        <w:t xml:space="preserve">(CMC Biotech Working Group 2009)</w:t>
      </w:r>
      <w:r>
        <w:t xml:space="preserve">. This conservative default gives the method a deliberate</w:t>
      </w:r>
      <w:r>
        <w:t xml:space="preserve"> </w:t>
      </w:r>
      <w:r>
        <w:t xml:space="preserve">asymmetry, since uncertainty can move a parameter up the scale but cannot move it down, and</w:t>
      </w:r>
      <w:r>
        <w:t xml:space="preserve"> </w:t>
      </w:r>
      <w:r>
        <w:t xml:space="preserve">the assignment consequently errs toward more study. The cost of that error is study effort.</w:t>
      </w:r>
      <w:r>
        <w:t xml:space="preserve"> </w:t>
      </w:r>
      <w:r>
        <w:t xml:space="preserve">The opposite error would leave a real effect undetected until process performance</w:t>
      </w:r>
      <w:r>
        <w:t xml:space="preserve"> </w:t>
      </w:r>
      <w:r>
        <w:t xml:space="preserve">qualification (PPQ), where the cost is a failed batch and a delayed filing.</w:t>
      </w:r>
    </w:p>
    <w:bookmarkEnd w:id="18"/>
    <w:bookmarkStart w:id="20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severity of every parameter in this assessment is inherited from the attribute it can</w:t>
      </w:r>
      <w:r>
        <w:t xml:space="preserve"> </w:t>
      </w:r>
      <w:r>
        <w:t xml:space="preserve">affect, so the attribute register is the input to the ranking rather than a summary of it.</w:t>
      </w:r>
      <w:r>
        <w:t xml:space="preserve"> </w:t>
      </w:r>
      <w:r>
        <w:t xml:space="preserve">The register is given in</w:t>
      </w:r>
      <w:r>
        <w:t xml:space="preserve"> </w:t>
      </w:r>
      <w:hyperlink w:anchor="tbl-cqa">
        <w:r>
          <w:rPr>
            <w:rStyle w:val="Hyperlink"/>
          </w:rPr>
          <w:t xml:space="preserve">Table 7</w:t>
        </w:r>
      </w:hyperlink>
      <w:r>
        <w:t xml:space="preserve">, with the criticality level assigned to each attribute,</w:t>
      </w:r>
      <w:r>
        <w:t xml:space="preserve"> </w:t>
      </w:r>
      <w:r>
        <w:t xml:space="preserve">the score behind that level, the severity it confers on a parameter, and the step that forms</w:t>
      </w:r>
      <w:r>
        <w:t xml:space="preserve"> </w:t>
      </w:r>
      <w:r>
        <w:t xml:space="preserve">or sets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Quality attributes, criticality and the severity each confers.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10 attributes are carried, and 6 of them are at high or</w:t>
      </w:r>
      <w:r>
        <w:t xml:space="preserve"> </w:t>
      </w:r>
      <w:r>
        <w:t xml:space="preserve">very high criticality. 3 sit at very high criticality, namely high mannose and</w:t>
      </w:r>
      <w:r>
        <w:t xml:space="preserve"> </w:t>
      </w:r>
      <w:r>
        <w:t xml:space="preserve">the cumulative viral-clearance attributes (XMuLV for enveloped virus and MVM for</w:t>
      </w:r>
      <w:r>
        <w:t xml:space="preserve"> </w:t>
      </w:r>
      <w:r>
        <w:t xml:space="preserve">parvovirus), which together set the top of the severity scale for every parameter that</w:t>
      </w:r>
      <w:r>
        <w:t xml:space="preserve"> </w:t>
      </w:r>
      <w:r>
        <w:t xml:space="preserve">reaches them.</w:t>
      </w:r>
    </w:p>
    <w:p>
      <w:pPr>
        <w:pStyle w:val="BodyText"/>
      </w:pPr>
      <w:r>
        <w:t xml:space="preserve">The glycan attributes are linked to efficacy. A-Mab is a humanized IgG1 whose principal</w:t>
      </w:r>
      <w:r>
        <w:t xml:space="preserve"> </w:t>
      </w:r>
      <w:r>
        <w:t xml:space="preserve">mechanism of action is antibody-dependent cell-mediated cytotoxicity (ADCC), so</w:t>
      </w:r>
      <w:r>
        <w:t xml:space="preserve"> </w:t>
      </w:r>
      <w:r>
        <w:t xml:space="preserve">afucosylation and galactosylation change potency directly, and high mannose changes</w:t>
      </w:r>
      <w:r>
        <w:t xml:space="preserve"> </w:t>
      </w:r>
      <w:r>
        <w:t xml:space="preserve">clearance in addition to potency. All three are formed in the production bioreactor, and</w:t>
      </w:r>
      <w:r>
        <w:t xml:space="preserve"> </w:t>
      </w:r>
      <w:r>
        <w:t xml:space="preserve">prior platform experience shows that they are not modified by the purification train,</w:t>
      </w:r>
      <w:r>
        <w:t xml:space="preserve"> </w:t>
      </w:r>
      <w:r>
        <w:t xml:space="preserve">because affinity capture under platform conditions does not separate glycoforms and the</w:t>
      </w:r>
      <w:r>
        <w:t xml:space="preserve"> </w:t>
      </w:r>
      <w:r>
        <w:t xml:space="preserve">charge-based steps (cation and anion exchange) do not discriminate between them either</w:t>
      </w:r>
      <w:r>
        <w:t xml:space="preserve"> </w:t>
      </w:r>
      <w:r>
        <w:t xml:space="preserve">(CMC Biotech Working Group 2009)</w:t>
      </w:r>
      <w:r>
        <w:t xml:space="preserve">. The severity of the whole glycan set falls on one step, which is the single</w:t>
      </w:r>
      <w:r>
        <w:t xml:space="preserve"> </w:t>
      </w:r>
      <w:r>
        <w:t xml:space="preserve">largest influence on the shape of this assessment.</w:t>
      </w:r>
    </w:p>
    <w:p>
      <w:pPr>
        <w:pStyle w:val="BodyText"/>
      </w:pPr>
      <w:r>
        <w:t xml:space="preserve">The viral-clearance attributes behave differently again. Both are cumulative over the</w:t>
      </w:r>
      <w:r>
        <w:t xml:space="preserve"> </w:t>
      </w:r>
      <w:r>
        <w:t xml:space="preserve">process and neither can be measured on the drug substance, so they are demonstrated in</w:t>
      </w:r>
      <w:r>
        <w:t xml:space="preserve"> </w:t>
      </w:r>
      <w:r>
        <w:t xml:space="preserve">small-scale spiking studies at the steps credited with clearance under the modular approach,</w:t>
      </w:r>
      <w:r>
        <w:t xml:space="preserve"> </w:t>
      </w:r>
      <w:r>
        <w:t xml:space="preserve">which are the low-pH hold,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 A parameter at any</w:t>
      </w:r>
      <w:r>
        <w:t xml:space="preserve"> </w:t>
      </w:r>
      <w:r>
        <w:t xml:space="preserve">one of those steps inherits the severity of a very high criticality attribute together with</w:t>
      </w:r>
      <w:r>
        <w:t xml:space="preserve"> </w:t>
      </w:r>
      <w:r>
        <w:t xml:space="preserve">the lowest detection score, and that combination produces the highest initial risk numbers</w:t>
      </w:r>
      <w:r>
        <w:t xml:space="preserve"> </w:t>
      </w:r>
      <w:r>
        <w:t xml:space="preserve">in the assessment before any evidence about the size of the parameter’s effect has been</w:t>
      </w:r>
      <w:r>
        <w:t xml:space="preserve"> </w:t>
      </w:r>
      <w:r>
        <w:t xml:space="preserve">gathered.</w:t>
      </w:r>
    </w:p>
    <w:p>
      <w:pPr>
        <w:pStyle w:val="BodyText"/>
      </w:pPr>
      <w:r>
        <w:t xml:space="preserve">The process impurities are shared across steps. Host cell protein (HCP) and residual DNA are</w:t>
      </w:r>
      <w:r>
        <w:t xml:space="preserve"> </w:t>
      </w:r>
      <w:r>
        <w:t xml:space="preserve">formed in the culture and are cleared by three chromatography steps in series, so no single</w:t>
      </w:r>
      <w:r>
        <w:t xml:space="preserve"> </w:t>
      </w:r>
      <w:r>
        <w:t xml:space="preserve">step carries either attribute alone, and the ranking reflects that. Host cell protein</w:t>
      </w:r>
      <w:r>
        <w:t xml:space="preserve"> </w:t>
      </w:r>
      <w:r>
        <w:t xml:space="preserve">appears against parameters of the capture step, the cation exchange step and the anion</w:t>
      </w:r>
      <w:r>
        <w:t xml:space="preserve"> </w:t>
      </w:r>
      <w:r>
        <w:t xml:space="preserve">exchange step, and it confers the same severity in each. How the clearance is apportioned</w:t>
      </w:r>
      <w:r>
        <w:t xml:space="preserve"> </w:t>
      </w:r>
      <w:r>
        <w:t xml:space="preserve">between those steps is decided by the studies (PCP-005, PCP-007 and PCP-008) and</w:t>
      </w:r>
      <w:r>
        <w:t xml:space="preserve"> </w:t>
      </w:r>
      <w:r>
        <w:t xml:space="preserve">consolidated in PCMR-001, not here.</w:t>
      </w:r>
    </w:p>
    <w:p>
      <w:pPr>
        <w:pStyle w:val="BodyText"/>
      </w:pPr>
      <w:r>
        <w:t xml:space="preserve">Two attributes are retained at very low criticality. Acidic charge variants and residual DNA</w:t>
      </w:r>
      <w:r>
        <w:t xml:space="preserve"> </w:t>
      </w:r>
      <w:r>
        <w:t xml:space="preserve">sit at the bottom of the register, and both are still ranked, because an attribute of low</w:t>
      </w:r>
      <w:r>
        <w:t xml:space="preserve"> </w:t>
      </w:r>
      <w:r>
        <w:t xml:space="preserve">criticality still has an acceptance limit and a parameter that can reach that limit still</w:t>
      </w:r>
      <w:r>
        <w:t xml:space="preserve"> </w:t>
      </w:r>
      <w:r>
        <w:t xml:space="preserve">needs a range. Acidic variants are the reason the culture chemistry parameters are ranked</w:t>
      </w:r>
      <w:r>
        <w:t xml:space="preserve"> </w:t>
      </w:r>
      <w:r>
        <w:t xml:space="preserve">beyond their glycan effects, and residual DNA, together with host cell protein, is the</w:t>
      </w:r>
      <w:r>
        <w:t xml:space="preserve"> </w:t>
      </w:r>
      <w:r>
        <w:t xml:space="preserve">reason culture duration is ranked at all. Leached Protein A sits between the two groups at</w:t>
      </w:r>
      <w:r>
        <w:t xml:space="preserve"> </w:t>
      </w:r>
      <w:r>
        <w:t xml:space="preserve">low to moderate criticality and is set by the capture step, where it is measured by the</w:t>
      </w:r>
      <w:r>
        <w:t xml:space="preserve"> </w:t>
      </w:r>
      <w:r>
        <w:t xml:space="preserve">leached Protein A immunoassay (AMV-3016).</w:t>
      </w:r>
    </w:p>
    <w:bookmarkEnd w:id="20"/>
    <w:bookmarkStart w:id="37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37 parameters were carried into the assessment across the</w:t>
      </w:r>
      <w:r>
        <w:t xml:space="preserve"> </w:t>
      </w:r>
      <w:r>
        <w:t xml:space="preserve">8 steps of the drug-substance train. 21 of them can</w:t>
      </w:r>
      <w:r>
        <w:t xml:space="preserve"> </w:t>
      </w:r>
      <w:r>
        <w:t xml:space="preserve">affect at least one quality attribute, and the remaining 16 act on process</w:t>
      </w:r>
      <w:r>
        <w:t xml:space="preserve"> </w:t>
      </w:r>
      <w:r>
        <w:t xml:space="preserve">performance only. 16 parameters are ranked High priority,</w:t>
      </w:r>
      <w:r>
        <w:t xml:space="preserve"> </w:t>
      </w:r>
      <w:r>
        <w:t xml:space="preserve">5 Medium and 16 Low. The highest initial risk number in the</w:t>
      </w:r>
      <w:r>
        <w:t xml:space="preserve"> </w:t>
      </w:r>
      <w:r>
        <w:t xml:space="preserve">assessment is 700, and the 8 parameters that reach it all</w:t>
      </w:r>
      <w:r>
        <w:t xml:space="preserve"> </w:t>
      </w:r>
      <w:r>
        <w:t xml:space="preserve">belong to the three steps credited with viral clearance (the low-pH hold, anion exchange and</w:t>
      </w:r>
      <w:r>
        <w:t xml:space="preserve"> </w:t>
      </w:r>
      <w:r>
        <w:t xml:space="preserve">virus filtration).</w:t>
      </w:r>
    </w:p>
    <w:p>
      <w:pPr>
        <w:pStyle w:val="BodyText"/>
      </w:pPr>
      <w:r>
        <w:t xml:space="preserve">The tables below give, for each step, the failure mode considered, the attributes that</w:t>
      </w:r>
      <w:r>
        <w:t xml:space="preserve"> </w:t>
      </w:r>
      <w:r>
        <w:t xml:space="preserve">failure mode could reach and the resulting score, and the narrative names the parameters</w:t>
      </w:r>
      <w:r>
        <w:t xml:space="preserve"> </w:t>
      </w:r>
      <w:r>
        <w:t xml:space="preserve">that drive the outcome of each step and the mechanism by which they act. Existing controls</w:t>
      </w:r>
      <w:r>
        <w:t xml:space="preserve"> </w:t>
      </w:r>
      <w:r>
        <w:t xml:space="preserve">are described in the text, since it is the control already in place, together with the</w:t>
      </w:r>
      <w:r>
        <w:t xml:space="preserve"> </w:t>
      </w:r>
      <w:r>
        <w:t xml:space="preserve">monitoring already in place, that fixes the occurrence and detection scores.</w:t>
      </w:r>
    </w:p>
    <w:bookmarkStart w:id="22" w:name="production-bioreactor"/>
    <w:p>
      <w:pPr>
        <w:pStyle w:val="Heading2"/>
      </w:pPr>
      <w:r>
        <w:t xml:space="preserve">4.1 Production bioreactor</w:t>
      </w:r>
    </w:p>
    <w:p>
      <w:pPr>
        <w:pStyle w:val="FirstParagraph"/>
      </w:pPr>
      <w:r>
        <w:t xml:space="preserve">The bioreactor forms 7 of the 10 attributes in the</w:t>
      </w:r>
      <w:r>
        <w:t xml:space="preserve"> </w:t>
      </w:r>
      <w:r>
        <w:t xml:space="preserve">register, so it carries more severity than any other step in the train.</w:t>
      </w:r>
      <w:r>
        <w:t xml:space="preserve"> </w:t>
      </w:r>
      <w:r>
        <w:t xml:space="preserve">5 of its 9 parameters are linked</w:t>
      </w:r>
      <w:r>
        <w:t xml:space="preserve"> </w:t>
      </w:r>
      <w:r>
        <w:t xml:space="preserve">to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-biore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Pre-characterization risk ranking,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8"/>
              <w:gridCol w:w="2248"/>
              <w:gridCol w:w="3977"/>
              <w:gridCol w:w="276"/>
              <w:gridCol w:w="4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characterized range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Culture pH is the only parameter that reaches all five formed attributes, and it takes the</w:t>
      </w:r>
      <w:r>
        <w:t xml:space="preserve"> </w:t>
      </w:r>
      <w:r>
        <w:t xml:space="preserve">highest severity of the step. Temperature acts with pH on the glycosyltransferase activity</w:t>
      </w:r>
      <w:r>
        <w:t xml:space="preserve"> </w:t>
      </w:r>
      <w:r>
        <w:t xml:space="preserve">that sets afucosylation and galactosylation, and the two are expected to interact. Dissolved</w:t>
      </w:r>
      <w:r>
        <w:t xml:space="preserve"> </w:t>
      </w:r>
      <w:r>
        <w:t xml:space="preserve">carbon dioxide (pCO2) and osmolality act on galactosylation and on the acidic charge</w:t>
      </w:r>
      <w:r>
        <w:t xml:space="preserve"> </w:t>
      </w:r>
      <w:r>
        <w:t xml:space="preserve">variants, and both change the ionic and buffering environment that pH also changes, so an</w:t>
      </w:r>
      <w:r>
        <w:t xml:space="preserve"> </w:t>
      </w:r>
      <w:r>
        <w:t xml:space="preserve">interaction is expected there as well. Culture duration is different in kind. It does not</w:t>
      </w:r>
      <w:r>
        <w:t xml:space="preserve"> </w:t>
      </w:r>
      <w:r>
        <w:t xml:space="preserve">change the culture chemistry directly but sets how long the product is exposed to that</w:t>
      </w:r>
      <w:r>
        <w:t xml:space="preserve"> </w:t>
      </w:r>
      <w:r>
        <w:t xml:space="preserve">chemistry, and as viability falls toward the end of the run the culture releases host cell</w:t>
      </w:r>
      <w:r>
        <w:t xml:space="preserve"> </w:t>
      </w:r>
      <w:r>
        <w:t xml:space="preserve">protein and DNA while the aggregate level rises.</w:t>
      </w:r>
    </w:p>
    <w:p>
      <w:pPr>
        <w:pStyle w:val="BodyText"/>
      </w:pPr>
      <w:r>
        <w:t xml:space="preserve">The remaining parameters act on titer and on run-to-run consistency. Dissolved oxygen,</w:t>
      </w:r>
      <w:r>
        <w:t xml:space="preserve"> </w:t>
      </w:r>
      <w:r>
        <w:t xml:space="preserve">inoculation density, basal medium concentration and nutrient feed volume are held by</w:t>
      </w:r>
      <w:r>
        <w:t xml:space="preserve"> </w:t>
      </w:r>
      <w:r>
        <w:t xml:space="preserve">closed-loop control or delivered gravimetrically, and none of them is expected to move a</w:t>
      </w:r>
      <w:r>
        <w:t xml:space="preserve"> </w:t>
      </w:r>
      <w:r>
        <w:t xml:space="preserve">quality attribute across the range in which it is held. They are ranked at the performance</w:t>
      </w:r>
      <w:r>
        <w:t xml:space="preserve"> </w:t>
      </w:r>
      <w:r>
        <w:t xml:space="preserve">severity band and assigned univariate assessment.</w:t>
      </w:r>
    </w:p>
    <w:p>
      <w:pPr>
        <w:pStyle w:val="BodyText"/>
      </w:pPr>
      <w:r>
        <w:t xml:space="preserve">Detection is the weakest element at this step, and parameter control is not. pH, temperature</w:t>
      </w:r>
      <w:r>
        <w:t xml:space="preserve"> </w:t>
      </w:r>
      <w:r>
        <w:t xml:space="preserve">and dissolved oxygen are held against calibrated redundant probes with continuous in-process</w:t>
      </w:r>
      <w:r>
        <w:t xml:space="preserve"> </w:t>
      </w:r>
      <w:r>
        <w:t xml:space="preserve">monitoring, and nutrient feed is delivered against a gravimetric target. None of the five</w:t>
      </w:r>
      <w:r>
        <w:t xml:space="preserve"> </w:t>
      </w:r>
      <w:r>
        <w:t xml:space="preserve">formed attributes is measured during the culture, however, and all of them are seen first at</w:t>
      </w:r>
      <w:r>
        <w:t xml:space="preserve"> </w:t>
      </w:r>
      <w:r>
        <w:t xml:space="preserve">release testing, so the occurrence and detection scores reflect the monitoring of the</w:t>
      </w:r>
      <w:r>
        <w:t xml:space="preserve"> </w:t>
      </w:r>
      <w:r>
        <w:t xml:space="preserve">attribute and not the control of the parameter. 5 parameters go</w:t>
      </w:r>
      <w:r>
        <w:t xml:space="preserve"> </w:t>
      </w:r>
      <w:r>
        <w:t xml:space="preserve">to the multivariate design and 4 to univariate assessment, and</w:t>
      </w:r>
      <w:r>
        <w:t xml:space="preserve"> </w:t>
      </w:r>
      <w:r>
        <w:t xml:space="preserve">both sets are executed under PCP-003.</w:t>
      </w:r>
    </w:p>
    <w:bookmarkEnd w:id="22"/>
    <w:bookmarkStart w:id="24" w:name="harvest-and-clarification"/>
    <w:p>
      <w:pPr>
        <w:pStyle w:val="Heading2"/>
      </w:pPr>
      <w:r>
        <w:t xml:space="preserve">4.2 Harvest and clarification</w:t>
      </w:r>
    </w:p>
    <w:p>
      <w:pPr>
        <w:pStyle w:val="FirstParagraph"/>
      </w:pPr>
      <w:r>
        <w:t xml:space="preserve">No parameter of the harvest step can change a product quality attribute, so every parameter</w:t>
      </w:r>
      <w:r>
        <w:t xml:space="preserve"> </w:t>
      </w:r>
      <w:r>
        <w:t xml:space="preserve">is ranked at the performance severity band and the step takes the lowest initial risk number</w:t>
      </w:r>
      <w:r>
        <w:t xml:space="preserve"> </w:t>
      </w:r>
      <w:r>
        <w:t xml:space="preserve">in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Pre-characterization risk ranking, harvest and clarification.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48"/>
              <w:gridCol w:w="2799"/>
              <w:gridCol w:w="1638"/>
              <w:gridCol w:w="546"/>
              <w:gridCol w:w="8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Centrifugation speed and depth filter load act on clarification efficiency, on filter</w:t>
      </w:r>
      <w:r>
        <w:t xml:space="preserve"> </w:t>
      </w:r>
      <w:r>
        <w:t xml:space="preserve">capacity and on step yield. Post-clarification turbidity is the measure of the feed quality</w:t>
      </w:r>
      <w:r>
        <w:t xml:space="preserve"> </w:t>
      </w:r>
      <w:r>
        <w:t xml:space="preserve">handed to capture, and it is monitored in process by nephelometry (AMV-3015). Host cell</w:t>
      </w:r>
      <w:r>
        <w:t xml:space="preserve"> </w:t>
      </w:r>
      <w:r>
        <w:t xml:space="preserve">protein and DNA pass through the step and are cleared downstream, so the risk they carry is</w:t>
      </w:r>
      <w:r>
        <w:t xml:space="preserve"> </w:t>
      </w:r>
      <w:r>
        <w:t xml:space="preserve">ranked against the parameters of the capture and polishing steps and not against these. All</w:t>
      </w:r>
      <w:r>
        <w:t xml:space="preserve"> </w:t>
      </w:r>
      <w:r>
        <w:t xml:space="preserve">3 parameters are assigned univariate assessment under PCP-004.</w:t>
      </w:r>
    </w:p>
    <w:bookmarkEnd w:id="24"/>
    <w:bookmarkStart w:id="26" w:name="protein-a-chromatography"/>
    <w:p>
      <w:pPr>
        <w:pStyle w:val="Heading2"/>
      </w:pPr>
      <w:r>
        <w:t xml:space="preserve">4.3 Protein A chromatography</w:t>
      </w:r>
    </w:p>
    <w:p>
      <w:pPr>
        <w:pStyle w:val="FirstParagraph"/>
      </w:pPr>
      <w:r>
        <w:t xml:space="preserve">2 of the 6 capture parameters are</w:t>
      </w:r>
      <w:r>
        <w:t xml:space="preserve"> </w:t>
      </w:r>
      <w:r>
        <w:t xml:space="preserve">linked to a quality attribute, and both are linked to the same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a-protein-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Pre-characterization risk ranking, Protein A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3548"/>
              <w:gridCol w:w="1583"/>
              <w:gridCol w:w="506"/>
              <w:gridCol w:w="8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characterized range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Protein load and elution buffer pH both act on the host cell protein content of the pool,</w:t>
      </w:r>
      <w:r>
        <w:t xml:space="preserve"> </w:t>
      </w:r>
      <w:r>
        <w:t xml:space="preserve">and platform experience indicates that they act together, with a high load at a low elution</w:t>
      </w:r>
      <w:r>
        <w:t xml:space="preserve"> </w:t>
      </w:r>
      <w:r>
        <w:t xml:space="preserve">pH giving the highest pool level</w:t>
      </w:r>
      <w:r>
        <w:t xml:space="preserve"> </w:t>
      </w:r>
      <w:r>
        <w:t xml:space="preserve">(CMC Biotech Working Group 2009)</w:t>
      </w:r>
      <w:r>
        <w:t xml:space="preserve">. Host cell protein is cleared again at cation</w:t>
      </w:r>
      <w:r>
        <w:t xml:space="preserve"> </w:t>
      </w:r>
      <w:r>
        <w:t xml:space="preserve">and anion exchange, so the severity carried here sits at the moderate band and not at the</w:t>
      </w:r>
      <w:r>
        <w:t xml:space="preserve"> </w:t>
      </w:r>
      <w:r>
        <w:t xml:space="preserve">high band, and the detection score reflects release testing by the host cell protein</w:t>
      </w:r>
      <w:r>
        <w:t xml:space="preserve"> </w:t>
      </w:r>
      <w:r>
        <w:t xml:space="preserve">immunoassay (AMV-3012).</w:t>
      </w:r>
    </w:p>
    <w:p>
      <w:pPr>
        <w:pStyle w:val="BodyText"/>
      </w:pPr>
      <w:r>
        <w:t xml:space="preserve">Load flow rate and end-of-pool collection act on yield and on pool volume, and they are</w:t>
      </w:r>
      <w:r>
        <w:t xml:space="preserve"> </w:t>
      </w:r>
      <w:r>
        <w:t xml:space="preserve">ranked at the performance band. Both are nevertheless carried into the multivariate design,</w:t>
      </w:r>
      <w:r>
        <w:t xml:space="preserve"> </w:t>
      </w:r>
      <w:r>
        <w:t xml:space="preserve">because they share a column with the two quality-linked parameters and the composition of</w:t>
      </w:r>
      <w:r>
        <w:t xml:space="preserve"> </w:t>
      </w:r>
      <w:r>
        <w:t xml:space="preserve">the pool cannot be attributed to load alone when the collection window and the residence</w:t>
      </w:r>
      <w:r>
        <w:t xml:space="preserve"> </w:t>
      </w:r>
      <w:r>
        <w:t xml:space="preserve">time move with it. Operating temperature and bed height are held at platform values, are</w:t>
      </w:r>
      <w:r>
        <w:t xml:space="preserve"> </w:t>
      </w:r>
      <w:r>
        <w:t xml:space="preserve">supported by the platform performance history, and are assessed univariately. The step</w:t>
      </w:r>
      <w:r>
        <w:t xml:space="preserve"> </w:t>
      </w:r>
      <w:r>
        <w:t xml:space="preserve">contributes 4 parameters to a multivariate design and</w:t>
      </w:r>
      <w:r>
        <w:t xml:space="preserve"> </w:t>
      </w:r>
      <w:r>
        <w:t xml:space="preserve">2 to univariate assessment under PCP-005.</w:t>
      </w:r>
    </w:p>
    <w:bookmarkEnd w:id="26"/>
    <w:bookmarkStart w:id="28" w:name="low-ph-viral-inactivation"/>
    <w:p>
      <w:pPr>
        <w:pStyle w:val="Heading2"/>
      </w:pPr>
      <w:r>
        <w:t xml:space="preserve">4.4 Low-pH viral inactivation</w:t>
      </w:r>
    </w:p>
    <w:p>
      <w:pPr>
        <w:pStyle w:val="FirstParagraph"/>
      </w:pPr>
      <w:r>
        <w:t xml:space="preserve">3 of the 4</w:t>
      </w:r>
      <w:r>
        <w:t xml:space="preserve"> </w:t>
      </w:r>
      <w:r>
        <w:t xml:space="preserve">parameters of the hold step reach the enveloped-virus clearance attribute, and all of them</w:t>
      </w:r>
      <w:r>
        <w:t xml:space="preserve"> </w:t>
      </w:r>
      <w:r>
        <w:t xml:space="preserve">take the maximum initial risk number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-viral-inactiv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Pre-characterization risk ranking, low-pH viral inactivation.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1"/>
              <w:gridCol w:w="3479"/>
              <w:gridCol w:w="2517"/>
              <w:gridCol w:w="366"/>
              <w:gridCol w:w="5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Inactivation pH has the narrowest acceptable window of any parameter in the process. Above</w:t>
      </w:r>
      <w:r>
        <w:t xml:space="preserve"> </w:t>
      </w:r>
      <w:r>
        <w:t xml:space="preserve">the window inactivation is not assured within the hold time, and below it the product</w:t>
      </w:r>
      <w:r>
        <w:t xml:space="preserve"> </w:t>
      </w:r>
      <w:r>
        <w:t xml:space="preserve">aggregates and may precipitate. Hold time fails in both directions for the same pair of</w:t>
      </w:r>
      <w:r>
        <w:t xml:space="preserve"> </w:t>
      </w:r>
      <w:r>
        <w:t xml:space="preserve">reasons, since a short hold risks incomplete inactivation and a long hold raises aggregate.</w:t>
      </w:r>
      <w:r>
        <w:t xml:space="preserve"> </w:t>
      </w:r>
      <w:r>
        <w:t xml:space="preserve">Temperature acts on the rate of inactivation, so the failure direction is a low temperature</w:t>
      </w:r>
      <w:r>
        <w:t xml:space="preserve"> </w:t>
      </w:r>
      <w:r>
        <w:t xml:space="preserve">at the short end of the hold. A-Mab concentration in the pool is set by the capture step and</w:t>
      </w:r>
      <w:r>
        <w:t xml:space="preserve"> </w:t>
      </w:r>
      <w:r>
        <w:t xml:space="preserve">is bounded by it, and it is ranked at the performance band.</w:t>
      </w:r>
    </w:p>
    <w:p>
      <w:pPr>
        <w:pStyle w:val="BodyText"/>
      </w:pPr>
      <w:r>
        <w:t xml:space="preserve">The step is well controlled. The pool is titrated to a target pH under in-line measurement,</w:t>
      </w:r>
      <w:r>
        <w:t xml:space="preserve"> </w:t>
      </w:r>
      <w:r>
        <w:t xml:space="preserve">and the hold is timed with alarms, so occurrence is not what drives the score here. Severity</w:t>
      </w:r>
      <w:r>
        <w:t xml:space="preserve"> </w:t>
      </w:r>
      <w:r>
        <w:t xml:space="preserve">and detection are. Viral clearance cannot be verified on the batch, so the assessment treats</w:t>
      </w:r>
      <w:r>
        <w:t xml:space="preserve"> </w:t>
      </w:r>
      <w:r>
        <w:t xml:space="preserve">every parameter that could reduce it as high priority, as described in §2. That is a</w:t>
      </w:r>
      <w:r>
        <w:t xml:space="preserve"> </w:t>
      </w:r>
      <w:r>
        <w:t xml:space="preserve">deliberately conservative position, and it is the reason a step with</w:t>
      </w:r>
      <w:r>
        <w:t xml:space="preserve"> </w:t>
      </w:r>
      <w:r>
        <w:t xml:space="preserve">4 parameters and a long platform history (X-Mab, Y-Mab</w:t>
      </w:r>
      <w:r>
        <w:t xml:space="preserve"> </w:t>
      </w:r>
      <w:r>
        <w:t xml:space="preserve">and Z-Mab) nevertheless produces 3 of the</w:t>
      </w:r>
      <w:r>
        <w:t xml:space="preserve"> </w:t>
      </w:r>
      <w:r>
        <w:t xml:space="preserve">highest-ranked parameters in the process. All</w:t>
      </w:r>
      <w:r>
        <w:t xml:space="preserve"> </w:t>
      </w:r>
      <w:r>
        <w:t xml:space="preserve">3 of them go to the multivariate design under PCP-006.</w:t>
      </w:r>
    </w:p>
    <w:bookmarkEnd w:id="28"/>
    <w:bookmarkStart w:id="30" w:name="cation-exchange-chromatography"/>
    <w:p>
      <w:pPr>
        <w:pStyle w:val="Heading2"/>
      </w:pPr>
      <w:r>
        <w:t xml:space="preserve">4.5 Cation exchange chromatography</w:t>
      </w:r>
    </w:p>
    <w:p>
      <w:pPr>
        <w:pStyle w:val="FirstParagraph"/>
      </w:pPr>
      <w:r>
        <w:t xml:space="preserve">Cation exchange is the only step in the train that reduces aggregate, so it carries that</w:t>
      </w:r>
      <w:r>
        <w:t xml:space="preserve"> </w:t>
      </w:r>
      <w:r>
        <w:t xml:space="preserve">attribute alone and 4 of its 5 parameters are</w:t>
      </w:r>
      <w:r>
        <w:t xml:space="preserve"> </w:t>
      </w:r>
      <w:r>
        <w:t xml:space="preserve">ranked against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a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Pre-characterization risk ranking, cation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3080"/>
              <w:gridCol w:w="2365"/>
              <w:gridCol w:w="440"/>
              <w:gridCol w:w="7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Protein load, elution buffer pH and elution stop collect all reach aggregate and take its</w:t>
      </w:r>
      <w:r>
        <w:t xml:space="preserve"> </w:t>
      </w:r>
      <w:r>
        <w:t xml:space="preserve">severity, and load and wash conductivity reaches host cell protein at the moderate band.</w:t>
      </w:r>
      <w:r>
        <w:t xml:space="preserve"> </w:t>
      </w:r>
      <w:r>
        <w:t xml:space="preserve">Protein load appears against both attributes, which is the clearest interaction expectation</w:t>
      </w:r>
      <w:r>
        <w:t xml:space="preserve"> </w:t>
      </w:r>
      <w:r>
        <w:t xml:space="preserve">at the step, since the column loading that governs how well aggregate is resolved from</w:t>
      </w:r>
      <w:r>
        <w:t xml:space="preserve"> </w:t>
      </w:r>
      <w:r>
        <w:t xml:space="preserve">monomer also governs how much impurity remains bound to the resin when elution begins.</w:t>
      </w:r>
      <w:r>
        <w:t xml:space="preserve"> </w:t>
      </w:r>
      <w:r>
        <w:t xml:space="preserve">Elution pH and stop collect define the same elution peak from two directions, so their</w:t>
      </w:r>
      <w:r>
        <w:t xml:space="preserve"> </w:t>
      </w:r>
      <w:r>
        <w:t xml:space="preserve">effects on the pool are not separable one at a time.</w:t>
      </w:r>
    </w:p>
    <w:p>
      <w:pPr>
        <w:pStyle w:val="BodyText"/>
      </w:pPr>
      <w:r>
        <w:t xml:space="preserve">There is no aggregate-reducing step after this one, so the aggregate level of the drug</w:t>
      </w:r>
      <w:r>
        <w:t xml:space="preserve"> </w:t>
      </w:r>
      <w:r>
        <w:t xml:space="preserve">substance is set here. That does not change the severity score, which comes from the</w:t>
      </w:r>
      <w:r>
        <w:t xml:space="preserve"> </w:t>
      </w:r>
      <w:r>
        <w:t xml:space="preserve">attribute and not from the position in the train. It is the reason the interaction ranking</w:t>
      </w:r>
      <w:r>
        <w:t xml:space="preserve"> </w:t>
      </w:r>
      <w:r>
        <w:t xml:space="preserve">is high for every quality-linked parameter of this step, and 4 of them</w:t>
      </w:r>
      <w:r>
        <w:t xml:space="preserve"> </w:t>
      </w:r>
      <w:r>
        <w:t xml:space="preserve">are assigned to one multivariate design. Elution flow rate acts on peak shape and on yield</w:t>
      </w:r>
      <w:r>
        <w:t xml:space="preserve"> </w:t>
      </w:r>
      <w:r>
        <w:t xml:space="preserve">and is assessed univariately (PCP-007).</w:t>
      </w:r>
    </w:p>
    <w:bookmarkEnd w:id="30"/>
    <w:bookmarkStart w:id="32" w:name="anion-exchange-chromatography"/>
    <w:p>
      <w:pPr>
        <w:pStyle w:val="Heading2"/>
      </w:pPr>
      <w:r>
        <w:t xml:space="preserve">4.6 Anion exchange chromatography</w:t>
      </w:r>
    </w:p>
    <w:p>
      <w:pPr>
        <w:pStyle w:val="FirstParagraph"/>
      </w:pPr>
      <w:r>
        <w:t xml:space="preserve">Every parameter of the anion exchange step is linked to a quality attribute, and</w:t>
      </w:r>
      <w:r>
        <w:t xml:space="preserve"> </w:t>
      </w:r>
      <w:r>
        <w:t xml:space="preserve">3 of them are linked to both viral-clearance attributes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a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Pre-characterization risk ranking, anion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3"/>
              <w:gridCol w:w="2223"/>
              <w:gridCol w:w="3823"/>
              <w:gridCol w:w="312"/>
              <w:gridCol w:w="5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Load pH and load conductivity govern the electrostatic environment in which impurities and</w:t>
      </w:r>
      <w:r>
        <w:t xml:space="preserve"> </w:t>
      </w:r>
      <w:r>
        <w:t xml:space="preserve">virus bind to the resin while the antibody flows through, and they are expected to interact,</w:t>
      </w:r>
      <w:r>
        <w:t xml:space="preserve"> </w:t>
      </w:r>
      <w:r>
        <w:t xml:space="preserve">because they change the same environment by different means, and both take the maximum</w:t>
      </w:r>
      <w:r>
        <w:t xml:space="preserve"> </w:t>
      </w:r>
      <w:r>
        <w:t xml:space="preserve">initial risk number of the assessment. Equilibration and wash conductivity and protein load</w:t>
      </w:r>
      <w:r>
        <w:t xml:space="preserve"> </w:t>
      </w:r>
      <w:r>
        <w:t xml:space="preserve">act on host cell protein removal at the moderate severity band, and load also determines how</w:t>
      </w:r>
      <w:r>
        <w:t xml:space="preserve"> </w:t>
      </w:r>
      <w:r>
        <w:t xml:space="preserve">much impurity the resin is asked to hold.</w:t>
      </w:r>
    </w:p>
    <w:p>
      <w:pPr>
        <w:pStyle w:val="BodyText"/>
      </w:pPr>
      <w:r>
        <w:t xml:space="preserve">Operating flow rate is the one parameter in the whole assessment that is linked to a quality</w:t>
      </w:r>
      <w:r>
        <w:t xml:space="preserve"> </w:t>
      </w:r>
      <w:r>
        <w:t xml:space="preserve">attribute and is nevertheless assigned a univariate study. Flow acts on virus clearance</w:t>
      </w:r>
      <w:r>
        <w:t xml:space="preserve"> </w:t>
      </w:r>
      <w:r>
        <w:t xml:space="preserve">through residence time and through no other mechanism, and residence time does not interact</w:t>
      </w:r>
      <w:r>
        <w:t xml:space="preserve"> </w:t>
      </w:r>
      <w:r>
        <w:t xml:space="preserve">with the ion-exchange chemistry that the other parameters change. The range is already</w:t>
      </w:r>
      <w:r>
        <w:t xml:space="preserve"> </w:t>
      </w:r>
      <w:r>
        <w:t xml:space="preserve">bounded by the conditions under which viral clearance is validated, so a univariate</w:t>
      </w:r>
      <w:r>
        <w:t xml:space="preserve"> </w:t>
      </w:r>
      <w:r>
        <w:t xml:space="preserve">assessment against that bound is sufficient and a place in the multivariate design would add</w:t>
      </w:r>
      <w:r>
        <w:t xml:space="preserve"> </w:t>
      </w:r>
      <w:r>
        <w:t xml:space="preserve">nothing. The justification is recorded here and carried into PCP-008, where the assessment</w:t>
      </w:r>
      <w:r>
        <w:t xml:space="preserve"> </w:t>
      </w:r>
      <w:r>
        <w:t xml:space="preserve">against the validated bound is executed. The remaining 4 parameters</w:t>
      </w:r>
      <w:r>
        <w:t xml:space="preserve"> </w:t>
      </w:r>
      <w:r>
        <w:t xml:space="preserve">form the multivariate design.</w:t>
      </w:r>
    </w:p>
    <w:bookmarkEnd w:id="32"/>
    <w:bookmarkStart w:id="34" w:name="small-virus-retentive-filtration"/>
    <w:p>
      <w:pPr>
        <w:pStyle w:val="Heading2"/>
      </w:pPr>
      <w:r>
        <w:t xml:space="preserve">4.7 Small-virus retentive filtration</w:t>
      </w:r>
    </w:p>
    <w:p>
      <w:pPr>
        <w:pStyle w:val="FirstParagraph"/>
      </w:pPr>
      <w:r>
        <w:t xml:space="preserve">Both parameters of the virus filtration step are linked to the parvovirus clearance</w:t>
      </w:r>
      <w:r>
        <w:t xml:space="preserve"> </w:t>
      </w:r>
      <w:r>
        <w:t xml:space="preserve">attribute, and both take the maximum initial risk number.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a-virus-filt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Pre-characterization risk ranking, small-virus retentive 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71"/>
              <w:gridCol w:w="2053"/>
              <w:gridCol w:w="3568"/>
              <w:gridCol w:w="391"/>
              <w:gridCol w:w="6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Volumetric load is the parameter of record. Removal at this step is by size exclusion, and</w:t>
      </w:r>
      <w:r>
        <w:t xml:space="preserve"> </w:t>
      </w:r>
      <w:r>
        <w:t xml:space="preserve">breakthrough of the smallest model virus (MVM) becomes possible as the membrane accumulates</w:t>
      </w:r>
      <w:r>
        <w:t xml:space="preserve"> </w:t>
      </w:r>
      <w:r>
        <w:t xml:space="preserve">load, so the failure mode considered is an excursion above the validated volumetric limit.</w:t>
      </w:r>
      <w:r>
        <w:t xml:space="preserve"> </w:t>
      </w:r>
      <w:r>
        <w:t xml:space="preserve">Filtration pressure acts on the same membrane and is ranked against both viral attributes.</w:t>
      </w:r>
      <w:r>
        <w:t xml:space="preserve"> </w:t>
      </w:r>
      <w:r>
        <w:t xml:space="preserve">With 2 parameters and one dominant mechanism the</w:t>
      </w:r>
      <w:r>
        <w:t xml:space="preserve"> </w:t>
      </w:r>
      <w:r>
        <w:t xml:space="preserve">multivariate design is small, and it is described in PCP-009. The step is also protected by</w:t>
      </w:r>
      <w:r>
        <w:t xml:space="preserve"> </w:t>
      </w:r>
      <w:r>
        <w:t xml:space="preserve">a post-use filter integrity test, which is a control on the filter rather than on either</w:t>
      </w:r>
      <w:r>
        <w:t xml:space="preserve"> </w:t>
      </w:r>
      <w:r>
        <w:t xml:space="preserve">parameter.</w:t>
      </w:r>
    </w:p>
    <w:bookmarkEnd w:id="34"/>
    <w:bookmarkStart w:id="36" w:name="ultrafiltration-and-diafiltration"/>
    <w:p>
      <w:pPr>
        <w:pStyle w:val="Heading2"/>
      </w:pPr>
      <w:r>
        <w:t xml:space="preserve">4.8 Ultrafiltration and diafiltration</w:t>
      </w:r>
    </w:p>
    <w:p>
      <w:pPr>
        <w:pStyle w:val="FirstParagraph"/>
      </w:pPr>
      <w:r>
        <w:t xml:space="preserve">No parameter of the ultrafiltration and diafiltration step forms or clears a quality</w:t>
      </w:r>
      <w:r>
        <w:t xml:space="preserve"> </w:t>
      </w:r>
      <w:r>
        <w:t xml:space="preserve">attribute, so all 3 are ranked at the performance severity 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a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Pre-characterization risk ranking, ultrafiltration and diafiltration.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2860"/>
              <w:gridCol w:w="1760"/>
              <w:gridCol w:w="586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diavolume count sets the completeness of buffer exchange, transmembrane pressure (TMP)</w:t>
      </w:r>
      <w:r>
        <w:t xml:space="preserve"> </w:t>
      </w:r>
      <w:r>
        <w:t xml:space="preserve">sets flux and processing time, and the final concentration is the concentration at which</w:t>
      </w:r>
      <w:r>
        <w:t xml:space="preserve"> </w:t>
      </w:r>
      <w:r>
        <w:t xml:space="preserve">drug substance is delivered to the drug product process, so all</w:t>
      </w:r>
      <w:r>
        <w:t xml:space="preserve"> </w:t>
      </w:r>
      <w:r>
        <w:t xml:space="preserve">3 parameters are assigned univariate assessment under PCP-010. The</w:t>
      </w:r>
      <w:r>
        <w:t xml:space="preserve"> </w:t>
      </w:r>
      <w:r>
        <w:t xml:space="preserve">formulation characterization itself is reported with the drug product and is outside the</w:t>
      </w:r>
      <w:r>
        <w:t xml:space="preserve"> </w:t>
      </w:r>
      <w:r>
        <w:t xml:space="preserve">scope of this package.</w:t>
      </w:r>
    </w:p>
    <w:bookmarkEnd w:id="36"/>
    <w:bookmarkEnd w:id="37"/>
    <w:bookmarkStart w:id="40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22 parameters are assigned to a multivariate design,</w:t>
      </w:r>
      <w:r>
        <w:t xml:space="preserve"> </w:t>
      </w:r>
      <w:r>
        <w:t xml:space="preserve">14 to univariate assessment and 1 to a justified</w:t>
      </w:r>
      <w:r>
        <w:t xml:space="preserve"> </w:t>
      </w:r>
      <w:r>
        <w:t xml:space="preserve">univariate assessment. 0 parameters are excluded from study. The</w:t>
      </w:r>
      <w:r>
        <w:t xml:space="preserve"> </w:t>
      </w:r>
      <w:r>
        <w:t xml:space="preserve">distribution across the train is given in</w:t>
      </w:r>
      <w:r>
        <w:t xml:space="preserve"> </w:t>
      </w:r>
      <w:hyperlink w:anchor="tbl-group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the full assignment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grou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Assigned study types and the steps at which they fall.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3, 5, 6, 7, 8, 9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3, 4, 5, 6, 7, 10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Parameters go into a multivariate design when their effect on an attribute cannot be</w:t>
      </w:r>
      <w:r>
        <w:t xml:space="preserve"> </w:t>
      </w:r>
      <w:r>
        <w:t xml:space="preserve">separated from the effect of another parameter of the same unit operation. That is the case</w:t>
      </w:r>
      <w:r>
        <w:t xml:space="preserve"> </w:t>
      </w:r>
      <w:r>
        <w:t xml:space="preserve">wherever two parameters act on the same attribute through the same physical mechanism, as</w:t>
      </w:r>
      <w:r>
        <w:t xml:space="preserve"> </w:t>
      </w:r>
      <w:r>
        <w:t xml:space="preserve">culture pH and temperature do at the bioreactor and as load pH and load conductivity do at</w:t>
      </w:r>
      <w:r>
        <w:t xml:space="preserve"> </w:t>
      </w:r>
      <w:r>
        <w:t xml:space="preserve">anion exchange (§4.1 and §4.6 respectively). Parameters are assessed univariately when they</w:t>
      </w:r>
      <w:r>
        <w:t xml:space="preserve"> </w:t>
      </w:r>
      <w:r>
        <w:t xml:space="preserve">act on process performance alone, or when a single mechanism accounts for the whole of their</w:t>
      </w:r>
      <w:r>
        <w:t xml:space="preserve"> </w:t>
      </w:r>
      <w:r>
        <w:t xml:space="preserve">effect on an attribute and that mechanism is already bounded. Only one parameter in the</w:t>
      </w:r>
      <w:r>
        <w:t xml:space="preserve"> </w:t>
      </w:r>
      <w:r>
        <w:t xml:space="preserve">assessment falls into the second of those cases, and it is the anion exchange flow rate</w:t>
      </w:r>
      <w:r>
        <w:t xml:space="preserve"> </w:t>
      </w:r>
      <w:r>
        <w:t xml:space="preserve">discussed in §4.6.</w:t>
      </w:r>
    </w:p>
    <w:p>
      <w:pPr>
        <w:pStyle w:val="BodyText"/>
      </w:pPr>
      <w:r>
        <w:t xml:space="preserve">The multivariate work falls at 6 of the 8 steps,</w:t>
      </w:r>
      <w:r>
        <w:t xml:space="preserve"> </w:t>
      </w:r>
      <w:r>
        <w:t xml:space="preserve">namely Steps 3, 5, 6, 7, 8, 9, and the 2 steps without a</w:t>
      </w:r>
      <w:r>
        <w:t xml:space="preserve"> </w:t>
      </w:r>
      <w:r>
        <w:t xml:space="preserve">multivariate design (harvest and clarification, and ultrafiltration and diafiltration) have</w:t>
      </w:r>
      <w:r>
        <w:t xml:space="preserve"> </w:t>
      </w:r>
      <w:r>
        <w:t xml:space="preserve">no parameter linked to a quality attribute. 2 parameters are carried</w:t>
      </w:r>
      <w:r>
        <w:t xml:space="preserve"> </w:t>
      </w:r>
      <w:r>
        <w:t xml:space="preserve">into a multivariate design although they are ranked at the performance band, and both are</w:t>
      </w:r>
      <w:r>
        <w:t xml:space="preserve"> </w:t>
      </w:r>
      <w:r>
        <w:t xml:space="preserve">capture parameters carried for the reason given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Characterization study assignment for every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"/>
              <w:gridCol w:w="2087"/>
              <w:gridCol w:w="1841"/>
              <w:gridCol w:w="491"/>
              <w:gridCol w:w="798"/>
              <w:gridCol w:w="736"/>
              <w:gridCol w:w="14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assignment is prospective and it is revisited when the studies report. A factor that</w:t>
      </w:r>
      <w:r>
        <w:t xml:space="preserve"> </w:t>
      </w:r>
      <w:r>
        <w:t xml:space="preserve">shows no effect is not removed from the record, but stays in the knowledge space as evidence</w:t>
      </w:r>
      <w:r>
        <w:t xml:space="preserve"> </w:t>
      </w:r>
      <w:r>
        <w:t xml:space="preserve">that the attribute is robust to it over the range screened, and it is classified on that</w:t>
      </w:r>
      <w:r>
        <w:t xml:space="preserve"> </w:t>
      </w:r>
      <w:r>
        <w:t xml:space="preserve">basis in the study report. A factor whose effect is larger than this assessment expected may</w:t>
      </w:r>
      <w:r>
        <w:t xml:space="preserve"> </w:t>
      </w:r>
      <w:r>
        <w:t xml:space="preserve">require its design to be augmented, and that decision belongs to the study and not to this</w:t>
      </w:r>
      <w:r>
        <w:t xml:space="preserve"> </w:t>
      </w:r>
      <w:r>
        <w:t xml:space="preserve">document. The assignment predicts no classification and no design space, and it is bounded</w:t>
      </w:r>
      <w:r>
        <w:t xml:space="preserve"> </w:t>
      </w:r>
      <w:r>
        <w:t xml:space="preserve">by the parameter list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and by the platform knowledge set out in §6.</w:t>
      </w:r>
    </w:p>
    <w:bookmarkEnd w:id="40"/>
    <w:bookmarkStart w:id="41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The assessment rests on platform knowledge, and platform knowledge is an assumption until</w:t>
      </w:r>
      <w:r>
        <w:t xml:space="preserve"> </w:t>
      </w:r>
      <w:r>
        <w:t xml:space="preserve">the studies test it. A-Mab is developed on the humanized IgG1 platform established by X-Mab,</w:t>
      </w:r>
      <w:r>
        <w:t xml:space="preserve"> </w:t>
      </w:r>
      <w:r>
        <w:t xml:space="preserve">Y-Mab and Z-Mab and extended by A-Mab clinical and engineering experience, and the</w:t>
      </w:r>
      <w:r>
        <w:t xml:space="preserve"> </w:t>
      </w:r>
      <w:r>
        <w:t xml:space="preserve">mechanistic expectations in §4, together with the ranges those expectations support, come</w:t>
      </w:r>
      <w:r>
        <w:t xml:space="preserve"> </w:t>
      </w:r>
      <w:r>
        <w:t xml:space="preserve">from that lineage and from no other source. Where a platform expectation is wrong, this</w:t>
      </w:r>
      <w:r>
        <w:t xml:space="preserve"> </w:t>
      </w:r>
      <w:r>
        <w:t xml:space="preserve">assessment will have placed the parameter in the wrong band, and the characterization study</w:t>
      </w:r>
      <w:r>
        <w:t xml:space="preserve"> </w:t>
      </w:r>
      <w:r>
        <w:t xml:space="preserve">is what finds it.</w:t>
      </w:r>
    </w:p>
    <w:p>
      <w:pPr>
        <w:pStyle w:val="BodyText"/>
      </w:pPr>
      <w:r>
        <w:t xml:space="preserve">The parameter list is assumed to be complete. Only parameters that are set or controlled by</w:t>
      </w:r>
      <w:r>
        <w:t xml:space="preserve"> </w:t>
      </w:r>
      <w:r>
        <w:t xml:space="preserve">the manufacturing instructions are assessed here. Raw-material attributes, the equipment</w:t>
      </w:r>
      <w:r>
        <w:t xml:space="preserve"> </w:t>
      </w:r>
      <w:r>
        <w:t xml:space="preserve">differences between the sending and the receiving site, and analytical method performance</w:t>
      </w:r>
      <w:r>
        <w:t xml:space="preserve"> </w:t>
      </w:r>
      <w:r>
        <w:t xml:space="preserve">are assessed elsewhere, in PTP-001 for site equivalency and in the method validation records</w:t>
      </w:r>
      <w:r>
        <w:t xml:space="preserve"> </w:t>
      </w:r>
      <w:r>
        <w:t xml:space="preserve">for the assays.</w:t>
      </w:r>
    </w:p>
    <w:p>
      <w:pPr>
        <w:pStyle w:val="BodyText"/>
      </w:pPr>
      <w:r>
        <w:t xml:space="preserve">One attribute has no parameter ranked against it. Leached Protein A is set by the capture</w:t>
      </w:r>
      <w:r>
        <w:t xml:space="preserve"> </w:t>
      </w:r>
      <w:r>
        <w:t xml:space="preserve">step, and no operating parameter of that step was linked to it, because the attribute is</w:t>
      </w:r>
      <w:r>
        <w:t xml:space="preserve"> </w:t>
      </w:r>
      <w:r>
        <w:t xml:space="preserve">governed by resin age, sanitization and cycle number and not by an operating set-point.</w:t>
      </w:r>
      <w:r>
        <w:t xml:space="preserve"> </w:t>
      </w:r>
      <w:r>
        <w:t xml:space="preserve">Resin life-cycle control (SOP-2008) is the control element for the attribute, the capture</w:t>
      </w:r>
      <w:r>
        <w:t xml:space="preserve"> </w:t>
      </w:r>
      <w:r>
        <w:t xml:space="preserve">study measures it as a response (PCP-005), and the polishing steps clear it. The gap is in</w:t>
      </w:r>
      <w:r>
        <w:t xml:space="preserve"> </w:t>
      </w:r>
      <w:r>
        <w:t xml:space="preserve">the parameter ranking and not in the control of the attribute.</w:t>
      </w:r>
    </w:p>
    <w:p>
      <w:pPr>
        <w:pStyle w:val="BodyText"/>
      </w:pPr>
      <w:r>
        <w:t xml:space="preserve">Occurrence and detection are judgements at this point and not estimates from data, so the</w:t>
      </w:r>
      <w:r>
        <w:t xml:space="preserve"> </w:t>
      </w:r>
      <w:r>
        <w:t xml:space="preserve">initial risk priority number is a ranking device on an ordinal scale, and differences</w:t>
      </w:r>
      <w:r>
        <w:t xml:space="preserve"> </w:t>
      </w:r>
      <w:r>
        <w:t xml:space="preserve">between adjacent scores should not be read as ratios of one risk to another. Severity is the</w:t>
      </w:r>
      <w:r>
        <w:t xml:space="preserve"> </w:t>
      </w:r>
      <w:r>
        <w:t xml:space="preserve">better grounded of the three axes, because it is inherited from an attribute criticality</w:t>
      </w:r>
      <w:r>
        <w:t xml:space="preserve"> </w:t>
      </w:r>
      <w:r>
        <w:t xml:space="preserve">that was assessed against clinical and non-clinical evidence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parameter scored below the study threshold, so the filter excluded nothing. The</w:t>
      </w:r>
      <w:r>
        <w:t xml:space="preserve"> </w:t>
      </w:r>
      <w:r>
        <w:t xml:space="preserve">assessment is conservative in the direction of more study, which is defensible before data</w:t>
      </w:r>
      <w:r>
        <w:t xml:space="preserve"> </w:t>
      </w:r>
      <w:r>
        <w:t xml:space="preserve">exist and would not be defensible afterwards. The scope will narrow as the studies report</w:t>
      </w:r>
      <w:r>
        <w:t xml:space="preserve"> </w:t>
      </w:r>
      <w:r>
        <w:t xml:space="preserve">and the conservative defaults are replaced by measured effects.</w:t>
      </w:r>
    </w:p>
    <w:p>
      <w:pPr>
        <w:pStyle w:val="BodyText"/>
      </w:pPr>
      <w:r>
        <w:t xml:space="preserve">The assessment assumes that a qualified scale-down model can represent each step. It does</w:t>
      </w:r>
      <w:r>
        <w:t xml:space="preserve"> </w:t>
      </w:r>
      <w:r>
        <w:t xml:space="preserve">not assume that qualification has happened. Qualification against at-scale data is a</w:t>
      </w:r>
      <w:r>
        <w:t xml:space="preserve"> </w:t>
      </w:r>
      <w:r>
        <w:t xml:space="preserve">deliverable of each plan, and a study whose scale-down model fails qualification does not</w:t>
      </w:r>
      <w:r>
        <w:t xml:space="preserve"> </w:t>
      </w:r>
      <w:r>
        <w:t xml:space="preserve">deliver the range that this document assigned to it.</w:t>
      </w:r>
    </w:p>
    <w:bookmarkEnd w:id="41"/>
    <w:bookmarkStart w:id="43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Each step’s assignment is handed to one characterization plan, as listed in</w:t>
      </w:r>
      <w:r>
        <w:t xml:space="preserve"> </w:t>
      </w:r>
      <w:hyperlink w:anchor="tbl-consumers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nsum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The plan that consumes each step’s assignment.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9"/>
              <w:gridCol w:w="2589"/>
              <w:gridCol w:w="1370"/>
              <w:gridCol w:w="1066"/>
              <w:gridCol w:w="1218"/>
              <w:gridCol w:w="10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Consuming plan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PCMP-001 schedules the plans and states the scale-down and statistical approach they share.</w:t>
      </w:r>
      <w:r>
        <w:t xml:space="preserve"> </w:t>
      </w:r>
      <w:r>
        <w:t xml:space="preserve">Each report classifies the parameters of its own step against the evidence that its study</w:t>
      </w:r>
      <w:r>
        <w:t xml:space="preserve"> </w:t>
      </w:r>
      <w:r>
        <w:t xml:space="preserve">produced, and PCMR-001 consolidates the classifications, the capability and the cumulative</w:t>
      </w:r>
      <w:r>
        <w:t xml:space="preserve"> </w:t>
      </w:r>
      <w:r>
        <w:t xml:space="preserve">viral clearance for the whole process. This assessment is therefore revised whenever a study</w:t>
      </w:r>
      <w:r>
        <w:t xml:space="preserve"> </w:t>
      </w:r>
      <w:r>
        <w:t xml:space="preserve">reports a result that changes a ranking, and the revision is recorded against the plan it</w:t>
      </w:r>
      <w:r>
        <w:t xml:space="preserve"> </w:t>
      </w:r>
      <w:r>
        <w:t xml:space="preserve">affects.</w:t>
      </w:r>
    </w:p>
    <w:bookmarkEnd w:id="43"/>
    <w:bookmarkStart w:id="44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This assessment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confirms that</w:t>
      </w:r>
      <w:r>
        <w:t xml:space="preserve"> </w:t>
      </w:r>
      <w:r>
        <w:t xml:space="preserve">the scope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is the scope the characterization plans will execute, and that the</w:t>
      </w:r>
      <w:r>
        <w:t xml:space="preserve"> </w:t>
      </w:r>
      <w:r>
        <w:t xml:space="preserve">assumptions in §6 are accepted.</w:t>
      </w:r>
    </w:p>
    <w:bookmarkEnd w:id="44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2026-07-28T06:38:27Z</dcterms:created>
  <dcterms:modified xsi:type="dcterms:W3CDTF">2026-07-28T06:38:27Z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