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Characterization Plan</w:t>
      </w:r>
    </w:p>
    <w:p>
      <w:pPr>
        <w:pStyle w:val="Subtitle"/>
      </w:pPr>
      <w:r>
        <w:t xml:space="preserve">A-Mab Drug Substance — Production Bioreactor (Step 3) — PCP-003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Plan: Production Bioreactor (Step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2-AB, 2-aminobenzamide; ADCC, antibody-dependent cell-mediated cytotoxicity; ALCOA+,</w:t>
      </w:r>
      <w:r>
        <w:t xml:space="preserve"> </w:t>
      </w:r>
      <w:r>
        <w:t xml:space="preserve">attributable, legible, contemporaneous, original and accurate, plus complete, consistent,</w:t>
      </w:r>
      <w:r>
        <w:t xml:space="preserve"> </w:t>
      </w:r>
      <w:r>
        <w:t xml:space="preserve">enduring and available; AMV, analytical method validation; CCD, central composite design;</w:t>
      </w:r>
      <w:r>
        <w:t xml:space="preserve"> </w:t>
      </w:r>
      <w:r>
        <w:t xml:space="preserve">CHO, Chinese hamster ovary; CPP, critical process parameter; CQA, critical quality</w:t>
      </w:r>
      <w:r>
        <w:t xml:space="preserve"> </w:t>
      </w:r>
      <w:r>
        <w:t xml:space="preserve">attribute; DO, dissolved oxygen; DoE, design of experiments; ELISA, enzyme-linked</w:t>
      </w:r>
      <w:r>
        <w:t xml:space="preserve"> </w:t>
      </w:r>
      <w:r>
        <w:t xml:space="preserve">immunosorbent assay; ELN, electronic laboratory notebook; GPP, general process parameter;</w:t>
      </w:r>
      <w:r>
        <w:t xml:space="preserve"> </w:t>
      </w:r>
      <w:r>
        <w:t xml:space="preserve">HCP, host cell protein; HILIC, hydrophilic interaction liquid chromatography; HMW, high</w:t>
      </w:r>
      <w:r>
        <w:t xml:space="preserve"> </w:t>
      </w:r>
      <w:r>
        <w:t xml:space="preserve">molecular weight; icIEF, imaged capillary isoelectric focusing; IgG1, immunoglobulin G</w:t>
      </w:r>
      <w:r>
        <w:t xml:space="preserve"> </w:t>
      </w:r>
      <w:r>
        <w:t xml:space="preserve">subclass 1; iVCC, initial viable cell concentration; KPP, key process parameter; LIMS,</w:t>
      </w:r>
      <w:r>
        <w:t xml:space="preserve"> </w:t>
      </w:r>
      <w:r>
        <w:t xml:space="preserve">laboratory information management system; MSAT, Manufacturing Science and Technology; NOR,</w:t>
      </w:r>
      <w:r>
        <w:t xml:space="preserve"> </w:t>
      </w:r>
      <w:r>
        <w:t xml:space="preserve">normal operating range; OLS, ordinary least squares; PAR, proven acceptable range; pCO₂,</w:t>
      </w:r>
      <w:r>
        <w:t xml:space="preserve"> </w:t>
      </w:r>
      <w:r>
        <w:t xml:space="preserve">partial pressure of dissolved carbon dioxide; PPQ, process performance qualification;</w:t>
      </w:r>
      <w:r>
        <w:t xml:space="preserve"> </w:t>
      </w:r>
      <w:r>
        <w:t xml:space="preserve">PRESS, predicted residual error sum of squares; qPCR, quantitative polymerase chain</w:t>
      </w:r>
      <w:r>
        <w:t xml:space="preserve"> </w:t>
      </w:r>
      <w:r>
        <w:t xml:space="preserve">reaction; RSM, response-surface methodology; SDM, scale-down model; SEC-HPLC,</w:t>
      </w:r>
      <w:r>
        <w:t xml:space="preserve"> </w:t>
      </w:r>
      <w:r>
        <w:t xml:space="preserve">size-exclusion high-performance liquid chromatography; SOP, standard operating procedure;</w:t>
      </w:r>
      <w:r>
        <w:t xml:space="preserve"> </w:t>
      </w:r>
      <w:r>
        <w:t xml:space="preserve">UPLC, ultra-performance liquid chromatography; VCD, viable cell density; WC-CPP,</w:t>
      </w:r>
      <w:r>
        <w:t xml:space="preserve"> </w:t>
      </w:r>
      <w:r>
        <w:t xml:space="preserve">well-controlled critical process parameter.</w:t>
      </w:r>
    </w:p>
    <w:p>
      <w:r>
        <w:br w:type="page"/>
      </w:r>
    </w:p>
    <w:bookmarkEnd w:id="11"/>
    <w:bookmarkStart w:id="12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The production bioreactor is the step at which A-Mab acquires most of the quality</w:t>
      </w:r>
      <w:r>
        <w:t xml:space="preserve"> </w:t>
      </w:r>
      <w:r>
        <w:t xml:space="preserve">attributes the drug substance must meet. Fed-batch culture forms the glycan distribution,</w:t>
      </w:r>
      <w:r>
        <w:t xml:space="preserve"> </w:t>
      </w:r>
      <w:r>
        <w:t xml:space="preserve">the charge variant distribution and the aggregate content of the harvested material, and</w:t>
      </w:r>
      <w:r>
        <w:t xml:space="preserve"> </w:t>
      </w:r>
      <w:r>
        <w:t xml:space="preserve">the platform purification train that follows (Protein A capture, low-pH inactivation,</w:t>
      </w:r>
      <w:r>
        <w:t xml:space="preserve"> </w:t>
      </w:r>
      <w:r>
        <w:t xml:space="preserve">cation exchange, anion exchange, virus filtration and formulation) modifies neither the</w:t>
      </w:r>
      <w:r>
        <w:t xml:space="preserve"> </w:t>
      </w:r>
      <w:r>
        <w:t xml:space="preserve">glycan nor the charge variant distribution. Experience with the platform establishes how a</w:t>
      </w:r>
      <w:r>
        <w:t xml:space="preserve"> </w:t>
      </w:r>
      <w:r>
        <w:t xml:space="preserve">humanized IgG1 culture behaves, but it does not fix the ranges over which A-Mab may be</w:t>
      </w:r>
      <w:r>
        <w:t xml:space="preserve"> </w:t>
      </w:r>
      <w:r>
        <w:t xml:space="preserve">operated at the receiving site. RA-001 ranked this step as the largest single source of</w:t>
      </w:r>
      <w:r>
        <w:t xml:space="preserve"> </w:t>
      </w:r>
      <w:r>
        <w:t xml:space="preserve">risk to product quality in the drug substance process, and assigned it the widest</w:t>
      </w:r>
      <w:r>
        <w:t xml:space="preserve"> </w:t>
      </w:r>
      <w:r>
        <w:t xml:space="preserve">characterization scope in the campaign.</w:t>
      </w:r>
    </w:p>
    <w:p>
      <w:pPr>
        <w:pStyle w:val="BodyText"/>
      </w:pPr>
      <w:r>
        <w:t xml:space="preserve">This plan defines the studies that close that gap, and it defines them before they are</w:t>
      </w:r>
      <w:r>
        <w:t xml:space="preserve"> </w:t>
      </w:r>
      <w:r>
        <w:t xml:space="preserve">executed. It states which parameters will be varied and over what ranges, how the cultures</w:t>
      </w:r>
      <w:r>
        <w:t xml:space="preserve"> </w:t>
      </w:r>
      <w:r>
        <w:t xml:space="preserve">will be run and sampled, which validated methods will measure each attribute, and by what</w:t>
      </w:r>
      <w:r>
        <w:t xml:space="preserve"> </w:t>
      </w:r>
      <w:r>
        <w:t xml:space="preserve">criteria the operating region, the proven acceptable ranges and the parameter</w:t>
      </w:r>
      <w:r>
        <w:t xml:space="preserve"> </w:t>
      </w:r>
      <w:r>
        <w:t xml:space="preserve">classifications will be decided. The studies will be executed on a qualified scale-down</w:t>
      </w:r>
      <w:r>
        <w:t xml:space="preserve"> </w:t>
      </w:r>
      <w:r>
        <w:t xml:space="preserve">model of the commercial production bioreactor (§5.1), and the results, the classifications</w:t>
      </w:r>
      <w:r>
        <w:t xml:space="preserve"> </w:t>
      </w:r>
      <w:r>
        <w:t xml:space="preserve">and the resulting contribution to the control strategy will be reported in PCR-003.</w:t>
      </w:r>
    </w:p>
    <w:p>
      <w:pPr>
        <w:pStyle w:val="BodyText"/>
      </w:pPr>
      <w:r>
        <w:t xml:space="preserve">The plan covers the 9 process parameters listed in §6.1 and the</w:t>
      </w:r>
      <w:r>
        <w:t xml:space="preserve"> </w:t>
      </w:r>
      <w:r>
        <w:t xml:space="preserve">7 quality attributes the register assigns to this step. Four topics fall</w:t>
      </w:r>
      <w:r>
        <w:t xml:space="preserve"> </w:t>
      </w:r>
      <w:r>
        <w:t xml:space="preserve">outside it. Seed expansion up to and including the N-1 bioreactor is not characterized,</w:t>
      </w:r>
      <w:r>
        <w:t xml:space="preserve"> </w:t>
      </w:r>
      <w:r>
        <w:t xml:space="preserve">because RA-001 assessed it as a low risk to product quality, and the transfer of those</w:t>
      </w:r>
      <w:r>
        <w:t xml:space="preserve"> </w:t>
      </w:r>
      <w:r>
        <w:t xml:space="preserve">steps is covered by the parent transfer plan (PTP-001). Harvest and clarification are</w:t>
      </w:r>
      <w:r>
        <w:t xml:space="preserve"> </w:t>
      </w:r>
      <w:r>
        <w:t xml:space="preserve">covered by PCP-004, and no viral clearance is claimed for this step, so no spiking study is</w:t>
      </w:r>
      <w:r>
        <w:t xml:space="preserve"> </w:t>
      </w:r>
      <w:r>
        <w:t xml:space="preserve">planned here. Confirmation at commercial scale belongs to Stage 2 and to the</w:t>
      </w:r>
      <w:r>
        <w:t xml:space="preserve"> </w:t>
      </w:r>
      <w:r>
        <w:t xml:space="preserve">5 process performance qualification batches, so nothing in this plan should</w:t>
      </w:r>
      <w:r>
        <w:t xml:space="preserve"> </w:t>
      </w:r>
      <w:r>
        <w:t xml:space="preserve">be read as a claim about performance at 15,000 L.</w:t>
      </w:r>
    </w:p>
    <w:bookmarkEnd w:id="12"/>
    <w:bookmarkStart w:id="13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studies described in this plan have five objectives.</w:t>
      </w:r>
    </w:p>
    <w:p>
      <w:pPr>
        <w:pStyle w:val="Compact"/>
        <w:numPr>
          <w:ilvl w:val="0"/>
          <w:numId w:val="1001"/>
        </w:numPr>
      </w:pPr>
      <w:r>
        <w:t xml:space="preserve">Quantify the effect of each characterized process parameter on each quality attribute</w:t>
      </w:r>
      <w:r>
        <w:t xml:space="preserve"> </w:t>
      </w:r>
      <w:r>
        <w:t xml:space="preserve">the production bioreactor forms, over the characterization ranges given in §6.1.</w:t>
      </w:r>
    </w:p>
    <w:p>
      <w:pPr>
        <w:pStyle w:val="Compact"/>
        <w:numPr>
          <w:ilvl w:val="0"/>
          <w:numId w:val="1001"/>
        </w:numPr>
      </w:pPr>
      <w:r>
        <w:t xml:space="preserve">Define a multivariate operating region in the well-controlled culture parameters within</w:t>
      </w:r>
      <w:r>
        <w:t xml:space="preserve"> </w:t>
      </w:r>
      <w:r>
        <w:t xml:space="preserve">which every attribute in scope is predicted to meet acceptance.</w:t>
      </w:r>
    </w:p>
    <w:p>
      <w:pPr>
        <w:pStyle w:val="Compact"/>
        <w:numPr>
          <w:ilvl w:val="0"/>
          <w:numId w:val="1001"/>
        </w:numPr>
      </w:pPr>
      <w:r>
        <w:t xml:space="preserve">Establish a proven acceptable range for every parameter and attribute pair the</w:t>
      </w:r>
      <w:r>
        <w:t xml:space="preserve"> </w:t>
      </w:r>
      <w:r>
        <w:t xml:space="preserve">response-surface model covers, and determine whether the normal operating range falls</w:t>
      </w:r>
      <w:r>
        <w:t xml:space="preserve"> </w:t>
      </w:r>
      <w:r>
        <w:t xml:space="preserve">inside each one.</w:t>
      </w:r>
    </w:p>
    <w:p>
      <w:pPr>
        <w:pStyle w:val="Compact"/>
        <w:numPr>
          <w:ilvl w:val="0"/>
          <w:numId w:val="1001"/>
        </w:numPr>
      </w:pPr>
      <w:r>
        <w:t xml:space="preserve">Classify every parameter in scope under SOP-4001, including any parameter for which no</w:t>
      </w:r>
      <w:r>
        <w:t xml:space="preserve"> </w:t>
      </w:r>
      <w:r>
        <w:t xml:space="preserve">effect is found.</w:t>
      </w:r>
    </w:p>
    <w:p>
      <w:pPr>
        <w:pStyle w:val="Compact"/>
        <w:numPr>
          <w:ilvl w:val="0"/>
          <w:numId w:val="1001"/>
        </w:numPr>
      </w:pPr>
      <w:r>
        <w:t xml:space="preserve">Deliver the ranges, in-process controls and monitoring requirements that the control</w:t>
      </w:r>
      <w:r>
        <w:t xml:space="preserve"> </w:t>
      </w:r>
      <w:r>
        <w:t xml:space="preserve">strategy and the Stage 2 qualification will rely on.</w:t>
      </w:r>
    </w:p>
    <w:p>
      <w:pPr>
        <w:pStyle w:val="FirstParagraph"/>
      </w:pPr>
      <w:r>
        <w:t xml:space="preserve">The first three objectives are quantitative and depend on the studies succeeding, while the</w:t>
      </w:r>
      <w:r>
        <w:t xml:space="preserve"> </w:t>
      </w:r>
      <w:r>
        <w:t xml:space="preserve">last two are decisions, and §7 fixes in advance the rules by which those decisions will be</w:t>
      </w:r>
      <w:r>
        <w:t xml:space="preserve"> </w:t>
      </w:r>
      <w:r>
        <w:t xml:space="preserve">made.</w:t>
      </w:r>
    </w:p>
    <w:bookmarkEnd w:id="13"/>
    <w:bookmarkStart w:id="16" w:name="related-documents"/>
    <w:p>
      <w:pPr>
        <w:pStyle w:val="Heading1"/>
      </w:pPr>
      <w:r>
        <w:t xml:space="preserve">3. Related documents</w:t>
      </w:r>
    </w:p>
    <w:p>
      <w:pPr>
        <w:pStyle w:val="FirstParagraph"/>
      </w:pPr>
      <w:hyperlink w:anchor="tbl-rel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the documents this plan depends on and the documents it feeds. PTP-001</w:t>
      </w:r>
      <w:r>
        <w:t xml:space="preserve"> </w:t>
      </w:r>
      <w:r>
        <w:t xml:space="preserve">frames the transfer of the drug substance process between sites, RA-001 sets the scope of</w:t>
      </w:r>
      <w:r>
        <w:t xml:space="preserve"> </w:t>
      </w:r>
      <w:r>
        <w:t xml:space="preserve">what is characterized here, and PCMP-001 states the campaign-wide conventions that this</w:t>
      </w:r>
      <w:r>
        <w:t xml:space="preserve"> </w:t>
      </w:r>
      <w:r>
        <w:t xml:space="preserve">plan instantiates for Step 3. PCR-003 will report the executed studies, and PCMR-001 will</w:t>
      </w:r>
      <w:r>
        <w:t xml:space="preserve"> </w:t>
      </w:r>
      <w:r>
        <w:t xml:space="preserve">consolidate them with the rest of the train.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r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Related documents in the A-Mab characterization package.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4516"/>
              <w:gridCol w:w="24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Relationship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PTP-001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Transfer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transfer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Pre-Characterization Process Risk Assessment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risk basis for study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master plan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 (Production Bioreactor (Step 3))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Sibling — paired document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PCMR-001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Report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Rolls up into</w:t>
                  </w:r>
                </w:p>
              </w:tc>
            </w:tr>
          </w:tbl>
          <w:bookmarkEnd w:id="14"/>
          <w:p/>
        </w:tc>
      </w:tr>
    </w:tbl>
    <w:p>
      <w:pPr>
        <w:pStyle w:val="BodyText"/>
      </w:pPr>
      <w:hyperlink w:anchor="tbl-sop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the controlled procedures and the validated analytical methods cited in this</w:t>
      </w:r>
      <w:r>
        <w:t xml:space="preserve"> </w:t>
      </w:r>
      <w:r>
        <w:t xml:space="preserve">plan, and each method is matched in §5.3 to the attribute it measures.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so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Controlled procedures and validated analytical methods for this study.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50"/>
              <w:gridCol w:w="5333"/>
              <w:gridCol w:w="153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Qualification of Scale-Down 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Design, Execution and Statistical Analysis of DoE Studies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 of the Production Bioreactor (Fed-Batch)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Cell-Culture Media and Feed Preparation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SOP-3010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Released N-Glycan Mapping by 2-AB HILIC-UPLC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 Analysis by SEC-HPLC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Host-Cell-Protein Quantitation by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SOP-3013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Charge-Variant Analysis by icIEF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Host-Cell DNA by qPCR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SOP-4001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Process-Parameter Classification and Control-Strategy Definition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N-Glycan Map (2-AB HILIC-UPLC)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 Variants (icIEF)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 (qPCR)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15"/>
          <w:p/>
        </w:tc>
      </w:tr>
    </w:tbl>
    <w:bookmarkEnd w:id="16"/>
    <w:bookmarkStart w:id="21" w:name="prior-knowledge-and-quality-risk-basis"/>
    <w:p>
      <w:pPr>
        <w:pStyle w:val="Heading1"/>
      </w:pPr>
      <w:r>
        <w:t xml:space="preserve">4. Prior knowledge and quality risk basis</w:t>
      </w:r>
    </w:p>
    <w:bookmarkStart w:id="17" w:name="Xfc9d08e28ad3e20206826e1b5e1507b6461f659"/>
    <w:p>
      <w:pPr>
        <w:pStyle w:val="Heading2"/>
      </w:pPr>
      <w:r>
        <w:t xml:space="preserve">4.1 Unit-operation description and prior knowledge</w:t>
      </w:r>
    </w:p>
    <w:p>
      <w:pPr>
        <w:pStyle w:val="FirstParagraph"/>
      </w:pPr>
      <w:r>
        <w:t xml:space="preserve">The production bioreactor is a fed-batch culture of a recombinant CHO cell line in a</w:t>
      </w:r>
      <w:r>
        <w:t xml:space="preserve"> </w:t>
      </w:r>
      <w:r>
        <w:t xml:space="preserve">stirred tank vessel, inoculated from the N-1 seed bioreactor and harvested after</w:t>
      </w:r>
      <w:r>
        <w:t xml:space="preserve"> </w:t>
      </w:r>
      <w:r>
        <w:t xml:space="preserve">17 days at the set-point condition. Culture pH is held by carbon</w:t>
      </w:r>
      <w:r>
        <w:t xml:space="preserve"> </w:t>
      </w:r>
      <w:r>
        <w:t xml:space="preserve">dioxide sparging and base addition, temperature by the vessel jacket, and dissolved oxygen</w:t>
      </w:r>
      <w:r>
        <w:t xml:space="preserve"> </w:t>
      </w:r>
      <w:r>
        <w:t xml:space="preserve">by sparged air and oxygen, and bolus nutrient feeds are added on a fixed schedule. At</w:t>
      </w:r>
      <w:r>
        <w:t xml:space="preserve"> </w:t>
      </w:r>
      <w:r>
        <w:t xml:space="preserve">commercial scale the vessel is operated at 15,000 L working volume</w:t>
      </w:r>
      <w:r>
        <w:t xml:space="preserve"> </w:t>
      </w:r>
      <w:r>
        <w:t xml:space="preserve">(SOP-2003). At bench scale it is operated on the qualified model described in §5.1.</w:t>
      </w:r>
    </w:p>
    <w:p>
      <w:pPr>
        <w:pStyle w:val="BodyText"/>
      </w:pPr>
      <w:r>
        <w:t xml:space="preserve">Four mechanisms shape what the studies expect to find, and the ranges in §6.1 follow from</w:t>
      </w:r>
      <w:r>
        <w:t xml:space="preserve"> </w:t>
      </w:r>
      <w:r>
        <w:t xml:space="preserve">them. Galactosylation depends on the activity of the Golgi galactosyltransferase and on the</w:t>
      </w:r>
      <w:r>
        <w:t xml:space="preserve"> </w:t>
      </w:r>
      <w:r>
        <w:t xml:space="preserve">supply of the nucleotide sugar donor (UDP-galactose), both of which fall as a culture ages</w:t>
      </w:r>
      <w:r>
        <w:t xml:space="preserve"> </w:t>
      </w:r>
      <w:r>
        <w:t xml:space="preserve">and as the extracellular environment acidifies. High mannose is set earlier in the same</w:t>
      </w:r>
      <w:r>
        <w:t xml:space="preserve"> </w:t>
      </w:r>
      <w:r>
        <w:t xml:space="preserve">pathway, by how far mannosidase trimming has progressed before the antibody is secreted,</w:t>
      </w:r>
      <w:r>
        <w:t xml:space="preserve"> </w:t>
      </w:r>
      <w:r>
        <w:t xml:space="preserve">which makes it sensitive to lumenal pH and to temperature. Afucosylation reflects a</w:t>
      </w:r>
      <w:r>
        <w:t xml:space="preserve"> </w:t>
      </w:r>
      <w:r>
        <w:t xml:space="preserve">competition instead. Core fucosyltransferase acts on the antibody while it transits the</w:t>
      </w:r>
      <w:r>
        <w:t xml:space="preserve"> </w:t>
      </w:r>
      <w:r>
        <w:t xml:space="preserve">Golgi, so a condition that slows transit raises the fucosylated fraction and lowers</w:t>
      </w:r>
      <w:r>
        <w:t xml:space="preserve"> </w:t>
      </w:r>
      <w:r>
        <w:t xml:space="preserve">afucosylation. Deamidation and aggregation are not enzymatic at all, and both accumulate</w:t>
      </w:r>
      <w:r>
        <w:t xml:space="preserve"> </w:t>
      </w:r>
      <w:r>
        <w:t xml:space="preserve">with the time the secreted antibody spends in an ageing broth, which is why culture</w:t>
      </w:r>
      <w:r>
        <w:t xml:space="preserve"> </w:t>
      </w:r>
      <w:r>
        <w:t xml:space="preserve">duration is carried as a factor of both multivariate designs (§6) and is expected to act on</w:t>
      </w:r>
      <w:r>
        <w:t xml:space="preserve"> </w:t>
      </w:r>
      <w:r>
        <w:t xml:space="preserve">several attributes at once.</w:t>
      </w:r>
    </w:p>
    <w:p>
      <w:pPr>
        <w:pStyle w:val="BodyText"/>
      </w:pPr>
      <w:r>
        <w:t xml:space="preserve">Prior product knowledge supports this framing without replacing it. The platform has</w:t>
      </w:r>
      <w:r>
        <w:t xml:space="preserve"> </w:t>
      </w:r>
      <w:r>
        <w:t xml:space="preserve">produced three earlier humanized IgG1 antibodies (X-Mab, Y-Mab and Z-Mab) in the same</w:t>
      </w:r>
      <w:r>
        <w:t xml:space="preserve"> </w:t>
      </w:r>
      <w:r>
        <w:t xml:space="preserve">medium and feed system, and several of the A-Mab acceptance criteria in</w:t>
      </w:r>
      <w:r>
        <w:t xml:space="preserve"> </w:t>
      </w:r>
      <w:hyperlink w:anchor="tbl-cqa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were set</w:t>
      </w:r>
      <w:r>
        <w:t xml:space="preserve"> </w:t>
      </w:r>
      <w:r>
        <w:t xml:space="preserve">from X-Mab clinical experience</w:t>
      </w:r>
      <w:r>
        <w:t xml:space="preserve"> </w:t>
      </w:r>
      <w:r>
        <w:t xml:space="preserve">(CMC Biotech Working Group 2009)</w:t>
      </w:r>
      <w:r>
        <w:t xml:space="preserve">. Since the mechanisms above are properties of</w:t>
      </w:r>
      <w:r>
        <w:t xml:space="preserve"> </w:t>
      </w:r>
      <w:r>
        <w:t xml:space="preserve">the host cell line and of the culture chemistry, they may be carried across products. The</w:t>
      </w:r>
      <w:r>
        <w:t xml:space="preserve"> </w:t>
      </w:r>
      <w:r>
        <w:t xml:space="preserve">effect sizes may not. They depend on the specific productivity and the glycan profile of</w:t>
      </w:r>
      <w:r>
        <w:t xml:space="preserve"> </w:t>
      </w:r>
      <w:r>
        <w:t xml:space="preserve">the individual clone, so the studies characterize A-Mab directly, and prior knowledge is</w:t>
      </w:r>
      <w:r>
        <w:t xml:space="preserve"> </w:t>
      </w:r>
      <w:r>
        <w:t xml:space="preserve">used only to justify the factor set and the ranges.</w:t>
      </w:r>
    </w:p>
    <w:bookmarkEnd w:id="17"/>
    <w:bookmarkStart w:id="19" w:name="quality-attributes-in-scope"/>
    <w:p>
      <w:pPr>
        <w:pStyle w:val="Heading2"/>
      </w:pPr>
      <w:r>
        <w:t xml:space="preserve">4.2 Quality attributes in scope</w:t>
      </w:r>
    </w:p>
    <w:p>
      <w:pPr>
        <w:pStyle w:val="FirstParagraph"/>
      </w:pPr>
      <w:hyperlink w:anchor="tbl-cqa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lists the quality attributes the register assigns to this step, each with an</w:t>
      </w:r>
      <w:r>
        <w:t xml:space="preserve"> </w:t>
      </w:r>
      <w:r>
        <w:t xml:space="preserve">acceptance criterion, a level of criticality and a Tool #1 score. Criticality is treated as</w:t>
      </w:r>
      <w:r>
        <w:t xml:space="preserve"> </w:t>
      </w:r>
      <w:r>
        <w:t xml:space="preserve">a continuum and not as a binary classification</w:t>
      </w:r>
      <w:r>
        <w:t xml:space="preserve"> </w:t>
      </w:r>
      <w:r>
        <w:t xml:space="preserve">(International Council for Harmonisation 2023; CMC Biotech Working Group 2009)</w:t>
      </w:r>
      <w:r>
        <w:t xml:space="preserve">. The Tool #1 score is</w:t>
      </w:r>
      <w:r>
        <w:t xml:space="preserve"> </w:t>
      </w:r>
      <w:r>
        <w:t xml:space="preserve">the product of the impact of an attribute on safety or efficacy and the uncertainty in that</w:t>
      </w:r>
      <w:r>
        <w:t xml:space="preserve"> </w:t>
      </w:r>
      <w:r>
        <w:t xml:space="preserve">impact, and attributes at high or very high criticality (H or VH) are treated as critical.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cq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Quality attributes formed at the production bioreactor, with acceptance criteria, criticality and Tool #1 score.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839"/>
              <w:gridCol w:w="1344"/>
              <w:gridCol w:w="1793"/>
              <w:gridCol w:w="1120"/>
              <w:gridCol w:w="8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 #1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2–13 %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10–40 % (G1+G2 equiv.)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3–10 %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0–5 % HMW (SEC)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charge variants (deamidation)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18–40 % (CEX/icIEF)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 ng/mg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 ng/dose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High mannose is the only attribute of very high criticality and carries the highest Tool #1</w:t>
      </w:r>
      <w:r>
        <w:t xml:space="preserve"> </w:t>
      </w:r>
      <w:r>
        <w:t xml:space="preserve">score in</w:t>
      </w:r>
      <w:r>
        <w:t xml:space="preserve"> </w:t>
      </w:r>
      <w:hyperlink w:anchor="tbl-cqa">
        <w:r>
          <w:rPr>
            <w:rStyle w:val="Hyperlink"/>
          </w:rPr>
          <w:t xml:space="preserve">Table 4</w:t>
        </w:r>
      </w:hyperlink>
      <w:r>
        <w:t xml:space="preserve">, so it is treated as the governing attribute of the step and the</w:t>
      </w:r>
      <w:r>
        <w:t xml:space="preserve"> </w:t>
      </w:r>
      <w:r>
        <w:t xml:space="preserve">operating region will be judged against it first. Afucosylation and galactosylation come</w:t>
      </w:r>
      <w:r>
        <w:t xml:space="preserve"> </w:t>
      </w:r>
      <w:r>
        <w:t xml:space="preserve">next, both linked to antibody-dependent cell-mediated cytotoxicity (ADCC), which is the</w:t>
      </w:r>
      <w:r>
        <w:t xml:space="preserve"> </w:t>
      </w:r>
      <w:r>
        <w:t xml:space="preserve">primary mechanism of action of A-Mab, and both formed only in the bioreactor. Aggregate is</w:t>
      </w:r>
      <w:r>
        <w:t xml:space="preserve"> </w:t>
      </w:r>
      <w:r>
        <w:t xml:space="preserve">also of high criticality. However, this step shares control of aggregate with cation</w:t>
      </w:r>
      <w:r>
        <w:t xml:space="preserve"> </w:t>
      </w:r>
      <w:r>
        <w:t xml:space="preserve">exchange (PCR-007), so a harvest level inside acceptance is necessary and is not</w:t>
      </w:r>
      <w:r>
        <w:t xml:space="preserve"> </w:t>
      </w:r>
      <w:r>
        <w:t xml:space="preserve">sufficient.</w:t>
      </w:r>
    </w:p>
    <w:p>
      <w:pPr>
        <w:pStyle w:val="BodyText"/>
      </w:pPr>
      <w:r>
        <w:t xml:space="preserve">Acidic charge variants sit at the other end of the range, at very low criticality. The</w:t>
      </w:r>
      <w:r>
        <w:t xml:space="preserve"> </w:t>
      </w:r>
      <w:r>
        <w:t xml:space="preserve">attribute is measured on every run nonetheless, since deamidation is a stability-indicating</w:t>
      </w:r>
      <w:r>
        <w:t xml:space="preserve"> </w:t>
      </w:r>
      <w:r>
        <w:t xml:space="preserve">change and a large shift would be informative even where the acceptance criterion is as</w:t>
      </w:r>
      <w:r>
        <w:t xml:space="preserve"> </w:t>
      </w:r>
      <w:r>
        <w:t xml:space="preserve">wide as this one.</w:t>
      </w:r>
    </w:p>
    <w:p>
      <w:pPr>
        <w:pStyle w:val="BodyText"/>
      </w:pPr>
      <w:r>
        <w:t xml:space="preserve">Host cell protein and residual DNA are formed here and cleared downstream, and this step</w:t>
      </w:r>
      <w:r>
        <w:t xml:space="preserve"> </w:t>
      </w:r>
      <w:r>
        <w:t xml:space="preserve">sets the load that the capture column will see, so both will be measured on the harvest of</w:t>
      </w:r>
      <w:r>
        <w:t xml:space="preserve"> </w:t>
      </w:r>
      <w:r>
        <w:t xml:space="preserve">every run to characterize that load. Neither is a response of the designed experiments. The</w:t>
      </w:r>
      <w:r>
        <w:t xml:space="preserve"> </w:t>
      </w:r>
      <w:r>
        <w:t xml:space="preserve">clearance credit for both belongs to Protein A capture (PCR-005), cation exchange</w:t>
      </w:r>
      <w:r>
        <w:t xml:space="preserve"> </w:t>
      </w:r>
      <w:r>
        <w:t xml:space="preserve">(PCR-007) and anion exchange (PCR-008), and PCMR-001 consolidates it across the train.</w:t>
      </w:r>
    </w:p>
    <w:bookmarkEnd w:id="19"/>
    <w:bookmarkStart w:id="20" w:name="risk-based-prioritization-of-parameters"/>
    <w:p>
      <w:pPr>
        <w:pStyle w:val="Heading2"/>
      </w:pPr>
      <w:r>
        <w:t xml:space="preserve">4.3 Risk-based prioritization of parameters</w:t>
      </w:r>
    </w:p>
    <w:p>
      <w:pPr>
        <w:pStyle w:val="FirstParagraph"/>
      </w:pPr>
      <w:r>
        <w:t xml:space="preserve">RA-001 assessed every process parameter of this step by risk ranking and filtering. Each</w:t>
      </w:r>
      <w:r>
        <w:t xml:space="preserve"> </w:t>
      </w:r>
      <w:r>
        <w:t xml:space="preserve">parameter received one score for the potential to affect a critical quality attribute and a</w:t>
      </w:r>
      <w:r>
        <w:t xml:space="preserve"> </w:t>
      </w:r>
      <w:r>
        <w:t xml:space="preserve">second for the potential to interact with other parameters, and the two scores together</w:t>
      </w:r>
      <w:r>
        <w:t xml:space="preserve"> </w:t>
      </w:r>
      <w:r>
        <w:t xml:space="preserve">decided the study type</w:t>
      </w:r>
      <w:r>
        <w:t xml:space="preserve"> </w:t>
      </w:r>
      <w:r>
        <w:t xml:space="preserve">(CMC Biotech Working Group 2009)</w:t>
      </w:r>
      <w:r>
        <w:t xml:space="preserve">. Parameters scoring high on both went into the</w:t>
      </w:r>
      <w:r>
        <w:t xml:space="preserve"> </w:t>
      </w:r>
      <w:r>
        <w:t xml:space="preserve">multivariate design, since an interaction can only be estimated when the interacting</w:t>
      </w:r>
      <w:r>
        <w:t xml:space="preserve"> </w:t>
      </w:r>
      <w:r>
        <w:t xml:space="preserve">parameters are varied together. Parameters with a credible main effect and little</w:t>
      </w:r>
      <w:r>
        <w:t xml:space="preserve"> </w:t>
      </w:r>
      <w:r>
        <w:t xml:space="preserve">interaction potential were assigned to univariate assessment. No parameter of this step was</w:t>
      </w:r>
      <w:r>
        <w:t xml:space="preserve"> </w:t>
      </w:r>
      <w:r>
        <w:t xml:space="preserve">left unstudied.</w:t>
      </w:r>
    </w:p>
    <w:p>
      <w:pPr>
        <w:pStyle w:val="BodyText"/>
      </w:pPr>
      <w:r>
        <w:t xml:space="preserve">5 of the 9 parameters are therefore studied multivariately and</w:t>
      </w:r>
      <w:r>
        <w:t xml:space="preserve"> </w:t>
      </w:r>
      <w:r>
        <w:t xml:space="preserve">4 univariately (</w:t>
      </w:r>
      <w:hyperlink w:anchor="tbl-par">
        <w:r>
          <w:rPr>
            <w:rStyle w:val="Hyperlink"/>
          </w:rPr>
          <w:t xml:space="preserve">Table 5</w:t>
        </w:r>
      </w:hyperlink>
      <w:r>
        <w:t xml:space="preserve">). The split is not a statement about which</w:t>
      </w:r>
      <w:r>
        <w:t xml:space="preserve"> </w:t>
      </w:r>
      <w:r>
        <w:t xml:space="preserve">parameters matter, which is what the studies exist to determine. It is a statement about</w:t>
      </w:r>
      <w:r>
        <w:t xml:space="preserve"> </w:t>
      </w:r>
      <w:r>
        <w:t xml:space="preserve">which parameters are expected to act through the same chemistry and so have to be varied</w:t>
      </w:r>
      <w:r>
        <w:t xml:space="preserve"> </w:t>
      </w:r>
      <w:r>
        <w:t xml:space="preserve">together.</w:t>
      </w:r>
    </w:p>
    <w:p>
      <w:pPr>
        <w:pStyle w:val="BodyText"/>
      </w:pPr>
      <w:r>
        <w:t xml:space="preserve">The characterization ranges are wider than the normal operating ranges throughout, by</w:t>
      </w:r>
      <w:r>
        <w:t xml:space="preserve"> </w:t>
      </w:r>
      <w:r>
        <w:t xml:space="preserve">factors between 1.5 and 2.5. Two</w:t>
      </w:r>
      <w:r>
        <w:t xml:space="preserve"> </w:t>
      </w:r>
      <w:r>
        <w:t xml:space="preserve">considerations set that width: a range has to be wide enough for a real effect to be</w:t>
      </w:r>
      <w:r>
        <w:t xml:space="preserve"> </w:t>
      </w:r>
      <w:r>
        <w:t xml:space="preserve">resolved above assay and process noise, and wide enough to bound a knowledge space that can</w:t>
      </w:r>
      <w:r>
        <w:t xml:space="preserve"> </w:t>
      </w:r>
      <w:r>
        <w:t xml:space="preserve">support later movement within the design space without new studies. It also has to stay</w:t>
      </w:r>
      <w:r>
        <w:t xml:space="preserve"> </w:t>
      </w:r>
      <w:r>
        <w:t xml:space="preserve">inside what the equipment can deliver and inside conditions the culture survives. Dissolved</w:t>
      </w:r>
      <w:r>
        <w:t xml:space="preserve"> </w:t>
      </w:r>
      <w:r>
        <w:t xml:space="preserve">carbon dioxide is varied over a range that is wide in proportion to the set-point</w:t>
      </w:r>
      <w:r>
        <w:t xml:space="preserve"> </w:t>
      </w:r>
      <w:r>
        <w:t xml:space="preserve">(</w:t>
      </w:r>
      <w:hyperlink w:anchor="tbl-par">
        <w:r>
          <w:rPr>
            <w:rStyle w:val="Hyperlink"/>
          </w:rPr>
          <w:t xml:space="preserve">Table 5</w:t>
        </w:r>
      </w:hyperlink>
      <w:r>
        <w:t xml:space="preserve">), because it accumulates at commercial scale in a way a bench vessel does not</w:t>
      </w:r>
      <w:r>
        <w:t xml:space="preserve"> </w:t>
      </w:r>
      <w:r>
        <w:t xml:space="preserve">reproduce without deliberate control.</w:t>
      </w:r>
    </w:p>
    <w:bookmarkEnd w:id="20"/>
    <w:bookmarkEnd w:id="21"/>
    <w:bookmarkStart w:id="27" w:name="materials-and-methods"/>
    <w:p>
      <w:pPr>
        <w:pStyle w:val="Heading1"/>
      </w:pPr>
      <w:r>
        <w:t xml:space="preserve">5. Materials and methods</w:t>
      </w:r>
    </w:p>
    <w:bookmarkStart w:id="22" w:name="scale-down-model-and-its-qualification"/>
    <w:p>
      <w:pPr>
        <w:pStyle w:val="Heading2"/>
      </w:pPr>
      <w:r>
        <w:t xml:space="preserve">5.1 Scale-down model and its qualification</w:t>
      </w:r>
    </w:p>
    <w:p>
      <w:pPr>
        <w:pStyle w:val="FirstParagraph"/>
      </w:pPr>
      <w:r>
        <w:t xml:space="preserve">The studies will be executed in bench-scale stirred tank bioreactors qualified as a model</w:t>
      </w:r>
      <w:r>
        <w:t xml:space="preserve"> </w:t>
      </w:r>
      <w:r>
        <w:t xml:space="preserve">of the commercial vessel (SOP-1001). Qualification is a precondition of execution and not</w:t>
      </w:r>
      <w:r>
        <w:t xml:space="preserve"> </w:t>
      </w:r>
      <w:r>
        <w:t xml:space="preserve">an outcome of it, so no characterization run may start before the qualification report is</w:t>
      </w:r>
      <w:r>
        <w:t xml:space="preserve"> </w:t>
      </w:r>
      <w:r>
        <w:t xml:space="preserve">approved.</w:t>
      </w:r>
    </w:p>
    <w:p>
      <w:pPr>
        <w:pStyle w:val="BodyText"/>
      </w:pPr>
      <w:r>
        <w:t xml:space="preserve">The model rests on a standard division between scale-independent and scale-dependent</w:t>
      </w:r>
      <w:r>
        <w:t xml:space="preserve"> </w:t>
      </w:r>
      <w:r>
        <w:t xml:space="preserve">variables: the first are set to the values the commercial process will use, and the second</w:t>
      </w:r>
      <w:r>
        <w:t xml:space="preserve"> </w:t>
      </w:r>
      <w:r>
        <w:t xml:space="preserve">are set so that performance matches across scales</w:t>
      </w:r>
      <w:r>
        <w:t xml:space="preserve"> </w:t>
      </w:r>
      <w:r>
        <w:t xml:space="preserve">(CMC Biotech Working Group 2009)</w:t>
      </w:r>
      <w:r>
        <w:t xml:space="preserve">. Culture pH, temperature,</w:t>
      </w:r>
      <w:r>
        <w:t xml:space="preserve"> </w:t>
      </w:r>
      <w:r>
        <w:t xml:space="preserve">dissolved oxygen, initial viable cell concentration, feed schedule and culture duration are</w:t>
      </w:r>
      <w:r>
        <w:t xml:space="preserve"> </w:t>
      </w:r>
      <w:r>
        <w:t xml:space="preserve">scale-independent, and the bench vessels will run them at commercial target values.</w:t>
      </w:r>
      <w:r>
        <w:t xml:space="preserve"> </w:t>
      </w:r>
      <w:r>
        <w:t xml:space="preserve">Agitation, gas flow rates, headspace pressure and working volume are scale-dependent, and</w:t>
      </w:r>
      <w:r>
        <w:t xml:space="preserve"> </w:t>
      </w:r>
      <w:r>
        <w:t xml:space="preserve">each will be set to match the commercial vessel on volumetric mass transfer coefficient,</w:t>
      </w:r>
      <w:r>
        <w:t xml:space="preserve"> </w:t>
      </w:r>
      <w:r>
        <w:t xml:space="preserve">impeller tip speed and the pCO₂ profile through the culture.</w:t>
      </w:r>
    </w:p>
    <w:p>
      <w:pPr>
        <w:pStyle w:val="BodyText"/>
      </w:pPr>
      <w:r>
        <w:t xml:space="preserve">Qualification compares the model with at-scale data on inputs and on outputs. The input</w:t>
      </w:r>
      <w:r>
        <w:t xml:space="preserve"> </w:t>
      </w:r>
      <w:r>
        <w:t xml:space="preserve">attributes are the seed train material and the medium and feed lots. The output attributes</w:t>
      </w:r>
      <w:r>
        <w:t xml:space="preserve"> </w:t>
      </w:r>
      <w:r>
        <w:t xml:space="preserve">are the viable cell density profile, viability at harvest, titre and the</w:t>
      </w:r>
      <w:r>
        <w:t xml:space="preserve"> </w:t>
      </w:r>
      <w:r>
        <w:t xml:space="preserve">5 quality attributes the designed experiments will measure. The model is</w:t>
      </w:r>
      <w:r>
        <w:t xml:space="preserve"> </w:t>
      </w:r>
      <w:r>
        <w:t xml:space="preserve">qualified when no statistically significant difference is found between the bench and the</w:t>
      </w:r>
      <w:r>
        <w:t xml:space="preserve"> </w:t>
      </w:r>
      <w:r>
        <w:t xml:space="preserve">commercial distributions of these attributes at the set-point condition. The qualification</w:t>
      </w:r>
      <w:r>
        <w:t xml:space="preserve"> </w:t>
      </w:r>
      <w:r>
        <w:t xml:space="preserve">package is filed under SOP-1001 and will be referenced, not repeated, in PCR-003.</w:t>
      </w:r>
    </w:p>
    <w:p>
      <w:pPr>
        <w:pStyle w:val="BodyText"/>
      </w:pPr>
      <w:r>
        <w:t xml:space="preserve">Two limits of the model should be stated in the sections that rely on it. A bench vessel</w:t>
      </w:r>
      <w:r>
        <w:t xml:space="preserve"> </w:t>
      </w:r>
      <w:r>
        <w:t xml:space="preserve">mixes in seconds where a 15,000 L vessel takes minutes, so any</w:t>
      </w:r>
      <w:r>
        <w:t xml:space="preserve"> </w:t>
      </w:r>
      <w:r>
        <w:t xml:space="preserve">gradient effect at commercial scale is under-represented at bench scale. Carbon dioxide</w:t>
      </w:r>
      <w:r>
        <w:t xml:space="preserve"> </w:t>
      </w:r>
      <w:r>
        <w:t xml:space="preserve">also strips more readily from a small vessel, which is why pCO₂ is controlled as an</w:t>
      </w:r>
      <w:r>
        <w:t xml:space="preserve"> </w:t>
      </w:r>
      <w:r>
        <w:t xml:space="preserve">independent factor in these studies (§6.1) instead of being allowed to find a level of its</w:t>
      </w:r>
      <w:r>
        <w:t xml:space="preserve"> </w:t>
      </w:r>
      <w:r>
        <w:t xml:space="preserve">own. Neither limitation is removed by this plan. Both are managed by carrying pCO₂ as a</w:t>
      </w:r>
      <w:r>
        <w:t xml:space="preserve"> </w:t>
      </w:r>
      <w:r>
        <w:t xml:space="preserve">characterized factor and by confirming the attributes at commercial scale during Stage 2.</w:t>
      </w:r>
    </w:p>
    <w:p>
      <w:pPr>
        <w:pStyle w:val="BodyText"/>
      </w:pPr>
      <w:r>
        <w:t xml:space="preserve">The centre point runs of both designs serve a second purpose: replicated at the set-point</w:t>
      </w:r>
      <w:r>
        <w:t xml:space="preserve"> </w:t>
      </w:r>
      <w:r>
        <w:t xml:space="preserve">of every factor, they estimate pure error, which is the reference against which lack of fit</w:t>
      </w:r>
      <w:r>
        <w:t xml:space="preserve"> </w:t>
      </w:r>
      <w:r>
        <w:t xml:space="preserve">is tested (§5.5).</w:t>
      </w:r>
    </w:p>
    <w:bookmarkEnd w:id="22"/>
    <w:bookmarkStart w:id="23" w:name="cell-line-media-and-culture-operation"/>
    <w:p>
      <w:pPr>
        <w:pStyle w:val="Heading2"/>
      </w:pPr>
      <w:r>
        <w:t xml:space="preserve">5.2 Cell line, media and culture operation</w:t>
      </w:r>
    </w:p>
    <w:p>
      <w:pPr>
        <w:pStyle w:val="FirstParagraph"/>
      </w:pPr>
      <w:r>
        <w:t xml:space="preserve">The cell line is the A-Mab production clone, expanded from a single vial of the working</w:t>
      </w:r>
      <w:r>
        <w:t xml:space="preserve"> </w:t>
      </w:r>
      <w:r>
        <w:t xml:space="preserve">cell bank through the seed train to the N-1 bioreactor. Seed expansion is run at platform</w:t>
      </w:r>
      <w:r>
        <w:t xml:space="preserve"> </w:t>
      </w:r>
      <w:r>
        <w:t xml:space="preserve">conditions and is not characterized here (§1). Each characterization run will be inoculated</w:t>
      </w:r>
      <w:r>
        <w:t xml:space="preserve"> </w:t>
      </w:r>
      <w:r>
        <w:t xml:space="preserve">from an N-1 culture meeting the platform criteria for viable cell density and viability, so</w:t>
      </w:r>
      <w:r>
        <w:t xml:space="preserve"> </w:t>
      </w:r>
      <w:r>
        <w:t xml:space="preserve">that the input to the study is controlled and is not itself a source of variation.</w:t>
      </w:r>
    </w:p>
    <w:p>
      <w:pPr>
        <w:pStyle w:val="BodyText"/>
      </w:pPr>
      <w:r>
        <w:t xml:space="preserve">Basal medium and feeds are prepared under SOP-2004 from the platform formulation. Medium</w:t>
      </w:r>
      <w:r>
        <w:t xml:space="preserve"> </w:t>
      </w:r>
      <w:r>
        <w:t xml:space="preserve">and feed lots are identity tested and released against specification before use, and they</w:t>
      </w:r>
      <w:r>
        <w:t xml:space="preserve"> </w:t>
      </w:r>
      <w:r>
        <w:t xml:space="preserve">are inputs controlled to specification and not variables under characterization, with one</w:t>
      </w:r>
      <w:r>
        <w:t xml:space="preserve"> </w:t>
      </w:r>
      <w:r>
        <w:t xml:space="preserve">exception. Basal medium concentration is a univariate factor of this study (§6.4), and the</w:t>
      </w:r>
      <w:r>
        <w:t xml:space="preserve"> </w:t>
      </w:r>
      <w:r>
        <w:t xml:space="preserve">levels will be prepared as separate lots to the same formulation.</w:t>
      </w:r>
    </w:p>
    <w:p>
      <w:pPr>
        <w:pStyle w:val="BodyText"/>
      </w:pPr>
      <w:r>
        <w:t xml:space="preserve">The production culture is operated under SOP-2003, with bolus feeds added on the platform</w:t>
      </w:r>
      <w:r>
        <w:t xml:space="preserve"> </w:t>
      </w:r>
      <w:r>
        <w:t xml:space="preserve">schedule and harvest at the duration the design assigns to the run. Culture duration is a</w:t>
      </w:r>
      <w:r>
        <w:t xml:space="preserve"> </w:t>
      </w:r>
      <w:r>
        <w:t xml:space="preserve">factor of the multivariate designs and may not be allowed to float, so a run that reaches</w:t>
      </w:r>
      <w:r>
        <w:t xml:space="preserve"> </w:t>
      </w:r>
      <w:r>
        <w:t xml:space="preserve">the platform stop criterion for viability before the assigned duration departs from the</w:t>
      </w:r>
      <w:r>
        <w:t xml:space="preserve"> </w:t>
      </w:r>
      <w:r>
        <w:t xml:space="preserve">design and will be handled as a deviation (§9).</w:t>
      </w:r>
    </w:p>
    <w:bookmarkEnd w:id="23"/>
    <w:bookmarkStart w:id="24" w:name="analytical-methods"/>
    <w:p>
      <w:pPr>
        <w:pStyle w:val="Heading2"/>
      </w:pPr>
      <w:r>
        <w:t xml:space="preserve">5.3 Analytical methods</w:t>
      </w:r>
    </w:p>
    <w:p>
      <w:pPr>
        <w:pStyle w:val="FirstParagraph"/>
      </w:pPr>
      <w:r>
        <w:t xml:space="preserve">Every attribute in scope is measured by a validated method, and</w:t>
      </w:r>
      <w:r>
        <w:t xml:space="preserve"> </w:t>
      </w:r>
      <w:hyperlink w:anchor="tbl-sop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gives the</w:t>
      </w:r>
      <w:r>
        <w:t xml:space="preserve"> </w:t>
      </w:r>
      <w:r>
        <w:t xml:space="preserve">procedure and the validation reference for each. Released N-glycan mapping by 2-AB</w:t>
      </w:r>
      <w:r>
        <w:t xml:space="preserve"> </w:t>
      </w:r>
      <w:r>
        <w:t xml:space="preserve">HILIC-UPLC (SOP-3010, AMV-3010) reports afucosylation, galactosylation and high mannose</w:t>
      </w:r>
      <w:r>
        <w:t xml:space="preserve"> </w:t>
      </w:r>
      <w:r>
        <w:t xml:space="preserve">from a single analysis, so the three glycan attributes come from one sample and share a</w:t>
      </w:r>
      <w:r>
        <w:t xml:space="preserve"> </w:t>
      </w:r>
      <w:r>
        <w:t xml:space="preserve">common analytical variance. Size variants are measured by SEC-HPLC (SOP-3011, AMV-3011),</w:t>
      </w:r>
      <w:r>
        <w:t xml:space="preserve"> </w:t>
      </w:r>
      <w:r>
        <w:t xml:space="preserve">which reports the high molecular weight fraction, and charge variants by icIEF (SOP-3013,</w:t>
      </w:r>
      <w:r>
        <w:t xml:space="preserve"> </w:t>
      </w:r>
      <w:r>
        <w:t xml:space="preserve">AMV-3013), which reports the acidic fraction. Host cell protein is measured by ELISA</w:t>
      </w:r>
      <w:r>
        <w:t xml:space="preserve"> </w:t>
      </w:r>
      <w:r>
        <w:t xml:space="preserve">(SOP-3012, AMV-3012) and residual host cell DNA by qPCR (SOP-3014, AMV-3014).</w:t>
      </w:r>
    </w:p>
    <w:p>
      <w:pPr>
        <w:pStyle w:val="BodyText"/>
      </w:pPr>
      <w:r>
        <w:t xml:space="preserve">Method performance is not restated in this plan. Accuracy, precision, specificity, range</w:t>
      </w:r>
      <w:r>
        <w:t xml:space="preserve"> </w:t>
      </w:r>
      <w:r>
        <w:t xml:space="preserve">and quantitation limits are given in the validation report cited for each method in</w:t>
      </w:r>
      <w:r>
        <w:t xml:space="preserve"> </w:t>
      </w:r>
      <w:hyperlink w:anchor="tbl-sop">
        <w:r>
          <w:rPr>
            <w:rStyle w:val="Hyperlink"/>
          </w:rPr>
          <w:t xml:space="preserve">Table 3</w:t>
        </w:r>
      </w:hyperlink>
      <w:r>
        <w:t xml:space="preserve">, and PCR-003 will quote the relevant precision estimate wherever an effect is</w:t>
      </w:r>
      <w:r>
        <w:t xml:space="preserve"> </w:t>
      </w:r>
      <w:r>
        <w:t xml:space="preserve">small enough for assay variance to matter.</w:t>
      </w:r>
    </w:p>
    <w:p>
      <w:pPr>
        <w:pStyle w:val="BodyText"/>
      </w:pPr>
      <w:r>
        <w:t xml:space="preserve">Samples for a given attribute will be analysed in as few analytical sequences as the sample</w:t>
      </w:r>
      <w:r>
        <w:t xml:space="preserve"> </w:t>
      </w:r>
      <w:r>
        <w:t xml:space="preserve">count allows, and a common reference standard will be included in every sequence. Since a</w:t>
      </w:r>
      <w:r>
        <w:t xml:space="preserve"> </w:t>
      </w:r>
      <w:r>
        <w:t xml:space="preserve">design is analysed as a whole, an analytical batch effect that tracked the run order would</w:t>
      </w:r>
      <w:r>
        <w:t xml:space="preserve"> </w:t>
      </w:r>
      <w:r>
        <w:t xml:space="preserve">be indistinguishable from a factor effect.</w:t>
      </w:r>
    </w:p>
    <w:bookmarkEnd w:id="24"/>
    <w:bookmarkStart w:id="25" w:name="sampling-plan"/>
    <w:p>
      <w:pPr>
        <w:pStyle w:val="Heading2"/>
      </w:pPr>
      <w:r>
        <w:t xml:space="preserve">5.4 Sampling plan</w:t>
      </w:r>
    </w:p>
    <w:p>
      <w:pPr>
        <w:pStyle w:val="FirstParagraph"/>
      </w:pPr>
      <w:r>
        <w:t xml:space="preserve">Sampling has two purposes: process monitoring follows the culture while it runs, and the</w:t>
      </w:r>
      <w:r>
        <w:t xml:space="preserve"> </w:t>
      </w:r>
      <w:r>
        <w:t xml:space="preserve">harvest sample characterizes what the culture produced.</w:t>
      </w:r>
    </w:p>
    <w:p>
      <w:pPr>
        <w:pStyle w:val="BodyText"/>
      </w:pPr>
      <w:r>
        <w:t xml:space="preserve">Monitoring samples will be drawn daily from each vessel and tested for viable cell density,</w:t>
      </w:r>
      <w:r>
        <w:t xml:space="preserve"> </w:t>
      </w:r>
      <w:r>
        <w:t xml:space="preserve">viability and the platform metabolite panel (SOP-2003). Offline pH, dissolved oxygen and</w:t>
      </w:r>
      <w:r>
        <w:t xml:space="preserve"> </w:t>
      </w:r>
      <w:r>
        <w:t xml:space="preserve">pCO₂ will be measured on the same sample and compared with the online probe readings, and</w:t>
      </w:r>
      <w:r>
        <w:t xml:space="preserve"> </w:t>
      </w:r>
      <w:r>
        <w:t xml:space="preserve">that comparison is the control that detects probe drift during a run.</w:t>
      </w:r>
    </w:p>
    <w:p>
      <w:pPr>
        <w:pStyle w:val="BodyText"/>
      </w:pPr>
      <w:r>
        <w:t xml:space="preserve">The harvest sample is the study sample. One clarified harvest sample per run will be taken</w:t>
      </w:r>
      <w:r>
        <w:t xml:space="preserve"> </w:t>
      </w:r>
      <w:r>
        <w:t xml:space="preserve">at the end of culture and tested for every attribute named in §5.3, and retained aliquots</w:t>
      </w:r>
      <w:r>
        <w:t xml:space="preserve"> </w:t>
      </w:r>
      <w:r>
        <w:t xml:space="preserve">will be stored frozen so that a repeat test or an additional test can be run without</w:t>
      </w:r>
      <w:r>
        <w:t xml:space="preserve"> </w:t>
      </w:r>
      <w:r>
        <w:t xml:space="preserve">repeating the culture.</w:t>
      </w:r>
    </w:p>
    <w:p>
      <w:pPr>
        <w:pStyle w:val="BodyText"/>
      </w:pPr>
      <w:r>
        <w:t xml:space="preserve">Replication is concentrated at the centre point, where the screening design carries</w:t>
      </w:r>
      <w:r>
        <w:t xml:space="preserve"> </w:t>
      </w:r>
      <w:r>
        <w:t xml:space="preserve">3 runs and the response-surface design carries 4, all</w:t>
      </w:r>
      <w:r>
        <w:t xml:space="preserve"> </w:t>
      </w:r>
      <w:r>
        <w:t xml:space="preserve">at the set-point of every factor. These runs estimate the reproducibility of the whole</w:t>
      </w:r>
      <w:r>
        <w:t xml:space="preserve"> </w:t>
      </w:r>
      <w:r>
        <w:t xml:space="preserve">system, from culture through assay, and they supply the pure error term used in §5.5. The</w:t>
      </w:r>
      <w:r>
        <w:t xml:space="preserve"> </w:t>
      </w:r>
      <w:r>
        <w:t xml:space="preserve">factorial and axial runs are not replicated, which is the usual trade in a designed</w:t>
      </w:r>
      <w:r>
        <w:t xml:space="preserve"> </w:t>
      </w:r>
      <w:r>
        <w:t xml:space="preserve">experiment: precision on the effects is bought from the structure of the matrix instead of</w:t>
      </w:r>
      <w:r>
        <w:t xml:space="preserve"> </w:t>
      </w:r>
      <w:r>
        <w:t xml:space="preserve">from repetition.</w:t>
      </w:r>
    </w:p>
    <w:bookmarkEnd w:id="25"/>
    <w:bookmarkStart w:id="26" w:name="statistical-methods"/>
    <w:p>
      <w:pPr>
        <w:pStyle w:val="Heading2"/>
      </w:pPr>
      <w:r>
        <w:t xml:space="preserve">5.5 Statistical methods</w:t>
      </w:r>
    </w:p>
    <w:p>
      <w:pPr>
        <w:pStyle w:val="FirstParagraph"/>
      </w:pPr>
      <w:r>
        <w:t xml:space="preserve">All models will be fitted on coded factors, each coded so that the set-point maps to zero</w:t>
      </w:r>
      <w:r>
        <w:t xml:space="preserve"> </w:t>
      </w:r>
      <w:r>
        <w:t xml:space="preserve">and the edges of the characterization range map to ±1, which puts every factor on a common</w:t>
      </w:r>
      <w:r>
        <w:t xml:space="preserve"> </w:t>
      </w:r>
      <w:r>
        <w:t xml:space="preserve">scale and makes the coefficients comparable (SOP-1002).</w:t>
      </w:r>
    </w:p>
    <w:p>
      <w:pPr>
        <w:pStyle w:val="BodyText"/>
      </w:pPr>
      <w:r>
        <w:t xml:space="preserve">The screening design will be analysed by ordinary least squares (OLS) with all main effects</w:t>
      </w:r>
      <w:r>
        <w:t xml:space="preserve"> </w:t>
      </w:r>
      <w:r>
        <w:t xml:space="preserve">and all two-factor interactions in the model, and terms will be tested at α = 0.05. An</w:t>
      </w:r>
      <w:r>
        <w:t xml:space="preserve"> </w:t>
      </w:r>
      <w:r>
        <w:t xml:space="preserve">effect is reported as twice the coded coefficient, so it is the change in the response</w:t>
      </w:r>
      <w:r>
        <w:t xml:space="preserve"> </w:t>
      </w:r>
      <w:r>
        <w:t xml:space="preserve">across the whole characterization range of the factor.</w:t>
      </w:r>
    </w:p>
    <w:p>
      <w:pPr>
        <w:pStyle w:val="BodyText"/>
      </w:pPr>
      <w:r>
        <w:t xml:space="preserve">The screening model identifies the factors that matter, and it is not a predictive model:</w:t>
      </w:r>
      <w:r>
        <w:t xml:space="preserve"> </w:t>
      </w:r>
      <w:r>
        <w:t xml:space="preserve">it estimates 16 terms from 19 runs, which leaves</w:t>
      </w:r>
      <w:r>
        <w:t xml:space="preserve"> </w:t>
      </w:r>
      <w:r>
        <w:t xml:space="preserve">3 residual degrees of freedom, 2 of them pure error</w:t>
      </w:r>
      <w:r>
        <w:t xml:space="preserve"> </w:t>
      </w:r>
      <w:r>
        <w:t xml:space="preserve">and 1 lack of fit. A model that near-saturated fits the data it was</w:t>
      </w:r>
      <w:r>
        <w:t xml:space="preserve"> </w:t>
      </w:r>
      <w:r>
        <w:t xml:space="preserve">built on closely whatever the truth is. Its coefficients will therefore be used to select</w:t>
      </w:r>
      <w:r>
        <w:t xml:space="preserve"> </w:t>
      </w:r>
      <w:r>
        <w:t xml:space="preserve">factors and directions, and not to predict a response at a setting the design did not run.</w:t>
      </w:r>
    </w:p>
    <w:p>
      <w:pPr>
        <w:pStyle w:val="BodyText"/>
      </w:pPr>
      <w:r>
        <w:t xml:space="preserve">The response-surface design will be analysed as a full quadratic model in the</w:t>
      </w:r>
      <w:r>
        <w:t xml:space="preserve"> </w:t>
      </w:r>
      <w:r>
        <w:t xml:space="preserve">4 factors carried forward, with all main effects, all two-factor</w:t>
      </w:r>
      <w:r>
        <w:t xml:space="preserve"> </w:t>
      </w:r>
      <w:r>
        <w:t xml:space="preserve">interactions and all quadratic terms. It estimates 15 terms from</w:t>
      </w:r>
      <w:r>
        <w:t xml:space="preserve"> </w:t>
      </w:r>
      <w:r>
        <w:t xml:space="preserve">28 runs, which leaves 13 residual degrees of freedom,</w:t>
      </w:r>
      <w:r>
        <w:t xml:space="preserve"> </w:t>
      </w:r>
      <w:r>
        <w:t xml:space="preserve">3 of them pure error and 10 lack of fit. This is the</w:t>
      </w:r>
      <w:r>
        <w:t xml:space="preserve"> </w:t>
      </w:r>
      <w:r>
        <w:t xml:space="preserve">predictive model, and the operating region, the proven acceptable ranges and the capability</w:t>
      </w:r>
      <w:r>
        <w:t xml:space="preserve"> </w:t>
      </w:r>
      <w:r>
        <w:t xml:space="preserve">estimate are all derived from it.</w:t>
      </w:r>
    </w:p>
    <w:p>
      <w:pPr>
        <w:pStyle w:val="BodyText"/>
      </w:pPr>
      <w:r>
        <w:t xml:space="preserve">Model adequacy will be reported as R², adjusted R², predicted R² from the PRESS statistic,</w:t>
      </w:r>
      <w:r>
        <w:t xml:space="preserve"> </w:t>
      </w:r>
      <w:r>
        <w:t xml:space="preserve">the model F statistic and an ANOVA lack-of-fit test against pure error. Residual</w:t>
      </w:r>
      <w:r>
        <w:t xml:space="preserve"> </w:t>
      </w:r>
      <w:r>
        <w:t xml:space="preserve">diagnostics will be reported for every response: residuals against predicted values, a</w:t>
      </w:r>
      <w:r>
        <w:t xml:space="preserve"> </w:t>
      </w:r>
      <w:r>
        <w:t xml:space="preserve">normal quantile plot, and predicted against actual values.</w:t>
      </w:r>
    </w:p>
    <w:p>
      <w:pPr>
        <w:pStyle w:val="BodyText"/>
      </w:pPr>
      <w:r>
        <w:t xml:space="preserve">Capability at commercial scale will be estimated by simulation. 2,000</w:t>
      </w:r>
      <w:r>
        <w:t xml:space="preserve"> </w:t>
      </w:r>
      <w:r>
        <w:t xml:space="preserve">batches will be simulated by drawing each parameter from within the normal operating range,</w:t>
      </w:r>
      <w:r>
        <w:t xml:space="preserve"> </w:t>
      </w:r>
      <w:r>
        <w:t xml:space="preserve">predicting each attribute from the fitted response-surface model, adding the residual</w:t>
      </w:r>
      <w:r>
        <w:t xml:space="preserve"> </w:t>
      </w:r>
      <w:r>
        <w:t xml:space="preserve">variance of that model, and computing a one-sided capability index against the acceptance</w:t>
      </w:r>
      <w:r>
        <w:t xml:space="preserve"> </w:t>
      </w:r>
      <w:r>
        <w:t xml:space="preserve">criterion. The simulation uses a fixed random seed, so the reported values are reproducible.</w:t>
      </w:r>
    </w:p>
    <w:bookmarkEnd w:id="26"/>
    <w:bookmarkEnd w:id="27"/>
    <w:bookmarkStart w:id="34" w:name="study-design"/>
    <w:p>
      <w:pPr>
        <w:pStyle w:val="Heading1"/>
      </w:pPr>
      <w:r>
        <w:t xml:space="preserve">6. Study design</w:t>
      </w:r>
    </w:p>
    <w:bookmarkStart w:id="30" w:name="factors-ranges-and-study-type"/>
    <w:p>
      <w:pPr>
        <w:pStyle w:val="Heading2"/>
      </w:pPr>
      <w:r>
        <w:t xml:space="preserve">6.1 Factors, ranges and study type</w:t>
      </w:r>
    </w:p>
    <w:p>
      <w:pPr>
        <w:pStyle w:val="FirstParagraph"/>
      </w:pPr>
      <w:hyperlink w:anchor="tbl-par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every parameter in scope with the set-point, the range to be studied, the</w:t>
      </w:r>
      <w:r>
        <w:t xml:space="preserve"> </w:t>
      </w:r>
      <w:r>
        <w:t xml:space="preserve">normal operating range and the study type.</w:t>
      </w:r>
      <w:r>
        <w:t xml:space="preserve"> </w:t>
      </w:r>
      <w:hyperlink w:anchor="tbl-code">
        <w:r>
          <w:rPr>
            <w:rStyle w:val="Hyperlink"/>
          </w:rPr>
          <w:t xml:space="preserve">Table 6</w:t>
        </w:r>
      </w:hyperlink>
      <w:r>
        <w:t xml:space="preserve"> </w:t>
      </w:r>
      <w:r>
        <w:t xml:space="preserve">gives the letter codes used for the</w:t>
      </w:r>
      <w:r>
        <w:t xml:space="preserve"> </w:t>
      </w:r>
      <w:r>
        <w:t xml:space="preserve">multivariate factors in the design matrices and in the analysis.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pa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Process parameters of the production bioreactor, with the ranges to be studied and the study type assigned by RA-001.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10"/>
              <w:gridCol w:w="1072"/>
              <w:gridCol w:w="1072"/>
              <w:gridCol w:w="1402"/>
              <w:gridCol w:w="907"/>
              <w:gridCol w:w="115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Range studied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6.75–6.95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34.5–35.5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mmHg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70–130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Osmolality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mOsm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360–440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375–425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16–18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oxygen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sat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30–70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Initial viable cell conc.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e6 cells/mL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0.5–1.5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0.8–1.2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Basal medium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0.8–1.6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Nutrient feed-1 volume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WV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9–15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cod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Coded factor legend for the multivariate designs.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Studied 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mmHg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Osmolality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mOsm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The two ranges in</w:t>
      </w:r>
      <w:r>
        <w:t xml:space="preserve"> </w:t>
      </w:r>
      <w:hyperlink w:anchor="tbl-par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do different jobs. The normal operating range is the band within</w:t>
      </w:r>
      <w:r>
        <w:t xml:space="preserve"> </w:t>
      </w:r>
      <w:r>
        <w:t xml:space="preserve">which the commercial process will be controlled, and it is the band the capability</w:t>
      </w:r>
      <w:r>
        <w:t xml:space="preserve"> </w:t>
      </w:r>
      <w:r>
        <w:t xml:space="preserve">simulation draws from (§5.5). The range studied is wider, and it is the edge of the</w:t>
      </w:r>
      <w:r>
        <w:t xml:space="preserve"> </w:t>
      </w:r>
      <w:r>
        <w:t xml:space="preserve">knowledge space: it is where the studies look for the setting at which an attribute leaves</w:t>
      </w:r>
      <w:r>
        <w:t xml:space="preserve"> </w:t>
      </w:r>
      <w:r>
        <w:t xml:space="preserve">acceptance. A proven acceptable range is determined inside the range studied and is</w:t>
      </w:r>
      <w:r>
        <w:t xml:space="preserve"> </w:t>
      </w:r>
      <w:r>
        <w:t xml:space="preserve">reported per attribute (§8), so the range studied is not itself a proven acceptable range.</w:t>
      </w:r>
    </w:p>
    <w:p>
      <w:pPr>
        <w:pStyle w:val="BodyText"/>
      </w:pPr>
      <w:r>
        <w:t xml:space="preserve">Culture pH, culture temperature, dissolved carbon dioxide, osmolality and culture duration</w:t>
      </w:r>
      <w:r>
        <w:t xml:space="preserve"> </w:t>
      </w:r>
      <w:r>
        <w:t xml:space="preserve">are the multivariate factors. All five act on the same intracellular chemistry, either</w:t>
      </w:r>
      <w:r>
        <w:t xml:space="preserve"> </w:t>
      </w:r>
      <w:r>
        <w:t xml:space="preserve">through the pH and temperature dependence of the Golgi glycosyltransferases or through the</w:t>
      </w:r>
      <w:r>
        <w:t xml:space="preserve"> </w:t>
      </w:r>
      <w:r>
        <w:t xml:space="preserve">time the antibody spends in culture, so interactions between them are expected and have to</w:t>
      </w:r>
      <w:r>
        <w:t xml:space="preserve"> </w:t>
      </w:r>
      <w:r>
        <w:t xml:space="preserve">be estimable. By contrast, dissolved oxygen, initial viable cell concentration, basal</w:t>
      </w:r>
      <w:r>
        <w:t xml:space="preserve"> </w:t>
      </w:r>
      <w:r>
        <w:t xml:space="preserve">medium concentration and nutrient feed volume act mainly on cell growth and nutrient</w:t>
      </w:r>
      <w:r>
        <w:t xml:space="preserve"> </w:t>
      </w:r>
      <w:r>
        <w:t xml:space="preserve">supply. RA-001 scored the potential for these four to interact with the glycosylation</w:t>
      </w:r>
      <w:r>
        <w:t xml:space="preserve"> </w:t>
      </w:r>
      <w:r>
        <w:t xml:space="preserve">chemistry as low, and they are assessed one parameter at a time (§6.4).</w:t>
      </w:r>
    </w:p>
    <w:bookmarkEnd w:id="30"/>
    <w:bookmarkStart w:id="31" w:name="screening-design"/>
    <w:p>
      <w:pPr>
        <w:pStyle w:val="Heading2"/>
      </w:pPr>
      <w:r>
        <w:t xml:space="preserve">6.2 Screening design</w:t>
      </w:r>
    </w:p>
    <w:p>
      <w:pPr>
        <w:pStyle w:val="FirstParagraph"/>
      </w:pPr>
      <w:r>
        <w:t xml:space="preserve">The screening study is a two-level fractional factorial design in the 5</w:t>
      </w:r>
      <w:r>
        <w:t xml:space="preserve"> </w:t>
      </w:r>
      <w:r>
        <w:t xml:space="preserve">multivariate factors augmented with centre points, comprising 16</w:t>
      </w:r>
      <w:r>
        <w:t xml:space="preserve"> </w:t>
      </w:r>
      <w:r>
        <w:t xml:space="preserve">factorial runs and 3 centre point runs, or 19 runs in all.</w:t>
      </w:r>
      <w:r>
        <w:t xml:space="preserve"> </w:t>
      </w:r>
      <w:r>
        <w:t xml:space="preserve">The fraction is a half replicate of Resolution V, so every main effect and every two-factor</w:t>
      </w:r>
      <w:r>
        <w:t xml:space="preserve"> </w:t>
      </w:r>
      <w:r>
        <w:t xml:space="preserve">interaction is estimable clear of the others, and only interactions of three factors and</w:t>
      </w:r>
      <w:r>
        <w:t xml:space="preserve"> </w:t>
      </w:r>
      <w:r>
        <w:t xml:space="preserve">above are aliased with the terms of interest (Appendix A).</w:t>
      </w:r>
    </w:p>
    <w:p>
      <w:pPr>
        <w:pStyle w:val="BodyText"/>
      </w:pPr>
      <w:r>
        <w:t xml:space="preserve">Runs will be executed in randomized order across the available vessels, with the centre</w:t>
      </w:r>
      <w:r>
        <w:t xml:space="preserve"> </w:t>
      </w:r>
      <w:r>
        <w:t xml:space="preserve">point runs distributed through the campaign instead of grouped. Randomization is the</w:t>
      </w:r>
      <w:r>
        <w:t xml:space="preserve"> </w:t>
      </w:r>
      <w:r>
        <w:t xml:space="preserve">control against a time trend in the vessels, in the medium lots or in the assay.</w:t>
      </w:r>
    </w:p>
    <w:p>
      <w:pPr>
        <w:pStyle w:val="BodyText"/>
      </w:pPr>
      <w:r>
        <w:t xml:space="preserve">The purpose of the screening study is to identify which factors and which interactions have</w:t>
      </w:r>
      <w:r>
        <w:t xml:space="preserve"> </w:t>
      </w:r>
      <w:r>
        <w:t xml:space="preserve">an effect large enough to matter, and in which direction. It is not intended to produce a</w:t>
      </w:r>
      <w:r>
        <w:t xml:space="preserve"> </w:t>
      </w:r>
      <w:r>
        <w:t xml:space="preserve">model that predicts (§5.5).</w:t>
      </w:r>
    </w:p>
    <w:bookmarkEnd w:id="31"/>
    <w:bookmarkStart w:id="32" w:name="response-surface-design"/>
    <w:p>
      <w:pPr>
        <w:pStyle w:val="Heading2"/>
      </w:pPr>
      <w:r>
        <w:t xml:space="preserve">6.3 Response-surface design</w:t>
      </w:r>
    </w:p>
    <w:p>
      <w:pPr>
        <w:pStyle w:val="FirstParagraph"/>
      </w:pPr>
      <w:r>
        <w:t xml:space="preserve">The response-surface study is a face-centred central composite design (CCD) in</w:t>
      </w:r>
      <w:r>
        <w:t xml:space="preserve"> </w:t>
      </w:r>
      <w:r>
        <w:t xml:space="preserve">4 of the screening factors, comprising 16 factorial</w:t>
      </w:r>
      <w:r>
        <w:t xml:space="preserve"> </w:t>
      </w:r>
      <w:r>
        <w:t xml:space="preserve">runs, 8 axial runs and 4 centre point runs, or</w:t>
      </w:r>
      <w:r>
        <w:t xml:space="preserve"> </w:t>
      </w:r>
      <w:r>
        <w:t xml:space="preserve">28 runs in all. The axial points sit on the faces of the coded cube instead</w:t>
      </w:r>
      <w:r>
        <w:t xml:space="preserve"> </w:t>
      </w:r>
      <w:r>
        <w:t xml:space="preserve">of outside it, so no run is executed beyond the characterization ranges in</w:t>
      </w:r>
      <w:r>
        <w:t xml:space="preserve"> </w:t>
      </w:r>
      <w:hyperlink w:anchor="tbl-par">
        <w:r>
          <w:rPr>
            <w:rStyle w:val="Hyperlink"/>
          </w:rPr>
          <w:t xml:space="preserve">Table 5</w:t>
        </w:r>
      </w:hyperlink>
      <w:r>
        <w:t xml:space="preserve">, and</w:t>
      </w:r>
      <w:r>
        <w:t xml:space="preserve"> </w:t>
      </w:r>
      <w:r>
        <w:t xml:space="preserve">that choice gives up some rotatability to buy a design that stays inside conditions the</w:t>
      </w:r>
      <w:r>
        <w:t xml:space="preserve"> </w:t>
      </w:r>
      <w:r>
        <w:t xml:space="preserve">vessels can hold and the culture can survive (Appendix B).</w:t>
      </w:r>
    </w:p>
    <w:p>
      <w:pPr>
        <w:pStyle w:val="BodyText"/>
      </w:pPr>
      <w:r>
        <w:t xml:space="preserve">The factors carried forward are culture pH, culture temperature, culture duration and</w:t>
      </w:r>
      <w:r>
        <w:t xml:space="preserve"> </w:t>
      </w:r>
      <w:r>
        <w:t xml:space="preserve">dissolved carbon dioxide. Although the matrix in Appendix B is written on the assumption</w:t>
      </w:r>
      <w:r>
        <w:t xml:space="preserve"> </w:t>
      </w:r>
      <w:r>
        <w:t xml:space="preserve">that screening confirms these four, screening may identify a different set. The matrix will</w:t>
      </w:r>
      <w:r>
        <w:t xml:space="preserve"> </w:t>
      </w:r>
      <w:r>
        <w:t xml:space="preserve">then be re-issued before execution, which is an amendment to this plan and not a deviation</w:t>
      </w:r>
      <w:r>
        <w:t xml:space="preserve"> </w:t>
      </w:r>
      <w:r>
        <w:t xml:space="preserve">from it.</w:t>
      </w:r>
    </w:p>
    <w:p>
      <w:pPr>
        <w:pStyle w:val="BodyText"/>
      </w:pPr>
      <w:r>
        <w:t xml:space="preserve">This design adds the curvature terms the screening design cannot estimate. It is the source</w:t>
      </w:r>
      <w:r>
        <w:t xml:space="preserve"> </w:t>
      </w:r>
      <w:r>
        <w:t xml:space="preserve">of the operating region in §7, of the proven acceptable ranges in §8 and of the capability</w:t>
      </w:r>
      <w:r>
        <w:t xml:space="preserve"> </w:t>
      </w:r>
      <w:r>
        <w:t xml:space="preserve">estimate in §5.5.</w:t>
      </w:r>
    </w:p>
    <w:bookmarkEnd w:id="32"/>
    <w:bookmarkStart w:id="33" w:name="univariate-assessment"/>
    <w:p>
      <w:pPr>
        <w:pStyle w:val="Heading2"/>
      </w:pPr>
      <w:r>
        <w:t xml:space="preserve">6.4 Univariate assessment</w:t>
      </w:r>
    </w:p>
    <w:p>
      <w:pPr>
        <w:pStyle w:val="FirstParagraph"/>
      </w:pPr>
      <w:r>
        <w:t xml:space="preserve">Dissolved oxygen, initial viable cell concentration, basal medium concentration and</w:t>
      </w:r>
      <w:r>
        <w:t xml:space="preserve"> </w:t>
      </w:r>
      <w:r>
        <w:t xml:space="preserve">nutrient feed volume will be assessed one parameter at a time. Each will be run at the low</w:t>
      </w:r>
      <w:r>
        <w:t xml:space="preserve"> </w:t>
      </w:r>
      <w:r>
        <w:t xml:space="preserve">edge and at the high edge of the characterization range in</w:t>
      </w:r>
      <w:r>
        <w:t xml:space="preserve"> </w:t>
      </w:r>
      <w:hyperlink w:anchor="tbl-par">
        <w:r>
          <w:rPr>
            <w:rStyle w:val="Hyperlink"/>
          </w:rPr>
          <w:t xml:space="preserve">Table 5</w:t>
        </w:r>
      </w:hyperlink>
      <w:r>
        <w:t xml:space="preserve">, with every other</w:t>
      </w:r>
      <w:r>
        <w:t xml:space="preserve"> </w:t>
      </w:r>
      <w:r>
        <w:t xml:space="preserve">parameter held at the set-point, which gives 8 culture conditions in</w:t>
      </w:r>
      <w:r>
        <w:t xml:space="preserve"> </w:t>
      </w:r>
      <w:r>
        <w:t xml:space="preserve">all. The centre point runs of the screening design provide the set-point comparator, since</w:t>
      </w:r>
      <w:r>
        <w:t xml:space="preserve"> </w:t>
      </w:r>
      <w:r>
        <w:t xml:space="preserve">they already sit at the set-point of every parameter in the study.</w:t>
      </w:r>
    </w:p>
    <w:p>
      <w:pPr>
        <w:pStyle w:val="BodyText"/>
      </w:pPr>
      <w:r>
        <w:t xml:space="preserve">A study that varies one parameter at a time cannot detect an interaction between the</w:t>
      </w:r>
      <w:r>
        <w:t xml:space="preserve"> </w:t>
      </w:r>
      <w:r>
        <w:t xml:space="preserve">parameter varied and the parameters held fixed. That limitation is accepted on the risk</w:t>
      </w:r>
      <w:r>
        <w:t xml:space="preserve"> </w:t>
      </w:r>
      <w:r>
        <w:t xml:space="preserve">basis in §4.3, where these four parameters were scored as unlikely to interact with the</w:t>
      </w:r>
      <w:r>
        <w:t xml:space="preserve"> </w:t>
      </w:r>
      <w:r>
        <w:t xml:space="preserve">chemistry that forms the glycan attributes. However, if a univariate result contradicts</w:t>
      </w:r>
      <w:r>
        <w:t xml:space="preserve"> </w:t>
      </w:r>
      <w:r>
        <w:t xml:space="preserve">that expectation, the parameter will be added to a follow-up multivariate design, and the</w:t>
      </w:r>
      <w:r>
        <w:t xml:space="preserve"> </w:t>
      </w:r>
      <w:r>
        <w:t xml:space="preserve">addition will be reported in PCR-003.</w:t>
      </w:r>
    </w:p>
    <w:p>
      <w:pPr>
        <w:pStyle w:val="BodyText"/>
      </w:pPr>
      <w:r>
        <w:t xml:space="preserve">A parameter with no detectable effect is still a result. Any such parameter will be</w:t>
      </w:r>
      <w:r>
        <w:t xml:space="preserve"> </w:t>
      </w:r>
      <w:r>
        <w:t xml:space="preserve">classified under SOP-4001 on the evidence of the range it was held over, and that range</w:t>
      </w:r>
      <w:r>
        <w:t xml:space="preserve"> </w:t>
      </w:r>
      <w:r>
        <w:t xml:space="preserve">will be retained in the knowledge space as evidence that the attributes are robust to the</w:t>
      </w:r>
      <w:r>
        <w:t xml:space="preserve"> </w:t>
      </w:r>
      <w:r>
        <w:t xml:space="preserve">parameter.</w:t>
      </w:r>
    </w:p>
    <w:bookmarkEnd w:id="33"/>
    <w:bookmarkEnd w:id="34"/>
    <w:bookmarkStart w:id="35" w:name="acceptance-and-decision-criteria"/>
    <w:p>
      <w:pPr>
        <w:pStyle w:val="Heading1"/>
      </w:pPr>
      <w:r>
        <w:t xml:space="preserve">7. Acceptance and decision criteria</w:t>
      </w:r>
    </w:p>
    <w:p>
      <w:pPr>
        <w:pStyle w:val="FirstParagraph"/>
      </w:pPr>
      <w:r>
        <w:t xml:space="preserve">The studies will be judged against the rules in this section, and the rules are stated</w:t>
      </w:r>
      <w:r>
        <w:t xml:space="preserve"> </w:t>
      </w:r>
      <w:r>
        <w:t xml:space="preserve">before execution so that the judgement does not depend on what the data turn out to be.</w:t>
      </w:r>
    </w:p>
    <w:p>
      <w:pPr>
        <w:pStyle w:val="BodyText"/>
      </w:pPr>
      <w:r>
        <w:t xml:space="preserve">The scale-down model is qualified when the bench and the commercial distributions of the</w:t>
      </w:r>
      <w:r>
        <w:t xml:space="preserve"> </w:t>
      </w:r>
      <w:r>
        <w:t xml:space="preserve">input and output attributes listed in §5.1 show no statistically significant difference at</w:t>
      </w:r>
      <w:r>
        <w:t xml:space="preserve"> </w:t>
      </w:r>
      <w:r>
        <w:t xml:space="preserve">α = 0.05 at the set-point condition. Where a difference is found, the model will be</w:t>
      </w:r>
      <w:r>
        <w:t xml:space="preserve"> </w:t>
      </w:r>
      <w:r>
        <w:t xml:space="preserve">modified and requalified before any characterization run is executed. A model that cannot</w:t>
      </w:r>
      <w:r>
        <w:t xml:space="preserve"> </w:t>
      </w:r>
      <w:r>
        <w:t xml:space="preserve">be qualified for one attribute may still be used for the others, provided PCR-003 states</w:t>
      </w:r>
      <w:r>
        <w:t xml:space="preserve"> </w:t>
      </w:r>
      <w:r>
        <w:t xml:space="preserve">which claims it does not support.</w:t>
      </w:r>
    </w:p>
    <w:p>
      <w:pPr>
        <w:pStyle w:val="BodyText"/>
      </w:pPr>
      <w:r>
        <w:t xml:space="preserve">A fitted model is adequate when the lack-of-fit test against pure error is not significant</w:t>
      </w:r>
      <w:r>
        <w:t xml:space="preserve"> </w:t>
      </w:r>
      <w:r>
        <w:t xml:space="preserve">at α = 0.05, and when the adjusted and predicted R² are reported beside R² so that</w:t>
      </w:r>
      <w:r>
        <w:t xml:space="preserve"> </w:t>
      </w:r>
      <w:r>
        <w:t xml:space="preserve">over-fitting is visible. Predicted R² is the most informative of the three here, since it</w:t>
      </w:r>
      <w:r>
        <w:t xml:space="preserve"> </w:t>
      </w:r>
      <w:r>
        <w:t xml:space="preserve">is computed by leaving each run out of the fit in turn. A model that fails the lack-of-fit</w:t>
      </w:r>
      <w:r>
        <w:t xml:space="preserve"> </w:t>
      </w:r>
      <w:r>
        <w:t xml:space="preserve">test will not be used to define an operating region, and the response concerned will</w:t>
      </w:r>
      <w:r>
        <w:t xml:space="preserve"> </w:t>
      </w:r>
      <w:r>
        <w:t xml:space="preserve">instead be augmented with further runs or reported as characterized univariately, with</w:t>
      </w:r>
      <w:r>
        <w:t xml:space="preserve"> </w:t>
      </w:r>
      <w:r>
        <w:t xml:space="preserve">PCR-003 stating which was done and why.</w:t>
      </w:r>
    </w:p>
    <w:p>
      <w:pPr>
        <w:pStyle w:val="BodyText"/>
      </w:pPr>
      <w:r>
        <w:t xml:space="preserve">A term is retained in a model when it is significant at α = 0.05, and a term that is not</w:t>
      </w:r>
      <w:r>
        <w:t xml:space="preserve"> </w:t>
      </w:r>
      <w:r>
        <w:t xml:space="preserve">significant may still be retained where it is the lower order term of a significant</w:t>
      </w:r>
      <w:r>
        <w:t xml:space="preserve"> </w:t>
      </w:r>
      <w:r>
        <w:t xml:space="preserve">interaction or quadratic, because dropping it changes the interpretation of the term above</w:t>
      </w:r>
      <w:r>
        <w:t xml:space="preserve"> </w:t>
      </w:r>
      <w:r>
        <w:t xml:space="preserve">it. Terms retained on that basis will be identified as such.</w:t>
      </w:r>
    </w:p>
    <w:p>
      <w:pPr>
        <w:pStyle w:val="BodyText"/>
      </w:pPr>
      <w:r>
        <w:t xml:space="preserve">The operating region will be declared over the part of the characterized space in which the</w:t>
      </w:r>
      <w:r>
        <w:t xml:space="preserve"> </w:t>
      </w:r>
      <w:r>
        <w:t xml:space="preserve">response-surface model predicts that every attribute the step governs meets acceptance. It</w:t>
      </w:r>
      <w:r>
        <w:t xml:space="preserve"> </w:t>
      </w:r>
      <w:r>
        <w:t xml:space="preserve">will be reported as a multivariate region and not as a set of independent parameter ranges,</w:t>
      </w:r>
      <w:r>
        <w:t xml:space="preserve"> </w:t>
      </w:r>
      <w:r>
        <w:t xml:space="preserve">since the region is bounded by interactions between the factors. Movement within the region</w:t>
      </w:r>
      <w:r>
        <w:t xml:space="preserve"> </w:t>
      </w:r>
      <w:r>
        <w:t xml:space="preserve">is not a change to the process, and movement outside it requires change control</w:t>
      </w:r>
      <w:r>
        <w:t xml:space="preserve"> </w:t>
      </w:r>
      <w:r>
        <w:t xml:space="preserve">(International Council for Harmonisation 2009, 2008)</w:t>
      </w:r>
      <w:r>
        <w:t xml:space="preserve">.</w:t>
      </w:r>
    </w:p>
    <w:p>
      <w:pPr>
        <w:pStyle w:val="BodyText"/>
      </w:pPr>
      <w:r>
        <w:t xml:space="preserve">Capability will be reported as a one-sided index for every attribute in scope, with the</w:t>
      </w:r>
      <w:r>
        <w:t xml:space="preserve"> </w:t>
      </w:r>
      <w:r>
        <w:t xml:space="preserve">margin between the simulated mean and the acceptance limit stated alongside it. No numeric</w:t>
      </w:r>
      <w:r>
        <w:t xml:space="preserve"> </w:t>
      </w:r>
      <w:r>
        <w:t xml:space="preserve">minimum for the index is fixed by this plan. That criterion is defined per study, because a</w:t>
      </w:r>
      <w:r>
        <w:t xml:space="preserve"> </w:t>
      </w:r>
      <w:r>
        <w:t xml:space="preserve">meaningful minimum depends on the criticality of the attribute and on how detectable an</w:t>
      </w:r>
      <w:r>
        <w:t xml:space="preserve"> </w:t>
      </w:r>
      <w:r>
        <w:t xml:space="preserve">excursion would be, and neither of those is a property of the simulation.</w:t>
      </w:r>
    </w:p>
    <w:p>
      <w:pPr>
        <w:pStyle w:val="BodyText"/>
      </w:pPr>
      <w:r>
        <w:t xml:space="preserve">Each parameter will then be classified under SOP-4001 into one of four classes. A parameter</w:t>
      </w:r>
      <w:r>
        <w:t xml:space="preserve"> </w:t>
      </w:r>
      <w:r>
        <w:t xml:space="preserve">is a critical process parameter (CPP) when variation within the ranges studied affects a</w:t>
      </w:r>
      <w:r>
        <w:t xml:space="preserve"> </w:t>
      </w:r>
      <w:r>
        <w:t xml:space="preserve">critical quality attribute and there is a real risk of operating outside the design space.</w:t>
      </w:r>
      <w:r>
        <w:t xml:space="preserve"> </w:t>
      </w:r>
      <w:r>
        <w:t xml:space="preserve">It is a well-controlled critical process parameter (WC-CPP) when the same impact exists but</w:t>
      </w:r>
      <w:r>
        <w:t xml:space="preserve"> </w:t>
      </w:r>
      <w:r>
        <w:t xml:space="preserve">the parameter is easy to hold, so the risk of an excursion is low. It is a key process</w:t>
      </w:r>
      <w:r>
        <w:t xml:space="preserve"> </w:t>
      </w:r>
      <w:r>
        <w:t xml:space="preserve">parameter (KPP) when it affects process performance without affecting product quality. It</w:t>
      </w:r>
      <w:r>
        <w:t xml:space="preserve"> </w:t>
      </w:r>
      <w:r>
        <w:t xml:space="preserve">is a general process parameter (GPP) when no impact on a critical quality attribute is</w:t>
      </w:r>
      <w:r>
        <w:t xml:space="preserve"> </w:t>
      </w:r>
      <w:r>
        <w:t xml:space="preserve">demonstrated over the range studied. Classification rests on the demonstrated effect and on</w:t>
      </w:r>
      <w:r>
        <w:t xml:space="preserve"> </w:t>
      </w:r>
      <w:r>
        <w:t xml:space="preserve">the control capability together, and PCR-003 will give the reason for each parameter.</w:t>
      </w:r>
    </w:p>
    <w:p>
      <w:pPr>
        <w:pStyle w:val="BodyText"/>
      </w:pPr>
      <w:r>
        <w:t xml:space="preserve">The study as a whole passes when the scale-down model is qualified, when an adequate model</w:t>
      </w:r>
      <w:r>
        <w:t xml:space="preserve"> </w:t>
      </w:r>
      <w:r>
        <w:t xml:space="preserve">exists for every attribute the step governs, when an operating region containing the whole</w:t>
      </w:r>
      <w:r>
        <w:t xml:space="preserve"> </w:t>
      </w:r>
      <w:r>
        <w:t xml:space="preserve">normal operating range can be declared, and when every parameter carries a classification</w:t>
      </w:r>
      <w:r>
        <w:t xml:space="preserve"> </w:t>
      </w:r>
      <w:r>
        <w:t xml:space="preserve">with a stated reason. Failure against any of these is not a failure of the plan. It will be</w:t>
      </w:r>
      <w:r>
        <w:t xml:space="preserve"> </w:t>
      </w:r>
      <w:r>
        <w:t xml:space="preserve">reported in PCR-003 as a finding, together with the action taken.</w:t>
      </w:r>
    </w:p>
    <w:bookmarkEnd w:id="35"/>
    <w:bookmarkStart w:id="36" w:name="X6e399b04be57e9d5f909b4238f9408193405dfd"/>
    <w:p>
      <w:pPr>
        <w:pStyle w:val="Heading1"/>
      </w:pPr>
      <w:r>
        <w:t xml:space="preserve">8. Proven acceptable ranges (planned analysis)</w:t>
      </w:r>
    </w:p>
    <w:p>
      <w:pPr>
        <w:pStyle w:val="FirstParagraph"/>
      </w:pPr>
      <w:r>
        <w:t xml:space="preserve">The operating region defined in §7 is multivariate, and a multivariate region is an awkward</w:t>
      </w:r>
      <w:r>
        <w:t xml:space="preserve"> </w:t>
      </w:r>
      <w:r>
        <w:t xml:space="preserve">thing to write into a batch record. Each parameter will therefore also be reported with a</w:t>
      </w:r>
      <w:r>
        <w:t xml:space="preserve"> </w:t>
      </w:r>
      <w:r>
        <w:t xml:space="preserve">proven acceptable range (PAR) for every attribute the response-surface model shows it to</w:t>
      </w:r>
      <w:r>
        <w:t xml:space="preserve"> </w:t>
      </w:r>
      <w:r>
        <w:t xml:space="preserve">govern. A proven acceptable range is the univariate form of the same information.</w:t>
      </w:r>
    </w:p>
    <w:p>
      <w:pPr>
        <w:pStyle w:val="BodyText"/>
      </w:pPr>
      <w:r>
        <w:t xml:space="preserve">The acceptance basis comes first: each attribute will be judged against the drug substance</w:t>
      </w:r>
      <w:r>
        <w:t xml:space="preserve"> </w:t>
      </w:r>
      <w:r>
        <w:t xml:space="preserve">acceptance criterion in</w:t>
      </w:r>
      <w:r>
        <w:t xml:space="preserve"> </w:t>
      </w:r>
      <w:hyperlink w:anchor="tbl-cqa">
        <w:r>
          <w:rPr>
            <w:rStyle w:val="Hyperlink"/>
          </w:rPr>
          <w:t xml:space="preserve">Table 4</w:t>
        </w:r>
      </w:hyperlink>
      <w:r>
        <w:t xml:space="preserve">. Where the control strategy establishes an in-process</w:t>
      </w:r>
      <w:r>
        <w:t xml:space="preserve"> </w:t>
      </w:r>
      <w:r>
        <w:t xml:space="preserve">limit on the harvest for an attribute, the proven acceptable range will be determined</w:t>
      </w:r>
      <w:r>
        <w:t xml:space="preserve"> </w:t>
      </w:r>
      <w:r>
        <w:t xml:space="preserve">against that limit instead, because an intermediate has to meet a criterion that applies to</w:t>
      </w:r>
      <w:r>
        <w:t xml:space="preserve"> </w:t>
      </w:r>
      <w:r>
        <w:t xml:space="preserve">the intermediate. PCR-003 will state which criterion was used for each attribute.</w:t>
      </w:r>
    </w:p>
    <w:p>
      <w:pPr>
        <w:pStyle w:val="BodyText"/>
      </w:pPr>
      <w:r>
        <w:t xml:space="preserve">Two analyses will be run for every pair of a parameter and an attribute. The first holds</w:t>
      </w:r>
      <w:r>
        <w:t xml:space="preserve"> </w:t>
      </w:r>
      <w:r>
        <w:t xml:space="preserve">the other factors at their set-points and scans the parameter of interest across the full</w:t>
      </w:r>
      <w:r>
        <w:t xml:space="preserve"> </w:t>
      </w:r>
      <w:r>
        <w:t xml:space="preserve">characterization range, evaluating the fitted response-surface model on a grid of</w:t>
      </w:r>
      <w:r>
        <w:t xml:space="preserve"> </w:t>
      </w:r>
      <w:r>
        <w:t xml:space="preserve">81 points. The second propagates the normal operating ranges of the other</w:t>
      </w:r>
      <w:r>
        <w:t xml:space="preserve"> </w:t>
      </w:r>
      <w:r>
        <w:t xml:space="preserve">factors: at each grid point, 2,000 values of every remaining factor are</w:t>
      </w:r>
      <w:r>
        <w:t xml:space="preserve"> </w:t>
      </w:r>
      <w:r>
        <w:t xml:space="preserve">drawn from within the normal operating range, the fitted model is evaluated at each draw,</w:t>
      </w:r>
      <w:r>
        <w:t xml:space="preserve"> </w:t>
      </w:r>
      <w:r>
        <w:t xml:space="preserve">the residual variance of the model is added, and the 95 % predictive interval of the</w:t>
      </w:r>
      <w:r>
        <w:t xml:space="preserve"> </w:t>
      </w:r>
      <w:r>
        <w:t xml:space="preserve">attribute is computed.</w:t>
      </w:r>
    </w:p>
    <w:p>
      <w:pPr>
        <w:pStyle w:val="BodyText"/>
      </w:pPr>
      <w:r>
        <w:t xml:space="preserve">The decision rule differs between the two analyses, and it does so deliberately. In the</w:t>
      </w:r>
      <w:r>
        <w:t xml:space="preserve"> </w:t>
      </w:r>
      <w:r>
        <w:t xml:space="preserve">first, the proven acceptable range is the contiguous span of the parameter, containing the</w:t>
      </w:r>
      <w:r>
        <w:t xml:space="preserve"> </w:t>
      </w:r>
      <w:r>
        <w:t xml:space="preserve">set-point, over which the predicted mean stays within acceptance. In the second it is the</w:t>
      </w:r>
      <w:r>
        <w:t xml:space="preserve"> </w:t>
      </w:r>
      <w:r>
        <w:t xml:space="preserve">contiguous span over which the whole 95 % predictive interval stays within acceptance. The</w:t>
      </w:r>
      <w:r>
        <w:t xml:space="preserve"> </w:t>
      </w:r>
      <w:r>
        <w:t xml:space="preserve">second is a robustness criterion and will normally give the narrower range. Where the two</w:t>
      </w:r>
      <w:r>
        <w:t xml:space="preserve"> </w:t>
      </w:r>
      <w:r>
        <w:t xml:space="preserve">coincide across the entire characterization range, the parameter is acceptable everywhere</w:t>
      </w:r>
      <w:r>
        <w:t xml:space="preserve"> </w:t>
      </w:r>
      <w:r>
        <w:t xml:space="preserve">it was studied and is robust to the rest of the operating point moving within the normal</w:t>
      </w:r>
      <w:r>
        <w:t xml:space="preserve"> </w:t>
      </w:r>
      <w:r>
        <w:t xml:space="preserve">operating range as well.</w:t>
      </w:r>
    </w:p>
    <w:p>
      <w:pPr>
        <w:pStyle w:val="BodyText"/>
      </w:pPr>
      <w:r>
        <w:t xml:space="preserve">Every governed attribute will be reported with a two-panel plot against the governing</w:t>
      </w:r>
      <w:r>
        <w:t xml:space="preserve"> </w:t>
      </w:r>
      <w:r>
        <w:t xml:space="preserve">parameter, which is the response-surface factor carrying the largest main effect on that</w:t>
      </w:r>
      <w:r>
        <w:t xml:space="preserve"> </w:t>
      </w:r>
      <w:r>
        <w:t xml:space="preserve">attribute. The panels show the two analyses side by side, with the acceptance limit drawn,</w:t>
      </w:r>
      <w:r>
        <w:t xml:space="preserve"> </w:t>
      </w:r>
      <w:r>
        <w:t xml:space="preserve">the acceptable region shaded green, and the set-point and the normal operating range</w:t>
      </w:r>
      <w:r>
        <w:t xml:space="preserve"> </w:t>
      </w:r>
      <w:r>
        <w:t xml:space="preserve">marked.</w:t>
      </w:r>
    </w:p>
    <w:p>
      <w:pPr>
        <w:pStyle w:val="BodyText"/>
      </w:pPr>
      <w:r>
        <w:t xml:space="preserve">The relationship to the operating region should be read carefully. A proven acceptable</w:t>
      </w:r>
      <w:r>
        <w:t xml:space="preserve"> </w:t>
      </w:r>
      <w:r>
        <w:t xml:space="preserve">range is univariate, so it holds for the one parameter it names under the conditions of the</w:t>
      </w:r>
      <w:r>
        <w:t xml:space="preserve"> </w:t>
      </w:r>
      <w:r>
        <w:t xml:space="preserve">analysis that produced it. It is not a licence to move two parameters to opposite edges at</w:t>
      </w:r>
      <w:r>
        <w:t xml:space="preserve"> </w:t>
      </w:r>
      <w:r>
        <w:t xml:space="preserve">once. Where a proven acceptable range covers the whole characterization range, the binding</w:t>
      </w:r>
      <w:r>
        <w:t xml:space="preserve"> </w:t>
      </w:r>
      <w:r>
        <w:t xml:space="preserve">constraint on the process is the corner of the multivariate region and not that range. Both</w:t>
      </w:r>
      <w:r>
        <w:t xml:space="preserve"> </w:t>
      </w:r>
      <w:r>
        <w:t xml:space="preserve">results are bounded by the characterization ranges in</w:t>
      </w:r>
      <w:r>
        <w:t xml:space="preserve"> </w:t>
      </w:r>
      <w:hyperlink w:anchor="tbl-par">
        <w:r>
          <w:rPr>
            <w:rStyle w:val="Hyperlink"/>
          </w:rPr>
          <w:t xml:space="preserve">Table 5</w:t>
        </w:r>
      </w:hyperlink>
      <w:r>
        <w:t xml:space="preserve">, by the fitted</w:t>
      </w:r>
      <w:r>
        <w:t xml:space="preserve"> </w:t>
      </w:r>
      <w:r>
        <w:t xml:space="preserve">response-surface model and by the conditions the scale-down model represents (§5.1).</w:t>
      </w:r>
    </w:p>
    <w:bookmarkEnd w:id="36"/>
    <w:bookmarkStart w:id="37" w:name="data-management-and-integrity"/>
    <w:p>
      <w:pPr>
        <w:pStyle w:val="Heading1"/>
      </w:pPr>
      <w:r>
        <w:t xml:space="preserve">9. Data management and integrity</w:t>
      </w:r>
    </w:p>
    <w:p>
      <w:pPr>
        <w:pStyle w:val="FirstParagraph"/>
      </w:pPr>
      <w:r>
        <w:t xml:space="preserve">Data generated under this plan are held to the same integrity requirements as manufacturing</w:t>
      </w:r>
      <w:r>
        <w:t xml:space="preserve"> </w:t>
      </w:r>
      <w:r>
        <w:t xml:space="preserve">records. Raw data are attributable, legible, contemporaneous, original and accurate, and</w:t>
      </w:r>
      <w:r>
        <w:t xml:space="preserve"> </w:t>
      </w:r>
      <w:r>
        <w:t xml:space="preserve">they are complete, consistent, enduring and available.</w:t>
      </w:r>
    </w:p>
    <w:p>
      <w:pPr>
        <w:pStyle w:val="BodyText"/>
      </w:pPr>
      <w:r>
        <w:t xml:space="preserve">Culture data are captured by the bioreactor control system and retained as the raw record.</w:t>
      </w:r>
      <w:r>
        <w:t xml:space="preserve"> </w:t>
      </w:r>
      <w:r>
        <w:t xml:space="preserve">Analytical data are captured in the laboratory information management system (LIMS), and</w:t>
      </w:r>
      <w:r>
        <w:t xml:space="preserve"> </w:t>
      </w:r>
      <w:r>
        <w:t xml:space="preserve">the calculations that turn instrument output into a reportable result are performed by</w:t>
      </w:r>
      <w:r>
        <w:t xml:space="preserve"> </w:t>
      </w:r>
      <w:r>
        <w:t xml:space="preserve">validated templates. Study design, run assignment and statistical analysis are recorded in</w:t>
      </w:r>
      <w:r>
        <w:t xml:space="preserve"> </w:t>
      </w:r>
      <w:r>
        <w:t xml:space="preserve">the electronic laboratory notebook (ELN), and the analysis scripts are held under version</w:t>
      </w:r>
      <w:r>
        <w:t xml:space="preserve"> </w:t>
      </w:r>
      <w:r>
        <w:t xml:space="preserve">control, so a reported number can be traced back to the data and to the code that produced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Every record is reviewed by a second qualified person before it is used, and a correction</w:t>
      </w:r>
      <w:r>
        <w:t xml:space="preserve"> </w:t>
      </w:r>
      <w:r>
        <w:t xml:space="preserve">leaves the original entry legible and carries the reason and the date. Audit trails are</w:t>
      </w:r>
      <w:r>
        <w:t xml:space="preserve"> </w:t>
      </w:r>
      <w:r>
        <w:t xml:space="preserve">enabled on all systems and are reviewed as part of that data review.</w:t>
      </w:r>
    </w:p>
    <w:p>
      <w:pPr>
        <w:pStyle w:val="BodyText"/>
      </w:pPr>
      <w:r>
        <w:t xml:space="preserve">This plan is a controlled document, so a change to the design, to the ranges or to the</w:t>
      </w:r>
      <w:r>
        <w:t xml:space="preserve"> </w:t>
      </w:r>
      <w:r>
        <w:t xml:space="preserve">acceptance criteria after approval requires an approved amendment before the affected runs</w:t>
      </w:r>
      <w:r>
        <w:t xml:space="preserve"> </w:t>
      </w:r>
      <w:r>
        <w:t xml:space="preserve">are executed. A departure discovered after execution is recorded as a deviation,</w:t>
      </w:r>
      <w:r>
        <w:t xml:space="preserve"> </w:t>
      </w:r>
      <w:r>
        <w:t xml:space="preserve">investigated for root cause, and assessed for impact on the study conclusions in PCR-003.</w:t>
      </w:r>
    </w:p>
    <w:bookmarkEnd w:id="37"/>
    <w:bookmarkStart w:id="39" w:name="roles-and-responsibilities"/>
    <w:p>
      <w:pPr>
        <w:pStyle w:val="Heading1"/>
      </w:pPr>
      <w:r>
        <w:t xml:space="preserve">10. Roles and responsibilities</w:t>
      </w:r>
    </w:p>
    <w:p>
      <w:pPr>
        <w:pStyle w:val="FirstParagraph"/>
      </w:pPr>
      <w:hyperlink w:anchor="tbl-roles">
        <w:r>
          <w:rPr>
            <w:rStyle w:val="Hyperlink"/>
          </w:rPr>
          <w:t xml:space="preserve">Table 7</w:t>
        </w:r>
      </w:hyperlink>
      <w:r>
        <w:t xml:space="preserve"> </w:t>
      </w:r>
      <w:r>
        <w:t xml:space="preserve">assigns the work across the functions that execute and approve this plan.</w:t>
      </w:r>
      <w:r>
        <w:t xml:space="preserve"> </w:t>
      </w:r>
      <w:r>
        <w:t xml:space="preserve">Process Development owns the plan, the execution and the report, and Manufacturing Science</w:t>
      </w:r>
      <w:r>
        <w:t xml:space="preserve"> </w:t>
      </w:r>
      <w:r>
        <w:t xml:space="preserve">and Technology (MSAT) owns the scale-down model and the link to the receiving site.</w:t>
      </w:r>
      <w:r>
        <w:t xml:space="preserve"> </w:t>
      </w:r>
      <w:r>
        <w:t xml:space="preserve">Analytical Development owns the methods and the analytical data, Statistics owns the</w:t>
      </w:r>
      <w:r>
        <w:t xml:space="preserve"> </w:t>
      </w:r>
      <w:r>
        <w:t xml:space="preserve">designs and the model fitting, and Quality Assurance approves both this plan and PCR-003.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ro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Functions and responsibilities for the execution of this plan.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Responsibility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Authors this plan, executes the cultures, interprets the results, writes PCR-003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 and Technology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Qualifies and maintains the scale-down model; confirms that set-points and ranges are implementable at the receiving site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Performs the assays in §5.3, maintains method validation, reports analytical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Approves the designs, performs the model fitting, the capability simulation and the proven-acceptable-range analysis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Approves this plan and PCR-003, dispositions deviations, confirms data integrity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Manufacturing, receiving site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Reviews the resulting ranges and control requirements for commercial implementability</w:t>
                  </w:r>
                </w:p>
              </w:tc>
            </w:tr>
          </w:tbl>
          <w:bookmarkEnd w:id="38"/>
          <w:p/>
        </w:tc>
      </w:tr>
    </w:tbl>
    <w:bookmarkEnd w:id="39"/>
    <w:bookmarkStart w:id="40" w:name="deliverables-and-schedule"/>
    <w:p>
      <w:pPr>
        <w:pStyle w:val="Heading1"/>
      </w:pPr>
      <w:r>
        <w:t xml:space="preserve">11. Deliverables and schedule</w:t>
      </w:r>
    </w:p>
    <w:p>
      <w:pPr>
        <w:pStyle w:val="FirstParagraph"/>
      </w:pPr>
      <w:r>
        <w:t xml:space="preserve">The deliverable of this plan is PCR-003, which will report the executed studies, the</w:t>
      </w:r>
      <w:r>
        <w:t xml:space="preserve"> </w:t>
      </w:r>
      <w:r>
        <w:t xml:space="preserve">operating region, the proven acceptable ranges, the capability estimate and the parameter</w:t>
      </w:r>
      <w:r>
        <w:t xml:space="preserve"> </w:t>
      </w:r>
      <w:r>
        <w:t xml:space="preserve">classifications. The scale-down model qualification report is a prerequisite deliverable</w:t>
      </w:r>
      <w:r>
        <w:t xml:space="preserve"> </w:t>
      </w:r>
      <w:r>
        <w:t xml:space="preserve">and is filed separately under SOP-1001.</w:t>
      </w:r>
    </w:p>
    <w:p>
      <w:pPr>
        <w:pStyle w:val="BodyText"/>
      </w:pPr>
      <w:r>
        <w:t xml:space="preserve">The work runs in a fixed order, with model qualification first because it gates everything</w:t>
      </w:r>
      <w:r>
        <w:t xml:space="preserve"> </w:t>
      </w:r>
      <w:r>
        <w:t xml:space="preserve">after it. The screening study follows, with 19 runs, and analysis of the</w:t>
      </w:r>
      <w:r>
        <w:t xml:space="preserve"> </w:t>
      </w:r>
      <w:r>
        <w:t xml:space="preserve">screening data then confirms or revises the factors carried into the response-surface</w:t>
      </w:r>
      <w:r>
        <w:t xml:space="preserve"> </w:t>
      </w:r>
      <w:r>
        <w:t xml:space="preserve">design, with any revision issued as an amendment before execution (§6.3). The</w:t>
      </w:r>
      <w:r>
        <w:t xml:space="preserve"> </w:t>
      </w:r>
      <w:r>
        <w:t xml:space="preserve">response-surface study follows, with 28 runs. Once the screening result is</w:t>
      </w:r>
      <w:r>
        <w:t xml:space="preserve"> </w:t>
      </w:r>
      <w:r>
        <w:t xml:space="preserve">available the univariate conditions of §6.4 may be executed in parallel with it, since they</w:t>
      </w:r>
      <w:r>
        <w:t xml:space="preserve"> </w:t>
      </w:r>
      <w:r>
        <w:t xml:space="preserve">do not depend on the response-surface runs. Analysis, capability simulation, classification</w:t>
      </w:r>
      <w:r>
        <w:t xml:space="preserve"> </w:t>
      </w:r>
      <w:r>
        <w:t xml:space="preserve">and reporting come last.</w:t>
      </w:r>
    </w:p>
    <w:p>
      <w:pPr>
        <w:pStyle w:val="BodyText"/>
      </w:pPr>
      <w:r>
        <w:t xml:space="preserve">55 cultures are planned in all. No calendar dates are fixed here: the</w:t>
      </w:r>
      <w:r>
        <w:t xml:space="preserve"> </w:t>
      </w:r>
      <w:r>
        <w:t xml:space="preserve">sequence is fixed, and the campaign schedule is maintained under PCMP-001.</w:t>
      </w:r>
    </w:p>
    <w:bookmarkEnd w:id="40"/>
    <w:bookmarkStart w:id="41" w:name="risks-and-assumptions"/>
    <w:p>
      <w:pPr>
        <w:pStyle w:val="Heading1"/>
      </w:pPr>
      <w:r>
        <w:t xml:space="preserve">12. Risks and assumptions</w:t>
      </w:r>
    </w:p>
    <w:p>
      <w:pPr>
        <w:pStyle w:val="FirstParagraph"/>
      </w:pPr>
      <w:r>
        <w:t xml:space="preserve">Three assumptions carry the study, and each has a risk attached to it.</w:t>
      </w:r>
    </w:p>
    <w:p>
      <w:pPr>
        <w:pStyle w:val="BodyText"/>
      </w:pPr>
      <w:r>
        <w:t xml:space="preserve">The first is that the scale-down model represents the commercial vessel closely enough for</w:t>
      </w:r>
      <w:r>
        <w:t xml:space="preserve"> </w:t>
      </w:r>
      <w:r>
        <w:t xml:space="preserve">a conclusion drawn at bench scale to hold at 15,000 L. Qualification</w:t>
      </w:r>
      <w:r>
        <w:t xml:space="preserve"> </w:t>
      </w:r>
      <w:r>
        <w:t xml:space="preserve">tests that at the set-point condition only, and it does not test it at the edges of the</w:t>
      </w:r>
      <w:r>
        <w:t xml:space="preserve"> </w:t>
      </w:r>
      <w:r>
        <w:t xml:space="preserve">characterization ranges, so the assumption is weakest exactly where the operating region is</w:t>
      </w:r>
      <w:r>
        <w:t xml:space="preserve"> </w:t>
      </w:r>
      <w:r>
        <w:t xml:space="preserve">most constrained. The risk is managed by carrying pCO₂ as a characterized factor, since it</w:t>
      </w:r>
      <w:r>
        <w:t xml:space="preserve"> </w:t>
      </w:r>
      <w:r>
        <w:t xml:space="preserve">is the parameter that differs most between the two scales, and by confirming the attributes</w:t>
      </w:r>
      <w:r>
        <w:t xml:space="preserve"> </w:t>
      </w:r>
      <w:r>
        <w:t xml:space="preserve">at commercial scale during Stage 2.</w:t>
      </w:r>
    </w:p>
    <w:p>
      <w:pPr>
        <w:pStyle w:val="BodyText"/>
      </w:pPr>
      <w:r>
        <w:t xml:space="preserve">The second is that screening identifies the right subset of factors to carry into the</w:t>
      </w:r>
      <w:r>
        <w:t xml:space="preserve"> </w:t>
      </w:r>
      <w:r>
        <w:t xml:space="preserve">response-surface design. A factor with a real effect that screening failed to resolve would</w:t>
      </w:r>
      <w:r>
        <w:t xml:space="preserve"> </w:t>
      </w:r>
      <w:r>
        <w:t xml:space="preserve">be excluded from the predictive model and would not appear in the operating region at all.</w:t>
      </w:r>
      <w:r>
        <w:t xml:space="preserve"> </w:t>
      </w:r>
      <w:r>
        <w:t xml:space="preserve">The risk is managed in two ways: every factor not carried forward is held at the set-point</w:t>
      </w:r>
      <w:r>
        <w:t xml:space="preserve"> </w:t>
      </w:r>
      <w:r>
        <w:t xml:space="preserve">through the response-surface runs, so an excluded factor contributes no variation to the</w:t>
      </w:r>
      <w:r>
        <w:t xml:space="preserve"> </w:t>
      </w:r>
      <w:r>
        <w:t xml:space="preserve">fitted model, and each is classified on the screening evidence with the range that evidence</w:t>
      </w:r>
      <w:r>
        <w:t xml:space="preserve"> </w:t>
      </w:r>
      <w:r>
        <w:t xml:space="preserve">supports.</w:t>
      </w:r>
    </w:p>
    <w:p>
      <w:pPr>
        <w:pStyle w:val="BodyText"/>
      </w:pPr>
      <w:r>
        <w:t xml:space="preserve">The third is that platform and prior product knowledge transfer to A-Mab. The mechanisms</w:t>
      </w:r>
      <w:r>
        <w:t xml:space="preserve"> </w:t>
      </w:r>
      <w:r>
        <w:t xml:space="preserve">transfer, because they are properties of the host cell line and of the culture chemistry,</w:t>
      </w:r>
      <w:r>
        <w:t xml:space="preserve"> </w:t>
      </w:r>
      <w:r>
        <w:t xml:space="preserve">but the effect sizes may not, because they depend on the clone. As a result the studies</w:t>
      </w:r>
      <w:r>
        <w:t xml:space="preserve"> </w:t>
      </w:r>
      <w:r>
        <w:t xml:space="preserve">characterize A-Mab directly, and prior knowledge is used only for the factor set and the</w:t>
      </w:r>
      <w:r>
        <w:t xml:space="preserve"> </w:t>
      </w:r>
      <w:r>
        <w:t xml:space="preserve">ranges (§4.1).</w:t>
      </w:r>
    </w:p>
    <w:p>
      <w:pPr>
        <w:pStyle w:val="BodyText"/>
      </w:pPr>
      <w:r>
        <w:t xml:space="preserve">Two operational risks remain. A change of medium or feed lot during a campaign of</w:t>
      </w:r>
      <w:r>
        <w:t xml:space="preserve"> </w:t>
      </w:r>
      <w:r>
        <w:t xml:space="preserve">55 cultures could introduce a step change confounded with run order,</w:t>
      </w:r>
      <w:r>
        <w:t xml:space="preserve"> </w:t>
      </w:r>
      <w:r>
        <w:t xml:space="preserve">and the controls are randomization (§6.2) and the use of a single lot per component</w:t>
      </w:r>
      <w:r>
        <w:t xml:space="preserve"> </w:t>
      </w:r>
      <w:r>
        <w:t xml:space="preserve">wherever the campaign length allows. Assay variability may also be large in comparison with</w:t>
      </w:r>
      <w:r>
        <w:t xml:space="preserve"> </w:t>
      </w:r>
      <w:r>
        <w:t xml:space="preserve">a small effect near an acceptance limit, and the controls there are the replicated centre</w:t>
      </w:r>
      <w:r>
        <w:t xml:space="preserve"> </w:t>
      </w:r>
      <w:r>
        <w:t xml:space="preserve">points, which estimate the combined culture and assay variance directly, and the precision</w:t>
      </w:r>
      <w:r>
        <w:t xml:space="preserve"> </w:t>
      </w:r>
      <w:r>
        <w:t xml:space="preserve">estimates in the method validation reports.</w:t>
      </w:r>
    </w:p>
    <w:bookmarkEnd w:id="41"/>
    <w:bookmarkStart w:id="42" w:name="approvals-1"/>
    <w:p>
      <w:pPr>
        <w:pStyle w:val="Heading1"/>
      </w:pPr>
      <w:r>
        <w:t xml:space="preserve">13. Approvals</w:t>
      </w:r>
    </w:p>
    <w:p>
      <w:pPr>
        <w:pStyle w:val="FirstParagraph"/>
      </w:pPr>
      <w:r>
        <w:t xml:space="preserve">This plan takes effect when it is approved by the functions listed in</w:t>
      </w:r>
      <w:r>
        <w:t xml:space="preserve"> </w:t>
      </w:r>
      <w:hyperlink w:anchor="tbl-appr">
        <w:r>
          <w:rPr>
            <w:rStyle w:val="Hyperlink"/>
          </w:rPr>
          <w:t xml:space="preserve">Table 1</w:t>
        </w:r>
      </w:hyperlink>
      <w:r>
        <w:t xml:space="preserve">. Approval</w:t>
      </w:r>
      <w:r>
        <w:t xml:space="preserve"> </w:t>
      </w:r>
      <w:r>
        <w:t xml:space="preserve">signifies that the study design, the ranges, the analytical methods and the decision</w:t>
      </w:r>
      <w:r>
        <w:t xml:space="preserve"> </w:t>
      </w:r>
      <w:r>
        <w:t xml:space="preserve">criteria are agreed before execution, and that a change to any of them requires an</w:t>
      </w:r>
      <w:r>
        <w:t xml:space="preserve"> </w:t>
      </w:r>
      <w:r>
        <w:t xml:space="preserve">amendment under §9.</w:t>
      </w:r>
    </w:p>
    <w:bookmarkEnd w:id="42"/>
    <w:bookmarkStart w:id="44" w:name="X7149527b81b82ac7e9fc876cc411d0dd5d45eb6"/>
    <w:p>
      <w:pPr>
        <w:pStyle w:val="Heading1"/>
      </w:pPr>
      <w:r>
        <w:t xml:space="preserve">Appendix A — Planned screening design matrix</w:t>
      </w:r>
    </w:p>
    <w:p>
      <w:pPr>
        <w:pStyle w:val="FirstParagraph"/>
      </w:pPr>
      <w:r>
        <w:t xml:space="preserve">The matrix below gives the planned screening runs in coded levels, using the letter codes</w:t>
      </w:r>
      <w:r>
        <w:t xml:space="preserve"> </w:t>
      </w:r>
      <w:r>
        <w:t xml:space="preserve">of</w:t>
      </w:r>
      <w:r>
        <w:t xml:space="preserve"> </w:t>
      </w:r>
      <w:hyperlink w:anchor="tbl-code">
        <w:r>
          <w:rPr>
            <w:rStyle w:val="Hyperlink"/>
          </w:rPr>
          <w:t xml:space="preserve">Table 6</w:t>
        </w:r>
      </w:hyperlink>
      <w:r>
        <w:t xml:space="preserve">. Response columns are absent because no run has been executed.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sc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Planned screening design matrix, coded levels.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43"/>
          <w:p/>
        </w:tc>
      </w:tr>
    </w:tbl>
    <w:bookmarkEnd w:id="44"/>
    <w:bookmarkStart w:id="46" w:name="Xd035249cb2928fc67e6106bc8a61a8b12039d8a"/>
    <w:p>
      <w:pPr>
        <w:pStyle w:val="Heading1"/>
      </w:pPr>
      <w:r>
        <w:t xml:space="preserve">Appendix B — Planned response-surface design matrix</w:t>
      </w:r>
    </w:p>
    <w:p>
      <w:pPr>
        <w:pStyle w:val="FirstParagraph"/>
      </w:pPr>
      <w:r>
        <w:t xml:space="preserve">The matrix below gives the planned response-surface runs in coded levels for the factors</w:t>
      </w:r>
      <w:r>
        <w:t xml:space="preserve"> </w:t>
      </w:r>
      <w:r>
        <w:t xml:space="preserve">carried forward under §6.3. It will be re-issued if screening identifies a different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rs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Planned response-surface design matrix, coded levels.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45"/>
          <w:p/>
        </w:tc>
      </w:tr>
    </w:tbl>
    <w:bookmarkEnd w:id="46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7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47"/>
    <w:bookmarkStart w:id="48" w:name="ref-ichq10"/>
    <w:p>
      <w:pPr>
        <w:pStyle w:val="Bibliography"/>
      </w:pPr>
      <w:r>
        <w:t xml:space="preserve">International Council for Harmonisation. 2008.</w:t>
      </w:r>
      <w:r>
        <w:t xml:space="preserve"> </w:t>
      </w:r>
      <w:r>
        <w:rPr>
          <w:i/>
          <w:iCs/>
        </w:rPr>
        <w:t xml:space="preserve">ICH Q10: Pharmaceutical Quality System</w:t>
      </w:r>
      <w:r>
        <w:t xml:space="preserve">. ICH.</w:t>
      </w:r>
    </w:p>
    <w:bookmarkEnd w:id="48"/>
    <w:bookmarkStart w:id="49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49"/>
    <w:bookmarkStart w:id="50" w:name="ref-ichq9"/>
    <w:p>
      <w:pPr>
        <w:pStyle w:val="Bibliography"/>
      </w:pPr>
      <w:r>
        <w:t xml:space="preserve">International Council for Harmonisation. 2023.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Characterization Plan</dc:title>
  <dc:creator>Process Development / Manufacturing Science &amp; Technology (MSAT)</dc:creator>
  <cp:keywords/>
  <dcterms:created xsi:type="dcterms:W3CDTF">2026-08-17T08:42:32Z</dcterms:created>
  <dcterms:modified xsi:type="dcterms:W3CDTF">2026-08-17T08:42:32Z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fig-cap-location">
    <vt:lpwstr>bottom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pyter">
    <vt:lpwstr>python3</vt:lpwstr>
  </property>
  <property fmtid="{D5CDD505-2E9C-101B-9397-08002B2CF9AE}" pid="13" name="labels">
    <vt:lpwstr/>
  </property>
  <property fmtid="{D5CDD505-2E9C-101B-9397-08002B2CF9AE}" pid="14" name="subtitle">
    <vt:lpwstr>A-Mab Drug Substance — Production Bioreactor (Step 3) — PCP-003</vt:lpwstr>
  </property>
  <property fmtid="{D5CDD505-2E9C-101B-9397-08002B2CF9AE}" pid="15" name="tbl-cap-location">
    <vt:lpwstr>top</vt:lpwstr>
  </property>
  <property fmtid="{D5CDD505-2E9C-101B-9397-08002B2CF9AE}" pid="16" name="toc-title">
    <vt:lpwstr>Table of contents</vt:lpwstr>
  </property>
</Properties>
</file>