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7.png" ContentType="image/png"/>
  <Override PartName="/word/media/rId61.png" ContentType="image/png"/>
  <Override PartName="/word/media/rId47.png" ContentType="image/png"/>
  <Override PartName="/word/media/rId51.png" ContentType="image/png"/>
  <Override PartName="/word/media/rId77.png" ContentType="image/png"/>
  <Override PartName="/word/media/rId81.png" ContentType="image/png"/>
  <Override PartName="/word/media/rId67.png" ContentType="image/png"/>
  <Override PartName="/word/media/rId71.png" ContentType="image/png"/>
  <Override PartName="/word/media/rId112.png" ContentType="image/png"/>
  <Override PartName="/word/media/rId116.png" ContentType="image/png"/>
  <Override PartName="/word/media/rId122.png" ContentType="image/png"/>
  <Override PartName="/word/media/rId126.png" ContentType="image/png"/>
  <Override PartName="/word/media/rId132.png" ContentType="image/png"/>
  <Override PartName="/word/media/rId136.png" ContentType="image/png"/>
  <Override PartName="/word/media/rId102.png" ContentType="image/png"/>
  <Override PartName="/word/media/rId106.png" ContentType="image/png"/>
  <Override PartName="/word/media/rId92.png" ContentType="image/png"/>
  <Override PartName="/word/media/rId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Process Characterization Report</w:t>
      </w:r>
    </w:p>
    <w:p>
      <w:pPr>
        <w:pStyle w:val="Subtitle"/>
      </w:pPr>
      <w:r>
        <w:t xml:space="preserve">A-Mab Drug Substance — Production Bioreactor (Step 3) — PCR-003</w:t>
      </w:r>
    </w:p>
    <w:p>
      <w:pPr>
        <w:pStyle w:val="Author"/>
      </w:pPr>
      <w:r>
        <w:t xml:space="preserve">Process Development / Manufacturing Science &amp; Technology (MSAT)</w:t>
      </w:r>
    </w:p>
    <w:p>
      <w:pPr>
        <w:pStyle w:val="Date"/>
      </w:pPr>
      <w:r>
        <w:t xml:space="preserve">2026-07-24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75"/>
        <w:gridCol w:w="694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PCR-003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Characterization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Characterization Report: Production Bioreactor (Step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A-Mab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Effective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(synthetic)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Manufacturing Science &amp; Technology (MSAT)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Sponsor / 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Novacyte Biologics; Novacyte Biologics — Cambridge, MA (Development) → Novacyte Biologics — Grafton, WI (Commercial DS)</w:t>
            </w:r>
          </w:p>
        </w:tc>
      </w:tr>
    </w:tbl>
    <w:p>
      <w:pPr>
        <w:pStyle w:val="BlockText"/>
      </w:pPr>
      <w:r>
        <w:rPr>
          <w:b/>
          <w:bCs/>
        </w:rPr>
        <w:t xml:space="preserve">SYNTHETIC DOCUMENT — NOT A REAL RECORD.</w:t>
      </w:r>
      <w:r>
        <w:t xml:space="preserve"> </w:t>
      </w:r>
      <w:r>
        <w:t xml:space="preserve">Illustrative content generated from a seeded model of the</w:t>
      </w:r>
      <w:r>
        <w:t xml:space="preserve"> </w:t>
      </w:r>
      <w:r>
        <w:rPr>
          <w:i/>
          <w:iCs/>
        </w:rPr>
        <w:t xml:space="preserve">A-Mab</w:t>
      </w:r>
      <w:r>
        <w:t xml:space="preserve"> </w:t>
      </w:r>
      <w:r>
        <w:t xml:space="preserve">case study (CMC Biotech Working Group, 2009). Novacyte Biologics and all sites, SOP/AMV numbers and signatories are fictional. For NLP corpus development only; not for any regulated use.</w:t>
      </w:r>
    </w:p>
    <w:bookmarkStart w:id="10" w:name="approvals"/>
    <w:p>
      <w:pPr>
        <w:pStyle w:val="Heading2"/>
      </w:pPr>
      <w:r>
        <w:t xml:space="preserve">Approvals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app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Approval record (synthetic; signatures not applied).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 (synthetic)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Signature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Author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Process Development / MSAT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Reviewer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Analytical Development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Reviewer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Manufacturing Science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Reviewer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Approver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Assurance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</w:tbl>
          <w:bookmarkEnd w:id="9"/>
          <w:p/>
        </w:tc>
      </w:tr>
    </w:tbl>
    <w:bookmarkEnd w:id="10"/>
    <w:bookmarkStart w:id="11" w:name="abbreviations"/>
    <w:p>
      <w:pPr>
        <w:pStyle w:val="Heading2"/>
      </w:pPr>
      <w:r>
        <w:t xml:space="preserve">Abbreviations</w:t>
      </w:r>
    </w:p>
    <w:p>
      <w:pPr>
        <w:pStyle w:val="FirstParagraph"/>
      </w:pPr>
      <w:r>
        <w:t xml:space="preserve">2-AB, 2-aminobenzamide; ADCC, antibody dependent cellular cytotoxicity; AMV, analytical</w:t>
      </w:r>
      <w:r>
        <w:t xml:space="preserve"> </w:t>
      </w:r>
      <w:r>
        <w:t xml:space="preserve">method validation; ANOVA, analysis of variance; BLA, Biologics License Application; CCD,</w:t>
      </w:r>
      <w:r>
        <w:t xml:space="preserve"> </w:t>
      </w:r>
      <w:r>
        <w:t xml:space="preserve">central composite design; Cpk, process capability index; CPP, critical process</w:t>
      </w:r>
      <w:r>
        <w:t xml:space="preserve"> </w:t>
      </w:r>
      <w:r>
        <w:t xml:space="preserve">parameter; CQA, critical quality attribute; DoE, design of experiments; GPP, general</w:t>
      </w:r>
      <w:r>
        <w:t xml:space="preserve"> </w:t>
      </w:r>
      <w:r>
        <w:t xml:space="preserve">process parameter; HCP, host cell protein; HILIC, hydrophilic interaction liquid</w:t>
      </w:r>
      <w:r>
        <w:t xml:space="preserve"> </w:t>
      </w:r>
      <w:r>
        <w:t xml:space="preserve">chromatography; HMW, high molecular weight; icIEF, imaged capillary isoelectric</w:t>
      </w:r>
      <w:r>
        <w:t xml:space="preserve"> </w:t>
      </w:r>
      <w:r>
        <w:t xml:space="preserve">focusing; KPP, key process parameter; LOQ, limit of quantitation; MSAT, Manufacturing</w:t>
      </w:r>
      <w:r>
        <w:t xml:space="preserve"> </w:t>
      </w:r>
      <w:r>
        <w:t xml:space="preserve">Science and Technology; NOR, normal operating range; PAR, proven acceptable range; pCO2,</w:t>
      </w:r>
      <w:r>
        <w:t xml:space="preserve"> </w:t>
      </w:r>
      <w:r>
        <w:t xml:space="preserve">dissolved carbon dioxide partial pressure; PPQ, process performance qualification;</w:t>
      </w:r>
      <w:r>
        <w:t xml:space="preserve"> </w:t>
      </w:r>
      <w:r>
        <w:t xml:space="preserve">PRESS, predicted residual error sum of squares; qPCR, quantitative polymerase chain</w:t>
      </w:r>
      <w:r>
        <w:t xml:space="preserve"> </w:t>
      </w:r>
      <w:r>
        <w:t xml:space="preserve">reaction; RMSE, root mean square error; RSM, response surface methodology; SDM, scale</w:t>
      </w:r>
      <w:r>
        <w:t xml:space="preserve"> </w:t>
      </w:r>
      <w:r>
        <w:t xml:space="preserve">down model; SEC, size exclusion chromatography; SOP, standard operating procedure; UPLC,</w:t>
      </w:r>
      <w:r>
        <w:t xml:space="preserve"> </w:t>
      </w:r>
      <w:r>
        <w:t xml:space="preserve">ultra performance liquid chromatography; WC-CPP, well controlled critical process</w:t>
      </w:r>
      <w:r>
        <w:t xml:space="preserve"> </w:t>
      </w:r>
      <w:r>
        <w:t xml:space="preserve">parameter.</w:t>
      </w:r>
    </w:p>
    <w:p>
      <w:r>
        <w:br w:type="page"/>
      </w:r>
    </w:p>
    <w:bookmarkEnd w:id="11"/>
    <w:bookmarkStart w:id="12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The production bioreactor forms the glycan, charge variant and aggregate quality</w:t>
      </w:r>
      <w:r>
        <w:t xml:space="preserve"> </w:t>
      </w:r>
      <w:r>
        <w:t xml:space="preserve">attributes of A-Mab, and this report bounds the culture conditions that set them. The</w:t>
      </w:r>
      <w:r>
        <w:t xml:space="preserve"> </w:t>
      </w:r>
      <w:r>
        <w:t xml:space="preserve">bioreactor studies were executed on a qualified scale down model of the</w:t>
      </w:r>
      <w:r>
        <w:t xml:space="preserve"> </w:t>
      </w:r>
      <w:r>
        <w:t xml:space="preserve">15,000 L production vessel, under the plan approved</w:t>
      </w:r>
      <w:r>
        <w:t xml:space="preserve"> </w:t>
      </w:r>
      <w:r>
        <w:t xml:space="preserve">as PCP-003 and the risk basis established in RA-001. The study approach follows the</w:t>
      </w:r>
      <w:r>
        <w:t xml:space="preserve"> </w:t>
      </w:r>
      <w:r>
        <w:t xml:space="preserve">lifecycle model for process validation</w:t>
      </w:r>
      <w:r>
        <w:t xml:space="preserve"> </w:t>
      </w:r>
      <w:r>
        <w:t xml:space="preserve">(U.S. Food and Drug Administration 2011)</w:t>
      </w:r>
      <w:r>
        <w:t xml:space="preserve"> </w:t>
      </w:r>
      <w:r>
        <w:t xml:space="preserve">and the enhanced development approach</w:t>
      </w:r>
      <w:r>
        <w:t xml:space="preserve"> </w:t>
      </w:r>
      <w:r>
        <w:t xml:space="preserve">of ICH Q8 and ICH Q11</w:t>
      </w:r>
      <w:r>
        <w:t xml:space="preserve"> </w:t>
      </w:r>
      <w:r>
        <w:t xml:space="preserve">(International Council for Harmonisation 2009, 2012)</w:t>
      </w:r>
      <w:r>
        <w:t xml:space="preserve">, and the attribute framework, the criticality</w:t>
      </w:r>
      <w:r>
        <w:t xml:space="preserve"> </w:t>
      </w:r>
      <w:r>
        <w:t xml:space="preserve">levels and the risk ranking method that fixed the study scope are those of the A-Mab</w:t>
      </w:r>
      <w:r>
        <w:t xml:space="preserve"> </w:t>
      </w:r>
      <w:r>
        <w:t xml:space="preserve">case study</w:t>
      </w:r>
      <w:r>
        <w:t xml:space="preserve"> </w:t>
      </w:r>
      <w:r>
        <w:t xml:space="preserve">(CMC Biotech Working Group 2009)</w:t>
      </w:r>
      <w:r>
        <w:t xml:space="preserve">.</w:t>
      </w:r>
    </w:p>
    <w:p>
      <w:pPr>
        <w:pStyle w:val="BodyText"/>
      </w:pPr>
      <w:r>
        <w:t xml:space="preserve">The screening study covered 5 parameters in a two level design of</w:t>
      </w:r>
      <w:r>
        <w:t xml:space="preserve"> </w:t>
      </w:r>
      <w:r>
        <w:t xml:space="preserve">19 runs. The 4 factors that screening retained then</w:t>
      </w:r>
      <w:r>
        <w:t xml:space="preserve"> </w:t>
      </w:r>
      <w:r>
        <w:t xml:space="preserve">entered a face centred response surface design of 28 runs, and the</w:t>
      </w:r>
      <w:r>
        <w:t xml:space="preserve"> </w:t>
      </w:r>
      <w:r>
        <w:t xml:space="preserve">remaining 4 parameters were assessed one at a time. Screening identified</w:t>
      </w:r>
      <w:r>
        <w:t xml:space="preserve"> </w:t>
      </w:r>
      <w:r>
        <w:t xml:space="preserve">which factors matter. The response surface model built on those factors is the</w:t>
      </w:r>
      <w:r>
        <w:t xml:space="preserve"> </w:t>
      </w:r>
      <w:r>
        <w:t xml:space="preserve">predictive model, and the design space and the proven acceptable ranges reported below</w:t>
      </w:r>
      <w:r>
        <w:t xml:space="preserve"> </w:t>
      </w:r>
      <w:r>
        <w:t xml:space="preserve">rest on it, not on the near saturated screening fit.</w:t>
      </w:r>
    </w:p>
    <w:p>
      <w:pPr>
        <w:pStyle w:val="BodyText"/>
      </w:pPr>
      <w:r>
        <w:t xml:space="preserve">The response surface models account for between 91.1% and</w:t>
      </w:r>
      <w:r>
        <w:t xml:space="preserve"> </w:t>
      </w:r>
      <w:r>
        <w:t xml:space="preserve">97.1% of the variance in the 5 measured responses, at an</w:t>
      </w:r>
      <w:r>
        <w:t xml:space="preserve"> </w:t>
      </w:r>
      <w:r>
        <w:t xml:space="preserve">adjusted R² of 0.81 or better. No response shows significant lack</w:t>
      </w:r>
      <w:r>
        <w:t xml:space="preserve"> </w:t>
      </w:r>
      <w:r>
        <w:t xml:space="preserve">of fit against the centre point replicates, and the weakest of the five on predicted R²</w:t>
      </w:r>
      <w:r>
        <w:t xml:space="preserve"> </w:t>
      </w:r>
      <w:r>
        <w:t xml:space="preserve">is acidic variants, at 0.60.</w:t>
      </w:r>
    </w:p>
    <w:p>
      <w:pPr>
        <w:pStyle w:val="BodyText"/>
      </w:pPr>
      <w:r>
        <w:t xml:space="preserve">Across the characterized ranges, 57 % of an evenly spaced grid</w:t>
      </w:r>
      <w:r>
        <w:t xml:space="preserve"> </w:t>
      </w:r>
      <w:r>
        <w:t xml:space="preserve">of 14,641 operating points meets every in-process criterion the step</w:t>
      </w:r>
      <w:r>
        <w:t xml:space="preserve"> </w:t>
      </w:r>
      <w:r>
        <w:t xml:space="preserve">governs. The characterized ranges contain edges of failure, which is what separates the</w:t>
      </w:r>
      <w:r>
        <w:t xml:space="preserve"> </w:t>
      </w:r>
      <w:r>
        <w:t xml:space="preserve">knowledge space from the design space. The response that rejects most of the design grid</w:t>
      </w:r>
      <w:r>
        <w:t xml:space="preserve"> </w:t>
      </w:r>
      <w:r>
        <w:t xml:space="preserve">is galactosylation, at 14 % of the points.</w:t>
      </w:r>
    </w:p>
    <w:p>
      <w:pPr>
        <w:pStyle w:val="BodyText"/>
      </w:pPr>
      <w:r>
        <w:t xml:space="preserve">Commercial scale capability was estimated from a Monte-Carlo simulation of</w:t>
      </w:r>
      <w:r>
        <w:t xml:space="preserve"> </w:t>
      </w:r>
      <w:r>
        <w:t xml:space="preserve">2,000 batches with every parameter varying inside the normal operating</w:t>
      </w:r>
      <w:r>
        <w:t xml:space="preserve"> </w:t>
      </w:r>
      <w:r>
        <w:t xml:space="preserve">range. The simulated batches meet the drug substance criterion for all</w:t>
      </w:r>
      <w:r>
        <w:t xml:space="preserve"> </w:t>
      </w:r>
      <w:r>
        <w:t xml:space="preserve">7 attributes the step governs. The tightest capability of the</w:t>
      </w:r>
      <w:r>
        <w:t xml:space="preserve"> </w:t>
      </w:r>
      <w:r>
        <w:t xml:space="preserve">7 attributes is the one for high mannose, at a Cpk</w:t>
      </w:r>
      <w:r>
        <w:t xml:space="preserve"> </w:t>
      </w:r>
      <w:r>
        <w:t xml:space="preserve">of 1.94, whose simulated mean sits</w:t>
      </w:r>
      <w:r>
        <w:t xml:space="preserve"> </w:t>
      </w:r>
      <w:r>
        <w:t xml:space="preserve">5.8 standard deviations from the nearer of the</w:t>
      </w:r>
      <w:r>
        <w:t xml:space="preserve"> </w:t>
      </w:r>
      <w:r>
        <w:t xml:space="preserve">two limits.</w:t>
      </w:r>
    </w:p>
    <w:p>
      <w:pPr>
        <w:pStyle w:val="BodyText"/>
      </w:pPr>
      <w:r>
        <w:t xml:space="preserve">Of the 9 parameters characterized, 5 are classified as</w:t>
      </w:r>
      <w:r>
        <w:t xml:space="preserve"> </w:t>
      </w:r>
      <w:r>
        <w:t xml:space="preserve">well controlled critical process parameters (WC-CPP) and 3 as key process</w:t>
      </w:r>
      <w:r>
        <w:t xml:space="preserve"> </w:t>
      </w:r>
      <w:r>
        <w:t xml:space="preserve">parameters (KPP). The remaining parameter, basal medium concentration, is a</w:t>
      </w:r>
      <w:r>
        <w:t xml:space="preserve"> </w:t>
      </w:r>
      <w:r>
        <w:t xml:space="preserve">general process parameter (GPP). No parameter at this step is classified as a critical</w:t>
      </w:r>
      <w:r>
        <w:t xml:space="preserve"> </w:t>
      </w:r>
      <w:r>
        <w:t xml:space="preserve">process parameter, because the control system holds each of the quality linked</w:t>
      </w:r>
      <w:r>
        <w:t xml:space="preserve"> </w:t>
      </w:r>
      <w:r>
        <w:t xml:space="preserve">parameters inside ranges the study proved acceptable.</w:t>
      </w:r>
    </w:p>
    <w:p>
      <w:pPr>
        <w:pStyle w:val="BodyText"/>
      </w:pPr>
      <w:r>
        <w:t xml:space="preserve">The execution recorded 2 deviations, and both were retained after</w:t>
      </w:r>
      <w:r>
        <w:t xml:space="preserve"> </w:t>
      </w:r>
      <w:r>
        <w:t xml:space="preserve">investigation. Neither changed a parameter classification and neither moved the</w:t>
      </w:r>
      <w:r>
        <w:t xml:space="preserve"> </w:t>
      </w:r>
      <w:r>
        <w:t xml:space="preserve">boundaries of the operating region (§13). The step does not control host cell protein</w:t>
      </w:r>
      <w:r>
        <w:t xml:space="preserve"> </w:t>
      </w:r>
      <w:r>
        <w:t xml:space="preserve">(HCP) or residual DNA to the drug substance criteria by itself. Host cell protein and</w:t>
      </w:r>
      <w:r>
        <w:t xml:space="preserve"> </w:t>
      </w:r>
      <w:r>
        <w:t xml:space="preserve">residual DNA are both cleared downstream, and that clearance is credited in PCR-005,</w:t>
      </w:r>
      <w:r>
        <w:t xml:space="preserve"> </w:t>
      </w:r>
      <w:r>
        <w:t xml:space="preserve">PCR-007 and PCR-008. The capability reported here is an estimate from a qualified scale</w:t>
      </w:r>
      <w:r>
        <w:t xml:space="preserve"> </w:t>
      </w:r>
      <w:r>
        <w:t xml:space="preserve">down model and not a commercial scale result. Confirmation at scale belongs to Stage 2,</w:t>
      </w:r>
      <w:r>
        <w:t xml:space="preserve"> </w:t>
      </w:r>
      <w:r>
        <w:t xml:space="preserve">and this report rolls up into PCMR-001.</w:t>
      </w:r>
    </w:p>
    <w:p>
      <w:r>
        <w:br w:type="page"/>
      </w:r>
    </w:p>
    <w:bookmarkEnd w:id="12"/>
    <w:bookmarkStart w:id="18" w:name="introduction"/>
    <w:p>
      <w:pPr>
        <w:pStyle w:val="Heading1"/>
      </w:pPr>
      <w:r>
        <w:t xml:space="preserve">1. Introduction</w:t>
      </w:r>
    </w:p>
    <w:bookmarkStart w:id="13" w:name="product-and-unit-operation"/>
    <w:p>
      <w:pPr>
        <w:pStyle w:val="Heading2"/>
      </w:pPr>
      <w:r>
        <w:t xml:space="preserve">1.1 Product and unit operation</w:t>
      </w:r>
    </w:p>
    <w:p>
      <w:pPr>
        <w:pStyle w:val="FirstParagraph"/>
      </w:pPr>
      <w:r>
        <w:t xml:space="preserve">A-Mab is a humanized IgG1 monoclonal antibody whose principal mechanism of action is</w:t>
      </w:r>
      <w:r>
        <w:t xml:space="preserve"> </w:t>
      </w:r>
      <w:r>
        <w:t xml:space="preserve">antibody dependent cellular cytotoxicity. That mechanism depends on the N-glycan profile</w:t>
      </w:r>
      <w:r>
        <w:t xml:space="preserve"> </w:t>
      </w:r>
      <w:r>
        <w:t xml:space="preserve">of the Fc region, which makes afucosylation and galactosylation attributes of efficacy as</w:t>
      </w:r>
      <w:r>
        <w:t xml:space="preserve"> </w:t>
      </w:r>
      <w:r>
        <w:t xml:space="preserve">well as of consistency. The antibody is</w:t>
      </w:r>
      <w:r>
        <w:t xml:space="preserve"> </w:t>
      </w:r>
      <w:r>
        <w:t xml:space="preserve">expressed by the A-Mab production cell line and is produced by fed batch culture in the</w:t>
      </w:r>
      <w:r>
        <w:t xml:space="preserve"> </w:t>
      </w:r>
      <w:r>
        <w:t xml:space="preserve">production bioreactor, which is Step 3 of the drug substance process. Downstream of the</w:t>
      </w:r>
      <w:r>
        <w:t xml:space="preserve"> </w:t>
      </w:r>
      <w:r>
        <w:t xml:space="preserve">bioreactor the platform train runs Protein A capture, low pH viral inactivation, cation</w:t>
      </w:r>
      <w:r>
        <w:t xml:space="preserve"> </w:t>
      </w:r>
      <w:r>
        <w:t xml:space="preserve">exchange, anion exchange, small virus retentive filtration and ultrafiltration with</w:t>
      </w:r>
      <w:r>
        <w:t xml:space="preserve"> </w:t>
      </w:r>
      <w:r>
        <w:t xml:space="preserve">diafiltration</w:t>
      </w:r>
      <w:r>
        <w:t xml:space="preserve"> </w:t>
      </w:r>
      <w:r>
        <w:t xml:space="preserve">(CMC Biotech Working Group 2009)</w:t>
      </w:r>
      <w:r>
        <w:t xml:space="preserve">.</w:t>
      </w:r>
    </w:p>
    <w:p>
      <w:pPr>
        <w:pStyle w:val="BodyText"/>
      </w:pPr>
      <w:r>
        <w:t xml:space="preserve">The production bioreactor is the only step of the drug substance process at which</w:t>
      </w:r>
      <w:r>
        <w:t xml:space="preserve"> </w:t>
      </w:r>
      <w:r>
        <w:t xml:space="preserve">product quality attributes are formed. The glycosylation and charge variant</w:t>
      </w:r>
      <w:r>
        <w:t xml:space="preserve"> </w:t>
      </w:r>
      <w:r>
        <w:t xml:space="preserve">distributions of the product are established inside the cell and in the culture fluid,</w:t>
      </w:r>
      <w:r>
        <w:t xml:space="preserve"> </w:t>
      </w:r>
      <w:r>
        <w:t xml:space="preserve">and the platform purification train does not modify them. Culture pH, temperature,</w:t>
      </w:r>
      <w:r>
        <w:t xml:space="preserve"> </w:t>
      </w:r>
      <w:r>
        <w:t xml:space="preserve">dissolved carbon dioxide, osmolality and duration act on the glycosyltransferases of the</w:t>
      </w:r>
      <w:r>
        <w:t xml:space="preserve"> </w:t>
      </w:r>
      <w:r>
        <w:t xml:space="preserve">Golgi and on the chemistry of the culture fluid, and the levels they set are carried</w:t>
      </w:r>
      <w:r>
        <w:t xml:space="preserve"> </w:t>
      </w:r>
      <w:r>
        <w:t xml:space="preserve">into the drug substance. The culture conditions therefore define the design space for</w:t>
      </w:r>
      <w:r>
        <w:t xml:space="preserve"> </w:t>
      </w:r>
      <w:r>
        <w:t xml:space="preserve">the glycan, charge variant and aggregate attributes of A-Mab, and</w:t>
      </w:r>
      <w:r>
        <w:t xml:space="preserve"> </w:t>
      </w:r>
      <w:hyperlink w:anchor="tbl-cq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those</w:t>
      </w:r>
      <w:r>
        <w:t xml:space="preserve"> </w:t>
      </w:r>
      <w:r>
        <w:t xml:space="preserve">attributes with the criticality and acceptance criteria of each.</w:t>
      </w:r>
    </w:p>
    <w:p>
      <w:pPr>
        <w:pStyle w:val="BodyText"/>
      </w:pPr>
      <w:r>
        <w:t xml:space="preserve">The vessel is operated as a fed batch culture at a working volume of</w:t>
      </w:r>
      <w:r>
        <w:t xml:space="preserve"> </w:t>
      </w:r>
      <w:r>
        <w:t xml:space="preserve">15,000 L at commercial scale, under SOP-2003. The</w:t>
      </w:r>
      <w:r>
        <w:t xml:space="preserve"> </w:t>
      </w:r>
      <w:r>
        <w:t xml:space="preserve">culture receives nutrient feed on a fixed schedule as a percentage of working volume,</w:t>
      </w:r>
      <w:r>
        <w:t xml:space="preserve"> </w:t>
      </w:r>
      <w:r>
        <w:t xml:space="preserve">and is harvested at the end of the scheduled duration. At the set-point conditions the</w:t>
      </w:r>
      <w:r>
        <w:t xml:space="preserve"> </w:t>
      </w:r>
      <w:r>
        <w:t xml:space="preserve">culture delivers a harvest titre of 4.4 g/L,</w:t>
      </w:r>
      <w:r>
        <w:t xml:space="preserve"> </w:t>
      </w:r>
      <w:r>
        <w:t xml:space="preserve">a peak viable cell density of 13.5 × 10⁶ cells/mL and a</w:t>
      </w:r>
      <w:r>
        <w:t xml:space="preserve"> </w:t>
      </w:r>
      <w:r>
        <w:t xml:space="preserve">final viability of 67 %.</w:t>
      </w:r>
    </w:p>
    <w:p>
      <w:pPr>
        <w:pStyle w:val="BodyText"/>
      </w:pPr>
      <w:r>
        <w:t xml:space="preserve">Two of the attributes the bioreactor governs leave the step far above the level the drug</w:t>
      </w:r>
      <w:r>
        <w:t xml:space="preserve"> </w:t>
      </w:r>
      <w:r>
        <w:t xml:space="preserve">substance must meet. Both of those attributes, host cell protein and residual DNA,</w:t>
      </w:r>
      <w:r>
        <w:t xml:space="preserve"> </w:t>
      </w:r>
      <w:r>
        <w:t xml:space="preserve">accumulate in the culture fluid and are removed by the purification train. Therefore the</w:t>
      </w:r>
      <w:r>
        <w:t xml:space="preserve"> </w:t>
      </w:r>
      <w:r>
        <w:t xml:space="preserve">bioreactor sets the burden that train receives, not the released value. The clearance</w:t>
      </w:r>
      <w:r>
        <w:t xml:space="preserve"> </w:t>
      </w:r>
      <w:r>
        <w:t xml:space="preserve">credit for both belongs to Protein A capture (PCR-005), cation exchange (PCR-007) and</w:t>
      </w:r>
      <w:r>
        <w:t xml:space="preserve"> </w:t>
      </w:r>
      <w:r>
        <w:t xml:space="preserve">anion exchange (PCR-008), and no clearance of any kind is claimed for this step.</w:t>
      </w:r>
    </w:p>
    <w:bookmarkEnd w:id="13"/>
    <w:bookmarkStart w:id="14" w:name="objectives"/>
    <w:p>
      <w:pPr>
        <w:pStyle w:val="Heading2"/>
      </w:pPr>
      <w:r>
        <w:t xml:space="preserve">1.2 Objectives</w:t>
      </w:r>
    </w:p>
    <w:p>
      <w:pPr>
        <w:pStyle w:val="FirstParagraph"/>
      </w:pPr>
      <w:r>
        <w:t xml:space="preserve">The study set out to do five things.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2"/>
        </w:numPr>
      </w:pPr>
      <w:r>
        <w:t xml:space="preserve">Quantify the relationship between each characterized culture parameter and each</w:t>
      </w:r>
      <w:r>
        <w:t xml:space="preserve"> </w:t>
      </w:r>
      <w:r>
        <w:t xml:space="preserve">quality attribute the step forms.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3"/>
        </w:numPr>
      </w:pPr>
      <w:r>
        <w:t xml:space="preserve">Define a multivariate operating region over the parameters that govern those</w:t>
      </w:r>
      <w:r>
        <w:t xml:space="preserve"> </w:t>
      </w:r>
      <w:r>
        <w:t xml:space="preserve">attributes, at commercial equivalent conditions.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4"/>
        </w:numPr>
      </w:pPr>
      <w:r>
        <w:t xml:space="preserve">Establish proven acceptable ranges for each governed attribute and each response</w:t>
      </w:r>
      <w:r>
        <w:t xml:space="preserve"> </w:t>
      </w:r>
      <w:r>
        <w:t xml:space="preserve">surface factor, and confirm the normal operating ranges against them.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5"/>
        </w:numPr>
      </w:pPr>
      <w:r>
        <w:t xml:space="preserve">Classify every characterized parameter against the decision logic in SOP-4001.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6"/>
        </w:numPr>
      </w:pPr>
      <w:r>
        <w:t xml:space="preserve">Justify the ranges that Stage 2 will run and the contribution this step makes to the</w:t>
      </w:r>
      <w:r>
        <w:t xml:space="preserve"> </w:t>
      </w:r>
      <w:r>
        <w:t xml:space="preserve">control strategy.</w:t>
      </w:r>
    </w:p>
    <w:bookmarkEnd w:id="14"/>
    <w:bookmarkStart w:id="15" w:name="regulatory-and-scientific-basis"/>
    <w:p>
      <w:pPr>
        <w:pStyle w:val="Heading2"/>
      </w:pPr>
      <w:r>
        <w:t xml:space="preserve">1.3 Regulatory and scientific basis</w:t>
      </w:r>
    </w:p>
    <w:p>
      <w:pPr>
        <w:pStyle w:val="FirstParagraph"/>
      </w:pPr>
      <w:r>
        <w:t xml:space="preserve">The study is a Stage 1 process design activity in the sense of the lifecycle approach to</w:t>
      </w:r>
      <w:r>
        <w:t xml:space="preserve"> </w:t>
      </w:r>
      <w:r>
        <w:t xml:space="preserve">process validation</w:t>
      </w:r>
      <w:r>
        <w:t xml:space="preserve"> </w:t>
      </w:r>
      <w:r>
        <w:t xml:space="preserve">(U.S. Food and Drug Administration 2011)</w:t>
      </w:r>
      <w:r>
        <w:t xml:space="preserve">. The study record is this report and the plan it executes,</w:t>
      </w:r>
      <w:r>
        <w:t xml:space="preserve"> </w:t>
      </w:r>
      <w:r>
        <w:t xml:space="preserve">PCP-003. Stage 2 confirms at commercial scale what Stage 1 establishes at scale down,</w:t>
      </w:r>
      <w:r>
        <w:t xml:space="preserve"> </w:t>
      </w:r>
      <w:r>
        <w:t xml:space="preserve">and nothing in this report substitutes for that confirmation.</w:t>
      </w:r>
    </w:p>
    <w:p>
      <w:pPr>
        <w:pStyle w:val="BodyText"/>
      </w:pPr>
      <w:r>
        <w:t xml:space="preserve">The development approach is the enhanced, quality by design approach of ICH Q8 and ICH</w:t>
      </w:r>
      <w:r>
        <w:t xml:space="preserve"> </w:t>
      </w:r>
      <w:r>
        <w:t xml:space="preserve">Q11</w:t>
      </w:r>
      <w:r>
        <w:t xml:space="preserve"> </w:t>
      </w:r>
      <w:r>
        <w:t xml:space="preserve">(International Council for Harmonisation 2009, 2012)</w:t>
      </w:r>
      <w:r>
        <w:t xml:space="preserve">. Under that approach a design space is a multivariate region of</w:t>
      </w:r>
      <w:r>
        <w:t xml:space="preserve"> </w:t>
      </w:r>
      <w:r>
        <w:t xml:space="preserve">parameter settings that has been shown to assure quality, movement inside the region is</w:t>
      </w:r>
      <w:r>
        <w:t xml:space="preserve"> </w:t>
      </w:r>
      <w:r>
        <w:t xml:space="preserve">not a change from a regulatory filing perspective, and the burden the approach places on</w:t>
      </w:r>
      <w:r>
        <w:t xml:space="preserve"> </w:t>
      </w:r>
      <w:r>
        <w:t xml:space="preserve">a report of this kind is to show how the region was arrived at and where it stops.</w:t>
      </w:r>
      <w:r>
        <w:t xml:space="preserve"> </w:t>
      </w:r>
      <w:r>
        <w:t xml:space="preserve">Quality attribute criticality is treated as a continuum rather than as a binary</w:t>
      </w:r>
      <w:r>
        <w:t xml:space="preserve"> </w:t>
      </w:r>
      <w:r>
        <w:t xml:space="preserve">(International Council for Harmonisation 2023)</w:t>
      </w:r>
      <w:r>
        <w:t xml:space="preserve">, which is how the attribute levels in</w:t>
      </w:r>
      <w:r>
        <w:t xml:space="preserve"> </w:t>
      </w:r>
      <w:hyperlink w:anchor="tbl-cq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were assigned and how the</w:t>
      </w:r>
      <w:r>
        <w:t xml:space="preserve"> </w:t>
      </w:r>
      <w:r>
        <w:t xml:space="preserve">parameter classes in §9 follow from the measured effects.</w:t>
      </w:r>
    </w:p>
    <w:p>
      <w:pPr>
        <w:pStyle w:val="BodyText"/>
      </w:pPr>
      <w:r>
        <w:t xml:space="preserve">ICH Q5A is not engaged at this step. Viral safety rests on the low pH hold (PCR-006),</w:t>
      </w:r>
      <w:r>
        <w:t xml:space="preserve"> </w:t>
      </w:r>
      <w:r>
        <w:t xml:space="preserve">anion exchange (PCR-008) and small virus retentive filtration (PCR-009), and the</w:t>
      </w:r>
      <w:r>
        <w:t xml:space="preserve"> </w:t>
      </w:r>
      <w:r>
        <w:t xml:space="preserve">cumulative claim is consolidated in PCMR-001.</w:t>
      </w:r>
    </w:p>
    <w:bookmarkEnd w:id="15"/>
    <w:bookmarkStart w:id="17" w:name="related-documents"/>
    <w:p>
      <w:pPr>
        <w:pStyle w:val="Heading2"/>
      </w:pPr>
      <w:r>
        <w:t xml:space="preserve">1.4 Related documents</w:t>
      </w:r>
    </w:p>
    <w:p>
      <w:pPr>
        <w:pStyle w:val="FirstParagraph"/>
      </w:pPr>
      <w:r>
        <w:t xml:space="preserve">The characterization package this report belongs to is listed in</w:t>
      </w:r>
      <w:r>
        <w:t xml:space="preserve"> </w:t>
      </w:r>
      <w:hyperlink w:anchor="tbl-related">
        <w:r>
          <w:rPr>
            <w:rStyle w:val="Hyperlink"/>
          </w:rPr>
          <w:t xml:space="preserve">Table 2</w:t>
        </w:r>
      </w:hyperlink>
      <w:r>
        <w:t xml:space="preserve">, and the</w:t>
      </w:r>
      <w:r>
        <w:t xml:space="preserve"> </w:t>
      </w:r>
      <w:r>
        <w:t xml:space="preserve">controlled procedures and validated methods the study used are given in</w:t>
      </w:r>
      <w:r>
        <w:t xml:space="preserve"> </w:t>
      </w:r>
      <w:hyperlink w:anchor="tbl-sop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(§3.3).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rela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Related documents.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4516"/>
              <w:gridCol w:w="242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Document ID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Title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Relationship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PTP-001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Transfer Plan (A-Mab Drug Substance)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Parent — transfer scope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RA-001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Pre-Characterization Process Risk Assessment (A-Mab Drug Substance)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Parent — risk basis for study scope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PCMP-001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Characterization Master Plan (A-Mab Drug Substance)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Parent — master plan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PCP-003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Characterization Plan (Production Bioreactor (Step 3))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Sibling — paired document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PCMR-001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Characterization Master Report (A-Mab Drug Substance)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Rolls up into</w:t>
                  </w:r>
                </w:p>
              </w:tc>
            </w:tr>
          </w:tbl>
          <w:bookmarkEnd w:id="16"/>
          <w:p/>
        </w:tc>
      </w:tr>
    </w:tbl>
    <w:bookmarkEnd w:id="17"/>
    <w:bookmarkEnd w:id="18"/>
    <w:bookmarkStart w:id="23" w:name="prior-knowledge-and-quality-risk-basis"/>
    <w:p>
      <w:pPr>
        <w:pStyle w:val="Heading1"/>
      </w:pPr>
      <w:r>
        <w:t xml:space="preserve">2. Prior knowledge and quality risk basis</w:t>
      </w:r>
    </w:p>
    <w:bookmarkStart w:id="19" w:name="platform-and-prior-product-knowledge"/>
    <w:p>
      <w:pPr>
        <w:pStyle w:val="Heading2"/>
      </w:pPr>
      <w:r>
        <w:t xml:space="preserve">2.1 Platform and prior-product knowledge</w:t>
      </w:r>
    </w:p>
    <w:p>
      <w:pPr>
        <w:pStyle w:val="FirstParagraph"/>
      </w:pPr>
      <w:r>
        <w:t xml:space="preserve">The production bioreactor runs on an established humanized IgG1 platform. Three earlier</w:t>
      </w:r>
      <w:r>
        <w:t xml:space="preserve"> </w:t>
      </w:r>
      <w:r>
        <w:t xml:space="preserve">products from that platform, X-Mab, Y-Mab and Z-Mab, were manufactured with the same</w:t>
      </w:r>
      <w:r>
        <w:t xml:space="preserve"> </w:t>
      </w:r>
      <w:r>
        <w:t xml:space="preserve">medium, the same feed strategy and the same vessel design, and the acceptance limits for</w:t>
      </w:r>
      <w:r>
        <w:t xml:space="preserve"> </w:t>
      </w:r>
      <w:r>
        <w:t xml:space="preserve">several of the A-Mab attributes in</w:t>
      </w:r>
      <w:r>
        <w:t xml:space="preserve"> </w:t>
      </w:r>
      <w:hyperlink w:anchor="tbl-cq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were set from X-Mab clinical experience</w:t>
      </w:r>
      <w:r>
        <w:t xml:space="preserve"> </w:t>
      </w:r>
      <w:r>
        <w:t xml:space="preserve">(CMC Biotech Working Group 2009)</w:t>
      </w:r>
      <w:r>
        <w:t xml:space="preserve">. Platform experience of that depth changes what a characterization study is</w:t>
      </w:r>
      <w:r>
        <w:t xml:space="preserve"> </w:t>
      </w:r>
      <w:r>
        <w:t xml:space="preserve">for, because the mechanisms by which culture conditions move a glycan profile are</w:t>
      </w:r>
      <w:r>
        <w:t xml:space="preserve"> </w:t>
      </w:r>
      <w:r>
        <w:t xml:space="preserve">already known. Consequently the study confirms and bounds those mechanisms for A-Mab</w:t>
      </w:r>
      <w:r>
        <w:t xml:space="preserve"> </w:t>
      </w:r>
      <w:r>
        <w:t xml:space="preserve">instead of discovering them.</w:t>
      </w:r>
    </w:p>
    <w:p>
      <w:pPr>
        <w:pStyle w:val="BodyText"/>
      </w:pPr>
      <w:r>
        <w:t xml:space="preserve">Four of those mechanisms were carried into the design as explicit expectations.</w:t>
      </w:r>
      <w:r>
        <w:t xml:space="preserve"> </w:t>
      </w:r>
      <w:r>
        <w:t xml:space="preserve">Galactosylation tracks the activity of the Golgi galactosyltransferase and the</w:t>
      </w:r>
      <w:r>
        <w:t xml:space="preserve"> </w:t>
      </w:r>
      <w:r>
        <w:t xml:space="preserve">availability of its nucleotide sugar donor, both of which decline as a culture ages and</w:t>
      </w:r>
      <w:r>
        <w:t xml:space="preserve"> </w:t>
      </w:r>
      <w:r>
        <w:t xml:space="preserve">as nutrients deplete. High mannose is enzymatic in the same way and reflects how</w:t>
      </w:r>
      <w:r>
        <w:t xml:space="preserve"> </w:t>
      </w:r>
      <w:r>
        <w:t xml:space="preserve">completely the Golgi mannosidases have trimmed the precursor, which makes it sensitive</w:t>
      </w:r>
      <w:r>
        <w:t xml:space="preserve"> </w:t>
      </w:r>
      <w:r>
        <w:t xml:space="preserve">to lumenal pH and to temperature. Afucosylation is set by a competition instead, between</w:t>
      </w:r>
      <w:r>
        <w:t xml:space="preserve"> </w:t>
      </w:r>
      <w:r>
        <w:t xml:space="preserve">core fucosyltransferase activity and the rate at which the antibody transits the</w:t>
      </w:r>
      <w:r>
        <w:t xml:space="preserve"> </w:t>
      </w:r>
      <w:r>
        <w:t xml:space="preserve">secretory pathway. Aggregate is the one expectation that is not enzymatic, because</w:t>
      </w:r>
      <w:r>
        <w:t xml:space="preserve"> </w:t>
      </w:r>
      <w:r>
        <w:t xml:space="preserve">antibody that sits longer in an ageing broth aggregates more.</w:t>
      </w:r>
    </w:p>
    <w:p>
      <w:pPr>
        <w:pStyle w:val="BodyText"/>
      </w:pPr>
      <w:r>
        <w:t xml:space="preserve">Acidic charge variants arise mainly from the deamidation of asparagine, and deamidation</w:t>
      </w:r>
      <w:r>
        <w:t xml:space="preserve"> </w:t>
      </w:r>
      <w:r>
        <w:t xml:space="preserve">is base catalysed. Dissolved carbon dioxide acidifies the culture fluid, which was</w:t>
      </w:r>
      <w:r>
        <w:t xml:space="preserve"> </w:t>
      </w:r>
      <w:r>
        <w:t xml:space="preserve">expected to slow the reaction and to lower the acidic fraction. Culture temperature was</w:t>
      </w:r>
      <w:r>
        <w:t xml:space="preserve"> </w:t>
      </w:r>
      <w:r>
        <w:t xml:space="preserve">expected to act in the opposite direction through the rate constant.</w:t>
      </w:r>
    </w:p>
    <w:p>
      <w:pPr>
        <w:pStyle w:val="BodyText"/>
      </w:pPr>
      <w:r>
        <w:t xml:space="preserve">Prior knowledge does not settle two things, and both of them shaped this study. It does</w:t>
      </w:r>
      <w:r>
        <w:t xml:space="preserve"> </w:t>
      </w:r>
      <w:r>
        <w:t xml:space="preserve">not give the position of the A-Mab operating point relative to the edges of failure for</w:t>
      </w:r>
      <w:r>
        <w:t xml:space="preserve"> </w:t>
      </w:r>
      <w:r>
        <w:t xml:space="preserve">these attributes, because those edges depend on the cell line and on the acceptance</w:t>
      </w:r>
      <w:r>
        <w:t xml:space="preserve"> </w:t>
      </w:r>
      <w:r>
        <w:t xml:space="preserve">limits the product carries. It also says little about interaction, since the platform</w:t>
      </w:r>
      <w:r>
        <w:t xml:space="preserve"> </w:t>
      </w:r>
      <w:r>
        <w:t xml:space="preserve">record is a record of operation at target, not of parameters moved together.</w:t>
      </w:r>
      <w:r>
        <w:t xml:space="preserve"> </w:t>
      </w:r>
      <w:r>
        <w:t xml:space="preserve">For this reason the study of these parameters was designed as a multivariate one over</w:t>
      </w:r>
      <w:r>
        <w:t xml:space="preserve"> </w:t>
      </w:r>
      <w:r>
        <w:t xml:space="preserve">ranges wider than the control ranges, rather than as a confirmation at set-point.</w:t>
      </w:r>
    </w:p>
    <w:bookmarkEnd w:id="19"/>
    <w:bookmarkStart w:id="21" w:name="quality-attributes-in-scope"/>
    <w:p>
      <w:pPr>
        <w:pStyle w:val="Heading2"/>
      </w:pPr>
      <w:r>
        <w:t xml:space="preserve">2.2 Quality attributes in scope</w:t>
      </w:r>
    </w:p>
    <w:p>
      <w:pPr>
        <w:pStyle w:val="FirstParagraph"/>
      </w:pPr>
      <w:r>
        <w:t xml:space="preserve">For this step,</w:t>
      </w:r>
      <w:r>
        <w:t xml:space="preserve"> </w:t>
      </w:r>
      <w:hyperlink w:anchor="tbl-cq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the 7 attributes the production</w:t>
      </w:r>
      <w:r>
        <w:t xml:space="preserve"> </w:t>
      </w:r>
      <w:r>
        <w:t xml:space="preserve">bioreactor governs, with the criticality level and the Tool #1 score behind it. Tool #1</w:t>
      </w:r>
      <w:r>
        <w:t xml:space="preserve"> </w:t>
      </w:r>
      <w:r>
        <w:t xml:space="preserve">scores an attribute as the product of the impact on safety or efficacy and the</w:t>
      </w:r>
      <w:r>
        <w:t xml:space="preserve"> </w:t>
      </w:r>
      <w:r>
        <w:t xml:space="preserve">uncertainty in that impact, and the levels run from very low to very high</w:t>
      </w:r>
      <w:r>
        <w:t xml:space="preserve"> </w:t>
      </w:r>
      <w:r>
        <w:t xml:space="preserve">(CMC Biotech Working Group 2009)</w:t>
      </w:r>
      <w:r>
        <w:t xml:space="preserve">.</w:t>
      </w:r>
      <w:r>
        <w:t xml:space="preserve"> </w:t>
      </w:r>
      <w:r>
        <w:t xml:space="preserve">Attributes at high and very high criticality are treated as critical.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tbl-cq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Quality attributes formed or governed at the production bioreactor.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839"/>
              <w:gridCol w:w="1344"/>
              <w:gridCol w:w="1793"/>
              <w:gridCol w:w="1120"/>
              <w:gridCol w:w="82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CQA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Acceptance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Criticality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Tool #1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Afucosylation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glycosylation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2–13 % of glycans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Galactosylation (total %Gal)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glycosylation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10–40 % (G1+G2 equiv.)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 Mannose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glycosylation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3–10 % of glycans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Aggregates (HMW)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size variant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0–5 % HMW (SEC)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Acidic charge variants (deamidation)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charge variant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18–40 % (CEX/icIEF)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Host Cell Protein (HCP)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impurity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0–100 ng/mg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M-H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Residual DNA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impurity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0–0.001 ng/dose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</w:tbl>
          <w:bookmarkEnd w:id="20"/>
          <w:p/>
        </w:tc>
      </w:tr>
    </w:tbl>
    <w:p>
      <w:pPr>
        <w:pStyle w:val="BodyText"/>
      </w:pPr>
      <w:r>
        <w:t xml:space="preserve">The most consequential of these attributes is</w:t>
      </w:r>
      <w:r>
        <w:t xml:space="preserve"> </w:t>
      </w:r>
      <w:r>
        <w:t xml:space="preserve">high mannose, at very high criticality and a Tool #1</w:t>
      </w:r>
      <w:r>
        <w:t xml:space="preserve"> </w:t>
      </w:r>
      <w:r>
        <w:t xml:space="preserve">score of</w:t>
      </w:r>
      <w:r>
        <w:t xml:space="preserve"> </w:t>
      </w:r>
      <w:r>
        <w:t xml:space="preserve">80. High</w:t>
      </w:r>
      <w:r>
        <w:t xml:space="preserve"> </w:t>
      </w:r>
      <w:r>
        <w:t xml:space="preserve">mannose glycans shorten circulating half-life and the uncertainty around that effect is</w:t>
      </w:r>
      <w:r>
        <w:t xml:space="preserve"> </w:t>
      </w:r>
      <w:r>
        <w:t xml:space="preserve">itself high, which is what drives the score. The next two glycan attributes,</w:t>
      </w:r>
      <w:r>
        <w:t xml:space="preserve"> </w:t>
      </w:r>
      <w:r>
        <w:t xml:space="preserve">afucosylation and</w:t>
      </w:r>
      <w:r>
        <w:t xml:space="preserve"> </w:t>
      </w:r>
      <w:r>
        <w:t xml:space="preserve">galactosylation (total %gal), are of high criticality for a different</w:t>
      </w:r>
      <w:r>
        <w:t xml:space="preserve"> </w:t>
      </w:r>
      <w:r>
        <w:t xml:space="preserve">reason: both modulate effector function, and afucosylation does so steeply. The fourth</w:t>
      </w:r>
      <w:r>
        <w:t xml:space="preserve"> </w:t>
      </w:r>
      <w:r>
        <w:t xml:space="preserve">attribute, aggregate, is of high criticality as an immunogenicity risk, and it is the</w:t>
      </w:r>
      <w:r>
        <w:t xml:space="preserve"> </w:t>
      </w:r>
      <w:r>
        <w:t xml:space="preserve">one attribute in this group that later steps also act on (PCR-006, PCR-007).</w:t>
      </w:r>
    </w:p>
    <w:p>
      <w:pPr>
        <w:pStyle w:val="BodyText"/>
      </w:pPr>
      <w:r>
        <w:t xml:space="preserve">By contrast, acidic charge variants sit at the other end of the range, at very low</w:t>
      </w:r>
      <w:r>
        <w:t xml:space="preserve"> </w:t>
      </w:r>
      <w:r>
        <w:t xml:space="preserve">criticality and a Tool #1 score of</w:t>
      </w:r>
      <w:r>
        <w:t xml:space="preserve"> </w:t>
      </w:r>
      <w:r>
        <w:t xml:space="preserve">4.</w:t>
      </w:r>
      <w:r>
        <w:t xml:space="preserve"> </w:t>
      </w:r>
      <w:r>
        <w:t xml:space="preserve">Deamidation at the levels this charge variant reaches has no demonstrated effect on</w:t>
      </w:r>
      <w:r>
        <w:t xml:space="preserve"> </w:t>
      </w:r>
      <w:r>
        <w:t xml:space="preserve">potency, and the acceptance criterion of 18 to 40 % is</w:t>
      </w:r>
      <w:r>
        <w:t xml:space="preserve"> </w:t>
      </w:r>
      <w:r>
        <w:t xml:space="preserve">correspondingly wide. The charge variant is nonetheless characterized here, because it</w:t>
      </w:r>
      <w:r>
        <w:t xml:space="preserve"> </w:t>
      </w:r>
      <w:r>
        <w:t xml:space="preserve">responds to the same culture parameters as the glycans and because an unexplained shift</w:t>
      </w:r>
      <w:r>
        <w:t xml:space="preserve"> </w:t>
      </w:r>
      <w:r>
        <w:t xml:space="preserve">in the attribute would be a signal about the culture.</w:t>
      </w:r>
    </w:p>
    <w:p>
      <w:pPr>
        <w:pStyle w:val="BodyText"/>
      </w:pPr>
      <w:r>
        <w:t xml:space="preserve">Host cell protein and residual DNA belong to a different category, as process</w:t>
      </w:r>
      <w:r>
        <w:t xml:space="preserve"> </w:t>
      </w:r>
      <w:r>
        <w:t xml:space="preserve">impurities. Both are formed in the bioreactor and both are cleared downstream, and the</w:t>
      </w:r>
      <w:r>
        <w:t xml:space="preserve"> </w:t>
      </w:r>
      <w:r>
        <w:t xml:space="preserve">criticality levels of</w:t>
      </w:r>
      <w:r>
        <w:t xml:space="preserve"> </w:t>
      </w:r>
      <w:r>
        <w:t xml:space="preserve">M-H and</w:t>
      </w:r>
      <w:r>
        <w:t xml:space="preserve"> </w:t>
      </w:r>
      <w:r>
        <w:t xml:space="preserve">VL reflect</w:t>
      </w:r>
      <w:r>
        <w:t xml:space="preserve"> </w:t>
      </w:r>
      <w:r>
        <w:t xml:space="preserve">the released material, not the harvest. Neither entered the multivariate design. Culture</w:t>
      </w:r>
      <w:r>
        <w:t xml:space="preserve"> </w:t>
      </w:r>
      <w:r>
        <w:t xml:space="preserve">duration drives the harvest burden of both, and the range studied for duration bounds</w:t>
      </w:r>
      <w:r>
        <w:t xml:space="preserve"> </w:t>
      </w:r>
      <w:r>
        <w:t xml:space="preserve">the load the purification train has to handle.</w:t>
      </w:r>
    </w:p>
    <w:bookmarkEnd w:id="21"/>
    <w:bookmarkStart w:id="22" w:name="X8e350aaf11e00001962f0e94cfe08bc5c1a6d7b"/>
    <w:p>
      <w:pPr>
        <w:pStyle w:val="Heading2"/>
      </w:pPr>
      <w:r>
        <w:t xml:space="preserve">2.3 Risk-based prioritization and parameter selection</w:t>
      </w:r>
    </w:p>
    <w:p>
      <w:pPr>
        <w:pStyle w:val="FirstParagraph"/>
      </w:pPr>
      <w:r>
        <w:t xml:space="preserve">RA-001 assigned the study scope by risk ranking and filtering. Every parameter of the</w:t>
      </w:r>
      <w:r>
        <w:t xml:space="preserve"> </w:t>
      </w:r>
      <w:r>
        <w:t xml:space="preserve">step was scored on the potential impact on a quality attribute and on the potential to</w:t>
      </w:r>
      <w:r>
        <w:t xml:space="preserve"> </w:t>
      </w:r>
      <w:r>
        <w:t xml:space="preserve">interact with other parameters, and the combined score decided whether the parameter</w:t>
      </w:r>
      <w:r>
        <w:t xml:space="preserve"> </w:t>
      </w:r>
      <w:r>
        <w:t xml:space="preserve">went into a multivariate design, into a univariate assessment, or into neither</w:t>
      </w:r>
      <w:r>
        <w:t xml:space="preserve"> </w:t>
      </w:r>
      <w:r>
        <w:t xml:space="preserve">(CMC Biotech Working Group 2009; International Council for Harmonisation 2023)</w:t>
      </w:r>
      <w:r>
        <w:t xml:space="preserve">. The parameter was ranked at the highest level wherever no data or</w:t>
      </w:r>
      <w:r>
        <w:t xml:space="preserve"> </w:t>
      </w:r>
      <w:r>
        <w:t xml:space="preserve">rationale supported a judgement.</w:t>
      </w:r>
    </w:p>
    <w:p>
      <w:pPr>
        <w:pStyle w:val="BodyText"/>
      </w:pPr>
      <w:r>
        <w:t xml:space="preserve">Multivariate study was required for 5 parameters:</w:t>
      </w:r>
      <w:r>
        <w:t xml:space="preserve"> </w:t>
      </w:r>
      <w:r>
        <w:t xml:space="preserve">culture pH, culture temperature, dissolved CO2 (pCO2), osmolality and culture duration. Each of them acts directly on the enzymology or the solution</w:t>
      </w:r>
      <w:r>
        <w:t xml:space="preserve"> </w:t>
      </w:r>
      <w:r>
        <w:t xml:space="preserve">chemistry that sets the glycan and charge variant profile, and each was expected to</w:t>
      </w:r>
      <w:r>
        <w:t xml:space="preserve"> </w:t>
      </w:r>
      <w:r>
        <w:t xml:space="preserve">interact with at least one of the others. Culture duration is the clearest case, since</w:t>
      </w:r>
      <w:r>
        <w:t xml:space="preserve"> </w:t>
      </w:r>
      <w:r>
        <w:t xml:space="preserve">it sets both the extent of glycan processing and the residence time of secreted antibody</w:t>
      </w:r>
      <w:r>
        <w:t xml:space="preserve"> </w:t>
      </w:r>
      <w:r>
        <w:t xml:space="preserve">in the broth.</w:t>
      </w:r>
    </w:p>
    <w:p>
      <w:pPr>
        <w:pStyle w:val="BodyText"/>
      </w:pPr>
      <w:r>
        <w:t xml:space="preserve">The remaining 4 parameters were assessed one at a time:</w:t>
      </w:r>
      <w:r>
        <w:t xml:space="preserve"> </w:t>
      </w:r>
      <w:r>
        <w:t xml:space="preserve">dissolved oxygen, initial viable cell conc., basal medium concentration and nutrient feed-1 volume. All four parameters act on cell growth and productivity, and none of</w:t>
      </w:r>
      <w:r>
        <w:t xml:space="preserve"> </w:t>
      </w:r>
      <w:r>
        <w:t xml:space="preserve">them touches the reactions that set product quality. RA-001 scored them below the</w:t>
      </w:r>
      <w:r>
        <w:t xml:space="preserve"> </w:t>
      </w:r>
      <w:r>
        <w:t xml:space="preserve">multivariate threshold on that basis. Dissolved oxygen and initial viable cell</w:t>
      </w:r>
      <w:r>
        <w:t xml:space="preserve"> </w:t>
      </w:r>
      <w:r>
        <w:t xml:space="preserve">concentration set the growth trajectory, basal medium concentration sets the nutrient</w:t>
      </w:r>
      <w:r>
        <w:t xml:space="preserve"> </w:t>
      </w:r>
      <w:r>
        <w:t xml:space="preserve">reservoir, nutrient feed-1 volume sets the replenishment, and the outcome of the</w:t>
      </w:r>
      <w:r>
        <w:t xml:space="preserve"> </w:t>
      </w:r>
      <w:r>
        <w:t xml:space="preserve">assessment for each of the four is the classification given later (§9).</w:t>
      </w:r>
    </w:p>
    <w:p>
      <w:pPr>
        <w:pStyle w:val="BodyText"/>
      </w:pPr>
      <w:r>
        <w:t xml:space="preserve">For the five multivariate parameters, the characterization ranges are wider than the</w:t>
      </w:r>
      <w:r>
        <w:t xml:space="preserve"> </w:t>
      </w:r>
      <w:r>
        <w:t xml:space="preserve">control ranges by a factor of between 1.6 and</w:t>
      </w:r>
      <w:r>
        <w:t xml:space="preserve"> </w:t>
      </w:r>
      <w:r>
        <w:t xml:space="preserve">2.5. Widening them was deliberate. A range that only spans the</w:t>
      </w:r>
      <w:r>
        <w:t xml:space="preserve"> </w:t>
      </w:r>
      <w:r>
        <w:t xml:space="preserve">control range cannot show where an attribute leaves specification, and cannot support a</w:t>
      </w:r>
      <w:r>
        <w:t xml:space="preserve"> </w:t>
      </w:r>
      <w:r>
        <w:t xml:space="preserve">later request to move within the design space. The ranges in</w:t>
      </w:r>
      <w:r>
        <w:t xml:space="preserve"> </w:t>
      </w:r>
      <w:hyperlink w:anchor="tbl-params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are the</w:t>
      </w:r>
      <w:r>
        <w:t xml:space="preserve"> </w:t>
      </w:r>
      <w:r>
        <w:t xml:space="preserve">knowledge space of this step, and they extend well beyond any setting the commercial</w:t>
      </w:r>
      <w:r>
        <w:t xml:space="preserve"> </w:t>
      </w:r>
      <w:r>
        <w:t xml:space="preserve">process is expected to use.</w:t>
      </w:r>
    </w:p>
    <w:bookmarkEnd w:id="22"/>
    <w:bookmarkEnd w:id="23"/>
    <w:bookmarkStart w:id="30" w:name="materials-and-methods"/>
    <w:p>
      <w:pPr>
        <w:pStyle w:val="Heading1"/>
      </w:pPr>
      <w:r>
        <w:t xml:space="preserve">3. Materials and methods</w:t>
      </w:r>
    </w:p>
    <w:bookmarkStart w:id="24" w:name="scale-down-model-and-its-qualification"/>
    <w:p>
      <w:pPr>
        <w:pStyle w:val="Heading2"/>
      </w:pPr>
      <w:r>
        <w:t xml:space="preserve">3.1 Scale-down model and its qualification</w:t>
      </w:r>
    </w:p>
    <w:p>
      <w:pPr>
        <w:pStyle w:val="FirstParagraph"/>
      </w:pPr>
      <w:r>
        <w:t xml:space="preserve">The studies were executed in an instrumented bench scale bioreactor system qualified as</w:t>
      </w:r>
      <w:r>
        <w:t xml:space="preserve"> </w:t>
      </w:r>
      <w:r>
        <w:t xml:space="preserve">a scale down model (SDM) of the 15,000 L production</w:t>
      </w:r>
      <w:r>
        <w:t xml:space="preserve"> </w:t>
      </w:r>
      <w:r>
        <w:t xml:space="preserve">vessel (SOP-1001). The model and the commercial vessel are both stirred tank bioreactors</w:t>
      </w:r>
      <w:r>
        <w:t xml:space="preserve"> </w:t>
      </w:r>
      <w:r>
        <w:t xml:space="preserve">with equivalent control of pH, dissolved oxygen, temperature and nutrient addition. The</w:t>
      </w:r>
      <w:r>
        <w:t xml:space="preserve"> </w:t>
      </w:r>
      <w:r>
        <w:t xml:space="preserve">scale independent variables of the model, which include the five parameters</w:t>
      </w:r>
      <w:r>
        <w:t xml:space="preserve"> </w:t>
      </w:r>
      <w:r>
        <w:t xml:space="preserve">characterized here, were operated at the values proposed for commercial operation. Scale</w:t>
      </w:r>
      <w:r>
        <w:t xml:space="preserve"> </w:t>
      </w:r>
      <w:r>
        <w:t xml:space="preserve">dependent variables such as agitation, gas flow and headspace pressure were set so that</w:t>
      </w:r>
      <w:r>
        <w:t xml:space="preserve"> </w:t>
      </w:r>
      <w:r>
        <w:t xml:space="preserve">the model matches the commercial vessel on process performance instead of on geometry.</w:t>
      </w:r>
    </w:p>
    <w:p>
      <w:pPr>
        <w:pStyle w:val="BodyText"/>
      </w:pPr>
      <w:r>
        <w:t xml:space="preserve">The model qualification compared the model against at-scale data on the input and output</w:t>
      </w:r>
      <w:r>
        <w:t xml:space="preserve"> </w:t>
      </w:r>
      <w:r>
        <w:t xml:space="preserve">attributes that matter to this step: growth trajectory, titre, viability and the</w:t>
      </w:r>
      <w:r>
        <w:t xml:space="preserve"> </w:t>
      </w:r>
      <w:r>
        <w:t xml:space="preserve">released quality attributes. The warrant that qualification gives is specific.</w:t>
      </w:r>
      <w:r>
        <w:t xml:space="preserve"> </w:t>
      </w:r>
      <w:r>
        <w:t xml:space="preserve">Conclusions about parameter ranges and about the position of the operating point</w:t>
      </w:r>
      <w:r>
        <w:t xml:space="preserve"> </w:t>
      </w:r>
      <w:r>
        <w:t xml:space="preserve">relative to the edges of failure transfer from the model to the commercial vessel,</w:t>
      </w:r>
      <w:r>
        <w:t xml:space="preserve"> </w:t>
      </w:r>
      <w:r>
        <w:t xml:space="preserve">because the model reproduces the response of those attributes to the parameters being</w:t>
      </w:r>
      <w:r>
        <w:t xml:space="preserve"> </w:t>
      </w:r>
      <w:r>
        <w:t xml:space="preserve">varied over the ranges studied here. The model is not evidence about commercial scale</w:t>
      </w:r>
      <w:r>
        <w:t xml:space="preserve"> </w:t>
      </w:r>
      <w:r>
        <w:t xml:space="preserve">consistency, which only commercial scale batches can provide.</w:t>
      </w:r>
    </w:p>
    <w:p>
      <w:pPr>
        <w:pStyle w:val="BodyText"/>
      </w:pPr>
      <w:r>
        <w:t xml:space="preserve">Reproducibility of the model itself is quantified by the centre point replicates of each</w:t>
      </w:r>
      <w:r>
        <w:t xml:space="preserve"> </w:t>
      </w:r>
      <w:r>
        <w:t xml:space="preserve">design and is reported below (§5.1). Those replicates also supply the pure error term</w:t>
      </w:r>
      <w:r>
        <w:t xml:space="preserve"> </w:t>
      </w:r>
      <w:r>
        <w:t xml:space="preserve">against which lack of fit is tested, which ties the adequacy of every model in §5.3 to</w:t>
      </w:r>
      <w:r>
        <w:t xml:space="preserve"> </w:t>
      </w:r>
      <w:r>
        <w:t xml:space="preserve">the reproducibility of the scale down system.</w:t>
      </w:r>
    </w:p>
    <w:bookmarkEnd w:id="24"/>
    <w:bookmarkStart w:id="25" w:name="cell-line-media-and-culture-operation"/>
    <w:p>
      <w:pPr>
        <w:pStyle w:val="Heading2"/>
      </w:pPr>
      <w:r>
        <w:t xml:space="preserve">3.2 Cell line, media and culture operation</w:t>
      </w:r>
    </w:p>
    <w:p>
      <w:pPr>
        <w:pStyle w:val="FirstParagraph"/>
      </w:pPr>
      <w:r>
        <w:t xml:space="preserve">The A-Mab production cell line was thawed and expanded through the seed train, and the</w:t>
      </w:r>
      <w:r>
        <w:t xml:space="preserve"> </w:t>
      </w:r>
      <w:r>
        <w:t xml:space="preserve">production bioreactor was inoculated at the initial viable cell concentration given in</w:t>
      </w:r>
      <w:r>
        <w:t xml:space="preserve"> </w:t>
      </w:r>
      <w:hyperlink w:anchor="tbl-params">
        <w:r>
          <w:rPr>
            <w:rStyle w:val="Hyperlink"/>
          </w:rPr>
          <w:t xml:space="preserve">Table 5</w:t>
        </w:r>
      </w:hyperlink>
      <w:r>
        <w:t xml:space="preserve">. Media and feeds were prepared (SOP-2004) from a single lot of each</w:t>
      </w:r>
      <w:r>
        <w:t xml:space="preserve"> </w:t>
      </w:r>
      <w:r>
        <w:t xml:space="preserve">component for the whole campaign, which removes lot to lot medium variation from the</w:t>
      </w:r>
      <w:r>
        <w:t xml:space="preserve"> </w:t>
      </w:r>
      <w:r>
        <w:t xml:space="preserve">measured effects. Basal medium concentration and nutrient feed-1 volume were varied only</w:t>
      </w:r>
      <w:r>
        <w:t xml:space="preserve"> </w:t>
      </w:r>
      <w:r>
        <w:t xml:space="preserve">in the univariate assessment.</w:t>
      </w:r>
    </w:p>
    <w:p>
      <w:pPr>
        <w:pStyle w:val="BodyText"/>
      </w:pPr>
      <w:r>
        <w:t xml:space="preserve">The culture was operated as a fed batch (SOP-2003), with pH, temperature and dissolved</w:t>
      </w:r>
      <w:r>
        <w:t xml:space="preserve"> </w:t>
      </w:r>
      <w:r>
        <w:t xml:space="preserve">oxygen under closed loop control and dissolved carbon dioxide controlled through the gas</w:t>
      </w:r>
      <w:r>
        <w:t xml:space="preserve"> </w:t>
      </w:r>
      <w:r>
        <w:t xml:space="preserve">sparge. The culture received nutrient feed-1 on the scheduled profile as a percentage of</w:t>
      </w:r>
      <w:r>
        <w:t xml:space="preserve"> </w:t>
      </w:r>
      <w:r>
        <w:t xml:space="preserve">working volume. Harvest of the culture followed the scheduled duration for the run, and</w:t>
      </w:r>
      <w:r>
        <w:t xml:space="preserve"> </w:t>
      </w:r>
      <w:r>
        <w:t xml:space="preserve">the harvest material was clarified before analysis.</w:t>
      </w:r>
    </w:p>
    <w:p>
      <w:pPr>
        <w:pStyle w:val="BodyText"/>
      </w:pPr>
      <w:r>
        <w:t xml:space="preserve">Raw materials controlled to platform specification were treated as identity and quality</w:t>
      </w:r>
      <w:r>
        <w:t xml:space="preserve"> </w:t>
      </w:r>
      <w:r>
        <w:t xml:space="preserve">controlled inputs, not as characterization factors. Control of those materials is a</w:t>
      </w:r>
      <w:r>
        <w:t xml:space="preserve"> </w:t>
      </w:r>
      <w:r>
        <w:t xml:space="preserve">release matter under SOP-2004, and no range for them is claimed by this study.</w:t>
      </w:r>
    </w:p>
    <w:bookmarkEnd w:id="25"/>
    <w:bookmarkStart w:id="27" w:name="analytical-methods"/>
    <w:p>
      <w:pPr>
        <w:pStyle w:val="Heading2"/>
      </w:pPr>
      <w:r>
        <w:t xml:space="preserve">3.3 Analytical methods</w:t>
      </w:r>
    </w:p>
    <w:p>
      <w:pPr>
        <w:pStyle w:val="FirstParagraph"/>
      </w:pPr>
      <w:hyperlink w:anchor="tbl-sop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lists the controlled procedures and validated methods used, of which released</w:t>
      </w:r>
      <w:r>
        <w:t xml:space="preserve"> </w:t>
      </w:r>
      <w:r>
        <w:t xml:space="preserve">N-glycan mapping by 2-AB HILIC-UPLC (SOP-3010, AMV-3010) reports afucosylation,</w:t>
      </w:r>
      <w:r>
        <w:t xml:space="preserve"> </w:t>
      </w:r>
      <w:r>
        <w:t xml:space="preserve">galactosylation and high mannose from one separation. Size variants including aggregate</w:t>
      </w:r>
      <w:r>
        <w:t xml:space="preserve"> </w:t>
      </w:r>
      <w:r>
        <w:t xml:space="preserve">(HMW) are measured by SEC-HPLC (SOP-3011, AMV-3011), charge variants by icIEF (SOP-3013,</w:t>
      </w:r>
      <w:r>
        <w:t xml:space="preserve"> </w:t>
      </w:r>
      <w:r>
        <w:t xml:space="preserve">AMV-3013), host cell protein by ELISA (SOP-3012, AMV-3012) and residual DNA by qPCR</w:t>
      </w:r>
      <w:r>
        <w:t xml:space="preserve"> </w:t>
      </w:r>
      <w:r>
        <w:t xml:space="preserve">(SOP-3014, AMV-3014).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sop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Controlled procedures and validated analytical methods.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050"/>
              <w:gridCol w:w="5333"/>
              <w:gridCol w:w="1535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Reference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Title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SOP-1001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Qualification of Scale-Down Models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SOP-1002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Design, Execution and Statistical Analysis of DoE Studies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SOP-2003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Operation of the Production Bioreactor (Fed-Batch)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SOP-2004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Cell-Culture Media and Feed Preparation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SOP-3010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Released N-Glycan Mapping by 2-AB HILIC-UPLC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SOP-3011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Size-Variant Analysis by SEC-HPLC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SOP-3012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Host-Cell-Protein Quantitation by ELISA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SOP-3013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Charge-Variant Analysis by icIEF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SOP-3014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Residual Host-Cell DNA by qPCR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SOP-4001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Process-Parameter Classification and Control-Strategy Definition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N-Glycan Map (2-AB HILIC-UPLC)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 validation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Size-Variants (SEC-HPLC)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 validation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Host-Cell Protein ELISA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 validation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Charge Variants (icIEF)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 validation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Residual DNA (qPCR)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 validation</w:t>
                  </w:r>
                </w:p>
              </w:tc>
            </w:tr>
          </w:tbl>
          <w:bookmarkEnd w:id="26"/>
          <w:p/>
        </w:tc>
      </w:tr>
    </w:tbl>
    <w:p>
      <w:pPr>
        <w:pStyle w:val="BodyText"/>
      </w:pPr>
      <w:r>
        <w:t xml:space="preserve">Method performance sets a floor on the effects this study can resolve. The N-glycan</w:t>
      </w:r>
      <w:r>
        <w:t xml:space="preserve"> </w:t>
      </w:r>
      <w:r>
        <w:t xml:space="preserve">method is validated to an intermediate precision of 2.5</w:t>
      </w:r>
      <w:r>
        <w:t xml:space="preserve"> </w:t>
      </w:r>
      <w:r>
        <w:t xml:space="preserve">% relative standard deviation with a limit of quantitation of</w:t>
      </w:r>
      <w:r>
        <w:t xml:space="preserve"> </w:t>
      </w:r>
      <w:r>
        <w:t xml:space="preserve">0.5 % glycan, and the host cell protein ELISA to</w:t>
      </w:r>
      <w:r>
        <w:t xml:space="preserve"> </w:t>
      </w:r>
      <w:r>
        <w:t xml:space="preserve">9.5 % with a limit of quantitation of</w:t>
      </w:r>
      <w:r>
        <w:t xml:space="preserve"> </w:t>
      </w:r>
      <w:r>
        <w:t xml:space="preserve">1 ng/mg. An effect smaller than the analytical variability of the</w:t>
      </w:r>
      <w:r>
        <w:t xml:space="preserve"> </w:t>
      </w:r>
      <w:r>
        <w:t xml:space="preserve">assay is reported here as an estimate, not as a demonstrated change. Full performance of</w:t>
      </w:r>
      <w:r>
        <w:t xml:space="preserve"> </w:t>
      </w:r>
      <w:r>
        <w:t xml:space="preserve">each assay is given in Appendix D and in the validation reports named above.</w:t>
      </w:r>
    </w:p>
    <w:bookmarkEnd w:id="27"/>
    <w:bookmarkStart w:id="28" w:name="sampling-plan"/>
    <w:p>
      <w:pPr>
        <w:pStyle w:val="Heading2"/>
      </w:pPr>
      <w:r>
        <w:t xml:space="preserve">3.4 Sampling plan</w:t>
      </w:r>
    </w:p>
    <w:p>
      <w:pPr>
        <w:pStyle w:val="FirstParagraph"/>
      </w:pPr>
      <w:r>
        <w:t xml:space="preserve">Each run was sampled at harvest, and the harvest pool of every run supplied the material</w:t>
      </w:r>
      <w:r>
        <w:t xml:space="preserve"> </w:t>
      </w:r>
      <w:r>
        <w:t xml:space="preserve">for all 5 designed responses. Sampling and analysis of every run</w:t>
      </w:r>
      <w:r>
        <w:t xml:space="preserve"> </w:t>
      </w:r>
      <w:r>
        <w:t xml:space="preserve">followed the same sequence, and the analytical order was randomized against the run</w:t>
      </w:r>
      <w:r>
        <w:t xml:space="preserve"> </w:t>
      </w:r>
      <w:r>
        <w:t xml:space="preserve">order so that assay drift could not align with a factor setting.</w:t>
      </w:r>
    </w:p>
    <w:p>
      <w:pPr>
        <w:pStyle w:val="BodyText"/>
      </w:pPr>
      <w:r>
        <w:t xml:space="preserve">The screening design carries 3 centre point replicates and the response</w:t>
      </w:r>
      <w:r>
        <w:t xml:space="preserve"> </w:t>
      </w:r>
      <w:r>
        <w:t xml:space="preserve">surface design carries 4. Replication at the centre, and not at the</w:t>
      </w:r>
      <w:r>
        <w:t xml:space="preserve"> </w:t>
      </w:r>
      <w:r>
        <w:t xml:space="preserve">corners, is what makes the pure error term independent of the model form, which is why</w:t>
      </w:r>
      <w:r>
        <w:t xml:space="preserve"> </w:t>
      </w:r>
      <w:r>
        <w:t xml:space="preserve">the lack of fit tests in §5.3 have any meaning. Both sets of centre points are separate</w:t>
      </w:r>
      <w:r>
        <w:t xml:space="preserve"> </w:t>
      </w:r>
      <w:r>
        <w:t xml:space="preserve">cultures run to the same conditions, not repeat injections of one harvest.</w:t>
      </w:r>
    </w:p>
    <w:bookmarkEnd w:id="28"/>
    <w:bookmarkStart w:id="29" w:name="statistical-methods"/>
    <w:p>
      <w:pPr>
        <w:pStyle w:val="Heading2"/>
      </w:pPr>
      <w:r>
        <w:t xml:space="preserve">3.5 Statistical methods</w:t>
      </w:r>
    </w:p>
    <w:p>
      <w:pPr>
        <w:pStyle w:val="FirstParagraph"/>
      </w:pPr>
      <w:r>
        <w:t xml:space="preserve">Factors were coded so that the set-point maps to zero and the edges of the</w:t>
      </w:r>
      <w:r>
        <w:t xml:space="preserve"> </w:t>
      </w:r>
      <w:r>
        <w:t xml:space="preserve">characterization range map to minus one and plus one. Coding the factors makes the</w:t>
      </w:r>
      <w:r>
        <w:t xml:space="preserve"> </w:t>
      </w:r>
      <w:r>
        <w:t xml:space="preserve">estimates comparable across parameters with different units, and every effect and</w:t>
      </w:r>
      <w:r>
        <w:t xml:space="preserve"> </w:t>
      </w:r>
      <w:r>
        <w:t xml:space="preserve">coefficient in this report is reported on the coded scale. Analysis followed the</w:t>
      </w:r>
      <w:r>
        <w:t xml:space="preserve"> </w:t>
      </w:r>
      <w:r>
        <w:t xml:space="preserve">statistical procedure for designed experiments (SOP-1002).</w:t>
      </w:r>
    </w:p>
    <w:p>
      <w:pPr>
        <w:pStyle w:val="BodyText"/>
      </w:pPr>
      <w:r>
        <w:t xml:space="preserve">The screening design was analysed as a two factor interaction model fitted by ordinary</w:t>
      </w:r>
      <w:r>
        <w:t xml:space="preserve"> </w:t>
      </w:r>
      <w:r>
        <w:t xml:space="preserve">least squares. An effect is reported as twice the coded coefficient, which is the change</w:t>
      </w:r>
      <w:r>
        <w:t xml:space="preserve"> </w:t>
      </w:r>
      <w:r>
        <w:t xml:space="preserve">in the response between the low and the high edge of the characterization range. The</w:t>
      </w:r>
      <w:r>
        <w:t xml:space="preserve"> </w:t>
      </w:r>
      <w:r>
        <w:t xml:space="preserve">response surface design was analysed as a full quadratic model in the 4</w:t>
      </w:r>
      <w:r>
        <w:t xml:space="preserve"> </w:t>
      </w:r>
      <w:r>
        <w:t xml:space="preserve">retained factors. Terms of both models are judged at α = 0.05.</w:t>
      </w:r>
    </w:p>
    <w:p>
      <w:pPr>
        <w:pStyle w:val="BodyText"/>
      </w:pPr>
      <w:r>
        <w:t xml:space="preserve">Model adequacy is assessed on four things: R², adjusted R², predicted R² from the</w:t>
      </w:r>
      <w:r>
        <w:t xml:space="preserve"> </w:t>
      </w:r>
      <w:r>
        <w:t xml:space="preserve">predicted residual error sum of squares (PRESS), and an analysis of variance that</w:t>
      </w:r>
      <w:r>
        <w:t xml:space="preserve"> </w:t>
      </w:r>
      <w:r>
        <w:t xml:space="preserve">partitions the residual into lack of fit and pure error. A predicted R² well below the</w:t>
      </w:r>
      <w:r>
        <w:t xml:space="preserve"> </w:t>
      </w:r>
      <w:r>
        <w:t xml:space="preserve">adjusted value indicates a model that fits the runs it was fitted to and predicts new</w:t>
      </w:r>
      <w:r>
        <w:t xml:space="preserve"> </w:t>
      </w:r>
      <w:r>
        <w:t xml:space="preserve">ones poorly. A lack of fit test on the same model, where it reaches significance,</w:t>
      </w:r>
      <w:r>
        <w:t xml:space="preserve"> </w:t>
      </w:r>
      <w:r>
        <w:t xml:space="preserve">indicates a model form that misses structure the replicates say is real.</w:t>
      </w:r>
    </w:p>
    <w:p>
      <w:pPr>
        <w:pStyle w:val="BodyText"/>
      </w:pPr>
      <w:r>
        <w:t xml:space="preserve">Proven acceptable ranges (PAR) were computed in two analyses for each governed attribute</w:t>
      </w:r>
      <w:r>
        <w:t xml:space="preserve"> </w:t>
      </w:r>
      <w:r>
        <w:t xml:space="preserve">and each response surface factor. The first analysis holds the other factors at their</w:t>
      </w:r>
      <w:r>
        <w:t xml:space="preserve"> </w:t>
      </w:r>
      <w:r>
        <w:t xml:space="preserve">set-points and scans the parameter of interest across its characterization range using</w:t>
      </w:r>
      <w:r>
        <w:t xml:space="preserve"> </w:t>
      </w:r>
      <w:r>
        <w:t xml:space="preserve">the fitted response surface model. The second propagates normal operating range</w:t>
      </w:r>
      <w:r>
        <w:t xml:space="preserve"> </w:t>
      </w:r>
      <w:r>
        <w:t xml:space="preserve">variation: the other factors are drawn inside their normal operating ranges, the fitted</w:t>
      </w:r>
      <w:r>
        <w:t xml:space="preserve"> </w:t>
      </w:r>
      <w:r>
        <w:t xml:space="preserve">model is evaluated with the residual variance added, and the range is the region in</w:t>
      </w:r>
      <w:r>
        <w:t xml:space="preserve"> </w:t>
      </w:r>
      <w:r>
        <w:t xml:space="preserve">which the upper bound of the 95 % predictive interval stays within acceptance. The</w:t>
      </w:r>
      <w:r>
        <w:t xml:space="preserve"> </w:t>
      </w:r>
      <w:r>
        <w:t xml:space="preserve">second analysis uses a grid of 81 points with</w:t>
      </w:r>
      <w:r>
        <w:t xml:space="preserve"> </w:t>
      </w:r>
      <w:r>
        <w:t xml:space="preserve">2,000 draws at each point, and that analysis is the reproducible</w:t>
      </w:r>
      <w:r>
        <w:t xml:space="preserve"> </w:t>
      </w:r>
      <w:r>
        <w:t xml:space="preserve">default reported below (§7).</w:t>
      </w:r>
    </w:p>
    <w:p>
      <w:pPr>
        <w:pStyle w:val="BodyText"/>
      </w:pPr>
      <w:r>
        <w:t xml:space="preserve">Commercial scale capability was estimated by Monte-Carlo simulation of</w:t>
      </w:r>
      <w:r>
        <w:t xml:space="preserve"> </w:t>
      </w:r>
      <w:r>
        <w:t xml:space="preserve">2,000 batches with every parameter drawn inside its normal operating</w:t>
      </w:r>
      <w:r>
        <w:t xml:space="preserve"> </w:t>
      </w:r>
      <w:r>
        <w:t xml:space="preserve">range (NOR). The capability index Cpk is reported against the binding limit, which for a</w:t>
      </w:r>
      <w:r>
        <w:t xml:space="preserve"> </w:t>
      </w:r>
      <w:r>
        <w:t xml:space="preserve">one sided criterion is the single limit and for a two sided criterion is the nearer of</w:t>
      </w:r>
      <w:r>
        <w:t xml:space="preserve"> </w:t>
      </w:r>
      <w:r>
        <w:t xml:space="preserve">the two.</w:t>
      </w:r>
    </w:p>
    <w:bookmarkEnd w:id="29"/>
    <w:bookmarkEnd w:id="30"/>
    <w:bookmarkStart w:id="37" w:name="study-design"/>
    <w:p>
      <w:pPr>
        <w:pStyle w:val="Heading1"/>
      </w:pPr>
      <w:r>
        <w:t xml:space="preserve">4. Study design</w:t>
      </w:r>
    </w:p>
    <w:bookmarkStart w:id="33" w:name="factors-ranges-and-the-knowledge-space"/>
    <w:p>
      <w:pPr>
        <w:pStyle w:val="Heading2"/>
      </w:pPr>
      <w:r>
        <w:t xml:space="preserve">4.1 Factors, ranges and the knowledge space</w:t>
      </w:r>
    </w:p>
    <w:p>
      <w:pPr>
        <w:pStyle w:val="FirstParagraph"/>
      </w:pPr>
      <w:r>
        <w:t xml:space="preserve">Taken together, the two designed experiments resolve which parameters move the</w:t>
      </w:r>
      <w:r>
        <w:t xml:space="preserve"> </w:t>
      </w:r>
      <w:r>
        <w:t xml:space="preserve">attributes and then model the region those parameters define. Every parameter of the</w:t>
      </w:r>
      <w:r>
        <w:t xml:space="preserve"> </w:t>
      </w:r>
      <w:r>
        <w:t xml:space="preserve">step appears in</w:t>
      </w:r>
      <w:r>
        <w:t xml:space="preserve"> </w:t>
      </w:r>
      <w:hyperlink w:anchor="tbl-params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with the set-point, the normal operating range, the</w:t>
      </w:r>
      <w:r>
        <w:t xml:space="preserve"> </w:t>
      </w:r>
      <w:r>
        <w:t xml:space="preserve">characterization range, the study type and the final classification. The</w:t>
      </w:r>
      <w:r>
        <w:t xml:space="preserve"> </w:t>
      </w:r>
      <w:r>
        <w:t xml:space="preserve">characterization range is the knowledge space edge and is not itself a proven acceptable</w:t>
      </w:r>
      <w:r>
        <w:t xml:space="preserve"> </w:t>
      </w:r>
      <w:r>
        <w:t xml:space="preserve">range, which is a computed quantity reported per attribute in §7.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tbl-para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Process parameters, ranges, study type and final classification.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153"/>
              <w:gridCol w:w="999"/>
              <w:gridCol w:w="999"/>
              <w:gridCol w:w="845"/>
              <w:gridCol w:w="1153"/>
              <w:gridCol w:w="692"/>
              <w:gridCol w:w="107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Set-point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Char. range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Culture 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6.85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6.75–6.95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6.6–7.1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WC-CPP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Culture temperature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°C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34.5–35.5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34–36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WC-CPP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Dissolved CO2 (pCO2)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mmHg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70–130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40–160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WC-CPP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Osmolality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mOsm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375–425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360–440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WC-CPP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Culture duration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days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16–18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15–19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WC-CPP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Dissolved oxygen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% sat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40–60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30–70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KPP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Initial viable cell conc.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e6 cells/mL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0.8–1.2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0.5–1.5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KPP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Basal medium concentration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1–1.4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0.8–1.6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GPP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Nutrient feed-1 volume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% WV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10–14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9–15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KPP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univariate</w:t>
                  </w:r>
                </w:p>
              </w:tc>
            </w:tr>
          </w:tbl>
          <w:bookmarkEnd w:id="31"/>
          <w:p/>
        </w:tc>
      </w:tr>
    </w:tbl>
    <w:p>
      <w:pPr>
        <w:pStyle w:val="BodyText"/>
      </w:pPr>
      <w:r>
        <w:t xml:space="preserve">Each characterization range was justified against prior knowledge before execution. The</w:t>
      </w:r>
      <w:r>
        <w:t xml:space="preserve"> </w:t>
      </w:r>
      <w:r>
        <w:t xml:space="preserve">culture pH range of 6.6 to 7.1 spans the settings over which the platform has</w:t>
      </w:r>
      <w:r>
        <w:t xml:space="preserve"> </w:t>
      </w:r>
      <w:r>
        <w:t xml:space="preserve">been operated across three products, and reaches the point at which cell specific</w:t>
      </w:r>
      <w:r>
        <w:t xml:space="preserve"> </w:t>
      </w:r>
      <w:r>
        <w:t xml:space="preserve">productivity begins to fall. The culture temperature range of</w:t>
      </w:r>
      <w:r>
        <w:t xml:space="preserve"> </w:t>
      </w:r>
      <w:r>
        <w:t xml:space="preserve">34 to 36 °C is wide enough to change the growth and production</w:t>
      </w:r>
      <w:r>
        <w:t xml:space="preserve"> </w:t>
      </w:r>
      <w:r>
        <w:t xml:space="preserve">balance without inducing the cold shock response. The dissolved carbon dioxide range of</w:t>
      </w:r>
      <w:r>
        <w:t xml:space="preserve"> </w:t>
      </w:r>
      <w:r>
        <w:t xml:space="preserve">40 to 160 mmHg was studied because accumulation to the upper end of that</w:t>
      </w:r>
      <w:r>
        <w:t xml:space="preserve"> </w:t>
      </w:r>
      <w:r>
        <w:t xml:space="preserve">range is a known consequence of scale and is the mechanism by which large vessels differ</w:t>
      </w:r>
      <w:r>
        <w:t xml:space="preserve"> </w:t>
      </w:r>
      <w:r>
        <w:t xml:space="preserve">from small ones. The osmolality range of 360 to 440 mOsm and the</w:t>
      </w:r>
      <w:r>
        <w:t xml:space="preserve"> </w:t>
      </w:r>
      <w:r>
        <w:t xml:space="preserve">culture duration range of 15 to 19 days complete the set, the latter</w:t>
      </w:r>
      <w:r>
        <w:t xml:space="preserve"> </w:t>
      </w:r>
      <w:r>
        <w:t xml:space="preserve">reaching one full feed cycle either side of the set-point.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tbl-legen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Coded factor legend used in the effect and coefficient tables.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Code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Studied 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Culture 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screening + RSM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Culture temperature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°C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screening + RSM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Dissolved CO2 (pCO2)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mmHg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screening + RSM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Osmolality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mOsm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screening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Culture duration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days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screening + RSM</w:t>
                  </w:r>
                </w:p>
              </w:tc>
            </w:tr>
          </w:tbl>
          <w:bookmarkEnd w:id="32"/>
          <w:p/>
        </w:tc>
      </w:tr>
    </w:tbl>
    <w:p>
      <w:pPr>
        <w:pStyle w:val="BodyText"/>
      </w:pPr>
      <w:hyperlink w:anchor="tbl-legend">
        <w:r>
          <w:rPr>
            <w:rStyle w:val="Hyperlink"/>
          </w:rPr>
          <w:t xml:space="preserve">Table 6</w:t>
        </w:r>
      </w:hyperlink>
      <w:r>
        <w:t xml:space="preserve"> </w:t>
      </w:r>
      <w:r>
        <w:t xml:space="preserve">gives the letter codes used throughout §5 and Appendix C, in screening</w:t>
      </w:r>
      <w:r>
        <w:t xml:space="preserve"> </w:t>
      </w:r>
      <w:r>
        <w:t xml:space="preserve">order, and the same letter denotes the same factor in the response surface model.</w:t>
      </w:r>
    </w:p>
    <w:bookmarkEnd w:id="33"/>
    <w:bookmarkStart w:id="34" w:name="screening-design"/>
    <w:p>
      <w:pPr>
        <w:pStyle w:val="Heading2"/>
      </w:pPr>
      <w:r>
        <w:t xml:space="preserve">4.2 Screening design</w:t>
      </w:r>
    </w:p>
    <w:p>
      <w:pPr>
        <w:pStyle w:val="FirstParagraph"/>
      </w:pPr>
      <w:r>
        <w:t xml:space="preserve">The screening design is a two level factorial in the 5 multivariate</w:t>
      </w:r>
      <w:r>
        <w:t xml:space="preserve"> </w:t>
      </w:r>
      <w:r>
        <w:t xml:space="preserve">parameters, augmented with 3 centre points, for 19 runs in</w:t>
      </w:r>
      <w:r>
        <w:t xml:space="preserve"> </w:t>
      </w:r>
      <w:r>
        <w:t xml:space="preserve">all. It estimates all 5 main effects and all two factor interactions</w:t>
      </w:r>
      <w:r>
        <w:t xml:space="preserve"> </w:t>
      </w:r>
      <w:r>
        <w:t xml:space="preserve">between them, and the purpose of a design of that kind is to identify the parameters</w:t>
      </w:r>
      <w:r>
        <w:t xml:space="preserve"> </w:t>
      </w:r>
      <w:r>
        <w:t xml:space="preserve">with the largest statistical effect on the quality attributes. The design is close to</w:t>
      </w:r>
      <w:r>
        <w:t xml:space="preserve"> </w:t>
      </w:r>
      <w:r>
        <w:t xml:space="preserve">saturated at that resolution, and leaves 3 residual degrees of</w:t>
      </w:r>
      <w:r>
        <w:t xml:space="preserve"> </w:t>
      </w:r>
      <w:r>
        <w:t xml:space="preserve">freedom. Estimates from that design are reported as effect sizes and are not used for</w:t>
      </w:r>
      <w:r>
        <w:t xml:space="preserve"> </w:t>
      </w:r>
      <w:r>
        <w:t xml:space="preserve">prediction. The full coded matrix is in an appendix (Appendix A).</w:t>
      </w:r>
    </w:p>
    <w:bookmarkEnd w:id="34"/>
    <w:bookmarkStart w:id="35" w:name="response-surface-design"/>
    <w:p>
      <w:pPr>
        <w:pStyle w:val="Heading2"/>
      </w:pPr>
      <w:r>
        <w:t xml:space="preserve">4.3 Response-surface design</w:t>
      </w:r>
    </w:p>
    <w:p>
      <w:pPr>
        <w:pStyle w:val="FirstParagraph"/>
      </w:pPr>
      <w:r>
        <w:t xml:space="preserve">The response surface design is a face centred central composite design in the</w:t>
      </w:r>
      <w:r>
        <w:t xml:space="preserve"> </w:t>
      </w:r>
      <w:r>
        <w:t xml:space="preserve">4 factors screening retained, augmented with 4 centre</w:t>
      </w:r>
      <w:r>
        <w:t xml:space="preserve"> </w:t>
      </w:r>
      <w:r>
        <w:t xml:space="preserve">points, for 28 runs. Face centred axial points keep every setting of the</w:t>
      </w:r>
      <w:r>
        <w:t xml:space="preserve"> </w:t>
      </w:r>
      <w:r>
        <w:t xml:space="preserve">design inside the characterization ranges already justified above, which matters here</w:t>
      </w:r>
      <w:r>
        <w:t xml:space="preserve"> </w:t>
      </w:r>
      <w:r>
        <w:t xml:space="preserve">because the ranges were chosen to reach the edges of failure and extending beyond them</w:t>
      </w:r>
      <w:r>
        <w:t xml:space="preserve"> </w:t>
      </w:r>
      <w:r>
        <w:t xml:space="preserve">would have no operational meaning. The design adds curvature to the effects and</w:t>
      </w:r>
      <w:r>
        <w:t xml:space="preserve"> </w:t>
      </w:r>
      <w:r>
        <w:t xml:space="preserve">interactions the screening design resolved, and the resulting full quadratic model is</w:t>
      </w:r>
      <w:r>
        <w:t xml:space="preserve"> </w:t>
      </w:r>
      <w:r>
        <w:t xml:space="preserve">the predictive model used for the design space (§6), the proven acceptable ranges (§7)</w:t>
      </w:r>
      <w:r>
        <w:t xml:space="preserve"> </w:t>
      </w:r>
      <w:r>
        <w:t xml:space="preserve">and the capability estimate (§8). The full coded matrix is given in an appendix</w:t>
      </w:r>
      <w:r>
        <w:t xml:space="preserve"> </w:t>
      </w:r>
      <w:r>
        <w:t xml:space="preserve">(Appendix B).</w:t>
      </w:r>
    </w:p>
    <w:p>
      <w:pPr>
        <w:pStyle w:val="BodyText"/>
      </w:pPr>
      <w:r>
        <w:t xml:space="preserve">Because the response surface design does not carry osmolality, the</w:t>
      </w:r>
      <w:r>
        <w:t xml:space="preserve"> </w:t>
      </w:r>
      <w:r>
        <w:t xml:space="preserve">interactions involving that factor are represented in this report by the screening</w:t>
      </w:r>
      <w:r>
        <w:t xml:space="preserve"> </w:t>
      </w:r>
      <w:r>
        <w:t xml:space="preserve">estimates alone. §5.4 states what that costs and §11 carries it forward as a limitation.</w:t>
      </w:r>
    </w:p>
    <w:bookmarkEnd w:id="35"/>
    <w:bookmarkStart w:id="36" w:name="univariate-assessment"/>
    <w:p>
      <w:pPr>
        <w:pStyle w:val="Heading2"/>
      </w:pPr>
      <w:r>
        <w:t xml:space="preserve">4.4 Univariate assessment</w:t>
      </w:r>
    </w:p>
    <w:p>
      <w:pPr>
        <w:pStyle w:val="FirstParagraph"/>
      </w:pPr>
      <w:r>
        <w:t xml:space="preserve">Each of dissolved oxygen, initial viable cell conc., basal medium concentration and nutrient feed-1 volume was assessed one parameter at a time across the</w:t>
      </w:r>
      <w:r>
        <w:t xml:space="preserve"> </w:t>
      </w:r>
      <w:r>
        <w:t xml:space="preserve">characterization ranges in</w:t>
      </w:r>
      <w:r>
        <w:t xml:space="preserve"> </w:t>
      </w:r>
      <w:hyperlink w:anchor="tbl-params">
        <w:r>
          <w:rPr>
            <w:rStyle w:val="Hyperlink"/>
          </w:rPr>
          <w:t xml:space="preserve">Table 5</w:t>
        </w:r>
      </w:hyperlink>
      <w:r>
        <w:t xml:space="preserve">, with the remaining parameters held at their</w:t>
      </w:r>
      <w:r>
        <w:t xml:space="preserve"> </w:t>
      </w:r>
      <w:r>
        <w:t xml:space="preserve">set-points. The</w:t>
      </w:r>
      <w:r>
        <w:t xml:space="preserve"> </w:t>
      </w:r>
      <w:r>
        <w:t xml:space="preserve">univariate assessment of those parameters covered the growth and productivity of the</w:t>
      </w:r>
      <w:r>
        <w:t xml:space="preserve"> </w:t>
      </w:r>
      <w:r>
        <w:t xml:space="preserve">culture and the released quality attributes. None of the four parameters was carried</w:t>
      </w:r>
      <w:r>
        <w:t xml:space="preserve"> </w:t>
      </w:r>
      <w:r>
        <w:t xml:space="preserve">into the multivariate design, for the reason RA-001 gives: all four act through the</w:t>
      </w:r>
      <w:r>
        <w:t xml:space="preserve"> </w:t>
      </w:r>
      <w:r>
        <w:t xml:space="preserve">growth trajectory of the culture, and the parameters that act on the chemistry of</w:t>
      </w:r>
      <w:r>
        <w:t xml:space="preserve"> </w:t>
      </w:r>
      <w:r>
        <w:t xml:space="preserve">glycosylation and deamidation are the five in the screening design.</w:t>
      </w:r>
    </w:p>
    <w:p>
      <w:pPr>
        <w:pStyle w:val="BodyText"/>
      </w:pPr>
      <w:r>
        <w:t xml:space="preserve">That choice has a boundary, and the boundary is stated here, not in the discussion.</w:t>
      </w:r>
      <w:r>
        <w:t xml:space="preserve"> </w:t>
      </w:r>
      <w:r>
        <w:t xml:space="preserve">Interactions between these four parameters and the five multivariate factors were not</w:t>
      </w:r>
      <w:r>
        <w:t xml:space="preserve"> </w:t>
      </w:r>
      <w:r>
        <w:t xml:space="preserve">studied. The classifications of those parameters in §9 rest on the univariate result and</w:t>
      </w:r>
      <w:r>
        <w:t xml:space="preserve"> </w:t>
      </w:r>
      <w:r>
        <w:t xml:space="preserve">on the platform record, not on a multivariate demonstration, and any future move that</w:t>
      </w:r>
      <w:r>
        <w:t xml:space="preserve"> </w:t>
      </w:r>
      <w:r>
        <w:t xml:space="preserve">changes two of them together sits outside the evidence this report provides.</w:t>
      </w:r>
    </w:p>
    <w:bookmarkEnd w:id="36"/>
    <w:bookmarkEnd w:id="37"/>
    <w:bookmarkStart w:id="89" w:name="results"/>
    <w:p>
      <w:pPr>
        <w:pStyle w:val="Heading1"/>
      </w:pPr>
      <w:r>
        <w:t xml:space="preserve">5. Results</w:t>
      </w:r>
    </w:p>
    <w:bookmarkStart w:id="39" w:name="Xa1d357a057988a4668963a3d4bd6b4df2b4673e"/>
    <w:p>
      <w:pPr>
        <w:pStyle w:val="Heading2"/>
      </w:pPr>
      <w:r>
        <w:t xml:space="preserve">5.1 Centre-point performance and reproducibility</w:t>
      </w:r>
    </w:p>
    <w:p>
      <w:pPr>
        <w:pStyle w:val="FirstParagraph"/>
      </w:pPr>
      <w:r>
        <w:t xml:space="preserve">Before any effect is reported, the centre point replicates fix what the study can</w:t>
      </w:r>
      <w:r>
        <w:t xml:space="preserve"> </w:t>
      </w:r>
      <w:r>
        <w:t xml:space="preserve">resolve. Those replicates are summarized in</w:t>
      </w:r>
      <w:r>
        <w:t xml:space="preserve"> </w:t>
      </w:r>
      <w:hyperlink w:anchor="tbl-cv">
        <w:r>
          <w:rPr>
            <w:rStyle w:val="Hyperlink"/>
          </w:rPr>
          <w:t xml:space="preserve">Table 7</w:t>
        </w:r>
      </w:hyperlink>
      <w:r>
        <w:t xml:space="preserve">, with the mean, the standard</w:t>
      </w:r>
      <w:r>
        <w:t xml:space="preserve"> </w:t>
      </w:r>
      <w:r>
        <w:t xml:space="preserve">deviation and the relative standard deviation of each response across the</w:t>
      </w:r>
      <w:r>
        <w:t xml:space="preserve"> </w:t>
      </w:r>
      <w:r>
        <w:t xml:space="preserve">4 centre points of the response surface design.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cv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7: Centre-point reproducibility of the response-surface design.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Response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%CV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Afucosylation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7.61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0.355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Galactosylation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2.34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9.02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 mannose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5.66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0.559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9.88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Acidic variants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0.877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4.08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Aggregates (HMW)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1.51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0.0985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6.53</w:t>
                  </w:r>
                </w:p>
              </w:tc>
            </w:tr>
          </w:tbl>
          <w:bookmarkEnd w:id="38"/>
          <w:p/>
        </w:tc>
      </w:tr>
    </w:tbl>
    <w:p>
      <w:pPr>
        <w:pStyle w:val="BodyText"/>
      </w:pPr>
      <w:r>
        <w:t xml:space="preserve">Reproducibility across those replicates runs from 4.1 % to</w:t>
      </w:r>
      <w:r>
        <w:t xml:space="preserve"> </w:t>
      </w:r>
      <w:r>
        <w:t xml:space="preserve">9.9 % relative standard deviation across the five responses,</w:t>
      </w:r>
      <w:r>
        <w:t xml:space="preserve"> </w:t>
      </w:r>
      <w:r>
        <w:t xml:space="preserve">and the least precise of them is high mannose against the most</w:t>
      </w:r>
      <w:r>
        <w:t xml:space="preserve"> </w:t>
      </w:r>
      <w:r>
        <w:t xml:space="preserve">precise at acidic variants. The two glycan responses that sit at the</w:t>
      </w:r>
      <w:r>
        <w:t xml:space="preserve"> </w:t>
      </w:r>
      <w:r>
        <w:t xml:space="preserve">high end of that spread are measured on the same separation, whose validated</w:t>
      </w:r>
      <w:r>
        <w:t xml:space="preserve"> </w:t>
      </w:r>
      <w:r>
        <w:t xml:space="preserve">intermediate precision is 2.5 % (AMV-3010). Most of the</w:t>
      </w:r>
      <w:r>
        <w:t xml:space="preserve"> </w:t>
      </w:r>
      <w:r>
        <w:t xml:space="preserve">observed centre point scatter is analytical in origin.</w:t>
      </w:r>
    </w:p>
    <w:p>
      <w:pPr>
        <w:pStyle w:val="BodyText"/>
      </w:pPr>
      <w:r>
        <w:t xml:space="preserve">The screening design shows the same picture on 3 replicates, with a</w:t>
      </w:r>
      <w:r>
        <w:t xml:space="preserve"> </w:t>
      </w:r>
      <w:r>
        <w:t xml:space="preserve">highest relative standard deviation of 11.5 % on</w:t>
      </w:r>
      <w:r>
        <w:t xml:space="preserve"> </w:t>
      </w:r>
      <w:r>
        <w:t xml:space="preserve">high mannose. Both replicate sets are consistent with the scale</w:t>
      </w:r>
      <w:r>
        <w:t xml:space="preserve"> </w:t>
      </w:r>
      <w:r>
        <w:t xml:space="preserve">down model reproducing the set-point condition, and both are used as pure error in the</w:t>
      </w:r>
      <w:r>
        <w:t xml:space="preserve"> </w:t>
      </w:r>
      <w:r>
        <w:t xml:space="preserve">analyses that follow.</w:t>
      </w:r>
    </w:p>
    <w:bookmarkEnd w:id="39"/>
    <w:bookmarkStart w:id="42" w:name="screening-factor-effects"/>
    <w:p>
      <w:pPr>
        <w:pStyle w:val="Heading2"/>
      </w:pPr>
      <w:r>
        <w:t xml:space="preserve">5.2 Screening: factor effects</w:t>
      </w:r>
    </w:p>
    <w:p>
      <w:pPr>
        <w:pStyle w:val="FirstParagraph"/>
      </w:pPr>
      <w:r>
        <w:t xml:space="preserve">Screening resolved a small number of large effects and a larger number of terms that</w:t>
      </w:r>
      <w:r>
        <w:t xml:space="preserve"> </w:t>
      </w:r>
      <w:r>
        <w:t xml:space="preserve">cannot be separated from noise.</w:t>
      </w:r>
      <w:r>
        <w:t xml:space="preserve"> </w:t>
      </w:r>
      <w:hyperlink w:anchor="tbl-eff-gal">
        <w:r>
          <w:rPr>
            <w:rStyle w:val="Hyperlink"/>
          </w:rPr>
          <w:t xml:space="preserve">Table 8</w:t>
        </w:r>
      </w:hyperlink>
      <w:r>
        <w:t xml:space="preserve"> </w:t>
      </w:r>
      <w:r>
        <w:t xml:space="preserve">gives the six largest effects on</w:t>
      </w:r>
      <w:r>
        <w:t xml:space="preserve"> </w:t>
      </w:r>
      <w:r>
        <w:t xml:space="preserve">galactosylation, which is the response with the most structure.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eff-g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8: Largest screening effects on galactosylation (effect = 2 × coded coefficient).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45"/>
              <w:gridCol w:w="1182"/>
              <w:gridCol w:w="1063"/>
              <w:gridCol w:w="1536"/>
              <w:gridCol w:w="945"/>
              <w:gridCol w:w="1300"/>
              <w:gridCol w:w="945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Effect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Coef.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Std. err.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p-value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Sig.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-7.82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-3.91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0.193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-20.2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0.000264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0.193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0.000382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-5.79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0.193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0.000644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0.193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-11.8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0.00131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0.193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9.57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0.00242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0.193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0.00261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</w:t>
                  </w:r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Galactosylation moves further than any other response across the characterized ranges:</w:t>
      </w:r>
      <w:r>
        <w:t xml:space="preserve"> </w:t>
      </w:r>
      <w:r>
        <w:t xml:space="preserve">culture duration lowers it by 7.8</w:t>
      </w:r>
      <w:r>
        <w:t xml:space="preserve"> </w:t>
      </w:r>
      <w:r>
        <w:t xml:space="preserve">percentage points from the low edge of the range to the high edge, dissolved carbon</w:t>
      </w:r>
      <w:r>
        <w:t xml:space="preserve"> </w:t>
      </w:r>
      <w:r>
        <w:t xml:space="preserve">dioxide lowers it by 5.8 points, and</w:t>
      </w:r>
      <w:r>
        <w:t xml:space="preserve"> </w:t>
      </w:r>
      <w:r>
        <w:t xml:space="preserve">culture pH by 4.6 points. Culture</w:t>
      </w:r>
      <w:r>
        <w:t xml:space="preserve"> </w:t>
      </w:r>
      <w:r>
        <w:t xml:space="preserve">temperature acts in the opposite direction and raises it by</w:t>
      </w:r>
      <w:r>
        <w:t xml:space="preserve"> </w:t>
      </w:r>
      <w:r>
        <w:t xml:space="preserve">3.5 points. The interaction between</w:t>
      </w:r>
      <w:r>
        <w:t xml:space="preserve"> </w:t>
      </w:r>
      <w:r>
        <w:t xml:space="preserve">culture pH and culture duration (</w:t>
      </w:r>
      <w:hyperlink w:anchor="tbl-eff-gal">
        <w:r>
          <w:rPr>
            <w:rStyle w:val="Hyperlink"/>
          </w:rPr>
          <w:t xml:space="preserve">Table 8</w:t>
        </w:r>
      </w:hyperlink>
      <w:r>
        <w:t xml:space="preserve">) is almost as large as the duration main</w:t>
      </w:r>
      <w:r>
        <w:t xml:space="preserve"> </w:t>
      </w:r>
      <w:r>
        <w:t xml:space="preserve">effect, at 6.9 points, which is</w:t>
      </w:r>
      <w:r>
        <w:t xml:space="preserve"> </w:t>
      </w:r>
      <w:r>
        <w:t xml:space="preserve">the first sign that a one dimensional range would misdescribe this response.</w:t>
      </w:r>
      <w:r>
        <w:t xml:space="preserve"> </w:t>
      </w:r>
      <w:r>
        <w:t xml:space="preserve">In all, 12 of the 15</w:t>
      </w:r>
      <w:r>
        <w:t xml:space="preserve"> </w:t>
      </w:r>
      <w:r>
        <w:t xml:space="preserve">estimated terms reach significance at α = 0.05.</w:t>
      </w:r>
    </w:p>
    <w:p>
      <w:pPr>
        <w:pStyle w:val="BodyText"/>
      </w:pPr>
      <w:r>
        <w:t xml:space="preserve">Acidic variants are governed by one factor, and dissolved carbon dioxide lowers them by</w:t>
      </w:r>
      <w:r>
        <w:t xml:space="preserve"> </w:t>
      </w:r>
      <w:r>
        <w:t xml:space="preserve">8.2 percentage points across the</w:t>
      </w:r>
      <w:r>
        <w:t xml:space="preserve"> </w:t>
      </w:r>
      <w:r>
        <w:t xml:space="preserve">characterized range (p = 0.0004), which is</w:t>
      </w:r>
      <w:r>
        <w:t xml:space="preserve"> </w:t>
      </w:r>
      <w:r>
        <w:t xml:space="preserve">the largest single effect anywhere in the screening set. Culture pH and culture</w:t>
      </w:r>
      <w:r>
        <w:t xml:space="preserve"> </w:t>
      </w:r>
      <w:r>
        <w:t xml:space="preserve">temperature follow at 4.2 and</w:t>
      </w:r>
      <w:r>
        <w:t xml:space="preserve"> </w:t>
      </w:r>
      <w:r>
        <w:t xml:space="preserve">3.0 points. However, the attribute</w:t>
      </w:r>
      <w:r>
        <w:t xml:space="preserve"> </w:t>
      </w:r>
      <w:r>
        <w:t xml:space="preserve">is of very low criticality and the acceptance criterion applies over a wide band. The</w:t>
      </w:r>
      <w:r>
        <w:t xml:space="preserve"> </w:t>
      </w:r>
      <w:r>
        <w:t xml:space="preserve">highest acidic variant level any screening run reached was</w:t>
      </w:r>
      <w:r>
        <w:t xml:space="preserve"> </w:t>
      </w:r>
      <w:r>
        <w:t xml:space="preserve">29.6 %, against a</w:t>
      </w:r>
      <w:r>
        <w:t xml:space="preserve"> </w:t>
      </w:r>
      <w:r>
        <w:t xml:space="preserve">drug substance criterion of 18 to 40 %.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tbl-eff-hm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9: Largest screening effects on high mannose.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45"/>
              <w:gridCol w:w="1182"/>
              <w:gridCol w:w="1063"/>
              <w:gridCol w:w="1536"/>
              <w:gridCol w:w="945"/>
              <w:gridCol w:w="1300"/>
              <w:gridCol w:w="945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Effect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Coef.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Std. err.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p-value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Sig.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1.51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0.756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0.155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4.89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0.0164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-0.696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0.155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0.0205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-0.446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-0.223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0.155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0.245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0.369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0.185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0.155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0.318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0.158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0.0791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0.155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0.645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-0.139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-0.0693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0.155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-0.448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0.685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</w:tbl>
          <w:bookmarkEnd w:id="41"/>
          <w:p/>
        </w:tc>
      </w:tr>
    </w:tbl>
    <w:p>
      <w:pPr>
        <w:pStyle w:val="BodyText"/>
      </w:pPr>
      <w:r>
        <w:t xml:space="preserve">High mannose depends on fewer factors than any other response, and only</w:t>
      </w:r>
      <w:r>
        <w:t xml:space="preserve"> </w:t>
      </w:r>
      <w:r>
        <w:t xml:space="preserve">2 terms reach significance at α = 0.05,</w:t>
      </w:r>
      <w:r>
        <w:t xml:space="preserve"> </w:t>
      </w:r>
      <w:r>
        <w:t xml:space="preserve">both of them main effects (</w:t>
      </w:r>
      <w:hyperlink w:anchor="tbl-eff-hm">
        <w:r>
          <w:rPr>
            <w:rStyle w:val="Hyperlink"/>
          </w:rPr>
          <w:t xml:space="preserve">Table 9</w:t>
        </w:r>
      </w:hyperlink>
      <w:r>
        <w:t xml:space="preserve">): culture pH raises high mannose by</w:t>
      </w:r>
      <w:r>
        <w:t xml:space="preserve"> </w:t>
      </w:r>
      <w:r>
        <w:t xml:space="preserve">1.5 percentage points across the characterized</w:t>
      </w:r>
      <w:r>
        <w:t xml:space="preserve"> </w:t>
      </w:r>
      <w:r>
        <w:t xml:space="preserve">range and culture temperature lowers it by</w:t>
      </w:r>
      <w:r>
        <w:t xml:space="preserve"> </w:t>
      </w:r>
      <w:r>
        <w:t xml:space="preserve">1.4 points. No interaction</w:t>
      </w:r>
      <w:r>
        <w:t xml:space="preserve"> </w:t>
      </w:r>
      <w:r>
        <w:t xml:space="preserve">involving high mannose is separable from noise on this design. The three inactive</w:t>
      </w:r>
      <w:r>
        <w:t xml:space="preserve"> </w:t>
      </w:r>
      <w:r>
        <w:t xml:space="preserve">factors were retained in the knowledge space, because an attribute of very high</w:t>
      </w:r>
      <w:r>
        <w:t xml:space="preserve"> </w:t>
      </w:r>
      <w:r>
        <w:t xml:space="preserve">criticality that does not respond to</w:t>
      </w:r>
      <w:r>
        <w:t xml:space="preserve"> </w:t>
      </w:r>
      <w:r>
        <w:t xml:space="preserve">dissolved CO2 (pCO2), osmolality and culture duration over ranges this wide is robust to</w:t>
      </w:r>
      <w:r>
        <w:t xml:space="preserve"> </w:t>
      </w:r>
      <w:r>
        <w:t xml:space="preserve">them, and that robustness is part of the control strategy argument in §10.</w:t>
      </w:r>
    </w:p>
    <w:p>
      <w:pPr>
        <w:pStyle w:val="BodyText"/>
      </w:pPr>
      <w:r>
        <w:t xml:space="preserve">Afucosylation and aggregate complete the set, and both carry fewer active factors than</w:t>
      </w:r>
      <w:r>
        <w:t xml:space="preserve"> </w:t>
      </w:r>
      <w:r>
        <w:t xml:space="preserve">galactosylation. Afucosylation is driven by culture duration and by the interaction</w:t>
      </w:r>
      <w:r>
        <w:t xml:space="preserve"> </w:t>
      </w:r>
      <w:r>
        <w:t xml:space="preserve">between culture duration and culture pH, at</w:t>
      </w:r>
      <w:r>
        <w:t xml:space="preserve"> </w:t>
      </w:r>
      <w:r>
        <w:t xml:space="preserve">2.4 and</w:t>
      </w:r>
      <w:r>
        <w:t xml:space="preserve"> </w:t>
      </w:r>
      <w:r>
        <w:t xml:space="preserve">2.5 percentage points, which is</w:t>
      </w:r>
      <w:r>
        <w:t xml:space="preserve"> </w:t>
      </w:r>
      <w:r>
        <w:t xml:space="preserve">consistent with a competition that resolves as transit slows. Aggregate is driven mainly</w:t>
      </w:r>
      <w:r>
        <w:t xml:space="preserve"> </w:t>
      </w:r>
      <w:r>
        <w:t xml:space="preserve">by culture pH and culture duration, at 0.83</w:t>
      </w:r>
      <w:r>
        <w:t xml:space="preserve"> </w:t>
      </w:r>
      <w:r>
        <w:t xml:space="preserve">and 0.58 percentage points, both of</w:t>
      </w:r>
      <w:r>
        <w:t xml:space="preserve"> </w:t>
      </w:r>
      <w:r>
        <w:t xml:space="preserve">which raise it. Neither response shows a significant effect of osmolality.</w:t>
      </w:r>
    </w:p>
    <w:p>
      <w:pPr>
        <w:pStyle w:val="BodyText"/>
      </w:pPr>
      <w:r>
        <w:t xml:space="preserve">However, two limits on the screening analysis need stating. The overall model does not</w:t>
      </w:r>
      <w:r>
        <w:t xml:space="preserve"> </w:t>
      </w:r>
      <w:r>
        <w:t xml:space="preserve">reach significance for high mannose (p =</w:t>
      </w:r>
      <w:r>
        <w:t xml:space="preserve"> </w:t>
      </w:r>
      <w:r>
        <w:t xml:space="preserve">0.18), which follows from the 3 residual</w:t>
      </w:r>
      <w:r>
        <w:t xml:space="preserve"> </w:t>
      </w:r>
      <w:r>
        <w:t xml:space="preserve">degrees of freedom the design leaves, not from an absence of structure. Predicted R² is</w:t>
      </w:r>
      <w:r>
        <w:t xml:space="preserve"> </w:t>
      </w:r>
      <w:r>
        <w:t xml:space="preserve">negative for every response, with a highest value of -0.44. A</w:t>
      </w:r>
      <w:r>
        <w:t xml:space="preserve"> </w:t>
      </w:r>
      <w:r>
        <w:t xml:space="preserve">near saturated design produces exactly that, because almost every degree of freedom has</w:t>
      </w:r>
      <w:r>
        <w:t xml:space="preserve"> </w:t>
      </w:r>
      <w:r>
        <w:t xml:space="preserve">gone into estimating a term. Screening therefore ranks the factors, and the response</w:t>
      </w:r>
      <w:r>
        <w:t xml:space="preserve"> </w:t>
      </w:r>
      <w:r>
        <w:t xml:space="preserve">surface model estimates the magnitudes.</w:t>
      </w:r>
    </w:p>
    <w:p>
      <w:pPr>
        <w:pStyle w:val="BodyText"/>
      </w:pPr>
      <w:r>
        <w:t xml:space="preserve">The 4 factors carried forward were culture pH, culture temperature, culture duration and dissolved CO2 (pCO2). Osmolality was</w:t>
      </w:r>
      <w:r>
        <w:t xml:space="preserve"> </w:t>
      </w:r>
      <w:r>
        <w:t xml:space="preserve">dropped despite a resolved main effect on galactosylation and on acidic variants,</w:t>
      </w:r>
      <w:r>
        <w:t xml:space="preserve"> </w:t>
      </w:r>
      <w:r>
        <w:t xml:space="preserve">because those effects are the smallest of the five and because the normal operating</w:t>
      </w:r>
      <w:r>
        <w:t xml:space="preserve"> </w:t>
      </w:r>
      <w:r>
        <w:t xml:space="preserve">range is held to 375 to 425 mOsm by the medium and feed recipe. The</w:t>
      </w:r>
      <w:r>
        <w:t xml:space="preserve"> </w:t>
      </w:r>
      <w:r>
        <w:t xml:space="preserve">full effect tables for all 5 responses are given in an appendix</w:t>
      </w:r>
      <w:r>
        <w:t xml:space="preserve"> </w:t>
      </w:r>
      <w:r>
        <w:t xml:space="preserve">(Appendix C).</w:t>
      </w:r>
    </w:p>
    <w:bookmarkEnd w:id="42"/>
    <w:bookmarkStart w:id="87" w:name="response-surface-models"/>
    <w:p>
      <w:pPr>
        <w:pStyle w:val="Heading2"/>
      </w:pPr>
      <w:r>
        <w:t xml:space="preserve">5.3 Response-surface models</w:t>
      </w:r>
    </w:p>
    <w:p>
      <w:pPr>
        <w:pStyle w:val="FirstParagraph"/>
      </w:pPr>
      <w:r>
        <w:t xml:space="preserve">On the criteria set out in §3.5, the response surface models are adequate for all</w:t>
      </w:r>
      <w:r>
        <w:t xml:space="preserve"> </w:t>
      </w:r>
      <w:r>
        <w:t xml:space="preserve">5 responses and predictive for four of them, and</w:t>
      </w:r>
      <w:r>
        <w:t xml:space="preserve"> </w:t>
      </w:r>
      <w:hyperlink w:anchor="tbl-fit-rsm">
        <w:r>
          <w:rPr>
            <w:rStyle w:val="Hyperlink"/>
          </w:rPr>
          <w:t xml:space="preserve">Table 10</w:t>
        </w:r>
      </w:hyperlink>
      <w:r>
        <w:t xml:space="preserve"> </w:t>
      </w:r>
      <w:r>
        <w:t xml:space="preserve">gives the</w:t>
      </w:r>
      <w:r>
        <w:t xml:space="preserve"> </w:t>
      </w:r>
      <w:r>
        <w:t xml:space="preserve">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tbl-fit-rsm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10: Response-surface model adequacy (full quadratic, N = 28).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804"/>
              <w:gridCol w:w="501"/>
              <w:gridCol w:w="701"/>
              <w:gridCol w:w="1102"/>
              <w:gridCol w:w="1203"/>
              <w:gridCol w:w="701"/>
              <w:gridCol w:w="1102"/>
              <w:gridCol w:w="802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Response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Adj. R²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Pred. R²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p-value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RMSE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Afucosylation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5.05e-07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Galactosylation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0.971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31.3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1.06e-07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1.36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 mannose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9.48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0.472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Acidic variants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0.938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0.598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1.27e-05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1.57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Aggregates (HMW)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0.969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0.936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1.58e-07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0.0985</w:t>
                  </w:r>
                </w:p>
              </w:tc>
            </w:tr>
          </w:tbl>
          <w:bookmarkEnd w:id="43"/>
          <w:p/>
        </w:tc>
      </w:tr>
    </w:tbl>
    <w:p>
      <w:pPr>
        <w:pStyle w:val="BodyText"/>
      </w:pPr>
      <w:r>
        <w:t xml:space="preserve">Across the five responses, R² runs from 91.1% to 97.1%</w:t>
      </w:r>
      <w:r>
        <w:t xml:space="preserve"> </w:t>
      </w:r>
      <w:r>
        <w:t xml:space="preserve">and adjusted R² does not fall below 0.81. As a result, the fitted</w:t>
      </w:r>
      <w:r>
        <w:t xml:space="preserve"> </w:t>
      </w:r>
      <w:r>
        <w:t xml:space="preserve">terms are carrying real structure and not degrees of freedom. Predicted R² is the more</w:t>
      </w:r>
      <w:r>
        <w:t xml:space="preserve"> </w:t>
      </w:r>
      <w:r>
        <w:t xml:space="preserve">demanding statistic, and that statistic separates the five responses. Four of them reach</w:t>
      </w:r>
      <w:r>
        <w:t xml:space="preserve"> </w:t>
      </w:r>
      <w:r>
        <w:t xml:space="preserve">0.65 or better, with the strongest at</w:t>
      </w:r>
      <w:r>
        <w:t xml:space="preserve"> </w:t>
      </w:r>
      <w:r>
        <w:t xml:space="preserve">0.92 for galactosylation, and the weakest of the</w:t>
      </w:r>
      <w:r>
        <w:t xml:space="preserve"> </w:t>
      </w:r>
      <w:r>
        <w:t xml:space="preserve">five is acidic variants at 0.60. A model at that</w:t>
      </w:r>
      <w:r>
        <w:t xml:space="preserve"> </w:t>
      </w:r>
      <w:r>
        <w:t xml:space="preserve">level predicts the mean response usefully and predicts an individual batch loosely, and</w:t>
      </w:r>
      <w:r>
        <w:t xml:space="preserve"> </w:t>
      </w:r>
      <w:r>
        <w:t xml:space="preserve">§7 treats it accordingly.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tbl-anova-g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11: Analysis of variance for the galactosylation response-surface model.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Sum sq.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 sq.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p-value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57.9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31.3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1.06e-07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Residual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Lack of fit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7.69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0.769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0.141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0.992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Pure error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nan</w:t>
                  </w:r>
                </w:p>
              </w:tc>
            </w:tr>
          </w:tbl>
          <w:bookmarkEnd w:id="44"/>
          <w:p/>
        </w:tc>
      </w:tr>
    </w:tbl>
    <w:p>
      <w:pPr>
        <w:pStyle w:val="BodyText"/>
      </w:pPr>
      <w:hyperlink w:anchor="tbl-anova-gal">
        <w:r>
          <w:rPr>
            <w:rStyle w:val="Hyperlink"/>
          </w:rPr>
          <w:t xml:space="preserve">Table 11</w:t>
        </w:r>
      </w:hyperlink>
      <w:r>
        <w:t xml:space="preserve"> </w:t>
      </w:r>
      <w:r>
        <w:t xml:space="preserve">partitions the galactosylation model, in which the model term carries</w:t>
      </w:r>
      <w:r>
        <w:t xml:space="preserve"> </w:t>
      </w:r>
      <w:r>
        <w:t xml:space="preserve">97.1%</w:t>
      </w:r>
      <w:r>
        <w:t xml:space="preserve"> </w:t>
      </w:r>
      <w:r>
        <w:t xml:space="preserve">of the total sum of squares, and the residual splits into</w:t>
      </w:r>
      <w:r>
        <w:t xml:space="preserve"> </w:t>
      </w:r>
      <w:r>
        <w:t xml:space="preserve">10 degrees of freedom of lack of fit against</w:t>
      </w:r>
      <w:r>
        <w:t xml:space="preserve"> </w:t>
      </w:r>
      <w:r>
        <w:t xml:space="preserve">3 of pure error. The lack of fit test does</w:t>
      </w:r>
      <w:r>
        <w:t xml:space="preserve"> </w:t>
      </w:r>
      <w:r>
        <w:t xml:space="preserve">not approach significance (p = 0.99).</w:t>
      </w:r>
      <w:r>
        <w:t xml:space="preserve"> </w:t>
      </w:r>
      <w:r>
        <w:t xml:space="preserve">In addition, every other response behaves the same way, and the lowest lack of fit</w:t>
      </w:r>
      <w:r>
        <w:t xml:space="preserve"> </w:t>
      </w:r>
      <w:r>
        <w:t xml:space="preserve">probability of the five stays well above α = 0.05.</w:t>
      </w:r>
    </w:p>
    <w:p>
      <w:pPr>
        <w:pStyle w:val="BodyText"/>
      </w:pPr>
      <w:r>
        <w:t xml:space="preserve">That test has a bound worth stating. The pure error term rests on</w:t>
      </w:r>
      <w:r>
        <w:t xml:space="preserve"> </w:t>
      </w:r>
      <w:r>
        <w:t xml:space="preserve">3 degrees of freedom from 4</w:t>
      </w:r>
      <w:r>
        <w:t xml:space="preserve"> </w:t>
      </w:r>
      <w:r>
        <w:t xml:space="preserve">centre point replicates. Therefore a non significant result bounds the evidence for the</w:t>
      </w:r>
      <w:r>
        <w:t xml:space="preserve"> </w:t>
      </w:r>
      <w:r>
        <w:t xml:space="preserve">model form without establishing it. For this reason the weakest case is</w:t>
      </w:r>
      <w:r>
        <w:t xml:space="preserve"> </w:t>
      </w:r>
      <w:r>
        <w:t xml:space="preserve">acidic variants (p = 0.15), and it is the one to</w:t>
      </w:r>
      <w:r>
        <w:t xml:space="preserve"> </w:t>
      </w:r>
      <w:r>
        <w:t xml:space="preserve">watch when the models are challenged at commercial scale.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tbl-coef-g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12: Full quadratic coefficients for galactosylation (coded factors).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Coef.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Std. err.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p-value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Sig.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Intercept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54.8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9.11e-17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-6.89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1.09e-05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7.13e-06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-3.82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-11.9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2.27e-08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-2.43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-7.56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4.11e-06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0.000279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2.28e-06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1.09e-05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-0.217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0.534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0.37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0.347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-0.837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0.847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-0.988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0.341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0.378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0.847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0.663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0.847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0.289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-0.373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0.847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-0.441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0.667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</w:tbl>
          <w:bookmarkEnd w:id="45"/>
          <w:p/>
        </w:tc>
      </w:tr>
    </w:tbl>
    <w:p>
      <w:pPr>
        <w:pStyle w:val="BodyText"/>
      </w:pPr>
      <w:hyperlink w:anchor="tbl-coef-gal">
        <w:r>
          <w:rPr>
            <w:rStyle w:val="Hyperlink"/>
          </w:rPr>
          <w:t xml:space="preserve">Table 12</w:t>
        </w:r>
      </w:hyperlink>
      <w:r>
        <w:t xml:space="preserve"> </w:t>
      </w:r>
      <w:r>
        <w:t xml:space="preserve">gives the galactosylation coefficients in model order, of which</w:t>
      </w:r>
      <w:r>
        <w:t xml:space="preserve"> </w:t>
      </w:r>
      <w:r>
        <w:t xml:space="preserve">7 of the 14 terms reach</w:t>
      </w:r>
      <w:r>
        <w:t xml:space="preserve"> </w:t>
      </w:r>
      <w:r>
        <w:t xml:space="preserve">significance. The four main effects hold the signs the screening design gave them, and</w:t>
      </w:r>
      <w:r>
        <w:t xml:space="preserve"> </w:t>
      </w:r>
      <w:r>
        <w:t xml:space="preserve">three interactions survive: culture pH with culture duration</w:t>
      </w:r>
      <w:r>
        <w:t xml:space="preserve"> </w:t>
      </w:r>
      <w:r>
        <w:t xml:space="preserve">(2.72), culture pH with dissolved</w:t>
      </w:r>
      <w:r>
        <w:t xml:space="preserve"> </w:t>
      </w:r>
      <w:r>
        <w:t xml:space="preserve">carbon dioxide (2.35) and culture pH</w:t>
      </w:r>
      <w:r>
        <w:t xml:space="preserve"> </w:t>
      </w:r>
      <w:r>
        <w:t xml:space="preserve">with culture temperature</w:t>
      </w:r>
      <w:r>
        <w:t xml:space="preserve"> </w:t>
      </w:r>
      <w:r>
        <w:t xml:space="preserve">(1.67). No quadratic term</w:t>
      </w:r>
      <w:r>
        <w:t xml:space="preserve"> </w:t>
      </w:r>
      <w:r>
        <w:t xml:space="preserve">reaches significance. Consequently, the galactosylation surface is a plane twisted by</w:t>
      </w:r>
      <w:r>
        <w:t xml:space="preserve"> </w:t>
      </w:r>
      <w:r>
        <w:t xml:space="preserve">the interactions, not a curved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coef-hm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13: Full quadratic coefficients for high mannose (coded factors).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Coef.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Std. err.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p-value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Sig.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Intercept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5.89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2.06e-14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9.77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2.36e-07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-0.421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0.00227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-0.188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-1.69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0.115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1.91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0.0788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0.148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1.26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0.231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-0.29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0.0289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0.293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2.48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0.0276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0.0874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0.472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-0.118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-0.996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0.337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-0.0402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-0.341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0.739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0.294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0.393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0.701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0.294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0.754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-0.215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0.294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-0.731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0.478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0.294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0.674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</w:tbl>
          <w:bookmarkEnd w:id="46"/>
          <w:p/>
        </w:tc>
      </w:tr>
    </w:tbl>
    <w:p>
      <w:pPr>
        <w:pStyle w:val="BodyText"/>
      </w:pPr>
      <w:r>
        <w:t xml:space="preserve">High mannose keeps the simpler structure that screening found: culture pH dominates at</w:t>
      </w:r>
      <w:r>
        <w:t xml:space="preserve"> </w:t>
      </w:r>
      <w:r>
        <w:t xml:space="preserve">1.09 per coded unit, culture temperature</w:t>
      </w:r>
      <w:r>
        <w:t xml:space="preserve"> </w:t>
      </w:r>
      <w:r>
        <w:t xml:space="preserve">follows at -0.42, and two small</w:t>
      </w:r>
      <w:r>
        <w:t xml:space="preserve"> </w:t>
      </w:r>
      <w:r>
        <w:t xml:space="preserve">interactions with culture pH reach significance on the larger design. The additional</w:t>
      </w:r>
      <w:r>
        <w:t xml:space="preserve"> </w:t>
      </w:r>
      <w:r>
        <w:t xml:space="preserve">runs of the response surface design resolve those interactions where the screening</w:t>
      </w:r>
      <w:r>
        <w:t xml:space="preserve"> </w:t>
      </w:r>
      <w:r>
        <w:t xml:space="preserve">design could not, which is the improvement in resolution the second stage was run for.</w:t>
      </w:r>
    </w:p>
    <w:p>
      <w:pPr>
        <w:pStyle w:val="BodyText"/>
      </w:pPr>
      <w:r>
        <w:t xml:space="preserve">Afucosylation is the one response with a significant quadratic term, and the coefficient</w:t>
      </w:r>
      <w:r>
        <w:t xml:space="preserve"> </w:t>
      </w:r>
      <w:r>
        <w:t xml:space="preserve">on the squared culture pH term is -1.37 (p =</w:t>
      </w:r>
      <w:r>
        <w:t xml:space="preserve"> </w:t>
      </w:r>
      <w:r>
        <w:t xml:space="preserve">0.002). Afucosylation therefore falls away at</w:t>
      </w:r>
      <w:r>
        <w:t xml:space="preserve"> </w:t>
      </w:r>
      <w:r>
        <w:t xml:space="preserve">both ends of the pH range instead of tracking it linearly. Aggregate carries a smaller</w:t>
      </w:r>
      <w:r>
        <w:t xml:space="preserve"> </w:t>
      </w:r>
      <w:r>
        <w:t xml:space="preserve">curvature in culture duration (0.14, p</w:t>
      </w:r>
      <w:r>
        <w:t xml:space="preserve"> </w:t>
      </w:r>
      <w:r>
        <w:t xml:space="preserve">= 0.037). Coefficient tables for the</w:t>
      </w:r>
      <w:r>
        <w:t xml:space="preserve"> </w:t>
      </w:r>
      <w:r>
        <w:t xml:space="preserve">remaining responses are given in an appendix (Appendix C).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contours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50" w:name="fig-contours-1"/>
                <w:p>
                  <w:pPr>
                    <w:pStyle w:val="Compact"/>
                    <w:jc w:val="center"/>
                    <w:jc w:val="center"/>
                  </w:pPr>
                  <w:r>
                    <w:drawing>
                      <wp:inline>
                        <wp:extent cx="5334000" cy="3196308"/>
                        <wp:effectExtent b="0" l="0" r="0" t="0"/>
                        <wp:docPr descr="" title="" id="4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PCR-003_bioreactor.DRAFT_files/figure-docx/fig-contours-output-1.png" id="4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0" cy="319630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Response-surface predictions over culture pH and culture duration, with culture temperature and dissolved CO2 at their set-points.</w:t>
                  </w:r>
                </w:p>
                <w:bookmarkEnd w:id="50"/>
              </w:tc>
            </w:tr>
          </w:tbl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55" w:name="fig-contours-2"/>
                <w:p>
                  <w:pPr>
                    <w:pStyle w:val="Compact"/>
                    <w:jc w:val="center"/>
                    <w:jc w:val="center"/>
                  </w:pPr>
                  <w:bookmarkStart w:id="54" w:name="fig-contours-2"/>
                  <w:r>
                    <w:drawing>
                      <wp:inline>
                        <wp:extent cx="5334000" cy="3196308"/>
                        <wp:effectExtent b="0" l="0" r="0" t="0"/>
                        <wp:docPr descr="" title="" id="5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PCR-003_bioreactor.DRAFT_files/figure-docx/fig-contours-output-2.png" id="5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0" cy="319630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bookmarkEnd w:id="54"/>
                </w:p>
                <w:p>
                  <w:pPr>
                    <w:jc w:val="center"/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</w:p>
                <w:bookmarkEnd w:id="55"/>
              </w:tc>
            </w:tr>
          </w:tbl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</w:t>
            </w:r>
          </w:p>
          <w:bookmarkEnd w:id="56"/>
        </w:tc>
      </w:tr>
    </w:tbl>
    <w:p>
      <w:pPr>
        <w:pStyle w:val="BodyText"/>
      </w:pPr>
      <w:hyperlink w:anchor="fig-contour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all 5 surfaces over culture pH and culture duration,</w:t>
      </w:r>
      <w:r>
        <w:t xml:space="preserve"> </w:t>
      </w:r>
      <w:r>
        <w:t xml:space="preserve">the two factors that appear in the most models. The galactosylation and afucosylation</w:t>
      </w:r>
      <w:r>
        <w:t xml:space="preserve"> </w:t>
      </w:r>
      <w:r>
        <w:t xml:space="preserve">panels show the twist that the pH by duration interaction produces: the pH gradient at</w:t>
      </w:r>
      <w:r>
        <w:t xml:space="preserve"> </w:t>
      </w:r>
      <w:r>
        <w:t xml:space="preserve">the short duration edge runs the opposite way from the gradient at the long edge. High</w:t>
      </w:r>
      <w:r>
        <w:t xml:space="preserve"> </w:t>
      </w:r>
      <w:r>
        <w:t xml:space="preserve">mannose and aggregate show simple gradients in pH, and acidic variants varies with pH but</w:t>
      </w:r>
      <w:r>
        <w:t xml:space="preserve"> </w:t>
      </w:r>
      <w:r>
        <w:t xml:space="preserve">hardly at all with culture duration.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contours-co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60" w:name="fig-contours-co2-1"/>
                <w:p>
                  <w:pPr>
                    <w:pStyle w:val="Compact"/>
                    <w:jc w:val="center"/>
                    <w:jc w:val="center"/>
                  </w:pPr>
                  <w:r>
                    <w:drawing>
                      <wp:inline>
                        <wp:extent cx="5334000" cy="3196308"/>
                        <wp:effectExtent b="0" l="0" r="0" t="0"/>
                        <wp:docPr descr="" title="" id="5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PCR-003_bioreactor.DRAFT_files/figure-docx/fig-contours-co2-output-1.png" id="5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0" cy="319630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Response-surface predictions over dissolved CO2 and culture temperature, with culture pH and culture duration at their set-points.</w:t>
                  </w:r>
                </w:p>
                <w:bookmarkEnd w:id="60"/>
              </w:tc>
            </w:tr>
          </w:tbl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65" w:name="fig-contours-co2-2"/>
                <w:p>
                  <w:pPr>
                    <w:pStyle w:val="Compact"/>
                    <w:jc w:val="center"/>
                    <w:jc w:val="center"/>
                  </w:pPr>
                  <w:bookmarkStart w:id="64" w:name="fig-contours-co2-2"/>
                  <w:r>
                    <w:drawing>
                      <wp:inline>
                        <wp:extent cx="5334000" cy="3196308"/>
                        <wp:effectExtent b="0" l="0" r="0" t="0"/>
                        <wp:docPr descr="" title="" id="6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PCR-003_bioreactor.DRAFT_files/figure-docx/fig-contours-co2-output-2.png" id="6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0" cy="319630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bookmarkEnd w:id="64"/>
                </w:p>
                <w:p>
                  <w:pPr>
                    <w:jc w:val="center"/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</w:p>
                <w:bookmarkEnd w:id="65"/>
              </w:tc>
            </w:tr>
          </w:tbl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</w:t>
            </w:r>
          </w:p>
          <w:bookmarkEnd w:id="66"/>
        </w:tc>
      </w:tr>
    </w:tbl>
    <w:p>
      <w:pPr>
        <w:pStyle w:val="BodyText"/>
      </w:pPr>
      <w:hyperlink w:anchor="fig-contours-co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covers the other two factors, of which acidic variants is the response</w:t>
      </w:r>
      <w:r>
        <w:t xml:space="preserve"> </w:t>
      </w:r>
      <w:r>
        <w:t xml:space="preserve">those two govern, and the panel shows the strong dissolved carbon dioxide gradient with</w:t>
      </w:r>
      <w:r>
        <w:t xml:space="preserve"> </w:t>
      </w:r>
      <w:r>
        <w:t xml:space="preserve">the weaker temperature gradient across it. Galactosylation also falls steadily with</w:t>
      </w:r>
      <w:r>
        <w:t xml:space="preserve"> </w:t>
      </w:r>
      <w:r>
        <w:t xml:space="preserve">dissolved carbon dioxide, which makes that parameter the one factor that moves a high</w:t>
      </w:r>
      <w:r>
        <w:t xml:space="preserve"> </w:t>
      </w:r>
      <w:r>
        <w:t xml:space="preserve">criticality glycan and the low criticality charge variant together.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diag-gal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70" w:name="fig-diag-gal-1"/>
                <w:p>
                  <w:pPr>
                    <w:pStyle w:val="Compact"/>
                    <w:jc w:val="center"/>
                    <w:jc w:val="center"/>
                  </w:pPr>
                  <w:r>
                    <w:drawing>
                      <wp:inline>
                        <wp:extent cx="5334000" cy="1671388"/>
                        <wp:effectExtent b="0" l="0" r="0" t="0"/>
                        <wp:docPr descr="" title="" id="6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PCR-003_bioreactor.DRAFT_files/figure-docx/fig-diag-gal-output-1.png" id="6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0" cy="167138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Model diagnostics for galactosylation: residuals against predicted values, normal quantile plot and actual against predicted.</w:t>
                  </w:r>
                </w:p>
                <w:bookmarkEnd w:id="70"/>
              </w:tc>
            </w:tr>
          </w:tbl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75" w:name="fig-diag-gal-2"/>
                <w:p>
                  <w:pPr>
                    <w:pStyle w:val="Compact"/>
                    <w:jc w:val="center"/>
                    <w:jc w:val="center"/>
                  </w:pPr>
                  <w:bookmarkStart w:id="74" w:name="fig-diag-gal-2"/>
                  <w:r>
                    <w:drawing>
                      <wp:inline>
                        <wp:extent cx="5334000" cy="1671388"/>
                        <wp:effectExtent b="0" l="0" r="0" t="0"/>
                        <wp:docPr descr="" title="" id="7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PCR-003_bioreactor.DRAFT_files/figure-docx/fig-diag-gal-output-2.png" id="7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7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0" cy="167138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bookmarkEnd w:id="74"/>
                </w:p>
                <w:p>
                  <w:pPr>
                    <w:jc w:val="center"/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</w:p>
                <w:bookmarkEnd w:id="75"/>
              </w:tc>
            </w:tr>
          </w:tbl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</w:t>
            </w:r>
          </w:p>
          <w:bookmarkEnd w:id="76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diag-acid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80" w:name="fig-diag-acid-1"/>
                <w:p>
                  <w:pPr>
                    <w:pStyle w:val="Compact"/>
                    <w:jc w:val="center"/>
                    <w:jc w:val="center"/>
                  </w:pPr>
                  <w:r>
                    <w:drawing>
                      <wp:inline>
                        <wp:extent cx="5334000" cy="1652214"/>
                        <wp:effectExtent b="0" l="0" r="0" t="0"/>
                        <wp:docPr descr="" title="" id="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PCR-003_bioreactor.DRAFT_files/figure-docx/fig-diag-acid-output-1.png" id="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0" cy="165221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Model diagnostics for acidic variants, the response with the lowest predicted R².</w:t>
                  </w:r>
                </w:p>
                <w:bookmarkEnd w:id="80"/>
              </w:tc>
            </w:tr>
          </w:tbl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85" w:name="fig-diag-acid-2"/>
                <w:p>
                  <w:pPr>
                    <w:pStyle w:val="Compact"/>
                    <w:jc w:val="center"/>
                    <w:jc w:val="center"/>
                  </w:pPr>
                  <w:bookmarkStart w:id="84" w:name="fig-diag-acid-2"/>
                  <w:r>
                    <w:drawing>
                      <wp:inline>
                        <wp:extent cx="5334000" cy="1652214"/>
                        <wp:effectExtent b="0" l="0" r="0" t="0"/>
                        <wp:docPr descr="" title="" id="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PCR-003_bioreactor.DRAFT_files/figure-docx/fig-diag-acid-output-2.png" id="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0" cy="165221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bookmarkEnd w:id="84"/>
                </w:p>
                <w:p>
                  <w:pPr>
                    <w:jc w:val="center"/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</w:p>
                <w:bookmarkEnd w:id="85"/>
              </w:tc>
            </w:tr>
          </w:tbl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</w:t>
            </w:r>
          </w:p>
          <w:bookmarkEnd w:id="86"/>
        </w:tc>
      </w:tr>
    </w:tbl>
    <w:p>
      <w:pPr>
        <w:pStyle w:val="BodyText"/>
      </w:pPr>
      <w:hyperlink w:anchor="fig-diag-g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and</w:t>
      </w:r>
      <w:r>
        <w:t xml:space="preserve"> </w:t>
      </w:r>
      <w:hyperlink w:anchor="fig-diag-acid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give the diagnostics for the strongest and the weakest</w:t>
      </w:r>
      <w:r>
        <w:t xml:space="preserve"> </w:t>
      </w:r>
      <w:r>
        <w:t xml:space="preserve">of the five models. In both, the residuals scatter about zero with no trend against the</w:t>
      </w:r>
      <w:r>
        <w:t xml:space="preserve"> </w:t>
      </w:r>
      <w:r>
        <w:t xml:space="preserve">predicted value and no fan, and the actual against predicted points sit on the identity</w:t>
      </w:r>
      <w:r>
        <w:t xml:space="preserve"> </w:t>
      </w:r>
      <w:r>
        <w:t xml:space="preserve">line. The largest standardized residual in the galactosylation model is</w:t>
      </w:r>
      <w:r>
        <w:t xml:space="preserve"> </w:t>
      </w:r>
      <w:r>
        <w:t xml:space="preserve">2.0 and in the acidic variants model</w:t>
      </w:r>
      <w:r>
        <w:t xml:space="preserve"> </w:t>
      </w:r>
      <w:r>
        <w:t xml:space="preserve">1.6, and neither residual set departs</w:t>
      </w:r>
      <w:r>
        <w:t xml:space="preserve"> </w:t>
      </w:r>
      <w:r>
        <w:t xml:space="preserve">from normality (Shapiro-Wilk p = 0.19 and</w:t>
      </w:r>
      <w:r>
        <w:t xml:space="preserve"> </w:t>
      </w:r>
      <w:r>
        <w:t xml:space="preserve">0.97). No run was excluded from any fit.</w:t>
      </w:r>
    </w:p>
    <w:bookmarkEnd w:id="87"/>
    <w:bookmarkStart w:id="88" w:name="mechanistic-interpretation"/>
    <w:p>
      <w:pPr>
        <w:pStyle w:val="Heading2"/>
      </w:pPr>
      <w:r>
        <w:t xml:space="preserve">5.4 Mechanistic interpretation</w:t>
      </w:r>
    </w:p>
    <w:p>
      <w:pPr>
        <w:pStyle w:val="FirstParagraph"/>
      </w:pPr>
      <w:r>
        <w:t xml:space="preserve">The surfaces behave as the platform mechanisms predict, with one exception that the</w:t>
      </w:r>
      <w:r>
        <w:t xml:space="preserve"> </w:t>
      </w:r>
      <w:r>
        <w:t xml:space="preserve">study quantifies without explaining. Galactosylation falls as the culture ages, which is</w:t>
      </w:r>
      <w:r>
        <w:t xml:space="preserve"> </w:t>
      </w:r>
      <w:r>
        <w:t xml:space="preserve">what a declining galactosyltransferase activity and a depleting nucleotide sugar pool</w:t>
      </w:r>
      <w:r>
        <w:t xml:space="preserve"> </w:t>
      </w:r>
      <w:r>
        <w:t xml:space="preserve">produce. Dissolved carbon dioxide lowers it further, and the accepted mechanism for that</w:t>
      </w:r>
      <w:r>
        <w:t xml:space="preserve"> </w:t>
      </w:r>
      <w:r>
        <w:t xml:space="preserve">is an acidified Golgi lumen: transferase activity and nucleotide sugar transport both</w:t>
      </w:r>
      <w:r>
        <w:t xml:space="preserve"> </w:t>
      </w:r>
      <w:r>
        <w:t xml:space="preserve">fall as lumenal pH drops away from the enzyme optimum. Culture temperature raises</w:t>
      </w:r>
      <w:r>
        <w:t xml:space="preserve"> </w:t>
      </w:r>
      <w:r>
        <w:t xml:space="preserve">galactosylation in the same picture, through the rate constant of the transfer reaction.</w:t>
      </w:r>
    </w:p>
    <w:p>
      <w:pPr>
        <w:pStyle w:val="BodyText"/>
      </w:pPr>
      <w:r>
        <w:t xml:space="preserve">The pH by duration interaction on galactosylation follows from the same account. At the</w:t>
      </w:r>
      <w:r>
        <w:t xml:space="preserve"> </w:t>
      </w:r>
      <w:r>
        <w:t xml:space="preserve">short duration edge of the range the transferase is still active, and raising culture pH</w:t>
      </w:r>
      <w:r>
        <w:t xml:space="preserve"> </w:t>
      </w:r>
      <w:r>
        <w:t xml:space="preserve">lowers the product by</w:t>
      </w:r>
      <w:r>
        <w:t xml:space="preserve"> </w:t>
      </w:r>
      <w:r>
        <w:t xml:space="preserve">9.9</w:t>
      </w:r>
      <w:r>
        <w:t xml:space="preserve"> </w:t>
      </w:r>
      <w:r>
        <w:t xml:space="preserve">percentage points. At the long duration edge the same move changes it by</w:t>
      </w:r>
      <w:r>
        <w:t xml:space="preserve"> </w:t>
      </w:r>
      <w:r>
        <w:t xml:space="preserve">1.0</w:t>
      </w:r>
      <w:r>
        <w:t xml:space="preserve"> </w:t>
      </w:r>
      <w:r>
        <w:t xml:space="preserve">points. Once the enzyme system is depleted, the pH of the culture has little left to act</w:t>
      </w:r>
      <w:r>
        <w:t xml:space="preserve"> </w:t>
      </w:r>
      <w:r>
        <w:t xml:space="preserve">on. An operating region built from one dimensional ranges would not represent that,</w:t>
      </w:r>
      <w:r>
        <w:t xml:space="preserve"> </w:t>
      </w:r>
      <w:r>
        <w:t xml:space="preserve">which is the argument for the multivariate region (§6).</w:t>
      </w:r>
    </w:p>
    <w:p>
      <w:pPr>
        <w:pStyle w:val="BodyText"/>
      </w:pPr>
      <w:r>
        <w:t xml:space="preserve">High mannose behaves as an incomplete trimming attribute: the Golgi mannosidases work</w:t>
      </w:r>
      <w:r>
        <w:t xml:space="preserve"> </w:t>
      </w:r>
      <w:r>
        <w:t xml:space="preserve">best at an acidic lumenal pH, and raising the culture pH raises the lumenal pH away from</w:t>
      </w:r>
      <w:r>
        <w:t xml:space="preserve"> </w:t>
      </w:r>
      <w:r>
        <w:t xml:space="preserve">that optimum, which leaves more of the untrimmed precursor in the released product.</w:t>
      </w:r>
      <w:r>
        <w:t xml:space="preserve"> </w:t>
      </w:r>
      <w:r>
        <w:t xml:space="preserve">Higher culture temperature drives trimming further towards completion and lowers high</w:t>
      </w:r>
      <w:r>
        <w:t xml:space="preserve"> </w:t>
      </w:r>
      <w:r>
        <w:t xml:space="preserve">mannose. Neither dissolved carbon dioxide nor culture duration moves the attribute</w:t>
      </w:r>
      <w:r>
        <w:t xml:space="preserve"> </w:t>
      </w:r>
      <w:r>
        <w:t xml:space="preserve">measurably, which is consistent with trimming reaching the endpoint well before harvest.</w:t>
      </w:r>
    </w:p>
    <w:p>
      <w:pPr>
        <w:pStyle w:val="BodyText"/>
      </w:pPr>
      <w:r>
        <w:t xml:space="preserve">Afucosylation reflects a competition between core fucosyltransferase activity and the</w:t>
      </w:r>
      <w:r>
        <w:t xml:space="preserve"> </w:t>
      </w:r>
      <w:r>
        <w:t xml:space="preserve">rate at which antibody transits the secretory pathway. Longer culture lowers</w:t>
      </w:r>
      <w:r>
        <w:t xml:space="preserve"> </w:t>
      </w:r>
      <w:r>
        <w:t xml:space="preserve">afucosylation, because slower transit gives the transferase more time to act on each</w:t>
      </w:r>
      <w:r>
        <w:t xml:space="preserve"> </w:t>
      </w:r>
      <w:r>
        <w:t xml:space="preserve">molecule. The curvature in culture pH says that the competition has an optimum inside</w:t>
      </w:r>
      <w:r>
        <w:t xml:space="preserve"> </w:t>
      </w:r>
      <w:r>
        <w:t xml:space="preserve">the range instead of at an edge: the highest predicted afucosylation over a pH scan at</w:t>
      </w:r>
      <w:r>
        <w:t xml:space="preserve"> </w:t>
      </w:r>
      <w:r>
        <w:t xml:space="preserve">the set-point of the other factors is</w:t>
      </w:r>
      <w:r>
        <w:t xml:space="preserve"> </w:t>
      </w:r>
      <w:r>
        <w:t xml:space="preserve">8.2</w:t>
      </w:r>
      <w:r>
        <w:t xml:space="preserve"> </w:t>
      </w:r>
      <w:r>
        <w:t xml:space="preserve">%, and the level falls at both edges.</w:t>
      </w:r>
    </w:p>
    <w:p>
      <w:pPr>
        <w:pStyle w:val="BodyText"/>
      </w:pPr>
      <w:r>
        <w:t xml:space="preserve">Aggregate is not enzymatic. Antibody that sits longer in an ageing broth, at a higher pH</w:t>
      </w:r>
      <w:r>
        <w:t xml:space="preserve"> </w:t>
      </w:r>
      <w:r>
        <w:t xml:space="preserve">and in the presence of proteases released by dying cells, aggregates more, and both</w:t>
      </w:r>
      <w:r>
        <w:t xml:space="preserve"> </w:t>
      </w:r>
      <w:r>
        <w:t xml:space="preserve">significant factors act in that direction. The effect is small in absolute terms across</w:t>
      </w:r>
      <w:r>
        <w:t xml:space="preserve"> </w:t>
      </w:r>
      <w:r>
        <w:t xml:space="preserve">the whole characterized range, at 0.83</w:t>
      </w:r>
      <w:r>
        <w:t xml:space="preserve"> </w:t>
      </w:r>
      <w:r>
        <w:t xml:space="preserve">percentage points for culture pH. Aggregate is nonetheless worth close attention here, as</w:t>
      </w:r>
      <w:r>
        <w:t xml:space="preserve"> </w:t>
      </w:r>
      <w:r>
        <w:t xml:space="preserve">the only attribute of the five that downstream steps also change, and the cation exchange</w:t>
      </w:r>
      <w:r>
        <w:t xml:space="preserve"> </w:t>
      </w:r>
      <w:r>
        <w:t xml:space="preserve">step is sized against the level this step delivers (PCR-007).</w:t>
      </w:r>
    </w:p>
    <w:p>
      <w:pPr>
        <w:pStyle w:val="BodyText"/>
      </w:pPr>
      <w:r>
        <w:t xml:space="preserve">Acidic variants carry the exception. Dissolved carbon dioxide lowers them, and the</w:t>
      </w:r>
      <w:r>
        <w:t xml:space="preserve"> </w:t>
      </w:r>
      <w:r>
        <w:t xml:space="preserve">deamidation mechanism accounts for that directly, since an acidified culture fluid slows</w:t>
      </w:r>
      <w:r>
        <w:t xml:space="preserve"> </w:t>
      </w:r>
      <w:r>
        <w:t xml:space="preserve">a base catalysed reaction, and culture temperature raises them in the way the rate</w:t>
      </w:r>
      <w:r>
        <w:t xml:space="preserve"> </w:t>
      </w:r>
      <w:r>
        <w:t xml:space="preserve">constant predicts. However, culture pH lowers acidic variants as well, and solution</w:t>
      </w:r>
      <w:r>
        <w:t xml:space="preserve"> </w:t>
      </w:r>
      <w:r>
        <w:t xml:space="preserve">chemistry predicts the opposite. The most likely account is an indirect one through cell</w:t>
      </w:r>
      <w:r>
        <w:t xml:space="preserve"> </w:t>
      </w:r>
      <w:r>
        <w:t xml:space="preserve">physiology and through the age distribution of product in the harvest, and the study</w:t>
      </w:r>
      <w:r>
        <w:t xml:space="preserve"> </w:t>
      </w:r>
      <w:r>
        <w:t xml:space="preserve">does not separate those possibilities. The response surface model quantifies the effect</w:t>
      </w:r>
      <w:r>
        <w:t xml:space="preserve"> </w:t>
      </w:r>
      <w:r>
        <w:t xml:space="preserve">without attributing it, and the classification of culture pH in §9 rests on the effects</w:t>
      </w:r>
      <w:r>
        <w:t xml:space="preserve"> </w:t>
      </w:r>
      <w:r>
        <w:t xml:space="preserve">it has on the glycan attributes.</w:t>
      </w:r>
    </w:p>
    <w:p>
      <w:pPr>
        <w:pStyle w:val="BodyText"/>
      </w:pPr>
      <w:r>
        <w:t xml:space="preserve">Finally, dropping osmolality from the response surface design has a cost that belongs</w:t>
      </w:r>
      <w:r>
        <w:t xml:space="preserve"> </w:t>
      </w:r>
      <w:r>
        <w:t xml:space="preserve">here. Screening resolved an interaction between culture temperature and osmolality on</w:t>
      </w:r>
      <w:r>
        <w:t xml:space="preserve"> </w:t>
      </w:r>
      <w:r>
        <w:t xml:space="preserve">galactosylation of 3.7</w:t>
      </w:r>
      <w:r>
        <w:t xml:space="preserve"> </w:t>
      </w:r>
      <w:r>
        <w:t xml:space="preserve">percentage points (p =</w:t>
      </w:r>
      <w:r>
        <w:t xml:space="preserve"> </w:t>
      </w:r>
      <w:r>
        <w:t xml:space="preserve">0.002). That term is</w:t>
      </w:r>
      <w:r>
        <w:t xml:space="preserve"> </w:t>
      </w:r>
      <w:r>
        <w:t xml:space="preserve">represented in this report by the screening estimate alone, and no quadratic or</w:t>
      </w:r>
      <w:r>
        <w:t xml:space="preserve"> </w:t>
      </w:r>
      <w:r>
        <w:t xml:space="preserve">predictive statement is made about that term. The narrow recipe control of osmolality is</w:t>
      </w:r>
      <w:r>
        <w:t xml:space="preserve"> </w:t>
      </w:r>
      <w:r>
        <w:t xml:space="preserve">what keeps the omission acceptable, and §11 carries it as a limitation.</w:t>
      </w:r>
    </w:p>
    <w:bookmarkEnd w:id="88"/>
    <w:bookmarkEnd w:id="89"/>
    <w:bookmarkStart w:id="90" w:name="design-space"/>
    <w:p>
      <w:pPr>
        <w:pStyle w:val="Heading1"/>
      </w:pPr>
      <w:r>
        <w:t xml:space="preserve">6. Design space</w:t>
      </w:r>
    </w:p>
    <w:p>
      <w:pPr>
        <w:pStyle w:val="FirstParagraph"/>
      </w:pPr>
      <w:r>
        <w:t xml:space="preserve">The design space of the production bioreactor is a multivariate region in</w:t>
      </w:r>
      <w:r>
        <w:t xml:space="preserve"> </w:t>
      </w:r>
      <w:r>
        <w:t xml:space="preserve">culture pH, culture temperature, culture duration and dissolved CO2 (pCO2), over which the fitted response surface models predict that every</w:t>
      </w:r>
      <w:r>
        <w:t xml:space="preserve"> </w:t>
      </w:r>
      <w:r>
        <w:t xml:space="preserve">attribute the step governs stays within the in-process criterion. The region is a subset</w:t>
      </w:r>
      <w:r>
        <w:t xml:space="preserve"> </w:t>
      </w:r>
      <w:r>
        <w:t xml:space="preserve">of the characterized knowledge space in</w:t>
      </w:r>
      <w:r>
        <w:t xml:space="preserve"> </w:t>
      </w:r>
      <w:hyperlink w:anchor="tbl-params">
        <w:r>
          <w:rPr>
            <w:rStyle w:val="Hyperlink"/>
          </w:rPr>
          <w:t xml:space="preserve">Table 5</w:t>
        </w:r>
      </w:hyperlink>
      <w:r>
        <w:t xml:space="preserve">, and the normal operating ranges sit</w:t>
      </w:r>
      <w:r>
        <w:t xml:space="preserve"> </w:t>
      </w:r>
      <w:r>
        <w:t xml:space="preserve">inside the region over almost all of their extent</w:t>
      </w:r>
      <w:r>
        <w:t xml:space="preserve"> </w:t>
      </w:r>
      <w:r>
        <w:t xml:space="preserve">(CMC Biotech Working Group 2009)</w:t>
      </w:r>
      <w:r>
        <w:t xml:space="preserve">. One corner of the normal</w:t>
      </w:r>
      <w:r>
        <w:t xml:space="preserve"> </w:t>
      </w:r>
      <w:r>
        <w:t xml:space="preserve">operating range does not, and §7 reports it.</w:t>
      </w:r>
    </w:p>
    <w:p>
      <w:pPr>
        <w:pStyle w:val="BodyText"/>
      </w:pPr>
      <w:r>
        <w:t xml:space="preserve">The criteria the region is judged against are the step’s in-process limits, not the drug</w:t>
      </w:r>
      <w:r>
        <w:t xml:space="preserve"> </w:t>
      </w:r>
      <w:r>
        <w:t xml:space="preserve">substance specifications. For 4 of the 5 responses</w:t>
      </w:r>
      <w:r>
        <w:t xml:space="preserve"> </w:t>
      </w:r>
      <w:r>
        <w:t xml:space="preserve">the in-process limit is an alert limit set at 2.5 standard</w:t>
      </w:r>
      <w:r>
        <w:t xml:space="preserve"> </w:t>
      </w:r>
      <w:r>
        <w:t xml:space="preserve">deviations above the simulated commercial scale mean, because those attributes are</w:t>
      </w:r>
      <w:r>
        <w:t xml:space="preserve"> </w:t>
      </w:r>
      <w:r>
        <w:t xml:space="preserve">neither cleared nor modified downstream and the drug substance criterion sits far</w:t>
      </w:r>
      <w:r>
        <w:t xml:space="preserve"> </w:t>
      </w:r>
      <w:r>
        <w:t xml:space="preserve">outside the spread of the process itself. For aggregate the limit is carried back from</w:t>
      </w:r>
      <w:r>
        <w:t xml:space="preserve"> </w:t>
      </w:r>
      <w:r>
        <w:t xml:space="preserve">the drug substance criterion through the clearance the downstream train delivers,</w:t>
      </w:r>
      <w:r>
        <w:t xml:space="preserve"> </w:t>
      </w:r>
      <w:r>
        <w:t xml:space="preserve">divided by an assurance margin of 6.8. Both bases give a limit</w:t>
      </w:r>
      <w:r>
        <w:t xml:space="preserve"> </w:t>
      </w:r>
      <w:r>
        <w:t xml:space="preserve">that binds well inside the drug substance criterion, and the in-process limits used in</w:t>
      </w:r>
      <w:r>
        <w:t xml:space="preserve"> </w:t>
      </w:r>
      <w:r>
        <w:t xml:space="preserve">§7 and here are the more demanding comparison of the two available.</w:t>
      </w:r>
    </w:p>
    <w:p>
      <w:pPr>
        <w:pStyle w:val="BodyText"/>
      </w:pPr>
      <w:r>
        <w:t xml:space="preserve">Evaluated on an evenly spaced grid of 14,641 points across the four</w:t>
      </w:r>
      <w:r>
        <w:t xml:space="preserve"> </w:t>
      </w:r>
      <w:r>
        <w:t xml:space="preserve">characterized ranges, 57 % of the region meets every criterion</w:t>
      </w:r>
      <w:r>
        <w:t xml:space="preserve"> </w:t>
      </w:r>
      <w:r>
        <w:t xml:space="preserve">simultaneously. The largest share of the grid is rejected by galactosylation,</w:t>
      </w:r>
      <w:r>
        <w:t xml:space="preserve"> </w:t>
      </w:r>
      <w:r>
        <w:t xml:space="preserve">at 14 % of the points, and the smallest by</w:t>
      </w:r>
      <w:r>
        <w:t xml:space="preserve"> </w:t>
      </w:r>
      <w:r>
        <w:t xml:space="preserve">high mannose, at 5 %. The characterized ranges therefore contain edges of</w:t>
      </w:r>
      <w:r>
        <w:t xml:space="preserve"> </w:t>
      </w:r>
      <w:r>
        <w:t xml:space="preserve">failure, which is the intended outcome of choosing ranges wider than the control ranges.</w:t>
      </w:r>
    </w:p>
    <w:p>
      <w:pPr>
        <w:pStyle w:val="BodyText"/>
      </w:pPr>
      <w:r>
        <w:t xml:space="preserve">The worst case corner of the characterized region is the one that fails</w:t>
      </w:r>
      <w:r>
        <w:t xml:space="preserve"> </w:t>
      </w:r>
      <w:r>
        <w:t xml:space="preserve">galactosylation: culture pH 6.6, culture temperature 36 °C, culture duration 15 days, dissolved CO2 (pCO2) 40 mmHg. At that corner the</w:t>
      </w:r>
      <w:r>
        <w:t xml:space="preserve"> </w:t>
      </w:r>
      <w:r>
        <w:t xml:space="preserve">model predicts 40.3 %, against an in-process limit</w:t>
      </w:r>
      <w:r>
        <w:t xml:space="preserve"> </w:t>
      </w:r>
      <w:r>
        <w:t xml:space="preserve">of 30.1 % and a drug substance criterion of</w:t>
      </w:r>
      <w:r>
        <w:t xml:space="preserve"> </w:t>
      </w:r>
      <w:r>
        <w:t xml:space="preserve">10 to 40 %. That single corner exceeds even the drug substance</w:t>
      </w:r>
      <w:r>
        <w:t xml:space="preserve"> </w:t>
      </w:r>
      <w:r>
        <w:t xml:space="preserve">criterion, which is what an edge of failure means and why the design space is smaller</w:t>
      </w:r>
      <w:r>
        <w:t xml:space="preserve"> </w:t>
      </w:r>
      <w:r>
        <w:t xml:space="preserve">than the knowledge space.</w:t>
      </w:r>
    </w:p>
    <w:p>
      <w:pPr>
        <w:pStyle w:val="BodyText"/>
      </w:pPr>
      <w:r>
        <w:t xml:space="preserve">The principal planes of the region are culture pH against culture duration, shown in</w:t>
      </w:r>
      <w:r>
        <w:t xml:space="preserve"> </w:t>
      </w:r>
      <w:hyperlink w:anchor="fig-contours">
        <w:r>
          <w:rPr>
            <w:rStyle w:val="Hyperlink"/>
          </w:rPr>
          <w:t xml:space="preserve">Figure 1</w:t>
        </w:r>
      </w:hyperlink>
      <w:r>
        <w:t xml:space="preserve">, and dissolved carbon dioxide against culture temperature, shown in</w:t>
      </w:r>
      <w:r>
        <w:t xml:space="preserve"> </w:t>
      </w:r>
      <w:hyperlink w:anchor="fig-contours-co2">
        <w:r>
          <w:rPr>
            <w:rStyle w:val="Hyperlink"/>
          </w:rPr>
          <w:t xml:space="preserve">Figure 2</w:t>
        </w:r>
      </w:hyperlink>
      <w:r>
        <w:t xml:space="preserve">. The first plane carries the interaction that drives galactosylation</w:t>
      </w:r>
      <w:r>
        <w:t xml:space="preserve"> </w:t>
      </w:r>
      <w:r>
        <w:t xml:space="preserve">and afucosylation, and the second carries the gradient that drives acidic variants. A</w:t>
      </w:r>
      <w:r>
        <w:t xml:space="preserve"> </w:t>
      </w:r>
      <w:r>
        <w:t xml:space="preserve">design space stated as four independent ranges would miss the first of those entirely,</w:t>
      </w:r>
      <w:r>
        <w:t xml:space="preserve"> </w:t>
      </w:r>
      <w:r>
        <w:t xml:space="preserve">because the acceptable pH range at the short duration edge is not the acceptable pH</w:t>
      </w:r>
      <w:r>
        <w:t xml:space="preserve"> </w:t>
      </w:r>
      <w:r>
        <w:t xml:space="preserve">range at the long one.</w:t>
      </w:r>
    </w:p>
    <w:p>
      <w:pPr>
        <w:pStyle w:val="BodyText"/>
      </w:pPr>
      <w:r>
        <w:t xml:space="preserve">Under ICH Q8, operation anywhere inside the region is not a change from a regulatory</w:t>
      </w:r>
      <w:r>
        <w:t xml:space="preserve"> </w:t>
      </w:r>
      <w:r>
        <w:t xml:space="preserve">filing perspective</w:t>
      </w:r>
      <w:r>
        <w:t xml:space="preserve"> </w:t>
      </w:r>
      <w:r>
        <w:t xml:space="preserve">(International Council for Harmonisation 2009)</w:t>
      </w:r>
      <w:r>
        <w:t xml:space="preserve">. Movement within the region still runs through the</w:t>
      </w:r>
      <w:r>
        <w:t xml:space="preserve"> </w:t>
      </w:r>
      <w:r>
        <w:t xml:space="preserve">pharmaceutical quality system as a planned change with a prospective risk assessment</w:t>
      </w:r>
      <w:r>
        <w:t xml:space="preserve"> </w:t>
      </w:r>
      <w:r>
        <w:t xml:space="preserve">(International Council for Harmonisation 2008)</w:t>
      </w:r>
      <w:r>
        <w:t xml:space="preserve">, and movement outside the region requires change control and supporting data.</w:t>
      </w:r>
      <w:r>
        <w:t xml:space="preserve"> </w:t>
      </w:r>
      <w:r>
        <w:t xml:space="preserve">The normal operating ranges in</w:t>
      </w:r>
      <w:r>
        <w:t xml:space="preserve"> </w:t>
      </w:r>
      <w:hyperlink w:anchor="tbl-params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are where the commercial process is expected</w:t>
      </w:r>
      <w:r>
        <w:t xml:space="preserve"> </w:t>
      </w:r>
      <w:r>
        <w:t xml:space="preserve">to run, and they occupy a small part of the region, with the exception noted in §7.</w:t>
      </w:r>
    </w:p>
    <w:p>
      <w:pPr>
        <w:pStyle w:val="BodyText"/>
      </w:pPr>
      <w:r>
        <w:t xml:space="preserve">Three bounds apply to this claim. The region is defined by mean predictions from models</w:t>
      </w:r>
      <w:r>
        <w:t xml:space="preserve"> </w:t>
      </w:r>
      <w:r>
        <w:t xml:space="preserve">fitted over the characterized ranges, and says nothing about settings outside those</w:t>
      </w:r>
      <w:r>
        <w:t xml:space="preserve"> </w:t>
      </w:r>
      <w:r>
        <w:t xml:space="preserve">ranges. The models were fitted on a qualified scale down system, and commercial scale</w:t>
      </w:r>
      <w:r>
        <w:t xml:space="preserve"> </w:t>
      </w:r>
      <w:r>
        <w:t xml:space="preserve">confirmation is a Stage 2 activity. The region covers the four response surface factors</w:t>
      </w:r>
      <w:r>
        <w:t xml:space="preserve"> </w:t>
      </w:r>
      <w:r>
        <w:t xml:space="preserve">only, with osmolality and the four univariately assessed parameters held inside the</w:t>
      </w:r>
      <w:r>
        <w:t xml:space="preserve"> </w:t>
      </w:r>
      <w:r>
        <w:t xml:space="preserve">ranges in</w:t>
      </w:r>
      <w:r>
        <w:t xml:space="preserve"> </w:t>
      </w:r>
      <w:hyperlink w:anchor="tbl-params">
        <w:r>
          <w:rPr>
            <w:rStyle w:val="Hyperlink"/>
          </w:rPr>
          <w:t xml:space="preserve">Table 5</w:t>
        </w:r>
      </w:hyperlink>
      <w:r>
        <w:t xml:space="preserve">.</w:t>
      </w:r>
    </w:p>
    <w:bookmarkEnd w:id="90"/>
    <w:bookmarkStart w:id="142" w:name="proven-acceptable-ranges"/>
    <w:p>
      <w:pPr>
        <w:pStyle w:val="Heading1"/>
      </w:pPr>
      <w:r>
        <w:t xml:space="preserve">7. Proven acceptable ranges</w:t>
      </w:r>
    </w:p>
    <w:p>
      <w:pPr>
        <w:pStyle w:val="FirstParagraph"/>
      </w:pPr>
      <w:r>
        <w:t xml:space="preserve">For a single parameter at a time, proven acceptable ranges complement the multivariate</w:t>
      </w:r>
      <w:r>
        <w:t xml:space="preserve"> </w:t>
      </w:r>
      <w:r>
        <w:t xml:space="preserve">region with a per attribute statement of how far a single parameter may move.</w:t>
      </w:r>
      <w:r>
        <w:t xml:space="preserve"> </w:t>
      </w:r>
      <w:hyperlink w:anchor="tbl-par">
        <w:r>
          <w:rPr>
            <w:rStyle w:val="Hyperlink"/>
          </w:rPr>
          <w:t xml:space="preserve">Table 14</w:t>
        </w:r>
      </w:hyperlink>
      <w:r>
        <w:t xml:space="preserve"> </w:t>
      </w:r>
      <w:r>
        <w:t xml:space="preserve">gives both analyses for every combination of governed attribute and response surface</w:t>
      </w:r>
      <w:r>
        <w:t xml:space="preserve"> </w:t>
      </w:r>
      <w:r>
        <w:t xml:space="preserve">factor: the range proven with the other factors at their set-points, and the range that</w:t>
      </w:r>
      <w:r>
        <w:t xml:space="preserve"> </w:t>
      </w:r>
      <w:r>
        <w:t xml:space="preserve">survives normal operating range co-variation of the other factors.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tbl-pa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14: Proven acceptable ranges per governed attribute and response-surface factor.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20"/>
              <w:gridCol w:w="1613"/>
              <w:gridCol w:w="1100"/>
              <w:gridCol w:w="586"/>
              <w:gridCol w:w="953"/>
              <w:gridCol w:w="1393"/>
              <w:gridCol w:w="95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CQA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Char. range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Criterion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 (set-point)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 (NOR)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Afucosylation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Culture 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6.6–7.1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≤ 9.43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6.6–7.1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6.82–7.1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Afucosylation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Culture temperature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34–36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°C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≤ 9.43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34–36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34.7–36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Afucosylation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Culture duration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15–19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days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≤ 9.43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15.2–19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16.8–19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Afucosylation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Dissolved CO2 (pCO2)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40–160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mmHg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≤ 9.43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40–160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82–160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Galactosylation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Culture 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6.6–7.1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≤ 30.1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6.6–7.1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6.74–7.1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Galactosylation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Culture temperature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34–36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°C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≤ 30.1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34–36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34–35.5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Galactosylation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Culture duration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15–19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days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≤ 30.1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15.2–19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16.4–19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Galactosylation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Dissolved CO2 (pCO2)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40–160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mmHg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≤ 30.1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40–160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74.5–160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 mannose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Culture 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6.6–7.1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≤ 7.28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6.6–7.1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6.6–6.94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 mannose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Culture temperature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34–36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°C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≤ 7.28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34–36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34.1–36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 mannose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Culture duration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15–19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days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≤ 7.28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15–19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15–19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 mannose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Dissolved CO2 (pCO2)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40–160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mmHg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≤ 7.28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40–160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40–156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Acidic variants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Culture 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6.6–7.1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≤ 25.8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6.6–7.1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6.82–7.1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Acidic variants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Culture temperature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34–36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°C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≤ 25.8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34–36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34–35.2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Acidic variants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Culture duration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15–19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days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≤ 25.8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15–19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15–19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Acidic variants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Dissolved CO2 (pCO2)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40–160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mmHg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≤ 25.8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46.6–160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92.5–160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Aggregates (HMW)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Culture 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6.6–7.1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≤ 1.86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6.6–7.1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6.6–6.93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Aggregates (HMW)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Culture temperature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34–36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°C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≤ 1.86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34–36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34–36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Aggregates (HMW)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Culture duration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15–19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days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≤ 1.86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15–18.7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15–17.7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Aggregates (HMW)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Dissolved CO2 (pCO2)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40–160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mmHg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≤ 1.86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40–160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40–160</w:t>
                  </w:r>
                </w:p>
              </w:tc>
            </w:tr>
          </w:tbl>
          <w:bookmarkEnd w:id="91"/>
          <w:p/>
        </w:tc>
      </w:tr>
    </w:tbl>
    <w:p>
      <w:pPr>
        <w:pStyle w:val="BodyText"/>
      </w:pPr>
      <w:r>
        <w:t xml:space="preserve">The acceptance basis is stated in the Criterion column and is the same in-process limit</w:t>
      </w:r>
      <w:r>
        <w:t xml:space="preserve"> </w:t>
      </w:r>
      <w:r>
        <w:t xml:space="preserve">used for the design space (§6). Reading the table against the drug substance criteria</w:t>
      </w:r>
      <w:r>
        <w:t xml:space="preserve"> </w:t>
      </w:r>
      <w:r>
        <w:t xml:space="preserve">instead would widen every range in the table.</w:t>
      </w:r>
    </w:p>
    <w:p>
      <w:pPr>
        <w:pStyle w:val="BodyText"/>
      </w:pPr>
      <w:r>
        <w:t xml:space="preserve">With the other factors at their set-points, 16 of the</w:t>
      </w:r>
      <w:r>
        <w:t xml:space="preserve"> </w:t>
      </w:r>
      <w:r>
        <w:t xml:space="preserve">20 combinations return the entire characterization range as a proven</w:t>
      </w:r>
      <w:r>
        <w:t xml:space="preserve"> </w:t>
      </w:r>
      <w:r>
        <w:t xml:space="preserve">acceptable range. The four that do not are informative. Afucosylation and</w:t>
      </w:r>
      <w:r>
        <w:t xml:space="preserve"> </w:t>
      </w:r>
      <w:r>
        <w:t xml:space="preserve">galactosylation both restrict culture duration at the short end, to</w:t>
      </w:r>
      <w:r>
        <w:t xml:space="preserve"> </w:t>
      </w:r>
      <w:r>
        <w:t xml:space="preserve">15.2–19 days and</w:t>
      </w:r>
      <w:r>
        <w:t xml:space="preserve"> </w:t>
      </w:r>
      <w:r>
        <w:t xml:space="preserve">15.2–19 days against a characterized range of</w:t>
      </w:r>
      <w:r>
        <w:t xml:space="preserve"> </w:t>
      </w:r>
      <w:r>
        <w:t xml:space="preserve">15 to 19 days. Acidic variants restrict dissolved carbon dioxide at</w:t>
      </w:r>
      <w:r>
        <w:t xml:space="preserve"> </w:t>
      </w:r>
      <w:r>
        <w:t xml:space="preserve">the low end, to 46.6–160 mmHg against a characterized</w:t>
      </w:r>
      <w:r>
        <w:t xml:space="preserve"> </w:t>
      </w:r>
      <w:r>
        <w:t xml:space="preserve">range of 40 to 160 mmHg. Aggregate restricts culture duration at the long</w:t>
      </w:r>
      <w:r>
        <w:t xml:space="preserve"> </w:t>
      </w:r>
      <w:r>
        <w:t xml:space="preserve">end, to 15–18.7 days.</w:t>
      </w:r>
    </w:p>
    <w:p>
      <w:pPr>
        <w:pStyle w:val="BodyText"/>
      </w:pPr>
      <w:r>
        <w:t xml:space="preserve">Under normal operating range co-variation the ranges narrow further, and only</w:t>
      </w:r>
      <w:r>
        <w:t xml:space="preserve"> </w:t>
      </w:r>
      <w:r>
        <w:t xml:space="preserve">4 of the 20 combinations still span the full</w:t>
      </w:r>
      <w:r>
        <w:t xml:space="preserve"> </w:t>
      </w:r>
      <w:r>
        <w:t xml:space="preserve">characterization range. Narrowing is the expected outcome, because this analysis</w:t>
      </w:r>
      <w:r>
        <w:t xml:space="preserve"> </w:t>
      </w:r>
      <w:r>
        <w:t xml:space="preserve">compares the upper bound of a 95 % predictive interval against the limit instead of a</w:t>
      </w:r>
      <w:r>
        <w:t xml:space="preserve"> </w:t>
      </w:r>
      <w:r>
        <w:t xml:space="preserve">mean prediction, and the interval carries both the co-variation of the other factors and</w:t>
      </w:r>
      <w:r>
        <w:t xml:space="preserve"> </w:t>
      </w:r>
      <w:r>
        <w:t xml:space="preserve">the residual variance of the model.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par-hm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95" w:name="fig-par-hm-1"/>
                <w:p>
                  <w:pPr>
                    <w:pStyle w:val="Compact"/>
                    <w:jc w:val="center"/>
                    <w:jc w:val="center"/>
                  </w:pPr>
                  <w:r>
                    <w:drawing>
                      <wp:inline>
                        <wp:extent cx="5334000" cy="1845992"/>
                        <wp:effectExtent b="0" l="0" r="0" t="0"/>
                        <wp:docPr descr="" title="" id="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PCR-003_bioreactor.DRAFT_files/figure-docx/fig-par-hm-output-1.png" id="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0" cy="184599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Proven acceptable range for high mannose against culture pH, at set-point (left) and with the other factors varying within their normal operating ranges (right). The acceptable region is shaded green.</w:t>
                  </w:r>
                </w:p>
                <w:bookmarkEnd w:id="95"/>
              </w:tc>
            </w:tr>
          </w:tbl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00" w:name="fig-par-hm-2"/>
                <w:p>
                  <w:pPr>
                    <w:pStyle w:val="Compact"/>
                    <w:jc w:val="center"/>
                    <w:jc w:val="center"/>
                  </w:pPr>
                  <w:bookmarkStart w:id="99" w:name="fig-par-hm-2"/>
                  <w:r>
                    <w:drawing>
                      <wp:inline>
                        <wp:extent cx="5334000" cy="1845992"/>
                        <wp:effectExtent b="0" l="0" r="0" t="0"/>
                        <wp:docPr descr="" title="" id="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PCR-003_bioreactor.DRAFT_files/figure-docx/fig-par-hm-output-2.png" id="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0" cy="184599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bookmarkEnd w:id="99"/>
                </w:p>
                <w:p>
                  <w:pPr>
                    <w:jc w:val="center"/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</w:p>
                <w:bookmarkEnd w:id="100"/>
              </w:tc>
            </w:tr>
          </w:tbl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</w:t>
            </w:r>
          </w:p>
          <w:bookmarkEnd w:id="101"/>
        </w:tc>
      </w:tr>
    </w:tbl>
    <w:p>
      <w:pPr>
        <w:pStyle w:val="BodyText"/>
      </w:pPr>
      <w:hyperlink w:anchor="fig-par-hm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gives the analysis for high mannose against</w:t>
      </w:r>
      <w:r>
        <w:t xml:space="preserve"> </w:t>
      </w:r>
      <w:r>
        <w:t xml:space="preserve">culture pH, which is the factor with the largest response</w:t>
      </w:r>
      <w:r>
        <w:t xml:space="preserve"> </w:t>
      </w:r>
      <w:r>
        <w:t xml:space="preserve">surface main effect on it. At set-point the whole characterized pH range is acceptable,</w:t>
      </w:r>
      <w:r>
        <w:t xml:space="preserve"> </w:t>
      </w:r>
      <w:r>
        <w:t xml:space="preserve">and under normal operating range co-variation the acceptable range becomes</w:t>
      </w:r>
      <w:r>
        <w:t xml:space="preserve"> </w:t>
      </w:r>
      <w:r>
        <w:t xml:space="preserve">6.6–6.94. The upper part of the characterized pH range no</w:t>
      </w:r>
      <w:r>
        <w:t xml:space="preserve"> </w:t>
      </w:r>
      <w:r>
        <w:t xml:space="preserve">longer holds the predictive bound below the in-process limit. The normal operating range</w:t>
      </w:r>
      <w:r>
        <w:t xml:space="preserve"> </w:t>
      </w:r>
      <w:r>
        <w:t xml:space="preserve">for culture pH is 6.75 to 6.95, and the upper edge of that range sits just above</w:t>
      </w:r>
      <w:r>
        <w:t xml:space="preserve"> </w:t>
      </w:r>
      <w:r>
        <w:t xml:space="preserve">the co-varied bound.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fig-par-gal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05" w:name="fig-par-gal-1"/>
                <w:p>
                  <w:pPr>
                    <w:pStyle w:val="Compact"/>
                    <w:jc w:val="center"/>
                    <w:jc w:val="center"/>
                  </w:pPr>
                  <w:r>
                    <w:drawing>
                      <wp:inline>
                        <wp:extent cx="5334000" cy="1845992"/>
                        <wp:effectExtent b="0" l="0" r="0" t="0"/>
                        <wp:docPr descr="" title="" id="1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PCR-003_bioreactor.DRAFT_files/figure-docx/fig-par-gal-output-1.png" id="1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0" cy="184599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Proven acceptable range for galactosylation against culture duration, at set-point and under normal operating range co-variation.</w:t>
                  </w:r>
                </w:p>
                <w:bookmarkEnd w:id="105"/>
              </w:tc>
            </w:tr>
          </w:tbl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10" w:name="fig-par-gal-2"/>
                <w:p>
                  <w:pPr>
                    <w:pStyle w:val="Compact"/>
                    <w:jc w:val="center"/>
                    <w:jc w:val="center"/>
                  </w:pPr>
                  <w:bookmarkStart w:id="109" w:name="fig-par-gal-2"/>
                  <w:r>
                    <w:drawing>
                      <wp:inline>
                        <wp:extent cx="5334000" cy="1845992"/>
                        <wp:effectExtent b="0" l="0" r="0" t="0"/>
                        <wp:docPr descr="" title="" id="10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PCR-003_bioreactor.DRAFT_files/figure-docx/fig-par-gal-output-2.png" id="10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0" cy="184599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bookmarkEnd w:id="109"/>
                </w:p>
                <w:p>
                  <w:pPr>
                    <w:jc w:val="center"/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</w:p>
                <w:bookmarkEnd w:id="110"/>
              </w:tc>
            </w:tr>
          </w:tbl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</w:t>
            </w:r>
          </w:p>
          <w:bookmarkEnd w:id="111"/>
        </w:tc>
      </w:tr>
    </w:tbl>
    <w:p>
      <w:pPr>
        <w:pStyle w:val="BodyText"/>
      </w:pPr>
      <w:r>
        <w:t xml:space="preserve">Galactosylation is the binding attribute, and</w:t>
      </w:r>
      <w:r>
        <w:t xml:space="preserve"> </w:t>
      </w:r>
      <w:hyperlink w:anchor="fig-par-gal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why. Under co-variation</w:t>
      </w:r>
      <w:r>
        <w:t xml:space="preserve"> </w:t>
      </w:r>
      <w:r>
        <w:t xml:space="preserve">the proven acceptable range for culture duration is</w:t>
      </w:r>
      <w:r>
        <w:t xml:space="preserve"> </w:t>
      </w:r>
      <w:r>
        <w:t xml:space="preserve">16.4–19 days, and the normal operating range</w:t>
      </w:r>
      <w:r>
        <w:t xml:space="preserve"> </w:t>
      </w:r>
      <w:r>
        <w:t xml:space="preserve">for culture duration is 16 to 18 days. The lower edge of the normal</w:t>
      </w:r>
      <w:r>
        <w:t xml:space="preserve"> </w:t>
      </w:r>
      <w:r>
        <w:t xml:space="preserve">operating range therefore sits below the lower edge of the proven acceptable range. The</w:t>
      </w:r>
      <w:r>
        <w:t xml:space="preserve"> </w:t>
      </w:r>
      <w:r>
        <w:t xml:space="preserve">same pattern appears against dissolved carbon dioxide, where the range is</w:t>
      </w:r>
      <w:r>
        <w:t xml:space="preserve"> </w:t>
      </w:r>
      <w:r>
        <w:t xml:space="preserve">74.5–160 mmHg against a normal operating range of</w:t>
      </w:r>
      <w:r>
        <w:t xml:space="preserve"> </w:t>
      </w:r>
      <w:r>
        <w:t xml:space="preserve">70 to 130 mmHg. It appears again against culture temperature, where the</w:t>
      </w:r>
      <w:r>
        <w:t xml:space="preserve"> </w:t>
      </w:r>
      <w:r>
        <w:t xml:space="preserve">co-varied range of 34–35.5 °C stops just</w:t>
      </w:r>
      <w:r>
        <w:t xml:space="preserve"> </w:t>
      </w:r>
      <w:r>
        <w:t xml:space="preserve">below the upper edge of the normal operating range of 34.5 to 35.5 °C.</w:t>
      </w:r>
    </w:p>
    <w:p>
      <w:pPr>
        <w:pStyle w:val="BodyText"/>
      </w:pPr>
      <w:r>
        <w:t xml:space="preserve">That is an adverse result, quantified here before it is dispositioned. At the corner of</w:t>
      </w:r>
      <w:r>
        <w:t xml:space="preserve"> </w:t>
      </w:r>
      <w:r>
        <w:t xml:space="preserve">the normal operating range where all four factors take their least favourable values at</w:t>
      </w:r>
      <w:r>
        <w:t xml:space="preserve"> </w:t>
      </w:r>
      <w:r>
        <w:t xml:space="preserve">once, culture pH 6.75, culture temperature 35.5 °C, culture duration 16 days, dissolved CO2 (pCO2) 70 mmHg, the model predicts galactosylation of</w:t>
      </w:r>
      <w:r>
        <w:t xml:space="preserve"> </w:t>
      </w:r>
      <w:r>
        <w:t xml:space="preserve">31.8 % against an in-process alert limit of</w:t>
      </w:r>
      <w:r>
        <w:t xml:space="preserve"> </w:t>
      </w:r>
      <w:r>
        <w:t xml:space="preserve">30.1 %. Afucosylation reaches its own alert</w:t>
      </w:r>
      <w:r>
        <w:t xml:space="preserve"> </w:t>
      </w:r>
      <w:r>
        <w:t xml:space="preserve">limit of 9.4 % at the equivalent corner.</w:t>
      </w:r>
    </w:p>
    <w:p>
      <w:pPr>
        <w:pStyle w:val="BodyText"/>
      </w:pPr>
      <w:r>
        <w:t xml:space="preserve">Three things bound that finding. The limit exceeded is an alert limit derived from the</w:t>
      </w:r>
      <w:r>
        <w:t xml:space="preserve"> </w:t>
      </w:r>
      <w:r>
        <w:t xml:space="preserve">demonstrated capability of the process, at 2.5 standard</w:t>
      </w:r>
      <w:r>
        <w:t xml:space="preserve"> </w:t>
      </w:r>
      <w:r>
        <w:t xml:space="preserve">deviations above the simulated mean, and a limit of that construction is expected to be</w:t>
      </w:r>
      <w:r>
        <w:t xml:space="preserve"> </w:t>
      </w:r>
      <w:r>
        <w:t xml:space="preserve">exceeded by a small proportion of batches. The comparison is made at a simultaneous four</w:t>
      </w:r>
      <w:r>
        <w:t xml:space="preserve"> </w:t>
      </w:r>
      <w:r>
        <w:t xml:space="preserve">factor extreme, whereas the capability simulation draws the parameters independently:</w:t>
      </w:r>
      <w:r>
        <w:t xml:space="preserve"> </w:t>
      </w:r>
      <w:r>
        <w:t xml:space="preserve">over 2,000 simulated batches the highest galactosylation was</w:t>
      </w:r>
      <w:r>
        <w:t xml:space="preserve"> </w:t>
      </w:r>
      <w:r>
        <w:t xml:space="preserve">32.2 %. Against the drug substance criterion</w:t>
      </w:r>
      <w:r>
        <w:t xml:space="preserve"> </w:t>
      </w:r>
      <w:r>
        <w:t xml:space="preserve">of 10 to 40 % there is no exceedance anywhere in the</w:t>
      </w:r>
      <w:r>
        <w:t xml:space="preserve"> </w:t>
      </w:r>
      <w:r>
        <w:t xml:space="preserve">normal operating range. An excursion of this kind is therefore an investigation trigger</w:t>
      </w:r>
      <w:r>
        <w:t xml:space="preserve"> </w:t>
      </w:r>
      <w:r>
        <w:t xml:space="preserve">under the in-process control strategy in §10, not a specification failure.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ar-acid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15" w:name="fig-par-acid-1"/>
                <w:p>
                  <w:pPr>
                    <w:pStyle w:val="Compact"/>
                    <w:jc w:val="center"/>
                    <w:jc w:val="center"/>
                  </w:pPr>
                  <w:r>
                    <w:drawing>
                      <wp:inline>
                        <wp:extent cx="5334000" cy="1825054"/>
                        <wp:effectExtent b="0" l="0" r="0" t="0"/>
                        <wp:docPr descr="" title="" id="1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PCR-003_bioreactor.DRAFT_files/figure-docx/fig-par-acid-output-1.png" id="1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0" cy="182505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Proven acceptable range for acidic variants against dissolved CO2, at set-point and under normal operating range co-variation.</w:t>
                  </w:r>
                </w:p>
                <w:bookmarkEnd w:id="115"/>
              </w:tc>
            </w:tr>
          </w:tbl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20" w:name="fig-par-acid-2"/>
                <w:p>
                  <w:pPr>
                    <w:pStyle w:val="Compact"/>
                    <w:jc w:val="center"/>
                    <w:jc w:val="center"/>
                  </w:pPr>
                  <w:bookmarkStart w:id="119" w:name="fig-par-acid-2"/>
                  <w:r>
                    <w:drawing>
                      <wp:inline>
                        <wp:extent cx="5334000" cy="1825054"/>
                        <wp:effectExtent b="0" l="0" r="0" t="0"/>
                        <wp:docPr descr="" title="" id="1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PCR-003_bioreactor.DRAFT_files/figure-docx/fig-par-acid-output-2.png" id="1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0" cy="182505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bookmarkEnd w:id="119"/>
                </w:p>
                <w:p>
                  <w:pPr>
                    <w:jc w:val="center"/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</w:p>
                <w:bookmarkEnd w:id="120"/>
              </w:tc>
            </w:tr>
          </w:tbl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</w:t>
            </w:r>
          </w:p>
          <w:bookmarkEnd w:id="121"/>
        </w:tc>
      </w:tr>
    </w:tbl>
    <w:p>
      <w:pPr>
        <w:pStyle w:val="BodyText"/>
      </w:pPr>
      <w:hyperlink w:anchor="fig-par-acid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gives the acidic variant analysis against</w:t>
      </w:r>
      <w:r>
        <w:t xml:space="preserve"> </w:t>
      </w:r>
      <w:r>
        <w:t xml:space="preserve">dissolved CO2 (pCO2), where the at set-point range starts at</w:t>
      </w:r>
      <w:r>
        <w:t xml:space="preserve"> </w:t>
      </w:r>
      <w:r>
        <w:t xml:space="preserve">46.6–160 mmHg and the co-varied range at</w:t>
      </w:r>
      <w:r>
        <w:t xml:space="preserve"> </w:t>
      </w:r>
      <w:r>
        <w:t xml:space="preserve">92.5–160 mmHg, both bounded at the low end because</w:t>
      </w:r>
      <w:r>
        <w:t xml:space="preserve"> </w:t>
      </w:r>
      <w:r>
        <w:t xml:space="preserve">low dissolved carbon dioxide raises the attribute. The normal operating range of</w:t>
      </w:r>
      <w:r>
        <w:t xml:space="preserve"> </w:t>
      </w:r>
      <w:r>
        <w:t xml:space="preserve">70 to 130 mmHg extends below the co-varied bound, which is the same pattern</w:t>
      </w:r>
      <w:r>
        <w:t xml:space="preserve"> </w:t>
      </w:r>
      <w:r>
        <w:t xml:space="preserve">as galactosylation and has the same disposition.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par-afuc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25" w:name="fig-par-afuc-1"/>
                <w:p>
                  <w:pPr>
                    <w:pStyle w:val="Compact"/>
                    <w:jc w:val="center"/>
                    <w:jc w:val="center"/>
                  </w:pPr>
                  <w:r>
                    <w:drawing>
                      <wp:inline>
                        <wp:extent cx="5334000" cy="1845992"/>
                        <wp:effectExtent b="0" l="0" r="0" t="0"/>
                        <wp:docPr descr="" title="" id="12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PCR-003_bioreactor.DRAFT_files/figure-docx/fig-par-afuc-output-1.png" id="12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0" cy="184599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Proven acceptable range for afucosylation against culture duration, at set-point and under normal operating range co-variation.</w:t>
                  </w:r>
                </w:p>
                <w:bookmarkEnd w:id="125"/>
              </w:tc>
            </w:tr>
          </w:tbl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30" w:name="fig-par-afuc-2"/>
                <w:p>
                  <w:pPr>
                    <w:pStyle w:val="Compact"/>
                    <w:jc w:val="center"/>
                    <w:jc w:val="center"/>
                  </w:pPr>
                  <w:bookmarkStart w:id="129" w:name="fig-par-afuc-2"/>
                  <w:r>
                    <w:drawing>
                      <wp:inline>
                        <wp:extent cx="5334000" cy="1845992"/>
                        <wp:effectExtent b="0" l="0" r="0" t="0"/>
                        <wp:docPr descr="" title="" id="1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PCR-003_bioreactor.DRAFT_files/figure-docx/fig-par-afuc-output-2.png" id="1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0" cy="184599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bookmarkEnd w:id="129"/>
                </w:p>
                <w:p>
                  <w:pPr>
                    <w:jc w:val="center"/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</w:p>
                <w:bookmarkEnd w:id="130"/>
              </w:tc>
            </w:tr>
          </w:tbl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</w:t>
            </w:r>
          </w:p>
          <w:bookmarkEnd w:id="131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fig-par-agg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35" w:name="fig-par-agg-1"/>
                <w:p>
                  <w:pPr>
                    <w:pStyle w:val="Compact"/>
                    <w:jc w:val="center"/>
                    <w:jc w:val="center"/>
                  </w:pPr>
                  <w:r>
                    <w:drawing>
                      <wp:inline>
                        <wp:extent cx="5334000" cy="1845992"/>
                        <wp:effectExtent b="0" l="0" r="0" t="0"/>
                        <wp:docPr descr="" title="" id="13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PCR-003_bioreactor.DRAFT_files/figure-docx/fig-par-agg-output-1.png" id="13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0" cy="184599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Proven acceptable range for aggregate against culture pH, at set-point and under normal operating range co-variation.</w:t>
                  </w:r>
                </w:p>
                <w:bookmarkEnd w:id="135"/>
              </w:tc>
            </w:tr>
          </w:tbl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40" w:name="fig-par-agg-2"/>
                <w:p>
                  <w:pPr>
                    <w:pStyle w:val="Compact"/>
                    <w:jc w:val="center"/>
                    <w:jc w:val="center"/>
                  </w:pPr>
                  <w:bookmarkStart w:id="139" w:name="fig-par-agg-2"/>
                  <w:r>
                    <w:drawing>
                      <wp:inline>
                        <wp:extent cx="5334000" cy="1845992"/>
                        <wp:effectExtent b="0" l="0" r="0" t="0"/>
                        <wp:docPr descr="" title="" id="13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PCR-003_bioreactor.DRAFT_files/figure-docx/fig-par-agg-output-2.png" id="13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0" cy="184599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bookmarkEnd w:id="139"/>
                </w:p>
                <w:p>
                  <w:pPr>
                    <w:jc w:val="center"/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</w:p>
                <w:bookmarkEnd w:id="140"/>
              </w:tc>
            </w:tr>
          </w:tbl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</w:t>
            </w:r>
          </w:p>
          <w:bookmarkEnd w:id="141"/>
        </w:tc>
      </w:tr>
    </w:tbl>
    <w:p>
      <w:pPr>
        <w:pStyle w:val="BodyText"/>
      </w:pPr>
      <w:hyperlink w:anchor="fig-par-afuc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and</w:t>
      </w:r>
      <w:r>
        <w:t xml:space="preserve"> </w:t>
      </w:r>
      <w:hyperlink w:anchor="fig-par-agg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complete the set, and afucosylation restricts culture</w:t>
      </w:r>
      <w:r>
        <w:t xml:space="preserve"> </w:t>
      </w:r>
      <w:r>
        <w:t xml:space="preserve">duration at the short end under both analyses, at</w:t>
      </w:r>
      <w:r>
        <w:t xml:space="preserve"> </w:t>
      </w:r>
      <w:r>
        <w:t xml:space="preserve">15.2–19 days and</w:t>
      </w:r>
      <w:r>
        <w:t xml:space="preserve"> </w:t>
      </w:r>
      <w:r>
        <w:t xml:space="preserve">16.8–19 days. Aggregate restricts culture pH only</w:t>
      </w:r>
      <w:r>
        <w:t xml:space="preserve"> </w:t>
      </w:r>
      <w:r>
        <w:t xml:space="preserve">under co-variation, at 6.6–6.93, and the at set-point</w:t>
      </w:r>
      <w:r>
        <w:t xml:space="preserve"> </w:t>
      </w:r>
      <w:r>
        <w:t xml:space="preserve">range covers the whole characterized span.</w:t>
      </w:r>
    </w:p>
    <w:p>
      <w:pPr>
        <w:pStyle w:val="BodyText"/>
      </w:pPr>
      <w:r>
        <w:t xml:space="preserve">The relationship between these ranges and the design space needs stating explicitly. A</w:t>
      </w:r>
      <w:r>
        <w:t xml:space="preserve"> </w:t>
      </w:r>
      <w:r>
        <w:t xml:space="preserve">proven acceptable range is univariate, and each one holds only under the analysis that</w:t>
      </w:r>
      <w:r>
        <w:t xml:space="preserve"> </w:t>
      </w:r>
      <w:r>
        <w:t xml:space="preserve">produced it. The design space in §6 is the multivariate region, and where the whole</w:t>
      </w:r>
      <w:r>
        <w:t xml:space="preserve"> </w:t>
      </w:r>
      <w:r>
        <w:t xml:space="preserve">characterization range of a parameter is proven acceptable, the constraint that actually</w:t>
      </w:r>
      <w:r>
        <w:t xml:space="preserve"> </w:t>
      </w:r>
      <w:r>
        <w:t xml:space="preserve">binds the operating region is the multivariate corner, not any univariate range. Both</w:t>
      </w:r>
      <w:r>
        <w:t xml:space="preserve"> </w:t>
      </w:r>
      <w:r>
        <w:t xml:space="preserve">statements rest on the fitted response surface models and on the characterized ranges,</w:t>
      </w:r>
      <w:r>
        <w:t xml:space="preserve"> </w:t>
      </w:r>
      <w:r>
        <w:t xml:space="preserve">and neither extends beyond them.</w:t>
      </w:r>
    </w:p>
    <w:bookmarkEnd w:id="142"/>
    <w:bookmarkStart w:id="144" w:name="process-capability-and-robustness"/>
    <w:p>
      <w:pPr>
        <w:pStyle w:val="Heading1"/>
      </w:pPr>
      <w:r>
        <w:t xml:space="preserve">8. Process capability and robustness</w:t>
      </w:r>
    </w:p>
    <w:p>
      <w:pPr>
        <w:pStyle w:val="FirstParagraph"/>
      </w:pPr>
      <w:r>
        <w:t xml:space="preserve">For every attribute in</w:t>
      </w:r>
      <w:r>
        <w:t xml:space="preserve"> </w:t>
      </w:r>
      <w:hyperlink w:anchor="tbl-cqa">
        <w:r>
          <w:rPr>
            <w:rStyle w:val="Hyperlink"/>
          </w:rPr>
          <w:t xml:space="preserve">Table 3</w:t>
        </w:r>
      </w:hyperlink>
      <w:r>
        <w:t xml:space="preserve">, capability was estimated by simulating</w:t>
      </w:r>
      <w:r>
        <w:t xml:space="preserve"> </w:t>
      </w:r>
      <w:r>
        <w:t xml:space="preserve">2,000 commercial scale batches with every parameter drawn independently</w:t>
      </w:r>
      <w:r>
        <w:t xml:space="preserve"> </w:t>
      </w:r>
      <w:r>
        <w:t xml:space="preserve">inside the normal operating range and with the fitted models and the residual variance</w:t>
      </w:r>
      <w:r>
        <w:t xml:space="preserve"> </w:t>
      </w:r>
      <w:r>
        <w:t xml:space="preserve">applied, and</w:t>
      </w:r>
      <w:r>
        <w:t xml:space="preserve"> </w:t>
      </w:r>
      <w:hyperlink w:anchor="tbl-cap">
        <w:r>
          <w:rPr>
            <w:rStyle w:val="Hyperlink"/>
          </w:rPr>
          <w:t xml:space="preserve">Table 15</w:t>
        </w:r>
      </w:hyperlink>
      <w:r>
        <w:t xml:space="preserve"> </w:t>
      </w:r>
      <w:r>
        <w:t xml:space="preserve">gives the result.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cap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15: Estimated commercial-scale capability for the attributes the bioreactor governs.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201"/>
              <w:gridCol w:w="758"/>
              <w:gridCol w:w="926"/>
              <w:gridCol w:w="1179"/>
              <w:gridCol w:w="1263"/>
              <w:gridCol w:w="58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CQA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Crit.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Spec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Acceptance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 ± 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Cpk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Afucosylation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two_sided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2–13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7.98 ± 0.58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2.89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Galactosylation (total %Gal)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two_sided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10–40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26 ± 1.6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 Mannose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two_sided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3–10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5.99 ± 0.51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1.94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Aggregates (HMW)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upper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0–5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0.753 ± 0.088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16.1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Acidic charge variants (deamidation)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upper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18–40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22.3 ± 1.4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4.26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Host Cell Protein (HCP)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M-H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upper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0–100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15.2 ± 4.6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Residual DNA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upper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0–0.001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0.0001 ± 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10.8</w:t>
                  </w:r>
                </w:p>
              </w:tc>
            </w:tr>
          </w:tbl>
          <w:bookmarkEnd w:id="143"/>
          <w:p/>
        </w:tc>
      </w:tr>
    </w:tbl>
    <w:p>
      <w:pPr>
        <w:pStyle w:val="BodyText"/>
      </w:pPr>
      <w:r>
        <w:t xml:space="preserve">Across those batches, every attribute clears the drug substance criterion. The tightest</w:t>
      </w:r>
      <w:r>
        <w:t xml:space="preserve"> </w:t>
      </w:r>
      <w:r>
        <w:t xml:space="preserve">capability of the 7 attributes is the one for</w:t>
      </w:r>
      <w:r>
        <w:t xml:space="preserve"> </w:t>
      </w:r>
      <w:r>
        <w:t xml:space="preserve">high mannose, at a Cpk of 1.94. The</w:t>
      </w:r>
      <w:r>
        <w:t xml:space="preserve"> </w:t>
      </w:r>
      <w:r>
        <w:t xml:space="preserve">simulated mean behind that capability, 5.99 %, sits</w:t>
      </w:r>
      <w:r>
        <w:t xml:space="preserve"> </w:t>
      </w:r>
      <w:r>
        <w:t xml:space="preserve">2.99 percentage points above the lower acceptance</w:t>
      </w:r>
      <w:r>
        <w:t xml:space="preserve"> </w:t>
      </w:r>
      <w:r>
        <w:t xml:space="preserve">limit of 3 %, which is</w:t>
      </w:r>
      <w:r>
        <w:t xml:space="preserve"> </w:t>
      </w:r>
      <w:r>
        <w:t xml:space="preserve">5.8 standard deviations of the simulated</w:t>
      </w:r>
      <w:r>
        <w:t xml:space="preserve"> </w:t>
      </w:r>
      <w:r>
        <w:t xml:space="preserve">distribution. The lower limit binds, not the upper one, and the highest value in</w:t>
      </w:r>
      <w:r>
        <w:t xml:space="preserve"> </w:t>
      </w:r>
      <w:r>
        <w:t xml:space="preserve">2,000 simulated batches was 8.0 %</w:t>
      </w:r>
      <w:r>
        <w:t xml:space="preserve"> </w:t>
      </w:r>
      <w:r>
        <w:t xml:space="preserve">(</w:t>
      </w:r>
      <w:hyperlink w:anchor="tbl-cap">
        <w:r>
          <w:rPr>
            <w:rStyle w:val="Hyperlink"/>
          </w:rPr>
          <w:t xml:space="preserve">Table 15</w:t>
        </w:r>
      </w:hyperlink>
      <w:r>
        <w:t xml:space="preserve">).</w:t>
      </w:r>
    </w:p>
    <w:p>
      <w:pPr>
        <w:pStyle w:val="BodyText"/>
      </w:pPr>
      <w:r>
        <w:t xml:space="preserve">The reason high mannose is the tightest case is not that the process</w:t>
      </w:r>
      <w:r>
        <w:t xml:space="preserve"> </w:t>
      </w:r>
      <w:r>
        <w:t xml:space="preserve">controls the attribute poorly. High mannose carries the narrowest acceptance band</w:t>
      </w:r>
      <w:r>
        <w:t xml:space="preserve"> </w:t>
      </w:r>
      <w:r>
        <w:t xml:space="preserve">relative to the level the process runs at, at 3 to 10 %</w:t>
      </w:r>
      <w:r>
        <w:t xml:space="preserve"> </w:t>
      </w:r>
      <w:r>
        <w:t xml:space="preserve">around a mean of 6.0 %, and the attribute also</w:t>
      </w:r>
      <w:r>
        <w:t xml:space="preserve"> </w:t>
      </w:r>
      <w:r>
        <w:t xml:space="preserve">sits at very high criticality. Both facts about the attribute point the control strategy</w:t>
      </w:r>
      <w:r>
        <w:t xml:space="preserve"> </w:t>
      </w:r>
      <w:r>
        <w:t xml:space="preserve">at the two parameters that move it, which is what §10 does.</w:t>
      </w:r>
    </w:p>
    <w:p>
      <w:pPr>
        <w:pStyle w:val="BodyText"/>
      </w:pPr>
      <w:r>
        <w:t xml:space="preserve">The widest capability is the one for aggregates (hmw), at a Cpk of</w:t>
      </w:r>
      <w:r>
        <w:t xml:space="preserve"> </w:t>
      </w:r>
      <w:r>
        <w:t xml:space="preserve">16.1, and an index of that size does not mean the</w:t>
      </w:r>
      <w:r>
        <w:t xml:space="preserve"> </w:t>
      </w:r>
      <w:r>
        <w:t xml:space="preserve">process is 8 times better</w:t>
      </w:r>
      <w:r>
        <w:t xml:space="preserve"> </w:t>
      </w:r>
      <w:r>
        <w:t xml:space="preserve">controlled for aggregate than for high mannose. The index means the attribute sits far</w:t>
      </w:r>
      <w:r>
        <w:t xml:space="preserve"> </w:t>
      </w:r>
      <w:r>
        <w:t xml:space="preserve">from the limit that applies to it, at a simulated mean of</w:t>
      </w:r>
      <w:r>
        <w:t xml:space="preserve"> </w:t>
      </w:r>
      <w:r>
        <w:t xml:space="preserve">0.75 % against a criterion of</w:t>
      </w:r>
      <w:r>
        <w:t xml:space="preserve"> </w:t>
      </w:r>
      <w:r>
        <w:t xml:space="preserve">0 to 5 %, and the index should be read as showing that</w:t>
      </w:r>
      <w:r>
        <w:t xml:space="preserve"> </w:t>
      </w:r>
      <w:r>
        <w:t xml:space="preserve">aggregate does not constrain this step.</w:t>
      </w:r>
    </w:p>
    <w:p>
      <w:pPr>
        <w:pStyle w:val="BodyText"/>
      </w:pPr>
      <w:r>
        <w:t xml:space="preserve">Host cell protein and residual DNA appear in</w:t>
      </w:r>
      <w:r>
        <w:t xml:space="preserve"> </w:t>
      </w:r>
      <w:hyperlink w:anchor="tbl-cap">
        <w:r>
          <w:rPr>
            <w:rStyle w:val="Hyperlink"/>
          </w:rPr>
          <w:t xml:space="preserve">Table 15</w:t>
        </w:r>
      </w:hyperlink>
      <w:r>
        <w:t xml:space="preserve"> </w:t>
      </w:r>
      <w:r>
        <w:t xml:space="preserve">as drug substance outcomes, not as</w:t>
      </w:r>
      <w:r>
        <w:t xml:space="preserve"> </w:t>
      </w:r>
      <w:r>
        <w:t xml:space="preserve">bioreactor outputs. The bioreactor sets the burden entering the purification train, and</w:t>
      </w:r>
      <w:r>
        <w:t xml:space="preserve"> </w:t>
      </w:r>
      <w:r>
        <w:t xml:space="preserve">the capability shown for both is the result of that burden and the clearance the train</w:t>
      </w:r>
      <w:r>
        <w:t xml:space="preserve"> </w:t>
      </w:r>
      <w:r>
        <w:t xml:space="preserve">delivers. The clearance credit belongs to Protein A capture (PCR-005), cation exchange</w:t>
      </w:r>
      <w:r>
        <w:t xml:space="preserve"> </w:t>
      </w:r>
      <w:r>
        <w:t xml:space="preserve">(PCR-007) and anion exchange (PCR-008), and the consolidated position is in PCMR-001.</w:t>
      </w:r>
    </w:p>
    <w:p>
      <w:pPr>
        <w:pStyle w:val="BodyText"/>
      </w:pPr>
      <w:r>
        <w:t xml:space="preserve">Two bounds apply to every index in</w:t>
      </w:r>
      <w:r>
        <w:t xml:space="preserve"> </w:t>
      </w:r>
      <w:hyperlink w:anchor="tbl-cap">
        <w:r>
          <w:rPr>
            <w:rStyle w:val="Hyperlink"/>
          </w:rPr>
          <w:t xml:space="preserve">Table 15</w:t>
        </w:r>
      </w:hyperlink>
      <w:r>
        <w:t xml:space="preserve">. Each is estimated from a qualified scale</w:t>
      </w:r>
      <w:r>
        <w:t xml:space="preserve"> </w:t>
      </w:r>
      <w:r>
        <w:t xml:space="preserve">down model with the parameters inside their normal operating ranges, and none is a</w:t>
      </w:r>
      <w:r>
        <w:t xml:space="preserve"> </w:t>
      </w:r>
      <w:r>
        <w:t xml:space="preserve">measurement at commercial scale. The simulation also assumes that the parameters vary</w:t>
      </w:r>
      <w:r>
        <w:t xml:space="preserve"> </w:t>
      </w:r>
      <w:r>
        <w:t xml:space="preserve">independently inside those ranges, which is why the corner analysis in §7 is reported</w:t>
      </w:r>
      <w:r>
        <w:t xml:space="preserve"> </w:t>
      </w:r>
      <w:r>
        <w:t xml:space="preserve">alongside it.</w:t>
      </w:r>
    </w:p>
    <w:bookmarkEnd w:id="144"/>
    <w:bookmarkStart w:id="145" w:name="parameter-classification"/>
    <w:p>
      <w:pPr>
        <w:pStyle w:val="Heading1"/>
      </w:pPr>
      <w:r>
        <w:t xml:space="preserve">9. Parameter classification</w:t>
      </w:r>
    </w:p>
    <w:p>
      <w:pPr>
        <w:pStyle w:val="FirstParagraph"/>
      </w:pPr>
      <w:r>
        <w:t xml:space="preserve">Classification follows the decision logic for process parameters (SOP-4001) and the</w:t>
      </w:r>
      <w:r>
        <w:t xml:space="preserve"> </w:t>
      </w:r>
      <w:r>
        <w:t xml:space="preserve">continuum of criticality in</w:t>
      </w:r>
      <w:r>
        <w:t xml:space="preserve"> </w:t>
      </w:r>
      <w:r>
        <w:t xml:space="preserve">(International Council for Harmonisation 2023)</w:t>
      </w:r>
      <w:r>
        <w:t xml:space="preserve">. A parameter whose variability affects a critical</w:t>
      </w:r>
      <w:r>
        <w:t xml:space="preserve"> </w:t>
      </w:r>
      <w:r>
        <w:t xml:space="preserve">quality attribute is critical, and the distinction between a critical process parameter</w:t>
      </w:r>
      <w:r>
        <w:t xml:space="preserve"> </w:t>
      </w:r>
      <w:r>
        <w:t xml:space="preserve">and a well controlled critical process parameter is the risk of leaving the design</w:t>
      </w:r>
      <w:r>
        <w:t xml:space="preserve"> </w:t>
      </w:r>
      <w:r>
        <w:t xml:space="preserve">space, not the size of the effect</w:t>
      </w:r>
      <w:r>
        <w:t xml:space="preserve"> </w:t>
      </w:r>
      <w:r>
        <w:t xml:space="preserve">(CMC Biotech Working Group 2009)</w:t>
      </w:r>
      <w:r>
        <w:t xml:space="preserve">. The outcome for every parameter appears</w:t>
      </w:r>
      <w:r>
        <w:t xml:space="preserve"> </w:t>
      </w:r>
      <w:r>
        <w:t xml:space="preserve">in</w:t>
      </w:r>
      <w:r>
        <w:t xml:space="preserve"> </w:t>
      </w:r>
      <w:hyperlink w:anchor="tbl-params">
        <w:r>
          <w:rPr>
            <w:rStyle w:val="Hyperlink"/>
          </w:rPr>
          <w:t xml:space="preserve">Table 5</w:t>
        </w:r>
      </w:hyperlink>
      <w:r>
        <w:t xml:space="preserve">, and the rationale for each is below.</w:t>
      </w:r>
    </w:p>
    <w:p>
      <w:pPr>
        <w:pStyle w:val="Compact"/>
        <w:numPr>
          <w:ilvl w:val="0"/>
          <w:numId w:val="1007"/>
        </w:numPr>
      </w:pPr>
      <w:r>
        <w:t xml:space="preserve">Culture pH is a WC-CPP because it reaches significance on all 5 responses</w:t>
      </w:r>
      <w:r>
        <w:t xml:space="preserve"> </w:t>
      </w:r>
      <w:r>
        <w:t xml:space="preserve">of the response surface model, including the largest effect on high mannose, and because</w:t>
      </w:r>
      <w:r>
        <w:t xml:space="preserve"> </w:t>
      </w:r>
      <w:r>
        <w:t xml:space="preserve">the control</w:t>
      </w:r>
      <w:r>
        <w:t xml:space="preserve"> </w:t>
      </w:r>
      <w:r>
        <w:t xml:space="preserve">system holds it to 6.75 to 6.95 against a proven acceptable range that covers the</w:t>
      </w:r>
      <w:r>
        <w:t xml:space="preserve"> </w:t>
      </w:r>
      <w:r>
        <w:t xml:space="preserve">whole characterized span at set-point (</w:t>
      </w:r>
      <w:hyperlink w:anchor="tbl-par">
        <w:r>
          <w:rPr>
            <w:rStyle w:val="Hyperlink"/>
          </w:rPr>
          <w:t xml:space="preserve">Table 14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Culture temperature is a WC-CPP because it moves galactosylation, high mannose and acidic</w:t>
      </w:r>
      <w:r>
        <w:t xml:space="preserve"> </w:t>
      </w:r>
      <w:r>
        <w:t xml:space="preserve">variants, and jacketed control holds it to 34.5 to 35.5 °C inside a</w:t>
      </w:r>
      <w:r>
        <w:t xml:space="preserve"> </w:t>
      </w:r>
      <w:r>
        <w:t xml:space="preserve">characterized range of 34 to 36 °C.</w:t>
      </w:r>
    </w:p>
    <w:p>
      <w:pPr>
        <w:pStyle w:val="Compact"/>
        <w:numPr>
          <w:ilvl w:val="0"/>
          <w:numId w:val="1007"/>
        </w:numPr>
      </w:pPr>
      <w:r>
        <w:t xml:space="preserve">Dissolved carbon dioxide is a WC-CPP because it carries the largest effect in the study</w:t>
      </w:r>
      <w:r>
        <w:t xml:space="preserve"> </w:t>
      </w:r>
      <w:r>
        <w:t xml:space="preserve">on acidic variants and a substantial effect on galactosylation, and sparge control holds</w:t>
      </w:r>
      <w:r>
        <w:t xml:space="preserve"> </w:t>
      </w:r>
      <w:r>
        <w:t xml:space="preserve">it to 70 to 130 mmHg. Dissolved carbon dioxide is also the parameter most</w:t>
      </w:r>
      <w:r>
        <w:t xml:space="preserve"> </w:t>
      </w:r>
      <w:r>
        <w:t xml:space="preserve">exposed to scale, which is why the characterized range reaches 40 to 160 mmHg.</w:t>
      </w:r>
    </w:p>
    <w:p>
      <w:pPr>
        <w:pStyle w:val="Compact"/>
        <w:numPr>
          <w:ilvl w:val="0"/>
          <w:numId w:val="1007"/>
        </w:numPr>
      </w:pPr>
      <w:r>
        <w:t xml:space="preserve">Osmolality is a WC-CPP because screening resolved effects on galactosylation and acidic</w:t>
      </w:r>
      <w:r>
        <w:t xml:space="preserve"> </w:t>
      </w:r>
      <w:r>
        <w:t xml:space="preserve">variants, and although the parameter was not carried into the response surface design,</w:t>
      </w:r>
      <w:r>
        <w:t xml:space="preserve"> </w:t>
      </w:r>
      <w:r>
        <w:t xml:space="preserve">the medium and feed recipe holds it to 375 to 425 mOsm. Classification</w:t>
      </w:r>
      <w:r>
        <w:t xml:space="preserve"> </w:t>
      </w:r>
      <w:r>
        <w:t xml:space="preserve">on the screening result and on the recipe control (SOP-2004) is the conservative reading</w:t>
      </w:r>
      <w:r>
        <w:t xml:space="preserve"> </w:t>
      </w:r>
      <w:r>
        <w:t xml:space="preserve">of a factor that was not modelled further.</w:t>
      </w:r>
    </w:p>
    <w:p>
      <w:pPr>
        <w:pStyle w:val="Compact"/>
        <w:numPr>
          <w:ilvl w:val="0"/>
          <w:numId w:val="1007"/>
        </w:numPr>
      </w:pPr>
      <w:r>
        <w:t xml:space="preserve">Culture duration is a WC-CPP because it carries the largest main effect on galactosylation</w:t>
      </w:r>
      <w:r>
        <w:t xml:space="preserve"> </w:t>
      </w:r>
      <w:r>
        <w:t xml:space="preserve">and on afucosylation and sets the harvest impurity burden of the step, and the harvest</w:t>
      </w:r>
      <w:r>
        <w:t xml:space="preserve"> </w:t>
      </w:r>
      <w:r>
        <w:t xml:space="preserve">schedule holds it to 16 to 18 days inside a characterized range of</w:t>
      </w:r>
      <w:r>
        <w:t xml:space="preserve"> </w:t>
      </w:r>
      <w:r>
        <w:t xml:space="preserve">15 to 19 days.</w:t>
      </w:r>
    </w:p>
    <w:p>
      <w:pPr>
        <w:pStyle w:val="Compact"/>
        <w:numPr>
          <w:ilvl w:val="0"/>
          <w:numId w:val="1007"/>
        </w:numPr>
      </w:pPr>
      <w:r>
        <w:t xml:space="preserve">Dissolved oxygen is a KPP because the univariate assessment linked it to growth and</w:t>
      </w:r>
      <w:r>
        <w:t xml:space="preserve"> </w:t>
      </w:r>
      <w:r>
        <w:t xml:space="preserve">productivity with no measurable link to a quality attribute, and the vessel controls it</w:t>
      </w:r>
      <w:r>
        <w:t xml:space="preserve"> </w:t>
      </w:r>
      <w:r>
        <w:t xml:space="preserve">to 40 to 60 % of saturation (process consistency depends on it).</w:t>
      </w:r>
    </w:p>
    <w:p>
      <w:pPr>
        <w:pStyle w:val="Compact"/>
        <w:numPr>
          <w:ilvl w:val="0"/>
          <w:numId w:val="1007"/>
        </w:numPr>
      </w:pPr>
      <w:r>
        <w:t xml:space="preserve">Initial viable cell concentration is a KPP on the same basis, since the seed train</w:t>
      </w:r>
      <w:r>
        <w:t xml:space="preserve"> </w:t>
      </w:r>
      <w:r>
        <w:t xml:space="preserve">delivers it to 0.8 to 1.2 × 10⁶ cells/mL and the parameter sets the growth</w:t>
      </w:r>
      <w:r>
        <w:t xml:space="preserve"> </w:t>
      </w:r>
      <w:r>
        <w:t xml:space="preserve">trajectory without changing the released profile.</w:t>
      </w:r>
    </w:p>
    <w:p>
      <w:pPr>
        <w:pStyle w:val="Compact"/>
        <w:numPr>
          <w:ilvl w:val="0"/>
          <w:numId w:val="1007"/>
        </w:numPr>
      </w:pPr>
      <w:r>
        <w:t xml:space="preserve">Nutrient feed-1 volume is a KPP because the feed schedule delivers</w:t>
      </w:r>
      <w:r>
        <w:t xml:space="preserve"> </w:t>
      </w:r>
      <w:r>
        <w:t xml:space="preserve">10 to 14 % of working volume and the parameter governs titre with no</w:t>
      </w:r>
      <w:r>
        <w:t xml:space="preserve"> </w:t>
      </w:r>
      <w:r>
        <w:t xml:space="preserve">measured effect on product quality.</w:t>
      </w:r>
    </w:p>
    <w:p>
      <w:pPr>
        <w:pStyle w:val="Compact"/>
        <w:numPr>
          <w:ilvl w:val="0"/>
          <w:numId w:val="1007"/>
        </w:numPr>
      </w:pPr>
      <w:r>
        <w:t xml:space="preserve">Basal medium concentration is a GPP because the univariate assessment over</w:t>
      </w:r>
      <w:r>
        <w:t xml:space="preserve"> </w:t>
      </w:r>
      <w:r>
        <w:t xml:space="preserve">0.8 to 1.6 X found no link to product quality, and none to process</w:t>
      </w:r>
      <w:r>
        <w:t xml:space="preserve"> </w:t>
      </w:r>
      <w:r>
        <w:t xml:space="preserve">performance that would require control beyond the recipe (SOP-2004).</w:t>
      </w:r>
    </w:p>
    <w:p>
      <w:pPr>
        <w:pStyle w:val="FirstParagraph"/>
      </w:pPr>
      <w:r>
        <w:t xml:space="preserve">No parameter at this step is classified as a critical process parameter. The</w:t>
      </w:r>
      <w:r>
        <w:t xml:space="preserve"> </w:t>
      </w:r>
      <w:r>
        <w:t xml:space="preserve">5 quality linked parameters are all held by the control system inside</w:t>
      </w:r>
      <w:r>
        <w:t xml:space="preserve"> </w:t>
      </w:r>
      <w:r>
        <w:t xml:space="preserve">ranges this study proved acceptable, the risk of an unnoticed excursion outside the</w:t>
      </w:r>
      <w:r>
        <w:t xml:space="preserve"> </w:t>
      </w:r>
      <w:r>
        <w:t xml:space="preserve">design space is correspondingly low, and that outcome matches the platform record for</w:t>
      </w:r>
      <w:r>
        <w:t xml:space="preserve"> </w:t>
      </w:r>
      <w:r>
        <w:t xml:space="preserve">the step</w:t>
      </w:r>
      <w:r>
        <w:t xml:space="preserve"> </w:t>
      </w:r>
      <w:r>
        <w:t xml:space="preserve">(CMC Biotech Working Group 2009)</w:t>
      </w:r>
      <w:r>
        <w:t xml:space="preserve">.</w:t>
      </w:r>
    </w:p>
    <w:p>
      <w:pPr>
        <w:pStyle w:val="BodyText"/>
      </w:pPr>
      <w:r>
        <w:t xml:space="preserve">Finally, null results were classified rather than dropped. Osmolality, dissolved carbon</w:t>
      </w:r>
      <w:r>
        <w:t xml:space="preserve"> </w:t>
      </w:r>
      <w:r>
        <w:t xml:space="preserve">dioxide and culture duration produce no measurable effect on high mannose across ranges</w:t>
      </w:r>
      <w:r>
        <w:t xml:space="preserve"> </w:t>
      </w:r>
      <w:r>
        <w:t xml:space="preserve">that are 1.6 to 2.5 times the width of</w:t>
      </w:r>
      <w:r>
        <w:t xml:space="preserve"> </w:t>
      </w:r>
      <w:r>
        <w:t xml:space="preserve">the control ranges, and that absence is evidence of robustness for the attribute of</w:t>
      </w:r>
      <w:r>
        <w:t xml:space="preserve"> </w:t>
      </w:r>
      <w:r>
        <w:t xml:space="preserve">highest criticality at this step. Those three culture parameters stay in the knowledge</w:t>
      </w:r>
      <w:r>
        <w:t xml:space="preserve"> </w:t>
      </w:r>
      <w:r>
        <w:t xml:space="preserve">space on that basis, and the evidence is bounded by the ranges screened.</w:t>
      </w:r>
    </w:p>
    <w:bookmarkEnd w:id="145"/>
    <w:bookmarkStart w:id="146" w:name="contribution-to-the-control-strategy"/>
    <w:p>
      <w:pPr>
        <w:pStyle w:val="Heading1"/>
      </w:pPr>
      <w:r>
        <w:t xml:space="preserve">10. Contribution to the control strategy</w:t>
      </w:r>
    </w:p>
    <w:p>
      <w:pPr>
        <w:pStyle w:val="FirstParagraph"/>
      </w:pPr>
      <w:r>
        <w:t xml:space="preserve">Within the control strategy for A-Mab drug substance, the production bioreactor</w:t>
      </w:r>
      <w:r>
        <w:t xml:space="preserve"> </w:t>
      </w:r>
      <w:r>
        <w:t xml:space="preserve">contributes four elements, and each is stated below with the range or the document that</w:t>
      </w:r>
      <w:r>
        <w:t xml:space="preserve"> </w:t>
      </w:r>
      <w:r>
        <w:t xml:space="preserve">carries it.</w:t>
      </w:r>
    </w:p>
    <w:p>
      <w:pPr>
        <w:pStyle w:val="BodyText"/>
      </w:pPr>
      <w:r>
        <w:t xml:space="preserve">The first element is parameter control: 5 quality linked parameters are</w:t>
      </w:r>
      <w:r>
        <w:t xml:space="preserve"> </w:t>
      </w:r>
      <w:r>
        <w:t xml:space="preserve">controlled to the normal operating ranges in</w:t>
      </w:r>
      <w:r>
        <w:t xml:space="preserve"> </w:t>
      </w:r>
      <w:hyperlink w:anchor="tbl-params">
        <w:r>
          <w:rPr>
            <w:rStyle w:val="Hyperlink"/>
          </w:rPr>
          <w:t xml:space="preserve">Table 5</w:t>
        </w:r>
      </w:hyperlink>
      <w:r>
        <w:t xml:space="preserve">, which lie inside the design</w:t>
      </w:r>
      <w:r>
        <w:t xml:space="preserve"> </w:t>
      </w:r>
      <w:r>
        <w:t xml:space="preserve">space (§6) apart from the corner identified in §7. Two of those parameters, culture pH and culture temperature, carry the most</w:t>
      </w:r>
      <w:r>
        <w:t xml:space="preserve"> </w:t>
      </w:r>
      <w:r>
        <w:t xml:space="preserve">weight, because they are the two that move high mannose, the attribute with the tightest</w:t>
      </w:r>
      <w:r>
        <w:t xml:space="preserve"> </w:t>
      </w:r>
      <w:r>
        <w:t xml:space="preserve">capability at this step.</w:t>
      </w:r>
    </w:p>
    <w:p>
      <w:pPr>
        <w:pStyle w:val="BodyText"/>
      </w:pPr>
      <w:r>
        <w:t xml:space="preserve">The second element is in-process monitoring against the limits used in §6 and §7, which</w:t>
      </w:r>
      <w:r>
        <w:t xml:space="preserve"> </w:t>
      </w:r>
      <w:r>
        <w:t xml:space="preserve">sit inside the drug substance criteria by construction, at 2.5</w:t>
      </w:r>
      <w:r>
        <w:t xml:space="preserve"> </w:t>
      </w:r>
      <w:r>
        <w:t xml:space="preserve">standard deviations above the simulated mean for the attributes the train does not</w:t>
      </w:r>
      <w:r>
        <w:t xml:space="preserve"> </w:t>
      </w:r>
      <w:r>
        <w:t xml:space="preserve">modify. An excursion above one of those limits triggers investigation of the culture</w:t>
      </w:r>
      <w:r>
        <w:t xml:space="preserve"> </w:t>
      </w:r>
      <w:r>
        <w:t xml:space="preserve">rather than rejection of the batch, and the corner analysis in §7 shows which</w:t>
      </w:r>
      <w:r>
        <w:t xml:space="preserve"> </w:t>
      </w:r>
      <w:r>
        <w:t xml:space="preserve">combinations of parameter settings would produce one.</w:t>
      </w:r>
    </w:p>
    <w:p>
      <w:pPr>
        <w:pStyle w:val="BodyText"/>
      </w:pPr>
      <w:r>
        <w:t xml:space="preserve">The third element is release testing, under which the glycan profile, the charge variant</w:t>
      </w:r>
      <w:r>
        <w:t xml:space="preserve"> </w:t>
      </w:r>
      <w:r>
        <w:t xml:space="preserve">profile and the size variant profile of the drug substance are tested against the</w:t>
      </w:r>
      <w:r>
        <w:t xml:space="preserve"> </w:t>
      </w:r>
      <w:r>
        <w:t xml:space="preserve">criteria in</w:t>
      </w:r>
      <w:r>
        <w:t xml:space="preserve"> </w:t>
      </w:r>
      <w:hyperlink w:anchor="tbl-cq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by the methods in</w:t>
      </w:r>
      <w:r>
        <w:t xml:space="preserve"> </w:t>
      </w:r>
      <w:hyperlink w:anchor="tbl-sop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(AMV-3010, AMV-3011, AMV-3013). Testing</w:t>
      </w:r>
      <w:r>
        <w:t xml:space="preserve"> </w:t>
      </w:r>
      <w:r>
        <w:t xml:space="preserve">confirms the outcome; the parameter ranges and the in-process limits are what assure it.</w:t>
      </w:r>
    </w:p>
    <w:p>
      <w:pPr>
        <w:pStyle w:val="BodyText"/>
      </w:pPr>
      <w:r>
        <w:t xml:space="preserve">The fourth element is the input the step provides to the purification train, where host</w:t>
      </w:r>
      <w:r>
        <w:t xml:space="preserve"> </w:t>
      </w:r>
      <w:r>
        <w:t xml:space="preserve">cell protein and residual DNA leave this step far above the drug substance criteria and</w:t>
      </w:r>
      <w:r>
        <w:t xml:space="preserve"> </w:t>
      </w:r>
      <w:r>
        <w:t xml:space="preserve">culture duration is the parameter that sets both burdens. Holding duration to</w:t>
      </w:r>
      <w:r>
        <w:t xml:space="preserve"> </w:t>
      </w:r>
      <w:r>
        <w:t xml:space="preserve">16 to 18 days therefore bounds the load that Protein A capture, cation</w:t>
      </w:r>
      <w:r>
        <w:t xml:space="preserve"> </w:t>
      </w:r>
      <w:r>
        <w:t xml:space="preserve">exchange and anion exchange must clear, and the clearance itself is characterized in</w:t>
      </w:r>
      <w:r>
        <w:t xml:space="preserve"> </w:t>
      </w:r>
      <w:r>
        <w:t xml:space="preserve">PCR-005, PCR-007 and PCR-008.</w:t>
      </w:r>
    </w:p>
    <w:p>
      <w:pPr>
        <w:pStyle w:val="BodyText"/>
      </w:pPr>
      <w:r>
        <w:t xml:space="preserve">Two things this step does not do should be equally clear. The step does not control host</w:t>
      </w:r>
      <w:r>
        <w:t xml:space="preserve"> </w:t>
      </w:r>
      <w:r>
        <w:t xml:space="preserve">cell protein or residual DNA to the drug substance criteria, and makes no viral clearance</w:t>
      </w:r>
      <w:r>
        <w:t xml:space="preserve"> </w:t>
      </w:r>
      <w:r>
        <w:t xml:space="preserve">claim of any kind. The consolidated control strategy, including the cumulative viral</w:t>
      </w:r>
      <w:r>
        <w:t xml:space="preserve"> </w:t>
      </w:r>
      <w:r>
        <w:t xml:space="preserve">clearance and the cross step credit for the shared attributes, is in PCMR-001.</w:t>
      </w:r>
    </w:p>
    <w:bookmarkEnd w:id="146"/>
    <w:bookmarkStart w:id="147" w:name="discussion"/>
    <w:p>
      <w:pPr>
        <w:pStyle w:val="Heading1"/>
      </w:pPr>
      <w:r>
        <w:t xml:space="preserve">11. Discussion</w:t>
      </w:r>
    </w:p>
    <w:p>
      <w:pPr>
        <w:pStyle w:val="FirstParagraph"/>
      </w:pPr>
      <w:r>
        <w:t xml:space="preserve">After both designed experiments, the step is understood well enough to define a design</w:t>
      </w:r>
      <w:r>
        <w:t xml:space="preserve"> </w:t>
      </w:r>
      <w:r>
        <w:t xml:space="preserve">space and to justify the ranges Stage 2 will run. A screening design ranked the</w:t>
      </w:r>
      <w:r>
        <w:t xml:space="preserve"> </w:t>
      </w:r>
      <w:r>
        <w:t xml:space="preserve">5 factors and a response surface design modelled the region defined by</w:t>
      </w:r>
      <w:r>
        <w:t xml:space="preserve"> </w:t>
      </w:r>
      <w:r>
        <w:t xml:space="preserve">the 4 that screening retained: culture pH, culture temperature, culture duration and dissolved CO2 (pCO2). The mechanistic</w:t>
      </w:r>
      <w:r>
        <w:t xml:space="preserve"> </w:t>
      </w:r>
      <w:r>
        <w:t xml:space="preserve">expectations carried into the study were confirmed for every response except acidic</w:t>
      </w:r>
      <w:r>
        <w:t xml:space="preserve"> </w:t>
      </w:r>
      <w:r>
        <w:t xml:space="preserve">variants, and the effects that matter most are the ones prior knowledge predicted would</w:t>
      </w:r>
      <w:r>
        <w:t xml:space="preserve"> </w:t>
      </w:r>
      <w:r>
        <w:t xml:space="preserve">matter.</w:t>
      </w:r>
    </w:p>
    <w:p>
      <w:pPr>
        <w:pStyle w:val="BodyText"/>
      </w:pPr>
      <w:r>
        <w:t xml:space="preserve">Confidence in the scale down model is the load bearing assumption of everything above.</w:t>
      </w:r>
      <w:r>
        <w:t xml:space="preserve"> </w:t>
      </w:r>
      <w:r>
        <w:t xml:space="preserve">Reproducibility of the model at the centre point runs from</w:t>
      </w:r>
      <w:r>
        <w:t xml:space="preserve"> </w:t>
      </w:r>
      <w:r>
        <w:t xml:space="preserve">4.1 % to 9.9 % relative standard</w:t>
      </w:r>
      <w:r>
        <w:t xml:space="preserve"> </w:t>
      </w:r>
      <w:r>
        <w:t xml:space="preserve">deviation, most of which is analytical, and the qualification under SOP-1001 matched the</w:t>
      </w:r>
      <w:r>
        <w:t xml:space="preserve"> </w:t>
      </w:r>
      <w:r>
        <w:t xml:space="preserve">model to at-scale data on the attributes this study measures. However, a scale down</w:t>
      </w:r>
      <w:r>
        <w:t xml:space="preserve"> </w:t>
      </w:r>
      <w:r>
        <w:t xml:space="preserve">model reproduces the response of a culture to the controlled parameters, not the</w:t>
      </w:r>
      <w:r>
        <w:t xml:space="preserve"> </w:t>
      </w:r>
      <w:r>
        <w:t xml:space="preserve">variability a commercial vessel adds. Design spaces are not confirmed at scale at the</w:t>
      </w:r>
      <w:r>
        <w:t xml:space="preserve"> </w:t>
      </w:r>
      <w:r>
        <w:t xml:space="preserve">edges of the ranges, and this one is no exception.</w:t>
      </w:r>
    </w:p>
    <w:p>
      <w:pPr>
        <w:pStyle w:val="BodyText"/>
      </w:pPr>
      <w:r>
        <w:t xml:space="preserve">Three limitations qualify the conclusions, and each is managed forward with a named</w:t>
      </w:r>
      <w:r>
        <w:t xml:space="preserve"> </w:t>
      </w:r>
      <w:r>
        <w:t xml:space="preserve">control. The first limitation is the omission of osmolality from the response surface</w:t>
      </w:r>
      <w:r>
        <w:t xml:space="preserve"> </w:t>
      </w:r>
      <w:r>
        <w:t xml:space="preserve">design, where screening resolved a temperature by osmolality interaction on</w:t>
      </w:r>
      <w:r>
        <w:t xml:space="preserve"> </w:t>
      </w:r>
      <w:r>
        <w:t xml:space="preserve">galactosylation of 3.7</w:t>
      </w:r>
      <w:r>
        <w:t xml:space="preserve"> </w:t>
      </w:r>
      <w:r>
        <w:t xml:space="preserve">percentage points (p =</w:t>
      </w:r>
      <w:r>
        <w:t xml:space="preserve"> </w:t>
      </w:r>
      <w:r>
        <w:t xml:space="preserve">0.002) and this report</w:t>
      </w:r>
      <w:r>
        <w:t xml:space="preserve"> </w:t>
      </w:r>
      <w:r>
        <w:t xml:space="preserve">claims nothing predictive about that term. Osmolality is managed by recipe control to</w:t>
      </w:r>
      <w:r>
        <w:t xml:space="preserve"> </w:t>
      </w:r>
      <w:r>
        <w:t xml:space="preserve">375 to 425 mOsm and by the WC-CPP classification, and a move of the</w:t>
      </w:r>
      <w:r>
        <w:t xml:space="preserve"> </w:t>
      </w:r>
      <w:r>
        <w:t xml:space="preserve">medium or the feed strategy would require the interaction to be studied properly.</w:t>
      </w:r>
    </w:p>
    <w:p>
      <w:pPr>
        <w:pStyle w:val="BodyText"/>
      </w:pPr>
      <w:r>
        <w:t xml:space="preserve">The second limitation is the strength of the lack of fit evidence: all 5</w:t>
      </w:r>
      <w:r>
        <w:t xml:space="preserve"> </w:t>
      </w:r>
      <w:r>
        <w:t xml:space="preserve">models pass the test, and the test rests on 3</w:t>
      </w:r>
      <w:r>
        <w:t xml:space="preserve"> </w:t>
      </w:r>
      <w:r>
        <w:t xml:space="preserve">degrees of freedom of pure error. Therefore a passing test bounds the evidence for the</w:t>
      </w:r>
      <w:r>
        <w:t xml:space="preserve"> </w:t>
      </w:r>
      <w:r>
        <w:t xml:space="preserve">model form without establishing it. For this reason the weakest model of the five is</w:t>
      </w:r>
      <w:r>
        <w:t xml:space="preserve"> </w:t>
      </w:r>
      <w:r>
        <w:t xml:space="preserve">acidic variants (p = 0.15), which also carries</w:t>
      </w:r>
      <w:r>
        <w:t xml:space="preserve"> </w:t>
      </w:r>
      <w:r>
        <w:t xml:space="preserve">the lowest predicted R² at 0.60. The very low criticality of that</w:t>
      </w:r>
      <w:r>
        <w:t xml:space="preserve"> </w:t>
      </w:r>
      <w:r>
        <w:t xml:space="preserve">attribute and the wide acceptance band are what make that acceptable, and the model is</w:t>
      </w:r>
      <w:r>
        <w:t xml:space="preserve"> </w:t>
      </w:r>
      <w:r>
        <w:t xml:space="preserve">used only to bound a range and not to predict a batch.</w:t>
      </w:r>
    </w:p>
    <w:p>
      <w:pPr>
        <w:pStyle w:val="BodyText"/>
      </w:pPr>
      <w:r>
        <w:t xml:space="preserve">The third limitation is the univariate treatment of dissolved oxygen, initial viable cell conc., basal medium concentration and nutrient feed-1 volume, since</w:t>
      </w:r>
      <w:r>
        <w:t xml:space="preserve"> </w:t>
      </w:r>
      <w:r>
        <w:t xml:space="preserve">interactions between those four parameters and the five multivariate factors were not</w:t>
      </w:r>
      <w:r>
        <w:t xml:space="preserve"> </w:t>
      </w:r>
      <w:r>
        <w:t xml:space="preserve">studied. The classifications of those parameters in §9 rest on univariate evidence and</w:t>
      </w:r>
      <w:r>
        <w:t xml:space="preserve"> </w:t>
      </w:r>
      <w:r>
        <w:t xml:space="preserve">on the platform record, and a proposed change to two of them together falls outside this</w:t>
      </w:r>
      <w:r>
        <w:t xml:space="preserve"> </w:t>
      </w:r>
      <w:r>
        <w:t xml:space="preserve">report.</w:t>
      </w:r>
    </w:p>
    <w:p>
      <w:pPr>
        <w:pStyle w:val="BodyText"/>
      </w:pPr>
      <w:r>
        <w:t xml:space="preserve">The deviations recorded during execution are summarized below (§13). Both were impact</w:t>
      </w:r>
      <w:r>
        <w:t xml:space="preserve"> </w:t>
      </w:r>
      <w:r>
        <w:t xml:space="preserve">assessed before the affected data were used: the dissolved carbon dioxide probe offset of</w:t>
      </w:r>
      <w:r>
        <w:t xml:space="preserve"> </w:t>
      </w:r>
      <w:r>
        <w:t xml:space="preserve">6.5 mmHg is smaller than the reproducibility of</w:t>
      </w:r>
      <w:r>
        <w:t xml:space="preserve"> </w:t>
      </w:r>
      <w:r>
        <w:t xml:space="preserve">every response it could affect, and the nutrient feed shortfall of</w:t>
      </w:r>
      <w:r>
        <w:t xml:space="preserve"> </w:t>
      </w:r>
      <w:r>
        <w:t xml:space="preserve">4.2 % left the delivered volume inside the</w:t>
      </w:r>
      <w:r>
        <w:t xml:space="preserve"> </w:t>
      </w:r>
      <w:r>
        <w:t xml:space="preserve">normal operating range. Neither altered a fitted effect, a classification or a range.</w:t>
      </w:r>
    </w:p>
    <w:p>
      <w:pPr>
        <w:pStyle w:val="BodyText"/>
      </w:pPr>
      <w:r>
        <w:t xml:space="preserve">No parameter at this step required the most stringent control class. The five quality</w:t>
      </w:r>
      <w:r>
        <w:t xml:space="preserve"> </w:t>
      </w:r>
      <w:r>
        <w:t xml:space="preserve">linked parameters are all well controlled critical process parameters, because the</w:t>
      </w:r>
      <w:r>
        <w:t xml:space="preserve"> </w:t>
      </w:r>
      <w:r>
        <w:t xml:space="preserve">control system holds each of them inside a range this study proved acceptable and an</w:t>
      </w:r>
      <w:r>
        <w:t xml:space="preserve"> </w:t>
      </w:r>
      <w:r>
        <w:t xml:space="preserve">excursion would be detected in process. The parameter closest to needing more is culture</w:t>
      </w:r>
      <w:r>
        <w:t xml:space="preserve"> </w:t>
      </w:r>
      <w:r>
        <w:t xml:space="preserve">pH, since it moves every response including the one with the tightest capability, and the</w:t>
      </w:r>
      <w:r>
        <w:t xml:space="preserve"> </w:t>
      </w:r>
      <w:r>
        <w:t xml:space="preserve">co-varied proven acceptable range for culture pH in</w:t>
      </w:r>
      <w:r>
        <w:t xml:space="preserve"> </w:t>
      </w:r>
      <w:hyperlink w:anchor="tbl-par">
        <w:r>
          <w:rPr>
            <w:rStyle w:val="Hyperlink"/>
          </w:rPr>
          <w:t xml:space="preserve">Table 14</w:t>
        </w:r>
      </w:hyperlink>
      <w:r>
        <w:t xml:space="preserve"> </w:t>
      </w:r>
      <w:r>
        <w:t xml:space="preserve">falls short of the</w:t>
      </w:r>
      <w:r>
        <w:t xml:space="preserve"> </w:t>
      </w:r>
      <w:r>
        <w:t xml:space="preserve">characterization range for every one of them.</w:t>
      </w:r>
    </w:p>
    <w:bookmarkEnd w:id="147"/>
    <w:bookmarkStart w:id="148" w:name="conclusions"/>
    <w:p>
      <w:pPr>
        <w:pStyle w:val="Heading1"/>
      </w:pPr>
      <w:r>
        <w:t xml:space="preserve">12. Conclusions</w:t>
      </w:r>
    </w:p>
    <w:p>
      <w:pPr>
        <w:pStyle w:val="FirstParagraph"/>
      </w:pPr>
      <w:r>
        <w:t xml:space="preserve">The production bioreactor is characterized and the operating region is defined, on a</w:t>
      </w:r>
      <w:r>
        <w:t xml:space="preserve"> </w:t>
      </w:r>
      <w:r>
        <w:t xml:space="preserve">response surface model over culture pH, culture temperature, culture duration and dissolved CO2 (pCO2) that describes the 5</w:t>
      </w:r>
      <w:r>
        <w:t xml:space="preserve"> </w:t>
      </w:r>
      <w:r>
        <w:t xml:space="preserve">attributes the step forms at an R² of 91.1% or better and with no</w:t>
      </w:r>
      <w:r>
        <w:t xml:space="preserve"> </w:t>
      </w:r>
      <w:r>
        <w:t xml:space="preserve">significant lack of fit against the centre point replicates.</w:t>
      </w:r>
    </w:p>
    <w:p>
      <w:pPr>
        <w:pStyle w:val="BodyText"/>
      </w:pPr>
      <w:r>
        <w:t xml:space="preserve">That operating region is the multivariate space in those four parameters over which</w:t>
      </w:r>
      <w:r>
        <w:t xml:space="preserve"> </w:t>
      </w:r>
      <w:r>
        <w:t xml:space="preserve">every governed attribute stays within the in-process criterion, and it covers</w:t>
      </w:r>
      <w:r>
        <w:t xml:space="preserve"> </w:t>
      </w:r>
      <w:r>
        <w:t xml:space="preserve">57 % of the characterized grid. The normal operating ranges in</w:t>
      </w:r>
      <w:r>
        <w:t xml:space="preserve"> </w:t>
      </w:r>
      <w:hyperlink w:anchor="tbl-params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lie inside the region apart from the single corner reported in §7. Proven</w:t>
      </w:r>
      <w:r>
        <w:t xml:space="preserve"> </w:t>
      </w:r>
      <w:r>
        <w:t xml:space="preserve">acceptable ranges are reported per attribute and per parameter in</w:t>
      </w:r>
      <w:r>
        <w:t xml:space="preserve"> </w:t>
      </w:r>
      <w:hyperlink w:anchor="tbl-par">
        <w:r>
          <w:rPr>
            <w:rStyle w:val="Hyperlink"/>
          </w:rPr>
          <w:t xml:space="preserve">Table 14</w:t>
        </w:r>
      </w:hyperlink>
      <w:r>
        <w:t xml:space="preserve">, under both</w:t>
      </w:r>
      <w:r>
        <w:t xml:space="preserve"> </w:t>
      </w:r>
      <w:r>
        <w:t xml:space="preserve">the at set-point and the co-varied analysis.</w:t>
      </w:r>
    </w:p>
    <w:p>
      <w:pPr>
        <w:pStyle w:val="BodyText"/>
      </w:pPr>
      <w:r>
        <w:t xml:space="preserve">The attributes the step governs all meet the drug substance criteria at commercial</w:t>
      </w:r>
      <w:r>
        <w:t xml:space="preserve"> </w:t>
      </w:r>
      <w:r>
        <w:t xml:space="preserve">scale, on the estimate in</w:t>
      </w:r>
      <w:r>
        <w:t xml:space="preserve"> </w:t>
      </w:r>
      <w:hyperlink w:anchor="tbl-cap">
        <w:r>
          <w:rPr>
            <w:rStyle w:val="Hyperlink"/>
          </w:rPr>
          <w:t xml:space="preserve">Table 15</w:t>
        </w:r>
      </w:hyperlink>
      <w:r>
        <w:t xml:space="preserve">. The tightest capability of the 7</w:t>
      </w:r>
      <w:r>
        <w:t xml:space="preserve"> </w:t>
      </w:r>
      <w:r>
        <w:t xml:space="preserve">attributes is the one for high mannose, at a Cpk of</w:t>
      </w:r>
      <w:r>
        <w:t xml:space="preserve"> </w:t>
      </w:r>
      <w:r>
        <w:t xml:space="preserve">1.94 and a margin of</w:t>
      </w:r>
      <w:r>
        <w:t xml:space="preserve"> </w:t>
      </w:r>
      <w:r>
        <w:t xml:space="preserve">2.99 percentage points to the binding limit. Of</w:t>
      </w:r>
      <w:r>
        <w:t xml:space="preserve"> </w:t>
      </w:r>
      <w:r>
        <w:t xml:space="preserve">the 9 parameters, 5 are well controlled critical</w:t>
      </w:r>
      <w:r>
        <w:t xml:space="preserve"> </w:t>
      </w:r>
      <w:r>
        <w:t xml:space="preserve">process parameters, 3 are key process parameters and the remaining one is</w:t>
      </w:r>
      <w:r>
        <w:t xml:space="preserve"> </w:t>
      </w:r>
      <w:r>
        <w:t xml:space="preserve">a general process parameter, and the step has no critical process parameter.</w:t>
      </w:r>
    </w:p>
    <w:p>
      <w:pPr>
        <w:pStyle w:val="BodyText"/>
      </w:pPr>
      <w:r>
        <w:t xml:space="preserve">The 2 recorded deviations were investigated, retained and impact</w:t>
      </w:r>
      <w:r>
        <w:t xml:space="preserve"> </w:t>
      </w:r>
      <w:r>
        <w:t xml:space="preserve">assessed, and neither changed a classification or a range. The capability and the region</w:t>
      </w:r>
      <w:r>
        <w:t xml:space="preserve"> </w:t>
      </w:r>
      <w:r>
        <w:t xml:space="preserve">reported here are estimates from a qualified scale down model, and confirmation at</w:t>
      </w:r>
      <w:r>
        <w:t xml:space="preserve"> </w:t>
      </w:r>
      <w:r>
        <w:t xml:space="preserve">commercial scale is a Stage 2 activity. This report rolls up into PCMR-001.</w:t>
      </w:r>
    </w:p>
    <w:bookmarkEnd w:id="148"/>
    <w:bookmarkStart w:id="152" w:name="deviations-from-the-plan"/>
    <w:p>
      <w:pPr>
        <w:pStyle w:val="Heading1"/>
      </w:pPr>
      <w:r>
        <w:t xml:space="preserve">13. Deviations from the plan</w:t>
      </w:r>
    </w:p>
    <w:p>
      <w:pPr>
        <w:pStyle w:val="FirstParagraph"/>
      </w:pPr>
      <w:r>
        <w:t xml:space="preserve">During execution, 2 deviations were recorded against PCP-003. Each was</w:t>
      </w:r>
      <w:r>
        <w:t xml:space="preserve"> </w:t>
      </w:r>
      <w:r>
        <w:t xml:space="preserve">investigated, root caused and impact assessed before the affected data were used, both</w:t>
      </w:r>
      <w:r>
        <w:t xml:space="preserve"> </w:t>
      </w:r>
      <w:r>
        <w:t xml:space="preserve">were retained, and</w:t>
      </w:r>
      <w:r>
        <w:t xml:space="preserve"> </w:t>
      </w:r>
      <w:hyperlink w:anchor="tbl-dev">
        <w:r>
          <w:rPr>
            <w:rStyle w:val="Hyperlink"/>
          </w:rPr>
          <w:t xml:space="preserve">Table 16</w:t>
        </w:r>
      </w:hyperlink>
      <w:r>
        <w:t xml:space="preserve"> </w:t>
      </w:r>
      <w:r>
        <w:t xml:space="preserve">gives the register.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9" w:name="tbl-dev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16: Deviations recorded during execution of PCP-003.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4"/>
              <w:gridCol w:w="3465"/>
              <w:gridCol w:w="2722"/>
              <w:gridCol w:w="928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Deviation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Summary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Detected during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Disposition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DEV-003-01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Dissolved-CO2 probe drift during screening run 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in-process monitoring vs offline reference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retained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DEV-003-02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Nutrient feed-1 under-delivery on a centre-point batch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post-execution mass reconciliation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retained</w:t>
                  </w:r>
                </w:p>
              </w:tc>
            </w:tr>
          </w:tbl>
          <w:bookmarkEnd w:id="149"/>
          <w:p/>
        </w:tc>
      </w:tr>
    </w:tbl>
    <w:p>
      <w:pPr>
        <w:pStyle w:val="BodyText"/>
      </w:pPr>
      <w:r>
        <w:t xml:space="preserve">Both entries are minor and both were detected by a check that the plan required, one in</w:t>
      </w:r>
      <w:r>
        <w:t xml:space="preserve"> </w:t>
      </w:r>
      <w:r>
        <w:t xml:space="preserve">process and one after execution, and neither invalidated a design or triggered</w:t>
      </w:r>
      <w:r>
        <w:t xml:space="preserve"> </w:t>
      </w:r>
      <w:r>
        <w:t xml:space="preserve">re-execution.</w:t>
      </w:r>
    </w:p>
    <w:bookmarkStart w:id="150" w:name="X0c1c0bf97a367e88d976b4d7a0169b95a3f8627"/>
    <w:p>
      <w:pPr>
        <w:pStyle w:val="Heading2"/>
      </w:pPr>
      <w:r>
        <w:t xml:space="preserve">13.1 DEV-003-01 — dissolved carbon dioxide probe drift</w:t>
      </w:r>
    </w:p>
    <w:p>
      <w:pPr>
        <w:pStyle w:val="FirstParagraph"/>
      </w:pPr>
      <w:r>
        <w:t xml:space="preserve">The dissolved carbon dioxide probe on the scale down bioreactor read</w:t>
      </w:r>
      <w:r>
        <w:t xml:space="preserve"> </w:t>
      </w:r>
      <w:r>
        <w:t xml:space="preserve">6.5 mmHg away from the offline reference during</w:t>
      </w:r>
      <w:r>
        <w:t xml:space="preserve"> </w:t>
      </w:r>
      <w:r>
        <w:t xml:space="preserve">screening run 4. The probe drift was detected by the routine comparison of in-process</w:t>
      </w:r>
      <w:r>
        <w:t xml:space="preserve"> </w:t>
      </w:r>
      <w:r>
        <w:t xml:space="preserve">monitoring against the offline reference, and the affected run had already completed</w:t>
      </w:r>
      <w:r>
        <w:t xml:space="preserve"> </w:t>
      </w:r>
      <w:r>
        <w:t xml:space="preserve">when the comparison was made.</w:t>
      </w:r>
    </w:p>
    <w:p>
      <w:pPr>
        <w:pStyle w:val="BodyText"/>
      </w:pPr>
      <w:r>
        <w:t xml:space="preserve">The investigation of that drift attributed the offset to probe drift between scheduled</w:t>
      </w:r>
      <w:r>
        <w:t xml:space="preserve"> </w:t>
      </w:r>
      <w:r>
        <w:t xml:space="preserve">calibrations on equipment EQ-BRX-205, which was within its calibration interval at the</w:t>
      </w:r>
      <w:r>
        <w:t xml:space="preserve"> </w:t>
      </w:r>
      <w:r>
        <w:t xml:space="preserve">time of execution. The magnitude of the offset corresponds to</w:t>
      </w:r>
      <w:r>
        <w:t xml:space="preserve"> </w:t>
      </w:r>
      <w:r>
        <w:t xml:space="preserve">0.11 coded units of the dissolved carbon dioxide factor, or</w:t>
      </w:r>
      <w:r>
        <w:t xml:space="preserve"> </w:t>
      </w:r>
      <w:r>
        <w:t xml:space="preserve">11 % of the width of the normal operating range, against</w:t>
      </w:r>
      <w:r>
        <w:t xml:space="preserve"> </w:t>
      </w:r>
      <w:r>
        <w:t xml:space="preserve">a characterization range of 40 to 160 mmHg. The actual dissolved carbon</w:t>
      </w:r>
      <w:r>
        <w:t xml:space="preserve"> </w:t>
      </w:r>
      <w:r>
        <w:t xml:space="preserve">dioxide level in the affected run stayed well inside the characterized range, and the</w:t>
      </w:r>
      <w:r>
        <w:t xml:space="preserve"> </w:t>
      </w:r>
      <w:r>
        <w:t xml:space="preserve">run remained a valid setting of the design.</w:t>
      </w:r>
    </w:p>
    <w:p>
      <w:pPr>
        <w:pStyle w:val="BodyText"/>
      </w:pPr>
      <w:r>
        <w:t xml:space="preserve">The impact on the fitted effects is bounded by that magnitude. Applied to the largest</w:t>
      </w:r>
      <w:r>
        <w:t xml:space="preserve"> </w:t>
      </w:r>
      <w:r>
        <w:t xml:space="preserve">dissolved carbon dioxide effect in the study, on acidic variants, a misassignment of</w:t>
      </w:r>
      <w:r>
        <w:t xml:space="preserve"> </w:t>
      </w:r>
      <w:r>
        <w:t xml:space="preserve">0.11 coded units corresponds to a response shift of</w:t>
      </w:r>
      <w:r>
        <w:t xml:space="preserve"> </w:t>
      </w:r>
      <w:r>
        <w:t xml:space="preserve">0.44 percentage points. The centre point</w:t>
      </w:r>
      <w:r>
        <w:t xml:space="preserve"> </w:t>
      </w:r>
      <w:r>
        <w:t xml:space="preserve">standard deviation of the same response on the screening design is</w:t>
      </w:r>
      <w:r>
        <w:t xml:space="preserve"> </w:t>
      </w:r>
      <w:r>
        <w:t xml:space="preserve">1.09 percentage points. The offset is smaller</w:t>
      </w:r>
      <w:r>
        <w:t xml:space="preserve"> </w:t>
      </w:r>
      <w:r>
        <w:t xml:space="preserve">than the reproducibility of the measurement it would have to move, and smaller still</w:t>
      </w:r>
      <w:r>
        <w:t xml:space="preserve"> </w:t>
      </w:r>
      <w:r>
        <w:t xml:space="preserve">relative to the glycan responses. The run was retained, and the probe was recalibrated</w:t>
      </w:r>
      <w:r>
        <w:t xml:space="preserve"> </w:t>
      </w:r>
      <w:r>
        <w:t xml:space="preserve">before the response surface design was executed.</w:t>
      </w:r>
    </w:p>
    <w:bookmarkEnd w:id="150"/>
    <w:bookmarkStart w:id="151" w:name="X8329f0e14a364443d536ee8baedd522fa6982ab"/>
    <w:p>
      <w:pPr>
        <w:pStyle w:val="Heading2"/>
      </w:pPr>
      <w:r>
        <w:t xml:space="preserve">13.2 DEV-003-02 — nutrient feed-1 under-delivery</w:t>
      </w:r>
    </w:p>
    <w:p>
      <w:pPr>
        <w:pStyle w:val="FirstParagraph"/>
      </w:pPr>
      <w:r>
        <w:t xml:space="preserve">Nutrient feed-1 was under-delivered by 4.2 %</w:t>
      </w:r>
      <w:r>
        <w:t xml:space="preserve"> </w:t>
      </w:r>
      <w:r>
        <w:t xml:space="preserve">of the scheduled volume on one centre point batch of the screening design, from lot</w:t>
      </w:r>
      <w:r>
        <w:t xml:space="preserve"> </w:t>
      </w:r>
      <w:r>
        <w:t xml:space="preserve">LOT-FED-3120. Post-execution mass reconciliation of that batch found the shortfall, and</w:t>
      </w:r>
      <w:r>
        <w:t xml:space="preserve"> </w:t>
      </w:r>
      <w:r>
        <w:t xml:space="preserve">investigation attributed it to a feed pump calibration offset.</w:t>
      </w:r>
    </w:p>
    <w:p>
      <w:pPr>
        <w:pStyle w:val="BodyText"/>
      </w:pPr>
      <w:r>
        <w:t xml:space="preserve">On that batch, the delivered feed volume was 11.5 % of</w:t>
      </w:r>
      <w:r>
        <w:t xml:space="preserve"> </w:t>
      </w:r>
      <w:r>
        <w:t xml:space="preserve">working volume against a set-point of 12 % and a normal operating</w:t>
      </w:r>
      <w:r>
        <w:t xml:space="preserve"> </w:t>
      </w:r>
      <w:r>
        <w:t xml:space="preserve">range of 10 to 14 %. That feed volume kept the batch inside the normal</w:t>
      </w:r>
      <w:r>
        <w:t xml:space="preserve"> </w:t>
      </w:r>
      <w:r>
        <w:t xml:space="preserve">operating range for the parameter throughout, and nutrient feed-1 volume is classified</w:t>
      </w:r>
      <w:r>
        <w:t xml:space="preserve"> </w:t>
      </w:r>
      <w:r>
        <w:t xml:space="preserve">KPP on evidence that it governs titre rather than product quality (§9).</w:t>
      </w:r>
    </w:p>
    <w:p>
      <w:pPr>
        <w:pStyle w:val="BodyText"/>
      </w:pPr>
      <w:r>
        <w:t xml:space="preserve">The affected batch is one of the 3 screening centre points. The values</w:t>
      </w:r>
      <w:r>
        <w:t xml:space="preserve"> </w:t>
      </w:r>
      <w:r>
        <w:t xml:space="preserve">of that batch therefore enter the pure error term and not an effect estimate. For the</w:t>
      </w:r>
      <w:r>
        <w:t xml:space="preserve"> </w:t>
      </w:r>
      <w:r>
        <w:t xml:space="preserve">affected batch, the glycan responses were verified on 3</w:t>
      </w:r>
      <w:r>
        <w:t xml:space="preserve"> </w:t>
      </w:r>
      <w:r>
        <w:t xml:space="preserve">measurements under AMV-3010, whose intermediate precision of</w:t>
      </w:r>
      <w:r>
        <w:t xml:space="preserve"> </w:t>
      </w:r>
      <w:r>
        <w:t xml:space="preserve">2.5 % gives that verification set a 95 % confidence</w:t>
      </w:r>
      <w:r>
        <w:t xml:space="preserve"> </w:t>
      </w:r>
      <w:r>
        <w:t xml:space="preserve">half width of 6.21 % relative, which puts a feed</w:t>
      </w:r>
      <w:r>
        <w:t xml:space="preserve"> </w:t>
      </w:r>
      <w:r>
        <w:t xml:space="preserve">shortfall of 4.2 % below the level that</w:t>
      </w:r>
      <w:r>
        <w:t xml:space="preserve"> </w:t>
      </w:r>
      <w:r>
        <w:t xml:space="preserve">comparison can resolve. The batch was retained as a centre point, the pump was</w:t>
      </w:r>
      <w:r>
        <w:t xml:space="preserve"> </w:t>
      </w:r>
      <w:r>
        <w:t xml:space="preserve">recalibrated, and the feed delivery check was added to the in-process record for the</w:t>
      </w:r>
      <w:r>
        <w:t xml:space="preserve"> </w:t>
      </w:r>
      <w:r>
        <w:t xml:space="preserve">remaining runs.</w:t>
      </w:r>
    </w:p>
    <w:p>
      <w:pPr>
        <w:pStyle w:val="BodyText"/>
      </w:pPr>
      <w:r>
        <w:t xml:space="preserve">Neither deviation changed a parameter classification, a fitted effect or a boundary of</w:t>
      </w:r>
      <w:r>
        <w:t xml:space="preserve"> </w:t>
      </w:r>
      <w:r>
        <w:t xml:space="preserve">the operating region. Both are closed.</w:t>
      </w:r>
    </w:p>
    <w:bookmarkEnd w:id="151"/>
    <w:bookmarkEnd w:id="152"/>
    <w:bookmarkStart w:id="154" w:name="X77c0ef24ce4de9c1b8c35876c233736670b0bf3"/>
    <w:p>
      <w:pPr>
        <w:pStyle w:val="Heading1"/>
      </w:pPr>
      <w:r>
        <w:t xml:space="preserve">14. Appendix A — Screening design matrix and responses</w:t>
      </w:r>
    </w:p>
    <w:p>
      <w:pPr>
        <w:pStyle w:val="FirstParagraph"/>
      </w:pPr>
      <w:r>
        <w:t xml:space="preserve">The coded screening matrix and the measured responses are given in</w:t>
      </w:r>
      <w:r>
        <w:t xml:space="preserve"> </w:t>
      </w:r>
      <w:hyperlink w:anchor="tbl-appA">
        <w:r>
          <w:rPr>
            <w:rStyle w:val="Hyperlink"/>
          </w:rPr>
          <w:t xml:space="preserve">Table 17</w:t>
        </w:r>
      </w:hyperlink>
      <w:r>
        <w:t xml:space="preserve">. Coded</w:t>
      </w:r>
      <w:r>
        <w:t xml:space="preserve"> </w:t>
      </w:r>
      <w:r>
        <w:t xml:space="preserve">levels are minus one at the low edge of the characterization range, zero at the</w:t>
      </w:r>
      <w:r>
        <w:t xml:space="preserve"> </w:t>
      </w:r>
      <w:r>
        <w:t xml:space="preserve">set-point and plus one at the high edge, with the letters as defined in</w:t>
      </w:r>
      <w:r>
        <w:t xml:space="preserve"> </w:t>
      </w:r>
      <w:hyperlink w:anchor="tbl-legend">
        <w:r>
          <w:rPr>
            <w:rStyle w:val="Hyperlink"/>
          </w:rPr>
          <w:t xml:space="preserve">Table 6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app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17: Screening design matrix (coded) and measured responses.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13"/>
              <w:gridCol w:w="650"/>
              <w:gridCol w:w="295"/>
              <w:gridCol w:w="295"/>
              <w:gridCol w:w="295"/>
              <w:gridCol w:w="295"/>
              <w:gridCol w:w="295"/>
              <w:gridCol w:w="1004"/>
              <w:gridCol w:w="1122"/>
              <w:gridCol w:w="945"/>
              <w:gridCol w:w="1122"/>
              <w:gridCol w:w="1182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Run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Afucosylation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Galactosylation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High mannose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Acidic variants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Aggregates (HMW)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6.61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8.93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36.1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0.783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34.6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4.83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41.4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0.859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1.26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23.1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9.83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31.2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4.45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9.61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7.77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1.51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7.51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7.89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2.26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7.34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2.53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1.61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6.74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6.43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5.94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1.62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3.82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2.05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center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5.88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1.64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center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7.51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5.84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1.63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center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8.48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1.5</w:t>
                  </w:r>
                </w:p>
              </w:tc>
            </w:tr>
          </w:tbl>
          <w:bookmarkEnd w:id="153"/>
          <w:p/>
        </w:tc>
      </w:tr>
    </w:tbl>
    <w:bookmarkEnd w:id="154"/>
    <w:bookmarkStart w:id="156" w:name="Xc987739a58e5854fe31352d470a2bebef9123c1"/>
    <w:p>
      <w:pPr>
        <w:pStyle w:val="Heading1"/>
      </w:pPr>
      <w:r>
        <w:t xml:space="preserve">15. Appendix B — Response-surface design matrix and responses</w:t>
      </w:r>
    </w:p>
    <w:p>
      <w:pPr>
        <w:pStyle w:val="FirstParagraph"/>
      </w:pPr>
      <w:r>
        <w:t xml:space="preserve">The coded response-surface matrix and the measured responses are given in</w:t>
      </w:r>
      <w:r>
        <w:t xml:space="preserve"> </w:t>
      </w:r>
      <w:hyperlink w:anchor="tbl-appB">
        <w:r>
          <w:rPr>
            <w:rStyle w:val="Hyperlink"/>
          </w:rPr>
          <w:t xml:space="preserve">Table 18</w:t>
        </w:r>
      </w:hyperlink>
      <w:r>
        <w:t xml:space="preserve">. The</w:t>
      </w:r>
      <w:r>
        <w:t xml:space="preserve"> </w:t>
      </w:r>
      <w:r>
        <w:t xml:space="preserve">design is face centred, so the axial runs sit at plus or minus one on one factor with</w:t>
      </w:r>
      <w:r>
        <w:t xml:space="preserve"> </w:t>
      </w:r>
      <w:r>
        <w:t xml:space="preserve">the others at zero.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tbl-app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18: Response-surface design matrix (coded) and measured responses.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29"/>
              <w:gridCol w:w="675"/>
              <w:gridCol w:w="306"/>
              <w:gridCol w:w="306"/>
              <w:gridCol w:w="306"/>
              <w:gridCol w:w="306"/>
              <w:gridCol w:w="1043"/>
              <w:gridCol w:w="1166"/>
              <w:gridCol w:w="982"/>
              <w:gridCol w:w="1166"/>
              <w:gridCol w:w="122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Run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Afucosylation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Galactosylation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High mannose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Acidic variants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Aggregates (HMW)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9.43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38.8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0.791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5.65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1.33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5.38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5.38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40.5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0.803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0.707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1.41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6.79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5.89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8.81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1.53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1.99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7.34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5.41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1.45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2.84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7.36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2.08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axial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7.82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4.59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1.15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axial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23.7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axial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8.77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1.51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axial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7.55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1.32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axial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axial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6.89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2.06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axial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8.48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axial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23.5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5.94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1.45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center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7.88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center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center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1.55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center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7.27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4.96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1.37</w:t>
                  </w:r>
                </w:p>
              </w:tc>
            </w:tr>
          </w:tbl>
          <w:bookmarkEnd w:id="155"/>
          <w:p/>
        </w:tc>
      </w:tr>
    </w:tbl>
    <w:bookmarkEnd w:id="156"/>
    <w:bookmarkStart w:id="165" w:name="Xa2fac5041b4173f7385fa99ae36b1e5b6f06fdd"/>
    <w:p>
      <w:pPr>
        <w:pStyle w:val="Heading1"/>
      </w:pPr>
      <w:r>
        <w:t xml:space="preserve">16. Appendix C — Full effect and coefficient tables</w:t>
      </w:r>
    </w:p>
    <w:p>
      <w:pPr>
        <w:pStyle w:val="FirstParagraph"/>
      </w:pPr>
      <w:r>
        <w:t xml:space="preserve">Full screening effect tables for all responses follow, in the order the responses are</w:t>
      </w:r>
      <w:r>
        <w:t xml:space="preserve"> </w:t>
      </w:r>
      <w:r>
        <w:t xml:space="preserve">measured. Effects are twice the coded coefficient.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tbl-appC-afucosylati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19: Screening effects — Afucosylation.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18"/>
              <w:gridCol w:w="1147"/>
              <w:gridCol w:w="1147"/>
              <w:gridCol w:w="1492"/>
              <w:gridCol w:w="1033"/>
              <w:gridCol w:w="1262"/>
              <w:gridCol w:w="918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Effect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Coef.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Std. err.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p-value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Sig.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0.266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0.0191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0.266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0.0209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-0.88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0.266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-3.31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0.0455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-1.57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-0.785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0.266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-1.34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-0.671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0.266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0.0858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-1.33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-0.664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0.266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0.0878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-0.64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0.266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-2.41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0.0952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-0.73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-0.365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0.266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0.264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0.452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0.226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0.266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0.458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0.181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0.266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0.681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0.545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-0.0876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0.266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-0.329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0.764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-0.171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-0.0856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0.266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-0.322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0.769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-0.147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-0.0736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0.266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-0.277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0.0358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0.0179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0.266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0.0674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0.951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0.00591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0.266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0.984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</w:tbl>
          <w:bookmarkEnd w:id="157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tbl-appC-galactosylati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20: Screening effects — Galactosylation.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31"/>
              <w:gridCol w:w="1164"/>
              <w:gridCol w:w="1048"/>
              <w:gridCol w:w="1514"/>
              <w:gridCol w:w="1048"/>
              <w:gridCol w:w="1281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Effect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Coef.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Std. err.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p-value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Sig.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-7.82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-3.91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0.193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-20.2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0.000264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0.193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0.000382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-5.79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0.193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0.000644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0.193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-11.8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0.00131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0.193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9.57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0.00242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0.193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0.00261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0.193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0.00274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1.64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0.193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8.49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0.00343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-2.45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0.193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-6.35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0.0079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0.193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5.64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1.93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0.193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4.98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0.0155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1.49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0.747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0.193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0.0306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-0.195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-0.0974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0.193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-0.504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0.649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-0.131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-0.0657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0.193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-0.34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0.756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0.0596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0.193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0.778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</w:tbl>
          <w:bookmarkEnd w:id="158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tbl-appC-high-manno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21: Screening effects — High mannose.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80"/>
              <w:gridCol w:w="1210"/>
              <w:gridCol w:w="1210"/>
              <w:gridCol w:w="1430"/>
              <w:gridCol w:w="1100"/>
              <w:gridCol w:w="1210"/>
              <w:gridCol w:w="8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Effect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Coef.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Std. err.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p-value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Sig.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1.51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0.756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0.155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4.89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0.0164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-0.696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0.155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0.0205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-0.446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-0.223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0.155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0.245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0.369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0.185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0.155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0.318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0.158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0.0791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0.155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0.645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-0.139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-0.0693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0.155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-0.448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0.685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0.0449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0.155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0.791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0.0894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0.0447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0.155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0.289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0.792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-0.0718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-0.0359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0.155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-0.232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0.831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-0.0552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-0.0276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0.155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-0.179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0.87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0.155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0.149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0.891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0.0432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0.155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0.898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-0.0239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0.155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-0.0774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0.943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-0.0232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-0.0116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0.155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0.945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-0.000576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-0.000288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0.155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-0.00186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0.999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</w:tbl>
          <w:bookmarkEnd w:id="159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appC-acidic-varia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22: Screening effects — Acidic variants.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18"/>
              <w:gridCol w:w="1147"/>
              <w:gridCol w:w="1033"/>
              <w:gridCol w:w="1492"/>
              <w:gridCol w:w="1147"/>
              <w:gridCol w:w="1262"/>
              <w:gridCol w:w="918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Effect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Coef.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Std. err.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p-value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Sig.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0.000441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0.00319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1.48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0.00848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-5.34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0.0129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1.98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-1.93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-0.964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0.0275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0.865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3.61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0.0364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-0.669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-0.335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0.256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-0.494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-0.247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0.378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-0.492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-0.246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0.379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-0.215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-0.108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-0.449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0.684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0.151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0.0757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0.773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0.0324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0.95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0.049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0.964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0.0226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0.0472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0.965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</w:tbl>
          <w:bookmarkEnd w:id="160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tbl-appC-aggregates-hmw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23: Screening effects — Aggregates (HMW).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31"/>
              <w:gridCol w:w="1164"/>
              <w:gridCol w:w="1164"/>
              <w:gridCol w:w="1514"/>
              <w:gridCol w:w="931"/>
              <w:gridCol w:w="1281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Effect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Coef.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Std. err.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p-value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Sig.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0.834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0.000268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0.578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0.289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-0.141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-0.0705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0.0424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0.058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0.0678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-0.0742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-0.0371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-1.79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0.171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-0.0666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-0.0333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-1.61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0.206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-0.0593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-0.0297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-1.43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0.248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-0.0554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-0.0277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-1.34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0.274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-0.0548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-0.0274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0.278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-0.0547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-0.0274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0.278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0.0416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0.39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-0.0235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-0.0118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-0.567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0.61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0.629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-0.00671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-0.00336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-0.162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0.882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-0.00663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-0.00332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0.883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</w:tbl>
          <w:bookmarkEnd w:id="161"/>
          <w:p/>
        </w:tc>
      </w:tr>
    </w:tbl>
    <w:p>
      <w:pPr>
        <w:pStyle w:val="BodyText"/>
      </w:pPr>
      <w:r>
        <w:t xml:space="preserve">Full response-surface coefficient tables for the responses not shown in §5.3 follow.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tbl-appC-rsm-afucosylati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24: Response-surface coefficients — Afucosylation.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Coef.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Std. err.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p-value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Sig.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Intercept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39.8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5.74e-15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-0.997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-7.24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6.52e-06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-0.551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0.00151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-9.45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3.45e-07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-0.367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0.0194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0.000837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9.06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5.6e-07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-0.907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-6.21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3.16e-05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2.48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0.0277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-0.0703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-0.481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0.638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0.0322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0.829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0.364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0.00233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-0.157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0.364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-0.431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0.673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0.257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0.364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0.493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0.364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0.752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</w:tbl>
          <w:bookmarkEnd w:id="162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appC-rsm-acidic-varia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25: Response-surface coefficients — Acidic variants.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Coef.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Std. err.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p-value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Sig.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Intercept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40.6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4.43e-15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0.369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-5.44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0.000113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0.369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0.000191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-0.124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0.369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-0.335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0.743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0.369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-11.1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5.4e-08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2.84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0.0139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-0.793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0.0638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-0.248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-0.633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0.538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0.655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0.118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-0.0111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-0.0283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0.978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0.465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0.256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-0.586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-0.601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0.558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0.311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-0.718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-0.736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0.475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0.896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</w:tbl>
          <w:bookmarkEnd w:id="163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4" w:name="tbl-appC-rsm-aggregates-hmw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26: Response-surface coefficients — Aggregates (HMW).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Coef.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Std. err.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p-value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Sig.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Intercept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1.52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0.0341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1.25e-15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7.26e-10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-0.0157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-0.675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0.512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0.281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1.91e-08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0.971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0.349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0.547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0.593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-0.0106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-0.43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0.674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0.0179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0.727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0.48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-0.00713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-0.29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0.777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0.00414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0.869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0.426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0.677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-0.0533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-0.119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-1.93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0.0752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0.143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2.33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0.0366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-0.0626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0.326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</w:tbl>
          <w:bookmarkEnd w:id="164"/>
          <w:p/>
        </w:tc>
      </w:tr>
    </w:tbl>
    <w:bookmarkEnd w:id="165"/>
    <w:bookmarkStart w:id="167" w:name="appendix-d-analytical-methods-summary"/>
    <w:p>
      <w:pPr>
        <w:pStyle w:val="Heading1"/>
      </w:pPr>
      <w:r>
        <w:t xml:space="preserve">17. Appendix D — Analytical methods summary</w:t>
      </w:r>
    </w:p>
    <w:p>
      <w:pPr>
        <w:pStyle w:val="FirstParagraph"/>
      </w:pPr>
      <w:r>
        <w:t xml:space="preserve">The validated methods used for the designed responses and for the impurity attributes</w:t>
      </w:r>
      <w:r>
        <w:t xml:space="preserve"> </w:t>
      </w:r>
      <w:r>
        <w:t xml:space="preserve">are summarized in</w:t>
      </w:r>
      <w:r>
        <w:t xml:space="preserve"> </w:t>
      </w:r>
      <w:hyperlink w:anchor="tbl-appMeth">
        <w:r>
          <w:rPr>
            <w:rStyle w:val="Hyperlink"/>
          </w:rPr>
          <w:t xml:space="preserve">Table 27</w:t>
        </w:r>
      </w:hyperlink>
      <w:r>
        <w:t xml:space="preserve">. Method performance is reported in full in the validation</w:t>
      </w:r>
      <w:r>
        <w:t xml:space="preserve"> </w:t>
      </w:r>
      <w:r>
        <w:t xml:space="preserve">reports named in the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tbl-appMeth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27: Validated analytical methods and the attributes they report.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155"/>
              <w:gridCol w:w="1760"/>
              <w:gridCol w:w="3245"/>
              <w:gridCol w:w="17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 validation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Title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Attribute reported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Reportable unit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N-Glycan Map (2-AB HILIC-UPLC)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Afucosylation; Galactosylation (total %Gal); High Mannose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% of glycans; % (G1+G2 equiv.)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Size-Variants (SEC-HPLC)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Aggregates (HMW)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% HMW (SEC)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Host-Cell Protein ELISA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Host Cell Protein (HCP)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ng/mg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Charge Variants (icIEF)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Acidic charge variants (deamidation)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% (CEX/icIEF)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Residual DNA (qPCR)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Residual DNA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ng/dose</w:t>
                  </w:r>
                </w:p>
              </w:tc>
            </w:tr>
          </w:tbl>
          <w:bookmarkEnd w:id="166"/>
          <w:p/>
        </w:tc>
      </w:tr>
    </w:tbl>
    <w:bookmarkEnd w:id="167"/>
    <w:bookmarkStart w:id="175" w:name="references"/>
    <w:p>
      <w:pPr>
        <w:pStyle w:val="Heading1"/>
      </w:pPr>
      <w:r>
        <w:t xml:space="preserve">References</w:t>
      </w:r>
    </w:p>
    <w:bookmarkStart w:id="174" w:name="refs"/>
    <w:bookmarkStart w:id="168" w:name="ref-amab2009"/>
    <w:p>
      <w:pPr>
        <w:pStyle w:val="Bibliography"/>
      </w:pPr>
      <w:r>
        <w:t xml:space="preserve">CMC Biotech Working Group. 2009.</w:t>
      </w:r>
      <w:r>
        <w:t xml:space="preserve"> </w:t>
      </w:r>
      <w:r>
        <w:rPr>
          <w:i/>
          <w:iCs/>
        </w:rPr>
        <w:t xml:space="preserve">A-Mab: A Case Study in Bioprocess Development</w:t>
      </w:r>
      <w:r>
        <w:t xml:space="preserve">. CASSS.</w:t>
      </w:r>
    </w:p>
    <w:bookmarkEnd w:id="168"/>
    <w:bookmarkStart w:id="169" w:name="ref-ichq10"/>
    <w:p>
      <w:pPr>
        <w:pStyle w:val="Bibliography"/>
      </w:pPr>
      <w:r>
        <w:t xml:space="preserve">International Council for Harmonisation. 2008.</w:t>
      </w:r>
      <w:r>
        <w:t xml:space="preserve"> </w:t>
      </w:r>
      <w:r>
        <w:rPr>
          <w:i/>
          <w:iCs/>
        </w:rPr>
        <w:t xml:space="preserve">ICH Q10: Pharmaceutical Quality System</w:t>
      </w:r>
      <w:r>
        <w:t xml:space="preserve">. ICH.</w:t>
      </w:r>
    </w:p>
    <w:bookmarkEnd w:id="169"/>
    <w:bookmarkStart w:id="170" w:name="ref-ichq8"/>
    <w:p>
      <w:pPr>
        <w:pStyle w:val="Bibliography"/>
      </w:pPr>
      <w:r>
        <w:t xml:space="preserve">International Council for Harmonisation. 2009.</w:t>
      </w:r>
      <w:r>
        <w:t xml:space="preserve"> </w:t>
      </w:r>
      <w:r>
        <w:rPr>
          <w:i/>
          <w:iCs/>
        </w:rPr>
        <w:t xml:space="preserve">ICH Q8(R2): Pharmaceutical Development</w:t>
      </w:r>
      <w:r>
        <w:t xml:space="preserve">. ICH.</w:t>
      </w:r>
    </w:p>
    <w:bookmarkEnd w:id="170"/>
    <w:bookmarkStart w:id="171" w:name="ref-ichq11"/>
    <w:p>
      <w:pPr>
        <w:pStyle w:val="Bibliography"/>
      </w:pPr>
      <w:r>
        <w:t xml:space="preserve">International Council for Harmonisation. 2012.</w:t>
      </w:r>
      <w:r>
        <w:t xml:space="preserve"> </w:t>
      </w:r>
      <w:r>
        <w:rPr>
          <w:i/>
          <w:iCs/>
        </w:rPr>
        <w:t xml:space="preserve">ICH Q11: Development and Manufacture of Drug Substances</w:t>
      </w:r>
      <w:r>
        <w:t xml:space="preserve">. ICH.</w:t>
      </w:r>
    </w:p>
    <w:bookmarkEnd w:id="171"/>
    <w:bookmarkStart w:id="172" w:name="ref-ichq9"/>
    <w:p>
      <w:pPr>
        <w:pStyle w:val="Bibliography"/>
      </w:pPr>
      <w:r>
        <w:t xml:space="preserve">International Council for Harmonisation. 2023.</w:t>
      </w:r>
      <w:r>
        <w:t xml:space="preserve"> </w:t>
      </w:r>
      <w:r>
        <w:rPr>
          <w:i/>
          <w:iCs/>
        </w:rPr>
        <w:t xml:space="preserve">ICH Q9(R1): Quality Risk Management</w:t>
      </w:r>
      <w:r>
        <w:t xml:space="preserve">. ICH.</w:t>
      </w:r>
    </w:p>
    <w:bookmarkEnd w:id="172"/>
    <w:bookmarkStart w:id="173" w:name="ref-fda2011"/>
    <w:p>
      <w:pPr>
        <w:pStyle w:val="Bibliography"/>
      </w:pPr>
      <w:r>
        <w:t xml:space="preserve">U.S. Food and Drug Administration. 2011.</w:t>
      </w:r>
      <w:r>
        <w:t xml:space="preserve"> </w:t>
      </w:r>
      <w:r>
        <w:rPr>
          <w:i/>
          <w:iCs/>
        </w:rPr>
        <w:t xml:space="preserve">Guidance for Industry: Process Validation — General Principles and Practices</w:t>
      </w:r>
      <w:r>
        <w:t xml:space="preserve">. FDA.</w:t>
      </w:r>
    </w:p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abstractNum w:abstractNumId="99534">
    <w:nsid w:val="00A99534"/>
    <w:multiLevelType w:val="multilevel"/>
    <w:lvl w:ilvl="0">
      <w:start w:val="4"/>
      <w:numFmt w:val="lowerRoman"/>
      <w:lvlText w:val="(%1)"/>
      <w:lvlJc w:val="left"/>
      <w:pPr>
        <w:ind w:left="720" w:hanging="360"/>
      </w:pPr>
    </w:lvl>
    <w:lvl w:ilvl="1">
      <w:start w:val="4"/>
      <w:numFmt w:val="lowerRoman"/>
      <w:lvlText w:val="(%2)"/>
      <w:lvlJc w:val="left"/>
      <w:pPr>
        <w:ind w:left="1440" w:hanging="360"/>
      </w:pPr>
    </w:lvl>
    <w:lvl w:ilvl="2">
      <w:start w:val="4"/>
      <w:numFmt w:val="lowerRoman"/>
      <w:lvlText w:val="(%3)"/>
      <w:lvlJc w:val="left"/>
      <w:pPr>
        <w:ind w:left="2160" w:hanging="360"/>
      </w:pPr>
    </w:lvl>
    <w:lvl w:ilvl="3">
      <w:start w:val="4"/>
      <w:numFmt w:val="lowerRoman"/>
      <w:lvlText w:val="(%4)"/>
      <w:lvlJc w:val="left"/>
      <w:pPr>
        <w:ind w:left="2880" w:hanging="360"/>
      </w:pPr>
    </w:lvl>
    <w:lvl w:ilvl="4">
      <w:start w:val="4"/>
      <w:numFmt w:val="lowerRoman"/>
      <w:lvlText w:val="(%5)"/>
      <w:lvlJc w:val="left"/>
      <w:pPr>
        <w:ind w:left="3600" w:hanging="360"/>
      </w:pPr>
    </w:lvl>
    <w:lvl w:ilvl="5">
      <w:start w:val="4"/>
      <w:numFmt w:val="lowerRoman"/>
      <w:lvlText w:val="(%6)"/>
      <w:lvlJc w:val="left"/>
      <w:pPr>
        <w:ind w:left="4320" w:hanging="360"/>
      </w:pPr>
    </w:lvl>
    <w:lvl w:ilvl="6">
      <w:start w:val="4"/>
      <w:numFmt w:val="lowerRoman"/>
      <w:lvlText w:val="(%7)"/>
      <w:lvlJc w:val="left"/>
      <w:pPr>
        <w:ind w:left="5040" w:hanging="360"/>
      </w:pPr>
    </w:lvl>
    <w:lvl w:ilvl="7">
      <w:start w:val="4"/>
      <w:numFmt w:val="lowerRoman"/>
      <w:lvlText w:val="(%8)"/>
      <w:lvlJc w:val="left"/>
      <w:pPr>
        <w:ind w:left="5760" w:hanging="360"/>
      </w:pPr>
    </w:lvl>
    <w:lvl w:ilvl="8">
      <w:start w:val="4"/>
      <w:numFmt w:val="lowerRoman"/>
      <w:lvlText w:val="(%9)"/>
      <w:lvlJc w:val="left"/>
      <w:pPr>
        <w:ind w:left="6480" w:hanging="360"/>
      </w:pPr>
    </w:lvl>
  </w:abstractNum>
  <w:abstractNum w:abstractNumId="997322">
    <w:nsid w:val="0A997322"/>
    <w:multiLevelType w:val="multilevel"/>
    <w:lvl w:ilvl="0">
      <w:start w:val="22"/>
      <w:numFmt w:val="lowerLetter"/>
      <w:lvlText w:val="(%1)"/>
      <w:lvlJc w:val="left"/>
      <w:pPr>
        <w:ind w:left="720" w:hanging="360"/>
      </w:pPr>
    </w:lvl>
    <w:lvl w:ilvl="1">
      <w:start w:val="22"/>
      <w:numFmt w:val="lowerLetter"/>
      <w:lvlText w:val="(%2)"/>
      <w:lvlJc w:val="left"/>
      <w:pPr>
        <w:ind w:left="1440" w:hanging="360"/>
      </w:pPr>
    </w:lvl>
    <w:lvl w:ilvl="2">
      <w:start w:val="22"/>
      <w:numFmt w:val="lowerLetter"/>
      <w:lvlText w:val="(%3)"/>
      <w:lvlJc w:val="left"/>
      <w:pPr>
        <w:ind w:left="2160" w:hanging="360"/>
      </w:pPr>
    </w:lvl>
    <w:lvl w:ilvl="3">
      <w:start w:val="22"/>
      <w:numFmt w:val="lowerLetter"/>
      <w:lvlText w:val="(%4)"/>
      <w:lvlJc w:val="left"/>
      <w:pPr>
        <w:ind w:left="2880" w:hanging="360"/>
      </w:pPr>
    </w:lvl>
    <w:lvl w:ilvl="4">
      <w:start w:val="22"/>
      <w:numFmt w:val="lowerLetter"/>
      <w:lvlText w:val="(%5)"/>
      <w:lvlJc w:val="left"/>
      <w:pPr>
        <w:ind w:left="3600" w:hanging="360"/>
      </w:pPr>
    </w:lvl>
    <w:lvl w:ilvl="5">
      <w:start w:val="22"/>
      <w:numFmt w:val="lowerLetter"/>
      <w:lvlText w:val="(%6)"/>
      <w:lvlJc w:val="left"/>
      <w:pPr>
        <w:ind w:left="4320" w:hanging="360"/>
      </w:pPr>
    </w:lvl>
    <w:lvl w:ilvl="6">
      <w:start w:val="22"/>
      <w:numFmt w:val="lowerLetter"/>
      <w:lvlText w:val="(%7)"/>
      <w:lvlJc w:val="left"/>
      <w:pPr>
        <w:ind w:left="5040" w:hanging="360"/>
      </w:pPr>
    </w:lvl>
    <w:lvl w:ilvl="7">
      <w:start w:val="22"/>
      <w:numFmt w:val="lowerLetter"/>
      <w:lvlText w:val="(%8)"/>
      <w:lvlJc w:val="left"/>
      <w:pPr>
        <w:ind w:left="5760" w:hanging="360"/>
      </w:pPr>
    </w:lvl>
    <w:lvl w:ilvl="8">
      <w:start w:val="22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5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73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132" Target="media/rId132.png" /><Relationship Type="http://schemas.openxmlformats.org/officeDocument/2006/relationships/image" Id="rId136" Target="media/rId136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92" Target="media/rId92.png" /><Relationship Type="http://schemas.openxmlformats.org/officeDocument/2006/relationships/image" Id="rId96" Target="media/rId9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 Characterization Report</dc:title>
  <dc:creator>Process Development / Manufacturing Science &amp; Technology (MSAT)</dc:creator>
  <cp:keywords/>
  <dcterms:created xsi:type="dcterms:W3CDTF">2026-08-17T21:02:22Z</dcterms:created>
  <dcterms:modified xsi:type="dcterms:W3CDTF">2026-08-17T21:02:22Z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references.bib</vt:lpwstr>
  </property>
  <property fmtid="{D5CDD505-2E9C-101B-9397-08002B2CF9AE}" pid="5" name="by-author">
    <vt:lpwstr/>
  </property>
  <property fmtid="{D5CDD505-2E9C-101B-9397-08002B2CF9AE}" pid="6" name="date">
    <vt:lpwstr>2026-07-24</vt:lpwstr>
  </property>
  <property fmtid="{D5CDD505-2E9C-101B-9397-08002B2CF9AE}" pid="7" name="execute">
    <vt:lpwstr/>
  </property>
  <property fmtid="{D5CDD505-2E9C-101B-9397-08002B2CF9AE}" pid="8" name="fig-cap-location">
    <vt:lpwstr>bottom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jupyter">
    <vt:lpwstr>python3</vt:lpwstr>
  </property>
  <property fmtid="{D5CDD505-2E9C-101B-9397-08002B2CF9AE}" pid="13" name="labels">
    <vt:lpwstr/>
  </property>
  <property fmtid="{D5CDD505-2E9C-101B-9397-08002B2CF9AE}" pid="14" name="subtitle">
    <vt:lpwstr>A-Mab Drug Substance — Production Bioreactor (Step 3) — PCR-003</vt:lpwstr>
  </property>
  <property fmtid="{D5CDD505-2E9C-101B-9397-08002B2CF9AE}" pid="15" name="tbl-cap-location">
    <vt:lpwstr>top</vt:lpwstr>
  </property>
  <property fmtid="{D5CDD505-2E9C-101B-9397-08002B2CF9AE}" pid="16" name="toc-title">
    <vt:lpwstr>Table of contents</vt:lpwstr>
  </property>
</Properties>
</file>