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AEX, anion exchange chromatography; AMV,</w:t>
      </w:r>
      <w:r>
        <w:t xml:space="preserve"> </w:t>
      </w:r>
      <w:r>
        <w:t xml:space="preserve">analytical method validation; CEX, cation exchange chromatography; CPP, critical process</w:t>
      </w:r>
      <w:r>
        <w:t xml:space="preserve"> </w:t>
      </w:r>
      <w:r>
        <w:t xml:space="preserve">parameter; CQA, critical quality attribute; DoE, design of experiments; DS, drug substance;</w:t>
      </w:r>
      <w:r>
        <w:t xml:space="preserve"> </w:t>
      </w:r>
      <w:r>
        <w:t xml:space="preserve">ELISA, enzyme-linked immunosorbent assay; GMP, good manufacturing practice; GPP, general</w:t>
      </w:r>
      <w:r>
        <w:t xml:space="preserve"> </w:t>
      </w:r>
      <w:r>
        <w:t xml:space="preserve">process parameter; HCP, host cell protein; HILIC, hydrophilic interaction liquid</w:t>
      </w:r>
      <w:r>
        <w:t xml:space="preserve"> </w:t>
      </w:r>
      <w:r>
        <w:t xml:space="preserve">chromatography; HMW, high molecular weight; ICH, International Council for Harmonisation;</w:t>
      </w:r>
      <w:r>
        <w:t xml:space="preserve"> </w:t>
      </w:r>
      <w:r>
        <w:t xml:space="preserve">icIEF, imaged capillary isoelectric focusing; IgG1, a subclass of immunoglobulin G; KPP, key</w:t>
      </w:r>
      <w:r>
        <w:t xml:space="preserve"> </w:t>
      </w:r>
      <w:r>
        <w:t xml:space="preserve">process parameter; LOQ, limit of quantitation; MSAT, Manufacturing Science and Technology;</w:t>
      </w:r>
      <w:r>
        <w:t xml:space="preserve"> </w:t>
      </w:r>
      <w:r>
        <w:t xml:space="preserve">MVM, minute virus of mice; NOR, normal operating range; NTU, nephelometric turbidity unit;</w:t>
      </w:r>
      <w:r>
        <w:t xml:space="preserve"> </w:t>
      </w:r>
      <w:r>
        <w:t xml:space="preserve">PAR, proven acceptable range; PCMP, Process Characterization Master Plan; PCMR, Process</w:t>
      </w:r>
      <w:r>
        <w:t xml:space="preserve"> </w:t>
      </w:r>
      <w:r>
        <w:t xml:space="preserve">Characterization Master Report; PCP, Process Characterization Plan; PCR, Process</w:t>
      </w:r>
      <w:r>
        <w:t xml:space="preserve"> </w:t>
      </w:r>
      <w:r>
        <w:t xml:space="preserve">Characterization Report; PPQ, process performance qualification; PTP, Process Transfer Plan;</w:t>
      </w:r>
      <w:r>
        <w:t xml:space="preserve"> </w:t>
      </w:r>
      <w:r>
        <w:t xml:space="preserve">qPCR, quantitative polymerase chain reaction; QA, quality assurance; RA, risk assessment;</w:t>
      </w:r>
      <w:r>
        <w:t xml:space="preserve"> </w:t>
      </w:r>
      <w:r>
        <w:t xml:space="preserve">RSD, relative standard deviation; SEC, size exclusion chromatography; SDM, scale-down model;</w:t>
      </w:r>
      <w:r>
        <w:t xml:space="preserve"> </w:t>
      </w:r>
      <w:r>
        <w:t xml:space="preserve">SOP, standard operating procedure; TCID50, median tissue culture infectious dose; UF/DF,</w:t>
      </w:r>
      <w:r>
        <w:t xml:space="preserve"> </w:t>
      </w:r>
      <w:r>
        <w:t xml:space="preserve">ultrafiltration and diafiltration;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</w:t>
      </w:r>
      <w:r>
        <w:t xml:space="preserve"> </w:t>
      </w:r>
      <w:r>
        <w:t xml:space="preserve">process from the development site to the commercial manufacturing site. The two sites and</w:t>
      </w:r>
      <w:r>
        <w:t xml:space="preserve"> </w:t>
      </w:r>
      <w:r>
        <w:t xml:space="preserve">the work each one holds are named in §3. The process to be transferred is the fed-batch</w:t>
      </w:r>
      <w:r>
        <w:t xml:space="preserve"> </w:t>
      </w:r>
      <w:r>
        <w:t xml:space="preserve">cell culture and platform purification train described in §2. The transfer covers the</w:t>
      </w:r>
      <w:r>
        <w:t xml:space="preserve"> </w:t>
      </w:r>
      <w:r>
        <w:t xml:space="preserve">manufacturing process, the analytical methods that test the intermediates and the drug</w:t>
      </w:r>
      <w:r>
        <w:t xml:space="preserve"> </w:t>
      </w:r>
      <w:r>
        <w:t xml:space="preserve">substance, and the control strategy that connects the two.</w:t>
      </w:r>
    </w:p>
    <w:p>
      <w:pPr>
        <w:pStyle w:val="BodyText"/>
      </w:pPr>
      <w:r>
        <w:t xml:space="preserve">This plan is the parent document of the A-Mab process characterization</w:t>
      </w:r>
      <w:r>
        <w:t xml:space="preserve"> </w:t>
      </w:r>
      <w:r>
        <w:t xml:space="preserve">package. The package has 20 documents and is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 Each</w:t>
      </w:r>
      <w:r>
        <w:t xml:space="preserve"> </w:t>
      </w:r>
      <w:r>
        <w:t xml:space="preserve">plan in it commits a study, each report records what that study found, and the set as a</w:t>
      </w:r>
      <w:r>
        <w:t xml:space="preserve"> </w:t>
      </w:r>
      <w:r>
        <w:t xml:space="preserve">whole exists to justify the operating ranges and the control strategy that the receiving</w:t>
      </w:r>
      <w:r>
        <w:t xml:space="preserve"> </w:t>
      </w:r>
      <w:r>
        <w:t xml:space="preserve">site will run. A reader who wants the risk basis for the study scope should start at</w:t>
      </w:r>
      <w:r>
        <w:t xml:space="preserve"> </w:t>
      </w:r>
      <w:r>
        <w:t xml:space="preserve">RA-001. A reader who wants the consolidated outcome should start at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that this plan parents.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activities are outside the scope of this plan. Drug product manufacture, filling and</w:t>
      </w:r>
      <w:r>
        <w:t xml:space="preserve"> </w:t>
      </w:r>
      <w:r>
        <w:t xml:space="preserve">finishing are transferred under a separate plan. Cell bank manufacture and testing are</w:t>
      </w:r>
      <w:r>
        <w:t xml:space="preserve"> </w:t>
      </w:r>
      <w:r>
        <w:t xml:space="preserve">governed by their own records and are not repeated here. The execution of the process</w:t>
      </w:r>
      <w:r>
        <w:t xml:space="preserve"> </w:t>
      </w:r>
      <w:r>
        <w:t xml:space="preserve">performance qualification campaign is also outside this plan, which sets the conditions the</w:t>
      </w:r>
      <w:r>
        <w:t xml:space="preserve"> </w:t>
      </w:r>
      <w:r>
        <w:t xml:space="preserve">campaign must meet before it may start and the strategy it will follow (§7). The campaign</w:t>
      </w:r>
      <w:r>
        <w:t xml:space="preserve"> </w:t>
      </w:r>
      <w:r>
        <w:t xml:space="preserve">itself will be executed under its own protocol and reported separately.</w:t>
      </w:r>
    </w:p>
    <w:p>
      <w:pPr>
        <w:pStyle w:val="BodyText"/>
      </w:pPr>
      <w:r>
        <w:t xml:space="preserve">The transfer follows the quality system expectations for technology transfer in ICH Q10</w:t>
      </w:r>
      <w:r>
        <w:t xml:space="preserve"> </w:t>
      </w:r>
      <w:r>
        <w:t xml:space="preserve">(International Council for Harmonisation 2008)</w:t>
      </w:r>
      <w:r>
        <w:t xml:space="preserve"> </w:t>
      </w:r>
      <w:r>
        <w:t xml:space="preserve">and the lifecycle approach to process validation described by FDA</w:t>
      </w:r>
      <w:r>
        <w:t xml:space="preserve"> </w:t>
      </w:r>
      <w:r>
        <w:t xml:space="preserve">(U.S. Food and Drug Administration 2011)</w:t>
      </w:r>
      <w:r>
        <w:t xml:space="preserve">.</w:t>
      </w:r>
      <w:r>
        <w:t xml:space="preserve"> </w:t>
      </w:r>
      <w:r>
        <w:t xml:space="preserve">Characterization is the Stage 1 process design work of that lifecycle, and process</w:t>
      </w:r>
      <w:r>
        <w:t xml:space="preserve"> </w:t>
      </w:r>
      <w:r>
        <w:t xml:space="preserve">performance qualification is Stage 2. The 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2012)</w:t>
      </w:r>
      <w:r>
        <w:t xml:space="preserve"> </w:t>
      </w:r>
      <w:r>
        <w:t xml:space="preserve">governs how the design space and the control strategy are defined.</w:t>
      </w:r>
      <w:r>
        <w:t xml:space="preserve"> </w:t>
      </w:r>
      <w:r>
        <w:t xml:space="preserve">ICH Q9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governs the risk assessment that scopes the studies, and ICH Q5A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governs the evaluation of viral safety. The process model, the quality attribute framework</w:t>
      </w:r>
      <w:r>
        <w:t xml:space="preserve"> </w:t>
      </w:r>
      <w:r>
        <w:t xml:space="preserve">and the risk methodology follow the published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a humanized IgG1 monoclonal antibody. Its primary mechanism of action</w:t>
      </w:r>
      <w:r>
        <w:t xml:space="preserve"> </w:t>
      </w:r>
      <w:r>
        <w:t xml:space="preserve">is antibody dependent cellular cytotoxicity, so the fucose and galactose content of the</w:t>
      </w:r>
      <w:r>
        <w:t xml:space="preserve"> </w:t>
      </w:r>
      <w:r>
        <w:t xml:space="preserve">N-linked glycan are linked to efficacy and are treated as quality attributes of the drug</w:t>
      </w:r>
      <w:r>
        <w:t xml:space="preserve"> </w:t>
      </w:r>
      <w:r>
        <w:t xml:space="preserve">substance. The glycan is formed in the production bioreactor and is not modified by the</w:t>
      </w:r>
      <w:r>
        <w:t xml:space="preserve"> </w:t>
      </w:r>
      <w:r>
        <w:t xml:space="preserve">purification train, because none of the platform purification steps separates glycosylation</w:t>
      </w:r>
      <w:r>
        <w:t xml:space="preserve"> </w:t>
      </w:r>
      <w:r>
        <w:t xml:space="preserve">variants under the conditions used here</w:t>
      </w:r>
      <w:r>
        <w:t xml:space="preserve"> </w:t>
      </w:r>
      <w:r>
        <w:t xml:space="preserve">(CMC Biotech Working Group 2009)</w:t>
      </w:r>
      <w:r>
        <w:t xml:space="preserve">. Control of the glycan attributes</w:t>
      </w:r>
      <w:r>
        <w:t xml:space="preserve"> </w:t>
      </w:r>
      <w:r>
        <w:t xml:space="preserve">therefore sits in cell culture, and the transfer of the cell culture step carries more</w:t>
      </w:r>
      <w:r>
        <w:t xml:space="preserve"> </w:t>
      </w:r>
      <w:r>
        <w:t xml:space="preserve">product quality risk than the transfer of any single purification step.</w:t>
      </w:r>
    </w:p>
    <w:p>
      <w:pPr>
        <w:pStyle w:val="BodyText"/>
      </w:pPr>
      <w:r>
        <w:t xml:space="preserve">The drug substance is manufactured at a production bioreactor working volume of</w:t>
      </w:r>
      <w:r>
        <w:t xml:space="preserve"> </w:t>
      </w:r>
      <w:r>
        <w:t xml:space="preserve">15,000 L and is delivered by the final formulation step at a target</w:t>
      </w:r>
      <w:r>
        <w:t xml:space="preserve"> </w:t>
      </w:r>
      <w:r>
        <w:t xml:space="preserve">concentration of 75 g/L. The train has 8 unit operations,</w:t>
      </w:r>
      <w:r>
        <w:t xml:space="preserve"> </w:t>
      </w:r>
      <w:r>
        <w:t xml:space="preserve">numbered Step 3 through Step 10.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them</w:t>
      </w:r>
      <w:r>
        <w:t xml:space="preserve"> </w:t>
      </w:r>
      <w:r>
        <w:t xml:space="preserve">with the role each plays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purification sequence is the platform sequence used for the sponsor’s earlier humanized</w:t>
      </w:r>
      <w:r>
        <w:t xml:space="preserve"> </w:t>
      </w:r>
      <w:r>
        <w:t xml:space="preserve">IgG1 products. Capture on Protein A is followed by a low pH hold, cation exchange, anion</w:t>
      </w:r>
      <w:r>
        <w:t xml:space="preserve"> </w:t>
      </w:r>
      <w:r>
        <w:t xml:space="preserve">exchange, small virus retentive filtration and ultrafiltration with diafiltration. The low</w:t>
      </w:r>
      <w:r>
        <w:t xml:space="preserve"> </w:t>
      </w:r>
      <w:r>
        <w:t xml:space="preserve">pH hold, the anion exchange step and the small virus retentive filter each carry a viral</w:t>
      </w:r>
      <w:r>
        <w:t xml:space="preserve"> </w:t>
      </w:r>
      <w:r>
        <w:t xml:space="preserve">clearance claim, and the three claims are modular in the sense of ICH Q5A</w:t>
      </w:r>
      <w:r>
        <w:t xml:space="preserve"> </w:t>
      </w:r>
      <w:r>
        <w:t xml:space="preserve">(International Council for Harmonisation 2023a)</w:t>
      </w:r>
      <w:r>
        <w:t xml:space="preserve">. Each</w:t>
      </w:r>
      <w:r>
        <w:t xml:space="preserve"> </w:t>
      </w:r>
      <w:r>
        <w:t xml:space="preserve">step is studied and claimed on its own. The cumulative clearance across the train is stated</w:t>
      </w:r>
      <w:r>
        <w:t xml:space="preserve"> </w:t>
      </w:r>
      <w:r>
        <w:t xml:space="preserve">only in PCMR-001, and no single step report claims it.</w:t>
      </w:r>
    </w:p>
    <w:p>
      <w:pPr>
        <w:pStyle w:val="BodyText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10 quality attributes that the transfer must preserve, with the</w:t>
      </w:r>
      <w:r>
        <w:t xml:space="preserve"> </w:t>
      </w:r>
      <w:r>
        <w:t xml:space="preserve">acceptance criterion and the criticality assigned to each. Criticality is expressed as a</w:t>
      </w:r>
      <w:r>
        <w:t xml:space="preserve"> </w:t>
      </w:r>
      <w:r>
        <w:t xml:space="preserve">continuum, not as a binary split into critical and non-critical, following the case study</w:t>
      </w:r>
      <w:r>
        <w:t xml:space="preserve"> </w:t>
      </w:r>
      <w:r>
        <w:t xml:space="preserve">(CMC Biotech Working Group 2009)</w:t>
      </w:r>
      <w:r>
        <w:t xml:space="preserve"> </w:t>
      </w:r>
      <w:r>
        <w:t xml:space="preserve">and the risk principles of ICH Q9</w:t>
      </w:r>
      <w:r>
        <w:t xml:space="preserve"> </w:t>
      </w:r>
      <w:r>
        <w:t xml:space="preserve">(International Council for Harmonisation 2023b)</w:t>
      </w:r>
      <w:r>
        <w:t xml:space="preserve">. The attributes ranked high and</w:t>
      </w:r>
      <w:r>
        <w:t xml:space="preserve"> </w:t>
      </w:r>
      <w:r>
        <w:t xml:space="preserve">very high drive the study scope. Afucosylation, galactosylation and high mannose are set</w:t>
      </w:r>
      <w:r>
        <w:t xml:space="preserve"> </w:t>
      </w:r>
      <w:r>
        <w:t xml:space="preserve">by the glycosyltransferase activity of the cell, which rises and falls with the nutrient</w:t>
      </w:r>
      <w:r>
        <w:t xml:space="preserve"> </w:t>
      </w:r>
      <w:r>
        <w:t xml:space="preserve">supply and the dissolved gas concentrations the bioreactor holds. Acidic charge variants</w:t>
      </w:r>
      <w:r>
        <w:t xml:space="preserve"> </w:t>
      </w:r>
      <w:r>
        <w:t xml:space="preserve">accumulate through deamidation. The rate rises with pH and with temperature, and the</w:t>
      </w:r>
      <w:r>
        <w:t xml:space="preserve"> </w:t>
      </w:r>
      <w:r>
        <w:t xml:space="preserve">extent reached rises with the time the product spends in the culture at those</w:t>
      </w:r>
      <w:r>
        <w:t xml:space="preserve"> </w:t>
      </w:r>
      <w:r>
        <w:t xml:space="preserve">conditions. Aggregate forms in the culture and is reduced again by cation</w:t>
      </w:r>
      <w:r>
        <w:t xml:space="preserve"> </w:t>
      </w:r>
      <w:r>
        <w:t xml:space="preserve">exchange, which binds the high molecular weight species more strongly than the monomer and</w:t>
      </w:r>
      <w:r>
        <w:t xml:space="preserve"> </w:t>
      </w:r>
      <w:r>
        <w:t xml:space="preserve">leaves them on the column when the pool is cut. Host cell protein, residual DNA and</w:t>
      </w:r>
      <w:r>
        <w:t xml:space="preserve"> </w:t>
      </w:r>
      <w:r>
        <w:t xml:space="preserve">leached Protein A are removed by the chromatography steps, which either bind them while</w:t>
      </w:r>
      <w:r>
        <w:t xml:space="preserve"> </w:t>
      </w:r>
      <w:r>
        <w:t xml:space="preserve">the antibody flows past or elute them away from the product peak. The two viral clearance</w:t>
      </w:r>
      <w:r>
        <w:t xml:space="preserve"> </w:t>
      </w:r>
      <w:r>
        <w:t xml:space="preserve">attributes are cumulative across the train and belong to no single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quality attributes, acceptance criteria and assigned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5"/>
          <w:p/>
        </w:tc>
      </w:tr>
    </w:tbl>
    <w:bookmarkEnd w:id="16"/>
    <w:bookmarkStart w:id="17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The sending site is Novacyte Biologics — Cambridge, MA (Development). The receiving site is</w:t>
      </w:r>
      <w:r>
        <w:t xml:space="preserve"> </w:t>
      </w:r>
      <w:r>
        <w:t xml:space="preserve">Novacyte Biologics — Grafton, WI (Commercial DS). Both belong to the same sponsor, and both operate under one</w:t>
      </w:r>
      <w:r>
        <w:t xml:space="preserve"> </w:t>
      </w:r>
      <w:r>
        <w:t xml:space="preserve">pharmaceutical quality system and one change control procedure. That common quality system</w:t>
      </w:r>
      <w:r>
        <w:t xml:space="preserve"> </w:t>
      </w:r>
      <w:r>
        <w:t xml:space="preserve">is the condition ICH Q10 places on a transfer of this kind</w:t>
      </w:r>
      <w:r>
        <w:t xml:space="preserve"> </w:t>
      </w:r>
      <w:r>
        <w:t xml:space="preserve">(International Council for Harmonisation 2008)</w:t>
      </w:r>
      <w:r>
        <w:t xml:space="preserve">. A change to a</w:t>
      </w:r>
      <w:r>
        <w:t xml:space="preserve"> </w:t>
      </w:r>
      <w:r>
        <w:t xml:space="preserve">set-point, a range or an analytical method during the transfer will therefore be assessed</w:t>
      </w:r>
      <w:r>
        <w:t xml:space="preserve"> </w:t>
      </w:r>
      <w:r>
        <w:t xml:space="preserve">once and applied at both sites.</w:t>
      </w:r>
    </w:p>
    <w:p>
      <w:pPr>
        <w:pStyle w:val="BodyText"/>
      </w:pPr>
      <w:r>
        <w:t xml:space="preserve">Development retains the qualified scale-down models, the execution and the statistical</w:t>
      </w:r>
      <w:r>
        <w:t xml:space="preserve"> </w:t>
      </w:r>
      <w:r>
        <w:t xml:space="preserve">analysis of the characterization studies, and the authorship of the characterization plans</w:t>
      </w:r>
      <w:r>
        <w:t xml:space="preserve"> </w:t>
      </w:r>
      <w:r>
        <w:t xml:space="preserve">and reports. It also retains the process description and the justification of the operating</w:t>
      </w:r>
      <w:r>
        <w:t xml:space="preserve"> </w:t>
      </w:r>
      <w:r>
        <w:t xml:space="preserve">ranges until those are approved. The receiving site takes ownership of commercial</w:t>
      </w:r>
      <w:r>
        <w:t xml:space="preserve"> </w:t>
      </w:r>
      <w:r>
        <w:t xml:space="preserve">manufacture. That ownership covers the master batch record, the operation of the equipment</w:t>
      </w:r>
      <w:r>
        <w:t xml:space="preserve"> </w:t>
      </w:r>
      <w:r>
        <w:t xml:space="preserve">train at commercial scale, the engineering and qualification batches, and the routine</w:t>
      </w:r>
      <w:r>
        <w:t xml:space="preserve"> </w:t>
      </w:r>
      <w:r>
        <w:t xml:space="preserve">testing that supports batch release.</w:t>
      </w:r>
    </w:p>
    <w:p>
      <w:pPr>
        <w:pStyle w:val="BodyText"/>
      </w:pPr>
      <w:r>
        <w:t xml:space="preserve">The division is a division of work rather than of accountability. Both sites review and</w:t>
      </w:r>
      <w:r>
        <w:t xml:space="preserve"> </w:t>
      </w:r>
      <w:r>
        <w:t xml:space="preserve">approve the process description, and Quality Assurance at both sites approves each handover</w:t>
      </w:r>
      <w:r>
        <w:t xml:space="preserve"> </w:t>
      </w:r>
      <w:r>
        <w:t xml:space="preserve">listed in §10. Where a characterization study produces a range the receiving site cannot</w:t>
      </w:r>
      <w:r>
        <w:t xml:space="preserve"> </w:t>
      </w:r>
      <w:r>
        <w:t xml:space="preserve">hold, the two sites resolve it together before the range is written into a batch record.</w:t>
      </w:r>
    </w:p>
    <w:bookmarkEnd w:id="17"/>
    <w:bookmarkStart w:id="19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Equivalency was assessed for the elements that can carry a process difference between the</w:t>
      </w:r>
      <w:r>
        <w:t xml:space="preserve"> </w:t>
      </w:r>
      <w:r>
        <w:t xml:space="preserve">two sites.</w:t>
      </w:r>
      <w:r>
        <w:t xml:space="preserve"> </w:t>
      </w:r>
      <w:hyperlink w:anchor="tbl-equi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assessment. The comparison is prospective, so each row</w:t>
      </w:r>
      <w:r>
        <w:t xml:space="preserve"> </w:t>
      </w:r>
      <w:r>
        <w:t xml:space="preserve">states what will be compared and how a difference will be managed rather than a measured</w:t>
      </w:r>
      <w:r>
        <w:t xml:space="preserve"> </w:t>
      </w:r>
      <w:r>
        <w:t xml:space="preserve">outcome.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Site equivalency assessment for the elements that can carry a process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the difference is managed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 and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models of every unit operation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equipment train at full working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models are qualified against the commercial train before any study is run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Laboratory controllers with manual intervention available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Automated control with recorded sequences and alarms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is assessed parameter by parameter against the NOR that each parameter is given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 supply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Buffers prepared per experiment at laboratory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 buffer preparation and hold, water and clean steam from site utilities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identity, concentration, pH and conductivity are controlled to one specification at both sites, and hold times are qualified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qualified and in routine use for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to be transferred and requalified before comparability material is tested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under §6.2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Raw materials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 lots, released against the same specifications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lots under supplier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Specifications are common, and any vendor change is assessed through the shared change control procedure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Personnel and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scientists trained on the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Operators trained on the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 is completed and verified before the engineering batches are run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largest difference between the sites is scale. The receiving site operates the</w:t>
      </w:r>
      <w:r>
        <w:t xml:space="preserve"> </w:t>
      </w:r>
      <w:r>
        <w:t xml:space="preserve">production bioreactor at 15,000 L, while the characterization studies run at the scale-down</w:t>
      </w:r>
      <w:r>
        <w:t xml:space="preserve"> </w:t>
      </w:r>
      <w:r>
        <w:t xml:space="preserve">volumes qualified under SOP-1001. In cell culture, scale acts through mixing and through</w:t>
      </w:r>
      <w:r>
        <w:t xml:space="preserve"> </w:t>
      </w:r>
      <w:r>
        <w:t xml:space="preserve">gas transfer. Mixing time rises with vessel volume at constant power per unit volume, so a</w:t>
      </w:r>
      <w:r>
        <w:t xml:space="preserve"> </w:t>
      </w:r>
      <w:r>
        <w:t xml:space="preserve">bolus feed takes longer to disperse and the cells near the addition point sit in a higher</w:t>
      </w:r>
      <w:r>
        <w:t xml:space="preserve"> </w:t>
      </w:r>
      <w:r>
        <w:t xml:space="preserve">local concentration for longer. Carbon dioxide stripping falls as the liquid column</w:t>
      </w:r>
      <w:r>
        <w:t xml:space="preserve"> </w:t>
      </w:r>
      <w:r>
        <w:t xml:space="preserve">deepens, because a sparge bubble that rises through more liquid comes closer to</w:t>
      </w:r>
      <w:r>
        <w:t xml:space="preserve"> </w:t>
      </w:r>
      <w:r>
        <w:t xml:space="preserve">equilibrium with the culture before it reaches the surface. Oxygen crosses the same interface in the</w:t>
      </w:r>
      <w:r>
        <w:t xml:space="preserve"> </w:t>
      </w:r>
      <w:r>
        <w:t xml:space="preserve">opposite direction, from the bubble into the culture, so a change in the gas path does</w:t>
      </w:r>
      <w:r>
        <w:t xml:space="preserve"> </w:t>
      </w:r>
      <w:r>
        <w:t xml:space="preserve">not act on the two transfers in the same way. Oxygen supply and carbon dioxide removal</w:t>
      </w:r>
      <w:r>
        <w:t xml:space="preserve"> </w:t>
      </w:r>
      <w:r>
        <w:t xml:space="preserve">are therefore matched separately when a model is qualified.</w:t>
      </w:r>
    </w:p>
    <w:p>
      <w:pPr>
        <w:pStyle w:val="BodyText"/>
      </w:pPr>
      <w:r>
        <w:t xml:space="preserve">In the purification steps, scale acts through packing and through pressure. A</w:t>
      </w:r>
      <w:r>
        <w:t xml:space="preserve"> </w:t>
      </w:r>
      <w:r>
        <w:t xml:space="preserve">chromatography column is scaled by holding bed height and linear velocity constant, which</w:t>
      </w:r>
      <w:r>
        <w:t xml:space="preserve"> </w:t>
      </w:r>
      <w:r>
        <w:t xml:space="preserve">preserves the residence time of the mobile phase but not the wall support that stabilizes</w:t>
      </w:r>
      <w:r>
        <w:t xml:space="preserve"> </w:t>
      </w:r>
      <w:r>
        <w:t xml:space="preserve">a narrow bed, so a wide commercial column can lose plate count at a pressure drop the</w:t>
      </w:r>
      <w:r>
        <w:t xml:space="preserve"> </w:t>
      </w:r>
      <w:r>
        <w:t xml:space="preserve">model tolerates. A filter is scaled by area at constant flux, which holds the</w:t>
      </w:r>
      <w:r>
        <w:t xml:space="preserve"> </w:t>
      </w:r>
      <w:r>
        <w:t xml:space="preserve">transmembrane pressure only while the feed carries the same particle load. §5 describes how a</w:t>
      </w:r>
      <w:r>
        <w:t xml:space="preserve"> </w:t>
      </w:r>
      <w:r>
        <w:t xml:space="preserve">model is qualified against these differences.</w:t>
      </w:r>
    </w:p>
    <w:p>
      <w:pPr>
        <w:pStyle w:val="BodyText"/>
      </w:pPr>
      <w:r>
        <w:t xml:space="preserve">The second difference sits in process control. Automated control at the receiving site</w:t>
      </w:r>
      <w:r>
        <w:t xml:space="preserve"> </w:t>
      </w:r>
      <w:r>
        <w:t xml:space="preserve">holds a parameter closer to its set-point than manual control does, which narrows the</w:t>
      </w:r>
      <w:r>
        <w:t xml:space="preserve"> </w:t>
      </w:r>
      <w:r>
        <w:t xml:space="preserve">distribution the commercial process will deliver. A narrower distribution does not</w:t>
      </w:r>
      <w:r>
        <w:t xml:space="preserve"> </w:t>
      </w:r>
      <w:r>
        <w:t xml:space="preserve">invalidate a range, because the characterized ranges are wider than the control capability</w:t>
      </w:r>
      <w:r>
        <w:t xml:space="preserve"> </w:t>
      </w:r>
      <w:r>
        <w:t xml:space="preserve">of either site. The reverse case matters more. Where the receiving site cannot hold a</w:t>
      </w:r>
      <w:r>
        <w:t xml:space="preserve"> </w:t>
      </w:r>
      <w:r>
        <w:t xml:space="preserve">parameter inside the NOR that characterization assumes, either the range must be widened</w:t>
      </w:r>
      <w:r>
        <w:t xml:space="preserve"> </w:t>
      </w:r>
      <w:r>
        <w:t xml:space="preserve">by further study or the equipment must be changed.</w:t>
      </w:r>
    </w:p>
    <w:p>
      <w:pPr>
        <w:pStyle w:val="BodyText"/>
      </w:pPr>
      <w:r>
        <w:t xml:space="preserve">The remaining elements in</w:t>
      </w:r>
      <w:r>
        <w:t xml:space="preserve"> </w:t>
      </w:r>
      <w:hyperlink w:anchor="tbl-equi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carry a documentation difference and not a process</w:t>
      </w:r>
      <w:r>
        <w:t xml:space="preserve"> </w:t>
      </w:r>
      <w:r>
        <w:t xml:space="preserve">difference. Buffer preparation is the one element in that group where a study is still</w:t>
      </w:r>
      <w:r>
        <w:t xml:space="preserve"> </w:t>
      </w:r>
      <w:r>
        <w:t xml:space="preserve">required, because central preparation introduces a hold before use that laboratory</w:t>
      </w:r>
      <w:r>
        <w:t xml:space="preserve"> </w:t>
      </w:r>
      <w:r>
        <w:t xml:space="preserve">preparation does not have. That study is listed in §8 and belongs to the receiving site.</w:t>
      </w:r>
    </w:p>
    <w:bookmarkEnd w:id="19"/>
    <w:bookmarkStart w:id="21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The characterization studies do not run at commercial scale. They run on scale-down models,</w:t>
      </w:r>
      <w:r>
        <w:t xml:space="preserve"> </w:t>
      </w:r>
      <w:r>
        <w:t xml:space="preserve">and every conclusion drawn from them reaches the commercial process through the qualification</w:t>
      </w:r>
      <w:r>
        <w:t xml:space="preserve"> </w:t>
      </w:r>
      <w:r>
        <w:t xml:space="preserve">of those models. Qualification is performed under SOP-1001. It follows the principle stated</w:t>
      </w:r>
      <w:r>
        <w:t xml:space="preserve"> </w:t>
      </w:r>
      <w:r>
        <w:t xml:space="preserve">in the lifecycle guidance, that a laboratory model supports a commercial claim only when the</w:t>
      </w:r>
      <w:r>
        <w:t xml:space="preserve"> </w:t>
      </w:r>
      <w:r>
        <w:t xml:space="preserve">adequacy of the model has been verified and justified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A model is qualified in two parts. Scale-independent variables such as pH, temperature and</w:t>
      </w:r>
      <w:r>
        <w:t xml:space="preserve"> </w:t>
      </w:r>
      <w:r>
        <w:t xml:space="preserve">dissolved oxygen are operated at the values proposed for commercial manufacture. Scale</w:t>
      </w:r>
      <w:r>
        <w:t xml:space="preserve"> </w:t>
      </w:r>
      <w:r>
        <w:t xml:space="preserve">dependent variables such as agitation, gas flow, column bed height, linear velocity and</w:t>
      </w:r>
      <w:r>
        <w:t xml:space="preserve"> </w:t>
      </w:r>
      <w:r>
        <w:t xml:space="preserve">filtration flux are set so that the model reproduces the performance of the commercial train</w:t>
      </w:r>
      <w:r>
        <w:t xml:space="preserve"> </w:t>
      </w:r>
      <w:r>
        <w:t xml:space="preserve">rather than its dimensions. The comparison is then made on the outputs the step controls. For</w:t>
      </w:r>
      <w:r>
        <w:t xml:space="preserve"> </w:t>
      </w:r>
      <w:r>
        <w:t xml:space="preserve">a chromatography step those outputs are step yield, pool volume and the impurity levels in</w:t>
      </w:r>
      <w:r>
        <w:t xml:space="preserve"> </w:t>
      </w:r>
      <w:r>
        <w:t xml:space="preserve">the pool. For the production bioreactor they are viable cell concentration, titre and the</w:t>
      </w:r>
      <w:r>
        <w:t xml:space="preserve"> </w:t>
      </w:r>
      <w:r>
        <w:t xml:space="preserve">product quality attributes the step forms.</w:t>
      </w:r>
    </w:p>
    <w:p>
      <w:pPr>
        <w:pStyle w:val="BodyText"/>
      </w:pPr>
      <w:hyperlink w:anchor="tbl-scop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characterization scope. It lists, for each unit operation, how many</w:t>
      </w:r>
      <w:r>
        <w:t xml:space="preserve"> </w:t>
      </w:r>
      <w:r>
        <w:t xml:space="preserve">parameters enter the campaign, how the study type splits between multivariate and univariate</w:t>
      </w:r>
      <w:r>
        <w:t xml:space="preserve"> </w:t>
      </w:r>
      <w:r>
        <w:t xml:space="preserve">work, and which plan and report cover the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Characterization scope per unit operation and the documents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6"/>
              <w:gridCol w:w="3154"/>
              <w:gridCol w:w="939"/>
              <w:gridCol w:w="1073"/>
              <w:gridCol w:w="939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37 parameters are in scope across the train. 22 of them will be studied in multivariate</w:t>
      </w:r>
      <w:r>
        <w:t xml:space="preserve"> </w:t>
      </w:r>
      <w:r>
        <w:t xml:space="preserve">designs and 15 in univariate studies. 2 of the 8 unit operations carry no</w:t>
      </w:r>
      <w:r>
        <w:t xml:space="preserve"> </w:t>
      </w:r>
      <w:r>
        <w:t xml:space="preserve">multivariate design at all. Harvest and clarification forms no product quality attribute,</w:t>
      </w:r>
      <w:r>
        <w:t xml:space="preserve"> </w:t>
      </w:r>
      <w:r>
        <w:t xml:space="preserve">and ultrafiltration with diafiltration concentrates the pool and exchanges the buffer</w:t>
      </w:r>
      <w:r>
        <w:t xml:space="preserve"> </w:t>
      </w:r>
      <w:r>
        <w:t xml:space="preserve">without forming or clearing one. For these two steps the ranges will rest on univariate</w:t>
      </w:r>
      <w:r>
        <w:t xml:space="preserve"> </w:t>
      </w:r>
      <w:r>
        <w:t xml:space="preserve">work and on platform experience, so no interaction between two of their parameters will be</w:t>
      </w:r>
      <w:r>
        <w:t xml:space="preserve"> </w:t>
      </w:r>
      <w:r>
        <w:t xml:space="preserve">estimated (§8).</w:t>
      </w:r>
    </w:p>
    <w:p>
      <w:pPr>
        <w:pStyle w:val="BodyText"/>
      </w:pPr>
      <w:r>
        <w:t xml:space="preserve">Comparability between the two sites will be demonstrated on material, not on</w:t>
      </w:r>
      <w:r>
        <w:t xml:space="preserve"> </w:t>
      </w:r>
      <w:r>
        <w:t xml:space="preserve">documentation. The receiving site will run engineering batches on the commercial train</w:t>
      </w:r>
      <w:r>
        <w:t xml:space="preserve"> </w:t>
      </w:r>
      <w:r>
        <w:t xml:space="preserve">before the qualification campaign starts. Each batch will be sampled at every step and</w:t>
      </w:r>
      <w:r>
        <w:t xml:space="preserve"> </w:t>
      </w:r>
      <w:r>
        <w:t xml:space="preserve">tested by the transferred methods. The drug substance from those batches will be compared</w:t>
      </w:r>
      <w:r>
        <w:t xml:space="preserve"> </w:t>
      </w:r>
      <w:r>
        <w:t xml:space="preserve">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and each intermediate will be compared</w:t>
      </w:r>
      <w:r>
        <w:t xml:space="preserve"> </w:t>
      </w:r>
      <w:r>
        <w:t xml:space="preserve">against the in-process limit that the corresponding characterization report establishes</w:t>
      </w:r>
      <w:r>
        <w:t xml:space="preserve"> </w:t>
      </w:r>
      <w:r>
        <w:t xml:space="preserve">for its step.</w:t>
      </w:r>
    </w:p>
    <w:p>
      <w:pPr>
        <w:pStyle w:val="BodyText"/>
      </w:pPr>
      <w:r>
        <w:t xml:space="preserve">Comparability is judged against those criteria and not against the mean values observed in</w:t>
      </w:r>
      <w:r>
        <w:t xml:space="preserve"> </w:t>
      </w:r>
      <w:r>
        <w:t xml:space="preserve">development. A development mean is a property of the scale-down model and of the small</w:t>
      </w:r>
      <w:r>
        <w:t xml:space="preserve"> </w:t>
      </w:r>
      <w:r>
        <w:t xml:space="preserve">number of batches behind it, and a commercial batch that differs from it is not thereby</w:t>
      </w:r>
      <w:r>
        <w:t xml:space="preserve"> </w:t>
      </w:r>
      <w:r>
        <w:t xml:space="preserve">different in quality. Prior knowledge from the sponsor’s earlier humanized IgG1 products</w:t>
      </w:r>
      <w:r>
        <w:t xml:space="preserve"> </w:t>
      </w:r>
      <w:r>
        <w:t xml:space="preserve">supports the expectation that the platform purification steps behave the same way at both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However, that expectation is confirmed by the engineering batches rather</w:t>
      </w:r>
      <w:r>
        <w:t xml:space="preserve"> </w:t>
      </w:r>
      <w:r>
        <w:t xml:space="preserve">than assumed from the platform.</w:t>
      </w:r>
    </w:p>
    <w:bookmarkEnd w:id="21"/>
    <w:bookmarkStart w:id="27" w:name="X89997eaec9c0441c8e9b70e6350cb6b0de174ef"/>
    <w:p>
      <w:pPr>
        <w:pStyle w:val="Heading1"/>
      </w:pPr>
      <w:r>
        <w:t xml:space="preserve">6. Transfer of the process, methods and control strategy</w:t>
      </w:r>
    </w:p>
    <w:p>
      <w:pPr>
        <w:pStyle w:val="FirstParagraph"/>
      </w:pPr>
      <w:r>
        <w:t xml:space="preserve">The transfer is delivered in three parts. §6.1 covers the manufacturing process, §6.2 the</w:t>
      </w:r>
      <w:r>
        <w:t xml:space="preserve"> </w:t>
      </w:r>
      <w:r>
        <w:t xml:space="preserve">analytical methods and §6.3 the control strategy. Each part names what is handed over, what</w:t>
      </w:r>
      <w:r>
        <w:t xml:space="preserve"> </w:t>
      </w:r>
      <w:r>
        <w:t xml:space="preserve">condition the handover must satisfy and who approves it.</w:t>
      </w:r>
    </w:p>
    <w:bookmarkStart w:id="23" w:name="the-manufacturing-process"/>
    <w:p>
      <w:pPr>
        <w:pStyle w:val="Heading2"/>
      </w:pPr>
      <w:r>
        <w:t xml:space="preserve">6.1 The manufacturing process</w:t>
      </w:r>
    </w:p>
    <w:p>
      <w:pPr>
        <w:pStyle w:val="FirstParagraph"/>
      </w:pPr>
      <w:r>
        <w:t xml:space="preserve">The process description is the source document for the transfer. It states the sequence of</w:t>
      </w:r>
      <w:r>
        <w:t xml:space="preserve"> </w:t>
      </w:r>
      <w:r>
        <w:t xml:space="preserve">unit operations, the materials, the set-point of every parameter and the range each</w:t>
      </w:r>
      <w:r>
        <w:t xml:space="preserve"> </w:t>
      </w:r>
      <w:r>
        <w:t xml:space="preserve">parameter may move within. The set-points and ranges in it are not final when this plan is</w:t>
      </w:r>
      <w:r>
        <w:t xml:space="preserve"> </w:t>
      </w:r>
      <w:r>
        <w:t xml:space="preserve">approved. They will be confirmed, and in some cases narrowed, by the characterization</w:t>
      </w:r>
      <w:r>
        <w:t xml:space="preserve"> </w:t>
      </w:r>
      <w:r>
        <w:t xml:space="preserve">studies, and the confirmed values will be issued as a revision of the process description</w:t>
      </w:r>
      <w:r>
        <w:t xml:space="preserve"> </w:t>
      </w:r>
      <w:r>
        <w:t xml:space="preserve">before the master batch record is drafted.</w:t>
      </w:r>
    </w:p>
    <w:p>
      <w:pPr>
        <w:pStyle w:val="BodyText"/>
      </w:pPr>
      <w:r>
        <w:t xml:space="preserve">The receiving site will draft the master batch record from the approved process description.</w:t>
      </w:r>
      <w:r>
        <w:t xml:space="preserve"> </w:t>
      </w:r>
      <w:r>
        <w:t xml:space="preserve">The batch record must carry every parameter the control strategy classifies as critical or</w:t>
      </w:r>
      <w:r>
        <w:t xml:space="preserve"> </w:t>
      </w:r>
      <w:r>
        <w:t xml:space="preserve">well controlled critical, together with its set-point and its NOR, and it must carry the</w:t>
      </w:r>
      <w:r>
        <w:t xml:space="preserve"> </w:t>
      </w:r>
      <w:r>
        <w:t xml:space="preserve">in-process controls and the sampling points that support them. Where a parameter is</w:t>
      </w:r>
      <w:r>
        <w:t xml:space="preserve"> </w:t>
      </w:r>
      <w:r>
        <w:t xml:space="preserve">monitored but not held to a limit, the batch record should record the measured value without</w:t>
      </w:r>
      <w:r>
        <w:t xml:space="preserve"> </w:t>
      </w:r>
      <w:r>
        <w:t xml:space="preserve">an acceptance criterion attached, so that a change in the value is visible without</w:t>
      </w:r>
      <w:r>
        <w:t xml:space="preserve"> </w:t>
      </w:r>
      <w:r>
        <w:t xml:space="preserve">generating a deviation.</w:t>
      </w:r>
    </w:p>
    <w:p>
      <w:pPr>
        <w:pStyle w:val="BodyText"/>
      </w:pPr>
      <w:r>
        <w:t xml:space="preserve">The controlled procedures and method validations that support the transfer are listed in</w:t>
      </w:r>
      <w:r>
        <w:t xml:space="preserve"> </w:t>
      </w:r>
      <w:hyperlink w:anchor="tbl-docs">
        <w:r>
          <w:rPr>
            <w:rStyle w:val="Hyperlink"/>
          </w:rPr>
          <w:t xml:space="preserve">Table 7</w:t>
        </w:r>
      </w:hyperlink>
      <w:r>
        <w:t xml:space="preserve">. The procedures that describe the operation of an individual unit operation will</w:t>
      </w:r>
      <w:r>
        <w:t xml:space="preserve"> </w:t>
      </w:r>
      <w:r>
        <w:t xml:space="preserve">be reissued in the receiving site’s document system before the engineering batches are run.</w:t>
      </w:r>
      <w:r>
        <w:t xml:space="preserve"> </w:t>
      </w:r>
      <w:r>
        <w:t xml:space="preserve">SOP-1001, SOP-1002 and SOP-4001 govern scale-down model qualification, the design and</w:t>
      </w:r>
      <w:r>
        <w:t xml:space="preserve"> </w:t>
      </w:r>
      <w:r>
        <w:t xml:space="preserve">analysis of the characterization studies, and parameter classification. These three remain</w:t>
      </w:r>
      <w:r>
        <w:t xml:space="preserve"> </w:t>
      </w:r>
      <w:r>
        <w:t xml:space="preserve">development procedures, because the work they govern stays at the sending site.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Controlled procedures and analytical method validations in scope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Handover of the manufacturing process is complete when the process description, the master</w:t>
      </w:r>
      <w:r>
        <w:t xml:space="preserve"> </w:t>
      </w:r>
      <w:r>
        <w:t xml:space="preserve">batch record, the bill of materials and the operator training records have been approved at</w:t>
      </w:r>
      <w:r>
        <w:t xml:space="preserve"> </w:t>
      </w:r>
      <w:r>
        <w:t xml:space="preserve">the receiving site. MSAT at the receiving site owns that approval. Quality Assurance at both</w:t>
      </w:r>
      <w:r>
        <w:t xml:space="preserve"> </w:t>
      </w:r>
      <w:r>
        <w:t xml:space="preserve">sites countersigns it.</w:t>
      </w:r>
    </w:p>
    <w:bookmarkEnd w:id="23"/>
    <w:bookmarkStart w:id="25" w:name="the-analytical-methods"/>
    <w:p>
      <w:pPr>
        <w:pStyle w:val="Heading2"/>
      </w:pPr>
      <w:r>
        <w:t xml:space="preserve">6.2 The analytical methods</w:t>
      </w:r>
    </w:p>
    <w:p>
      <w:pPr>
        <w:pStyle w:val="FirstParagraph"/>
      </w:pPr>
      <w:r>
        <w:t xml:space="preserve">The methods in scope are the release and characterization methods for the drug substance and</w:t>
      </w:r>
      <w:r>
        <w:t xml:space="preserve"> </w:t>
      </w:r>
      <w:r>
        <w:t xml:space="preserve">the in-process methods that support the control of the intermediates.</w:t>
      </w:r>
      <w:r>
        <w:t xml:space="preserve"> </w:t>
      </w:r>
      <w:hyperlink w:anchor="tbl-method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8 methods with the performance each one demonstrated at qualification.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Analytical methods in scope for transfer, with qualified performance.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2970"/>
              <w:gridCol w:w="1608"/>
              <w:gridCol w:w="1546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0.5 % glycan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precision column is the intermediate precision of the method. For the quantitative</w:t>
      </w:r>
      <w:r>
        <w:t xml:space="preserve"> </w:t>
      </w:r>
      <w:r>
        <w:t xml:space="preserve">assays it is a relative standard deviation in per cent. For the two infectivity titre assays</w:t>
      </w:r>
      <w:r>
        <w:t xml:space="preserve"> </w:t>
      </w:r>
      <w:r>
        <w:t xml:space="preserve">it is a standard deviation in log10 units, which is the form the viral clearance calculation</w:t>
      </w:r>
      <w:r>
        <w:t xml:space="preserve"> </w:t>
      </w:r>
      <w:r>
        <w:t xml:space="preserve">uses. The host cell protein ELISA is the least precise of the quantitative methods at</w:t>
      </w:r>
      <w:r>
        <w:t xml:space="preserve"> </w:t>
      </w:r>
      <w:r>
        <w:t xml:space="preserve">9.5 per cent, and it is the method that supports the host cell protein</w:t>
      </w:r>
      <w:r>
        <w:t xml:space="preserve"> </w:t>
      </w:r>
      <w:r>
        <w:t xml:space="preserve">clearance argument across all three chromatography steps. Method transfer for that assay</w:t>
      </w:r>
      <w:r>
        <w:t xml:space="preserve"> </w:t>
      </w:r>
      <w:r>
        <w:t xml:space="preserve">should therefore be completed and reviewed before the engineering batches are run.</w:t>
      </w:r>
    </w:p>
    <w:p>
      <w:pPr>
        <w:pStyle w:val="BodyText"/>
      </w:pPr>
      <w:r>
        <w:t xml:space="preserve">Each method will be transferred under a written protocol and requalified at the receiving</w:t>
      </w:r>
      <w:r>
        <w:t xml:space="preserve"> </w:t>
      </w:r>
      <w:r>
        <w:t xml:space="preserve">site before it is used to test comparability material. A transfer is successful when the</w:t>
      </w:r>
      <w:r>
        <w:t xml:space="preserve"> </w:t>
      </w:r>
      <w:r>
        <w:t xml:space="preserve">receiving site reproduces the qualified intermediate precision of the method and returns</w:t>
      </w:r>
      <w:r>
        <w:t xml:space="preserve"> </w:t>
      </w:r>
      <w:r>
        <w:t xml:space="preserve">accuracy within the qualified range on a common sample set. Where the receiving site cannot</w:t>
      </w:r>
      <w:r>
        <w:t xml:space="preserve"> </w:t>
      </w:r>
      <w:r>
        <w:t xml:space="preserve">meet the qualified precision, the cause should be investigated and corrected before the</w:t>
      </w:r>
      <w:r>
        <w:t xml:space="preserve"> </w:t>
      </w:r>
      <w:r>
        <w:t xml:space="preserve">exercise is repeated. The method may not be used for in-process or release testing until the</w:t>
      </w:r>
      <w:r>
        <w:t xml:space="preserve"> </w:t>
      </w:r>
      <w:r>
        <w:t xml:space="preserve">exercise has passed.</w:t>
      </w:r>
    </w:p>
    <w:p>
      <w:pPr>
        <w:pStyle w:val="BodyText"/>
      </w:pPr>
      <w:r>
        <w:t xml:space="preserve">Analytical Development at the sending site owns the transfer protocol and the comparison of</w:t>
      </w:r>
      <w:r>
        <w:t xml:space="preserve"> </w:t>
      </w:r>
      <w:r>
        <w:t xml:space="preserve">the two data sets. Quality Control at the receiving site executes the transfer. Quality</w:t>
      </w:r>
      <w:r>
        <w:t xml:space="preserve"> </w:t>
      </w:r>
      <w:r>
        <w:t xml:space="preserve">Assurance approves the outcome. The person who executes a method transfer may not approve</w:t>
      </w:r>
      <w:r>
        <w:t xml:space="preserve"> </w:t>
      </w:r>
      <w:r>
        <w:t xml:space="preserve">it.</w:t>
      </w:r>
    </w:p>
    <w:bookmarkEnd w:id="25"/>
    <w:bookmarkStart w:id="26" w:name="the-control-strategy"/>
    <w:p>
      <w:pPr>
        <w:pStyle w:val="Heading2"/>
      </w:pPr>
      <w:r>
        <w:t xml:space="preserve">6.3 The control strategy</w:t>
      </w:r>
    </w:p>
    <w:p>
      <w:pPr>
        <w:pStyle w:val="FirstParagraph"/>
      </w:pPr>
      <w:r>
        <w:t xml:space="preserve">The control strategy is the set of controls that together assure the quality of the drug</w:t>
      </w:r>
      <w:r>
        <w:t xml:space="preserve"> </w:t>
      </w:r>
      <w:r>
        <w:t xml:space="preserve">substance. It has three layers in this transfer. Parameter classification places every</w:t>
      </w:r>
      <w:r>
        <w:t xml:space="preserve"> </w:t>
      </w:r>
      <w:r>
        <w:t xml:space="preserve">process parameter in a class and attaches a control to it. In-process limits bound what each</w:t>
      </w:r>
      <w:r>
        <w:t xml:space="preserve"> </w:t>
      </w:r>
      <w:r>
        <w:t xml:space="preserve">intermediate may deliver to the next step. Release testing confirms the attributes of the</w:t>
      </w:r>
      <w:r>
        <w:t xml:space="preserve"> </w:t>
      </w:r>
      <w:r>
        <w:t xml:space="preserve">drug substance against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BodyText"/>
      </w:pPr>
      <w:r>
        <w:t xml:space="preserve">Classification is performed under SOP-4001 on the evidence from the characterization</w:t>
      </w:r>
      <w:r>
        <w:t xml:space="preserve"> </w:t>
      </w:r>
      <w:r>
        <w:t xml:space="preserve">studies, so the classes are not known when this plan is approved. Each report classifies the</w:t>
      </w:r>
      <w:r>
        <w:t xml:space="preserve"> </w:t>
      </w:r>
      <w:r>
        <w:t xml:space="preserve">parameters of its own step, and PCMR-001 consolidates the classification for the whole</w:t>
      </w:r>
      <w:r>
        <w:t xml:space="preserve"> </w:t>
      </w:r>
      <w:r>
        <w:t xml:space="preserve">train. A parameter whose variability affects a quality attribute is a critical process</w:t>
      </w:r>
      <w:r>
        <w:t xml:space="preserve"> </w:t>
      </w:r>
      <w:r>
        <w:t xml:space="preserve">parameter, and it is a well controlled critical process parameter where the risk of leaving</w:t>
      </w:r>
      <w:r>
        <w:t xml:space="preserve"> </w:t>
      </w:r>
      <w:r>
        <w:t xml:space="preserve">the design space is low. A parameter that affects process consistency without affecting</w:t>
      </w:r>
      <w:r>
        <w:t xml:space="preserve"> </w:t>
      </w:r>
      <w:r>
        <w:t xml:space="preserve">quality is a key process parameter. The remaining parameters are general process parameters</w:t>
      </w:r>
      <w:r>
        <w:t xml:space="preserve"> </w:t>
      </w:r>
      <w:r>
        <w:t xml:space="preserve">and are controlled by the batch record without a criticality claim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rests on three independent steps and not on any one of them. The low pH hold</w:t>
      </w:r>
      <w:r>
        <w:t xml:space="preserve"> </w:t>
      </w:r>
      <w:r>
        <w:t xml:space="preserve">inactivates enveloped virus, the anion exchange step removes both enveloped and small</w:t>
      </w:r>
      <w:r>
        <w:t xml:space="preserve"> </w:t>
      </w:r>
      <w:r>
        <w:t xml:space="preserve">virus in flow-through mode, and the small virus retentive filter removes small virus by</w:t>
      </w:r>
      <w:r>
        <w:t xml:space="preserve"> </w:t>
      </w:r>
      <w:r>
        <w:t xml:space="preserve">size. Inactivation by pH, removal by charge and removal by size act on three different</w:t>
      </w:r>
      <w:r>
        <w:t xml:space="preserve"> </w:t>
      </w:r>
      <w:r>
        <w:t xml:space="preserve">properties of the virus particle, so a particle that survives one step is no more likely</w:t>
      </w:r>
      <w:r>
        <w:t xml:space="preserve"> </w:t>
      </w:r>
      <w:r>
        <w:t xml:space="preserve">to survive the next, and the log reductions are added</w:t>
      </w:r>
      <w:r>
        <w:t xml:space="preserve"> </w:t>
      </w:r>
      <w:r>
        <w:t xml:space="preserve">(International Council for Harmonisation 2023a)</w:t>
      </w:r>
      <w:r>
        <w:t xml:space="preserve">. The load conditions each</w:t>
      </w:r>
      <w:r>
        <w:t xml:space="preserve"> </w:t>
      </w:r>
      <w:r>
        <w:t xml:space="preserve">claim depends on, such as the pH and the conductivity of the anion exchange load, are</w:t>
      </w:r>
      <w:r>
        <w:t xml:space="preserve"> </w:t>
      </w:r>
      <w:r>
        <w:t xml:space="preserve">controlled by the batch record. The cumulative clearance is stated in PCMR-001 and</w:t>
      </w:r>
      <w:r>
        <w:t xml:space="preserve"> </w:t>
      </w:r>
      <w:r>
        <w:t xml:space="preserve">compared there with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BodyText"/>
      </w:pPr>
      <w:r>
        <w:t xml:space="preserve">The control strategy is transferred when PCMR-001 has been approved and the classifications</w:t>
      </w:r>
      <w:r>
        <w:t xml:space="preserve"> </w:t>
      </w:r>
      <w:r>
        <w:t xml:space="preserve">it consolidates have been written into the master batch record. Until that point the</w:t>
      </w:r>
      <w:r>
        <w:t xml:space="preserve"> </w:t>
      </w:r>
      <w:r>
        <w:t xml:space="preserve">receiving site operates against the ranges in the current process description. That basis is</w:t>
      </w:r>
      <w:r>
        <w:t xml:space="preserve"> </w:t>
      </w:r>
      <w:r>
        <w:t xml:space="preserve">appropriate for engineering batches and is not sufficient for qualification batches.</w:t>
      </w:r>
    </w:p>
    <w:bookmarkEnd w:id="26"/>
    <w:bookmarkEnd w:id="27"/>
    <w:bookmarkStart w:id="28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Process performance qualification is the Stage 2 activity that follows this transfer</w:t>
      </w:r>
      <w:r>
        <w:t xml:space="preserve"> </w:t>
      </w:r>
      <w:r>
        <w:t xml:space="preserve">(U.S. Food and Drug Administration 2011)</w:t>
      </w:r>
      <w:r>
        <w:t xml:space="preserve">. It demonstrates that the commercial process, operated by the receiving site with</w:t>
      </w:r>
      <w:r>
        <w:t xml:space="preserve"> </w:t>
      </w:r>
      <w:r>
        <w:t xml:space="preserve">the transferred methods and the transferred control strategy, reproducibly delivers drug</w:t>
      </w:r>
      <w:r>
        <w:t xml:space="preserve"> </w:t>
      </w:r>
      <w:r>
        <w:t xml:space="preserve">substance of the required quality. This plan does not execute that demonstration. It states</w:t>
      </w:r>
      <w:r>
        <w:t xml:space="preserve"> </w:t>
      </w:r>
      <w:r>
        <w:t xml:space="preserve">what must be in place before the campaign may start and the strategy the campaign will</w:t>
      </w:r>
      <w:r>
        <w:t xml:space="preserve"> </w:t>
      </w:r>
      <w:r>
        <w:t xml:space="preserve">follow.</w:t>
      </w:r>
    </w:p>
    <w:p>
      <w:pPr>
        <w:pStyle w:val="BodyText"/>
      </w:pPr>
      <w:r>
        <w:t xml:space="preserve">5 consecutive batches will be manufactured at commercial scale under the approved master</w:t>
      </w:r>
      <w:r>
        <w:t xml:space="preserve"> </w:t>
      </w:r>
      <w:r>
        <w:t xml:space="preserve">batch record. Every parameter will be held at its set-point, and no deliberate excursion</w:t>
      </w:r>
      <w:r>
        <w:t xml:space="preserve"> </w:t>
      </w:r>
      <w:r>
        <w:t xml:space="preserve">will be run. The campaign will not challenge the edges of the characterized ranges,</w:t>
      </w:r>
      <w:r>
        <w:t xml:space="preserve"> </w:t>
      </w:r>
      <w:r>
        <w:t xml:space="preserve">because those edges are established at small scale and a qualification batch is not a</w:t>
      </w:r>
      <w:r>
        <w:t xml:space="preserve"> </w:t>
      </w:r>
      <w:r>
        <w:t xml:space="preserve">characterization experiment. However, it is recognized that a campaign of this size cannot</w:t>
      </w:r>
      <w:r>
        <w:t xml:space="preserve"> </w:t>
      </w:r>
      <w:r>
        <w:t xml:space="preserve">capture the variability that commercial manufacture will show over its life.</w:t>
      </w:r>
    </w:p>
    <w:p>
      <w:pPr>
        <w:pStyle w:val="BodyText"/>
      </w:pPr>
      <w:r>
        <w:t xml:space="preserve">The campaign may start when the following conditions are met.</w:t>
      </w:r>
    </w:p>
    <w:p>
      <w:pPr>
        <w:pStyle w:val="Compact"/>
        <w:numPr>
          <w:ilvl w:val="0"/>
          <w:numId w:val="1001"/>
        </w:numPr>
      </w:pPr>
      <w:r>
        <w:t xml:space="preserve">The characterization package is complete and PCMR-001 has been approved.</w:t>
      </w:r>
    </w:p>
    <w:p>
      <w:pPr>
        <w:pStyle w:val="Compact"/>
        <w:numPr>
          <w:ilvl w:val="0"/>
          <w:numId w:val="1001"/>
        </w:numPr>
      </w:pPr>
      <w:r>
        <w:t xml:space="preserve">Every method used for in-process and release testing has been transferred and requalified</w:t>
      </w:r>
      <w:r>
        <w:t xml:space="preserve"> </w:t>
      </w:r>
      <w:r>
        <w:t xml:space="preserve">at the receiving site.</w:t>
      </w:r>
    </w:p>
    <w:p>
      <w:pPr>
        <w:pStyle w:val="Compact"/>
        <w:numPr>
          <w:ilvl w:val="0"/>
          <w:numId w:val="1001"/>
        </w:numPr>
      </w:pPr>
      <w:r>
        <w:t xml:space="preserve">The commercial equipment train and the utilities that serve it are qualified.</w:t>
      </w:r>
    </w:p>
    <w:p>
      <w:pPr>
        <w:pStyle w:val="Compact"/>
        <w:numPr>
          <w:ilvl w:val="0"/>
          <w:numId w:val="1001"/>
        </w:numPr>
      </w:pPr>
      <w:r>
        <w:t xml:space="preserve">The master batch record carries the confirmed set-points, the confirmed ranges and the</w:t>
      </w:r>
      <w:r>
        <w:t xml:space="preserve"> </w:t>
      </w:r>
      <w:r>
        <w:t xml:space="preserve">in-process controls.</w:t>
      </w:r>
    </w:p>
    <w:p>
      <w:pPr>
        <w:pStyle w:val="Compact"/>
        <w:numPr>
          <w:ilvl w:val="0"/>
          <w:numId w:val="1001"/>
        </w:numPr>
      </w:pPr>
      <w:r>
        <w:t xml:space="preserve">The gaps recorded in §8 are closed, or the residual risk of an open gap has been assessed</w:t>
      </w:r>
      <w:r>
        <w:t xml:space="preserve"> </w:t>
      </w:r>
      <w:r>
        <w:t xml:space="preserve">and accepted in writing by Quality Assurance.</w:t>
      </w:r>
    </w:p>
    <w:p>
      <w:pPr>
        <w:pStyle w:val="FirstParagraph"/>
      </w:pPr>
      <w:r>
        <w:t xml:space="preserve">Sampling during the campaign will follow the sampling plans in the per step</w:t>
      </w:r>
      <w:r>
        <w:t xml:space="preserve"> </w:t>
      </w:r>
      <w:r>
        <w:t xml:space="preserve">characterization plans, so that each intermediate is tested against the same in-process</w:t>
      </w:r>
      <w:r>
        <w:t xml:space="preserve"> </w:t>
      </w:r>
      <w:r>
        <w:t xml:space="preserve">limit that characterization established for it. The acceptance criteria for the campaign</w:t>
      </w:r>
      <w:r>
        <w:t xml:space="preserve"> </w:t>
      </w:r>
      <w:r>
        <w:t xml:space="preserve">will be stated in the qualification protocol and are not restated here. PCMP-001 plans the</w:t>
      </w:r>
      <w:r>
        <w:t xml:space="preserve"> </w:t>
      </w:r>
      <w:r>
        <w:t xml:space="preserve">characterization campaign that produces the evidence, and PCMR-001 consolidates it. Both</w:t>
      </w:r>
      <w:r>
        <w:t xml:space="preserve"> </w:t>
      </w:r>
      <w:r>
        <w:t xml:space="preserve">are approved before the campaign starts.</w:t>
      </w:r>
    </w:p>
    <w:p>
      <w:pPr>
        <w:pStyle w:val="BodyText"/>
      </w:pPr>
      <w:r>
        <w:t xml:space="preserve">Continued process verification begins when the qualification campaign is complete. The</w:t>
      </w:r>
      <w:r>
        <w:t xml:space="preserve"> </w:t>
      </w:r>
      <w:r>
        <w:t xml:space="preserve">monitoring plan for it will be drafted by the receiving site during the campaign. It may not</w:t>
      </w:r>
      <w:r>
        <w:t xml:space="preserve"> </w:t>
      </w:r>
      <w:r>
        <w:t xml:space="preserve">be finalized until the campaign data are available, because the control limits it applies</w:t>
      </w:r>
      <w:r>
        <w:t xml:space="preserve"> </w:t>
      </w:r>
      <w:r>
        <w:t xml:space="preserve">are derived from the performance the commercial process actually shows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8"/>
    <w:bookmarkStart w:id="30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Gaps were identified by comparing what the receiving site holds today against what the</w:t>
      </w:r>
      <w:r>
        <w:t xml:space="preserve"> </w:t>
      </w:r>
      <w:r>
        <w:t xml:space="preserve">qualification campaign requires.</w:t>
      </w:r>
      <w:r>
        <w:t xml:space="preserve"> </w:t>
      </w:r>
      <w:hyperlink w:anchor="tbl-ga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lists each gap with its impact, the action that</w:t>
      </w:r>
      <w:r>
        <w:t xml:space="preserve"> </w:t>
      </w:r>
      <w:r>
        <w:t xml:space="preserve">closes it and the function that owns the action. A gap must be closed before the</w:t>
      </w:r>
      <w:r>
        <w:t xml:space="preserve"> </w:t>
      </w:r>
      <w:r>
        <w:t xml:space="preserve">qualification campaign starts, or its residual risk must be assessed and accepted under the</w:t>
      </w:r>
      <w:r>
        <w:t xml:space="preserve"> </w:t>
      </w:r>
      <w:r>
        <w:t xml:space="preserve">quality system</w:t>
      </w:r>
      <w:r>
        <w:t xml:space="preserve"> </w:t>
      </w:r>
      <w:r>
        <w:t xml:space="preserve">(International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Transfer gaps, their impact, the closing action and the owning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Impact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 that closes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models are qualified against the development train 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Characterization conclusions reach commercial scale only through the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each model against the receiving site equipment train, and record the comparison in the characterization plan for the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are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results and in-process results cannot be generated or interpreted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and requalify every method in</w:t>
                  </w:r>
                  <w:r>
                    <w:t xml:space="preserve"> </w:t>
                  </w:r>
                  <w:hyperlink w:anchor="tbl-methods">
                    <w:r>
                      <w:rPr>
                        <w:rStyle w:val="Hyperlink"/>
                      </w:rPr>
                      <w:t xml:space="preserve">Table 8</w:t>
                    </w:r>
                  </w:hyperlink>
                  <w:r>
                    <w:t xml:space="preserve"> </w:t>
                  </w:r>
                  <w:r>
                    <w:t xml:space="preserve">under a written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and UF/DF carry no multivariate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ranges for these two steps rest on univariate work and platform experience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the limitation in PCP-004 and PCP-010, and support the ranges with univariate data and prior knowledge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 classification is not established until PCMR-001 is approved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master batch record cannot be finalized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Draft the batch record after PCMR-001 is approved, and run engineering batches against the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preparation moves from per experiment preparation to central preparation and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stability are not covered by development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buffer hold times at the receiving site before the engineering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claims are established at small scale 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claims cannot be verified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 the modular small scale claims, and control the load conditions they depend on through the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Operators at the receiving site have not run this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 execution error during qualification would invalidate a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 operators on the master batch record and run engineering batches before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Manufacturing, receiving site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first two gaps set the schedule, because each requires laboratory work at a site that</w:t>
      </w:r>
      <w:r>
        <w:t xml:space="preserve"> </w:t>
      </w:r>
      <w:r>
        <w:t xml:space="preserve">has not yet performed it and neither can be closed by a document review. The remaining</w:t>
      </w:r>
      <w:r>
        <w:t xml:space="preserve"> </w:t>
      </w:r>
      <w:r>
        <w:t xml:space="preserve">gaps are closed by sequencing, by training or by a bounded qualification study, and none</w:t>
      </w:r>
      <w:r>
        <w:t xml:space="preserve"> </w:t>
      </w:r>
      <w:r>
        <w:t xml:space="preserve">of them requires a change to the process itself. The gap on harvest and UF/DF will still</w:t>
      </w:r>
      <w:r>
        <w:t xml:space="preserve"> </w:t>
      </w:r>
      <w:r>
        <w:t xml:space="preserve">be open when the campaign ends, because no multivariate design is planned for either step</w:t>
      </w:r>
      <w:r>
        <w:t xml:space="preserve"> </w:t>
      </w:r>
      <w:r>
        <w:t xml:space="preserve">at any point in the programme. It is accepted because neither step forms or clears a</w:t>
      </w:r>
      <w:r>
        <w:t xml:space="preserve"> </w:t>
      </w:r>
      <w:r>
        <w:t xml:space="preserve">quality attribute, so an unestimated interaction between two of their parameters cannot</w:t>
      </w:r>
      <w:r>
        <w:t xml:space="preserve"> </w:t>
      </w:r>
      <w:r>
        <w:t xml:space="preserve">move a result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bookmarkEnd w:id="30"/>
    <w:bookmarkStart w:id="32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transfer is run by a joint team drawn from both sites. MSAT leads the team at each site,</w:t>
      </w:r>
      <w:r>
        <w:t xml:space="preserve"> </w:t>
      </w:r>
      <w:r>
        <w:t xml:space="preserve">and Quality Assurance approves each handover.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responsibilities this</w:t>
      </w:r>
      <w:r>
        <w:t xml:space="preserve"> </w:t>
      </w:r>
      <w:r>
        <w:t xml:space="preserve">plan assigns.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Functions, sites and the responsibility this plan assigns to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process description, the scale-down models, the characterization plans and reports, and the justification of the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master batch record, the equipment and utility qualification, the engineering batches and the qualification campaign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method transfer protocols and the comparison of the sending and receiving data sets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transferred methods and performs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 and the statistical analysis of the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engineering and qualification batches under the master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plans, the reports, each handover and the disposition of any open gap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 named individual is assigned to each function in the transfer team roster, which is</w:t>
      </w:r>
      <w:r>
        <w:t xml:space="preserve"> </w:t>
      </w:r>
      <w:r>
        <w:t xml:space="preserve">maintained outside this plan and revised as the team changes. Depending on the size of the</w:t>
      </w:r>
      <w:r>
        <w:t xml:space="preserve"> </w:t>
      </w:r>
      <w:r>
        <w:t xml:space="preserve">receiving site team, one person may hold more than one function. The separations recorded in</w:t>
      </w:r>
      <w:r>
        <w:t xml:space="preserve"> </w:t>
      </w:r>
      <w:r>
        <w:t xml:space="preserve">§6.2 and §11 are the exception and are not waived.</w:t>
      </w:r>
    </w:p>
    <w:bookmarkEnd w:id="32"/>
    <w:bookmarkStart w:id="34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hyperlink w:anchor="tbl-deli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lists what this plan commits to and the order in which the deliverables arrive.</w:t>
      </w:r>
      <w:r>
        <w:t xml:space="preserve"> </w:t>
      </w:r>
      <w:r>
        <w:t xml:space="preserve">The order is a dependency order rather than a calendar. Dates are held in the transfer</w:t>
      </w:r>
      <w:r>
        <w:t xml:space="preserve"> </w:t>
      </w:r>
      <w:r>
        <w:t xml:space="preserve">project schedule, which is revised as the work proceeds and is not reproduced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Deliverables of the transfer and the dependency order in which they arrive.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Depends 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the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PCMP-001, the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characterization plan per unit operation, PCP-003 to PCP-010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characterization plan for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protocols and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characterization report per unit operation, PCR-003 to PCR-010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corresponding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PCMR-001, the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characterization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Revised process description with confirmed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revised process 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and utility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batch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method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MSAT,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and the engineering batch reports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characterization work sets the duration of the transfer, because the qualification</w:t>
      </w:r>
      <w:r>
        <w:t xml:space="preserve"> </w:t>
      </w:r>
      <w:r>
        <w:t xml:space="preserve">campaign cannot start until PCMR-001 is approved and PCMR-001 cannot be written until</w:t>
      </w:r>
      <w:r>
        <w:t xml:space="preserve"> </w:t>
      </w:r>
      <w:r>
        <w:t xml:space="preserve">every characterization report is complete. Equipment qualification, utility qualification,</w:t>
      </w:r>
      <w:r>
        <w:t xml:space="preserve"> </w:t>
      </w:r>
      <w:r>
        <w:t xml:space="preserve">method transfer and operator training do not wait on that chain. Each of them can start</w:t>
      </w:r>
      <w:r>
        <w:t xml:space="preserve"> </w:t>
      </w:r>
      <w:r>
        <w:t xml:space="preserve">when this plan is approved, and</w:t>
      </w:r>
      <w:r>
        <w:t xml:space="preserve"> </w:t>
      </w:r>
      <w:hyperlink w:anchor="tbl-deli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this plan as the dependency for all four.</w:t>
      </w:r>
    </w:p>
    <w:bookmarkEnd w:id="34"/>
    <w:bookmarkStart w:id="35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takes effect when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have approved it. A revision is</w:t>
      </w:r>
      <w:r>
        <w:t xml:space="preserve"> </w:t>
      </w:r>
      <w:r>
        <w:t xml:space="preserve">required where the scope of the transfer changes, where a unit operation is added to the</w:t>
      </w:r>
      <w:r>
        <w:t xml:space="preserve"> </w:t>
      </w:r>
      <w:r>
        <w:t xml:space="preserve">train or removed from it, or where a gap in §8 is closed by a route other than the action</w:t>
      </w:r>
      <w:r>
        <w:t xml:space="preserve"> </w:t>
      </w:r>
      <w:r>
        <w:t xml:space="preserve">recorded against it. The author of a revision may not approve it.</w:t>
      </w:r>
    </w:p>
    <w:bookmarkEnd w:id="35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3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6"/>
    <w:bookmarkStart w:id="3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7"/>
    <w:bookmarkStart w:id="3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8"/>
    <w:bookmarkStart w:id="3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9"/>
    <w:bookmarkStart w:id="4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0"/>
    <w:bookmarkStart w:id="4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2026-08-21T15:14:57Z</dcterms:created>
  <dcterms:modified xsi:type="dcterms:W3CDTF">2026-08-21T15:14:57Z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