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Cation Exchange Chromatography (Step 7) — PCP-007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GPP, general process parameter · HCP, host-cell protein · HMW,</w:t>
      </w:r>
      <w:r>
        <w:t xml:space="preserve"> </w:t>
      </w:r>
      <w:r>
        <w:t xml:space="preserve">high-molecular-weight (aggregate) · ICH, International Council for Harmonisation ·</w:t>
      </w:r>
      <w:r>
        <w:t xml:space="preserve"> </w:t>
      </w:r>
      <w:r>
        <w:t xml:space="preserve">KPP, key process parameter · MSAT, Manufacturing Science and Technology · NOR,</w:t>
      </w:r>
      <w:r>
        <w:t xml:space="preserve"> </w:t>
      </w:r>
      <w:r>
        <w:t xml:space="preserve">normal operating range · PAR, proven acceptable range · PPQ, process performance</w:t>
      </w:r>
      <w:r>
        <w:t xml:space="preserve"> </w:t>
      </w:r>
      <w:r>
        <w:t xml:space="preserve">qualification · QbD, Quality by Design · RRF, risk ranking and filtering · RSM,</w:t>
      </w:r>
      <w:r>
        <w:t xml:space="preserve"> </w:t>
      </w:r>
      <w:r>
        <w:t xml:space="preserve">response-surface methodology · SDM, scale-down model · SEC, size-exclusion</w:t>
      </w:r>
      <w:r>
        <w:t xml:space="preserve"> </w:t>
      </w:r>
      <w:r>
        <w:t xml:space="preserve">chromatography · WC-CPP, 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PCP-007</w:t>
      </w:r>
      <w:r>
        <w:t xml:space="preserve">) defines the Stage 1 (Process Design)</w:t>
      </w:r>
      <w:r>
        <w:t xml:space="preserve"> </w:t>
      </w:r>
      <w:r>
        <w:t xml:space="preserve">characterization of the A-Mab cation-exchange (CEX) polishing chromatography step</w:t>
      </w:r>
      <w:r>
        <w:t xml:space="preserve"> </w:t>
      </w:r>
      <w:r>
        <w:t xml:space="preserve">(Step 7), the bind-and-elute polishing operation that follows low-pH viral</w:t>
      </w:r>
      <w:r>
        <w:t xml:space="preserve"> </w:t>
      </w:r>
      <w:r>
        <w:t xml:space="preserve">inactivation. CEX is the</w:t>
      </w:r>
      <w:r>
        <w:t xml:space="preserve"> </w:t>
      </w:r>
      <w:r>
        <w:rPr>
          <w:b/>
          <w:bCs/>
        </w:rPr>
        <w:t xml:space="preserve">principal aggregate-reduction (polish) step</w:t>
      </w:r>
      <w:r>
        <w:t xml:space="preserve"> </w:t>
      </w:r>
      <w:r>
        <w:t xml:space="preserve">of the</w:t>
      </w:r>
      <w:r>
        <w:t xml:space="preserve"> </w:t>
      </w:r>
      <w:r>
        <w:t xml:space="preserve">purification train — the only step that actively reduces high-molecular-weight</w:t>
      </w:r>
      <w:r>
        <w:t xml:space="preserve"> </w:t>
      </w:r>
      <w:r>
        <w:t xml:space="preserve">aggregate — and provides a major further reduction of host-cell protein (HCP), and</w:t>
      </w:r>
      <w:r>
        <w:t xml:space="preserve"> </w:t>
      </w:r>
      <w:r>
        <w:t xml:space="preserve">modular clearance of residual DNA and leached Protein A. The plan specifies the</w:t>
      </w:r>
      <w:r>
        <w:t xml:space="preserve"> </w:t>
      </w:r>
      <w:r>
        <w:t xml:space="preserve">objectives, the attributes in scope, the process parameters and ranges to be</w:t>
      </w:r>
      <w:r>
        <w:t xml:space="preserve"> </w:t>
      </w:r>
      <w:r>
        <w:t xml:space="preserve">characterized, the experimental designs, the analytical methods, the sampling plan,</w:t>
      </w:r>
      <w:r>
        <w:t xml:space="preserve"> </w:t>
      </w:r>
      <w:r>
        <w:t xml:space="preserve">the statistical-analysis approach, and the acceptance and decision criteria by which</w:t>
      </w:r>
      <w:r>
        <w:t xml:space="preserve"> </w:t>
      </w:r>
      <w:r>
        <w:t xml:space="preserve">each parameter will be classified and a multivariate operating region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cation-exchange polishing step, characterized on a</w:t>
      </w:r>
      <w:r>
        <w:t xml:space="preserve"> </w:t>
      </w:r>
      <w:r>
        <w:t xml:space="preserve">qualified scale-down chromatography column. The upstream low-pH viral-inactivation step</w:t>
      </w:r>
      <w:r>
        <w:t xml:space="preserve"> </w:t>
      </w:r>
      <w:r>
        <w:t xml:space="preserve">(Step 6), which defines the feed to this step, and the downstream anion-exchange step</w:t>
      </w:r>
      <w:r>
        <w:t xml:space="preserve"> </w:t>
      </w:r>
      <w:r>
        <w:t xml:space="preserve">(Step 8), which provides the subsequent polish, are addressed only where they define the</w:t>
      </w:r>
      <w:r>
        <w:t xml:space="preserve"> </w:t>
      </w:r>
      <w:r>
        <w:t xml:space="preserve">feed to, or clear the impurity load from, this step; their characterization is out of</w:t>
      </w:r>
      <w:r>
        <w:t xml:space="preserve"> </w:t>
      </w:r>
      <w:r>
        <w:t xml:space="preserve">scope. This plan 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</w:t>
      </w:r>
      <w:r>
        <w:t xml:space="preserve"> </w:t>
      </w:r>
      <w:r>
        <w:t xml:space="preserve">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</w:t>
      </w:r>
      <w:r>
        <w:t xml:space="preserve"> </w:t>
      </w:r>
      <w:r>
        <w:t xml:space="preserve">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</w:t>
      </w:r>
      <w:r>
        <w:t xml:space="preserve"> </w:t>
      </w:r>
      <w:r>
        <w:t xml:space="preserve">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cation-exchange process</w:t>
      </w:r>
      <w:r>
        <w:t xml:space="preserve"> </w:t>
      </w:r>
      <w:r>
        <w:t xml:space="preserve">parameters and the eluate-pool aggregate, the eluate-pool HCP and the step yield;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curvature,</w:t>
      </w:r>
      <w:r>
        <w:t xml:space="preserve"> </w:t>
      </w:r>
      <w:r>
        <w:t xml:space="preserve">including the anticipated protein-load × wash-conductivity interaction that governs</w:t>
      </w:r>
      <w:r>
        <w:t xml:space="preserve"> </w:t>
      </w:r>
      <w:r>
        <w:t xml:space="preserve">HCP clearance;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over which the eluate-pool aggregate and HCP</w:t>
      </w:r>
      <w:r>
        <w:t xml:space="preserve"> </w:t>
      </w:r>
      <w:r>
        <w:t xml:space="preserve">presented to the anion-exchange step are controlled;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</w:t>
      </w:r>
      <w:r>
        <w:t xml:space="preserve"> </w:t>
      </w:r>
      <w:r>
        <w:t xml:space="preserve">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Cation-exchange chromatography is the first polishing step of the A-Mab purification</w:t>
      </w:r>
      <w:r>
        <w:t xml:space="preserve"> </w:t>
      </w:r>
      <w:r>
        <w:t xml:space="preserve">train: the neutralized viral-inactivation pool is loaded onto a strong cation-exchange</w:t>
      </w:r>
      <w:r>
        <w:t xml:space="preserve"> </w:t>
      </w:r>
      <w:r>
        <w:t xml:space="preserve">resin at controlled conductivity, weakly bound impurities are removed in the wash, and</w:t>
      </w:r>
      <w:r>
        <w:t xml:space="preserve"> </w:t>
      </w:r>
      <w:r>
        <w:t xml:space="preserve">the product is recovered by an ascending-pH (or ascending-salt) elution, with the eluate</w:t>
      </w:r>
      <w:r>
        <w:t xml:space="preserve"> </w:t>
      </w:r>
      <w:r>
        <w:t xml:space="preserve">pool collected between defined start and stop criteria</w:t>
      </w:r>
      <w:r>
        <w:t xml:space="preserve"> </w:t>
      </w:r>
      <w:r>
        <w:t xml:space="preserve">(CMC Biotech Working Group 2009)</w:t>
      </w:r>
      <w:r>
        <w:t xml:space="preserve">. Unlike the upstream</w:t>
      </w:r>
      <w:r>
        <w:t xml:space="preserve"> </w:t>
      </w:r>
      <w:r>
        <w:t xml:space="preserve">operations it forms no new product-quality CQA; its role in the control strategy is to</w:t>
      </w:r>
      <w:r>
        <w:t xml:space="preserve"> </w:t>
      </w:r>
      <w:r>
        <w:rPr>
          <w:b/>
          <w:bCs/>
        </w:rPr>
        <w:t xml:space="preserve">reduce the high-molecular-weight aggregate</w:t>
      </w:r>
      <w:r>
        <w:t xml:space="preserve"> </w:t>
      </w:r>
      <w:r>
        <w:t xml:space="preserve">carried into the pool — including the</w:t>
      </w:r>
      <w:r>
        <w:t xml:space="preserve"> </w:t>
      </w:r>
      <w:r>
        <w:t xml:space="preserve">aggregate that can arise during the upstream low-pH hold — and to provide a major further</w:t>
      </w:r>
      <w:r>
        <w:t xml:space="preserve"> </w:t>
      </w:r>
      <w:r>
        <w:t xml:space="preserve">reduction of HCP and modular clearance of residual DNA and leached Protein A. Platform</w:t>
      </w:r>
      <w:r>
        <w:t xml:space="preserve"> </w:t>
      </w:r>
      <w:r>
        <w:t xml:space="preserve">knowledge established that aggregate, being more highly charged and more strongly</w:t>
      </w:r>
      <w:r>
        <w:t xml:space="preserve"> </w:t>
      </w:r>
      <w:r>
        <w:t xml:space="preserve">retained, is separated from monomer in the elution so that the pool aggregate rises with</w:t>
      </w:r>
      <w:r>
        <w:t xml:space="preserve"> </w:t>
      </w:r>
      <w:r>
        <w:t xml:space="preserve">higher protein load and as the elution pool is extended further down the descending edge</w:t>
      </w:r>
      <w:r>
        <w:t xml:space="preserve"> </w:t>
      </w:r>
      <w:r>
        <w:t xml:space="preserve">(a higher stop-collect) and at higher elution pH; that HCP clearance is governed by the</w:t>
      </w:r>
      <w:r>
        <w:t xml:space="preserve"> </w:t>
      </w:r>
      <w:r>
        <w:t xml:space="preserve">load/wash conductivity — a higher conductivity strips more weakly bound HCP before</w:t>
      </w:r>
      <w:r>
        <w:t xml:space="preserve"> </w:t>
      </w:r>
      <w:r>
        <w:t xml:space="preserve">elution — and falls at high load, the two acting together through a load × conductivity</w:t>
      </w:r>
      <w:r>
        <w:t xml:space="preserve"> </w:t>
      </w:r>
      <w:r>
        <w:t xml:space="preserve">interaction; and that recovery declines modestly at high load. This knowledge frames the</w:t>
      </w:r>
      <w:r>
        <w:t xml:space="preserve"> </w:t>
      </w:r>
      <w:r>
        <w:t xml:space="preserve">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Cation exchange introduces no CQA. It is the principal reduction step for the</w:t>
      </w:r>
      <w:r>
        <w:t xml:space="preserve"> </w:t>
      </w:r>
      <w:r>
        <w:t xml:space="preserve">high-molecular-weight aggregate and a major clearance step for the impurity CQAs formed</w:t>
      </w:r>
      <w:r>
        <w:t xml:space="preserve"> </w:t>
      </w:r>
      <w:r>
        <w:t xml:space="preserve">upstream and specified at the drug substance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</w:t>
      </w:r>
      <w:r>
        <w:t xml:space="preserve"> </w:t>
      </w:r>
      <w:r>
        <w:t xml:space="preserve">A-Mab continuum using Tool #1 (Risk Score = Impact × Uncertainty); attributes rated High</w:t>
      </w:r>
      <w:r>
        <w:t xml:space="preserve"> </w:t>
      </w:r>
      <w:r>
        <w:t xml:space="preserve">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controlled by the cation-exchange step (formed upstream; polished/cleared here),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eluate-pool aggregate and eluate-pool HCP are not themselves released specifications;</w:t>
      </w:r>
      <w:r>
        <w:t xml:space="preserve"> </w:t>
      </w:r>
      <w:r>
        <w:t xml:space="preserve">they are in-process attributes whose control at this step determines the size-variant and</w:t>
      </w:r>
      <w:r>
        <w:t xml:space="preserve"> </w:t>
      </w:r>
      <w:r>
        <w:t xml:space="preserve">impurity load presented to the anion-exchange step and therefore the margin to the</w:t>
      </w:r>
      <w:r>
        <w:t xml:space="preserve"> </w:t>
      </w:r>
      <w:r>
        <w:t xml:space="preserve">≤ 5% HMW aggregate and ≤ 100 ng/mg HCP</w:t>
      </w:r>
      <w:r>
        <w:t xml:space="preserve"> </w:t>
      </w:r>
      <w:r>
        <w:t xml:space="preserve">drug-substance limits. Because aggregate can be elevated in the incoming pool, the study</w:t>
      </w:r>
      <w:r>
        <w:t xml:space="preserve"> </w:t>
      </w:r>
      <w:r>
        <w:t xml:space="preserve">is designed to demonstrate the aggregate-clearance capacity of the step against a</w:t>
      </w:r>
      <w:r>
        <w:t xml:space="preserve"> </w:t>
      </w:r>
      <w:r>
        <w:t xml:space="preserve">representative, deliberately challenging aggregate feed; pool aggregate is the primary</w:t>
      </w:r>
      <w:r>
        <w:t xml:space="preserve"> </w:t>
      </w:r>
      <w:r>
        <w:t xml:space="preserve">response of the study.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 of</w:t>
      </w:r>
      <w:r>
        <w:t xml:space="preserve"> </w:t>
      </w:r>
      <w:r>
        <w:t xml:space="preserve">PDA TR 60, the study scope is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main-effect and interaction impact and assigns the study type accordingly:</w:t>
      </w:r>
      <w:r>
        <w:t xml:space="preserve"> </w:t>
      </w:r>
      <w:r>
        <w:t xml:space="preserve">protein load, load/wash conductivity, elution pH and the elution stop-collect — which</w:t>
      </w:r>
      <w:r>
        <w:t xml:space="preserve"> </w:t>
      </w:r>
      <w:r>
        <w:t xml:space="preserve">carry a credible main-effect and interaction risk to the eluate-pool aggregate or HCP —</w:t>
      </w:r>
      <w:r>
        <w:t xml:space="preserve"> </w:t>
      </w:r>
      <w:r>
        <w:t xml:space="preserve">are studied in the multivariate DoE; the elution flow rate, expected to affect only</w:t>
      </w:r>
      <w:r>
        <w:t xml:space="preserve"> </w:t>
      </w:r>
      <w:r>
        <w:t xml:space="preserve">process performance over a wide range, is studied univariately</w:t>
      </w:r>
      <w:r>
        <w:t xml:space="preserve"> </w:t>
      </w:r>
      <w:r>
        <w:t xml:space="preserve">(CMC Biotech Working Group 2009)</w:t>
      </w:r>
      <w:r>
        <w:t xml:space="preserve">. The resulting</w:t>
      </w:r>
      <w:r>
        <w:t xml:space="preserve"> </w:t>
      </w:r>
      <w:r>
        <w:t xml:space="preserve">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scale-down cation-exchange column operated at the</w:t>
      </w:r>
      <w:r>
        <w:t xml:space="preserve"> </w:t>
      </w:r>
      <w:r>
        <w:t xml:space="preserve">commercial-process equivalents for resin, bed height, residence time, buffer system, load</w:t>
      </w:r>
      <w:r>
        <w:t xml:space="preserve"> </w:t>
      </w:r>
      <w:r>
        <w:t xml:space="preserve">ratio and elution strategy (</w:t>
      </w:r>
      <w:r>
        <w:rPr>
          <w:b/>
          <w:bCs/>
        </w:rPr>
        <w:t xml:space="preserve">SOP-2010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Prior to characterization the</w:t>
      </w:r>
      <w:r>
        <w:t xml:space="preserve"> </w:t>
      </w:r>
      <w:r>
        <w:t xml:space="preserve">SDM will be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and, critically, the input and output attributes — step yield,</w:t>
      </w:r>
      <w:r>
        <w:t xml:space="preserve"> </w:t>
      </w:r>
      <w:r>
        <w:t xml:space="preserve">eluate-pool aggregate and HCP, residual DNA and leached Protein A — to confirm the model</w:t>
      </w:r>
      <w:r>
        <w:t xml:space="preserve"> </w:t>
      </w:r>
      <w:r>
        <w:t xml:space="preserve">is representative and suitable to support operating-range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centre-point replicates of each design provide an in-study estimate of model</w:t>
      </w:r>
      <w:r>
        <w:t xml:space="preserve"> </w:t>
      </w:r>
      <w:r>
        <w:t xml:space="preserve">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neutralized viral-inactivation pool is conditioned to the target load conductivity</w:t>
      </w:r>
      <w:r>
        <w:t xml:space="preserve"> </w:t>
      </w:r>
      <w:r>
        <w:t xml:space="preserve">and loaded onto the equilibrated cation-exchange column to the target load ratio; the</w:t>
      </w:r>
      <w:r>
        <w:t xml:space="preserve"> </w:t>
      </w:r>
      <w:r>
        <w:t xml:space="preserve">column is washed at the load/wash conductivity to remove weakly bound host-cell protein</w:t>
      </w:r>
      <w:r>
        <w:t xml:space="preserve"> </w:t>
      </w:r>
      <w:r>
        <w:t xml:space="preserve">and other impurities; and the product is recovered by elution, with the eluate pool</w:t>
      </w:r>
      <w:r>
        <w:t xml:space="preserve"> </w:t>
      </w:r>
      <w:r>
        <w:t xml:space="preserve">collected from a defined start until the descending-edge stop-collect criterion. Buffers,</w:t>
      </w:r>
      <w:r>
        <w:t xml:space="preserve"> </w:t>
      </w:r>
      <w:r>
        <w:t xml:space="preserve">resin lot and column packing are controlled to platform specifications (</w:t>
      </w:r>
      <w:r>
        <w:rPr>
          <w:b/>
          <w:bCs/>
        </w:rPr>
        <w:t xml:space="preserve">SOP-2008</w:t>
      </w:r>
      <w:r>
        <w:t xml:space="preserve">) and</w:t>
      </w:r>
      <w:r>
        <w:t xml:space="preserve"> </w:t>
      </w:r>
      <w:r>
        <w:t xml:space="preserve">are treated as identity/quality-controlled inputs rather than characterized 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 Aggregate is determined</w:t>
      </w:r>
      <w:r>
        <w:t xml:space="preserve"> </w:t>
      </w:r>
      <w:r>
        <w:t xml:space="preserve">by SEC-HPLC, the primary assay for the aggregate-polish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the eluate pool for aggregate, HCP, residual DNA and</w:t>
      </w:r>
      <w:r>
        <w:t xml:space="preserve"> </w:t>
      </w:r>
      <w:r>
        <w:t xml:space="preserve">leached Protein A, and the load and pool product mass will be recorded for the step-yield</w:t>
      </w:r>
      <w:r>
        <w:t xml:space="preserve"> </w:t>
      </w:r>
      <w:r>
        <w:t xml:space="preserve">determination; in-process readings (pH, conductivity, UV) will confirm the chromatographic</w:t>
      </w:r>
      <w:r>
        <w:t xml:space="preserve"> </w:t>
      </w:r>
      <w:r>
        <w:t xml:space="preserve">profile and the pool collection window. Centre-point runs are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 regression</w:t>
      </w:r>
      <w:r>
        <w:t xml:space="preserve"> </w:t>
      </w:r>
      <w:r>
        <w:t xml:space="preserve">of each response on the main effects and all two-factor interactions; factor effects are</w:t>
      </w:r>
      <w:r>
        <w:t xml:space="preserve"> </w:t>
      </w:r>
      <w:r>
        <w:t xml:space="preserve">reported as twice the coded coefficient. Response-surface data will be analyzed with the</w:t>
      </w:r>
      <w:r>
        <w:t xml:space="preserve"> </w:t>
      </w:r>
      <w:r>
        <w:t xml:space="preserve">full quadratic model (main effects, two-factor interactions and pure-quadratic terms).</w:t>
      </w:r>
      <w:r>
        <w:t xml:space="preserve"> </w:t>
      </w:r>
      <w:r>
        <w:t xml:space="preserve">Significance will be assessed at α = 0.05. Model adequacy will be judged by R², adjusted</w:t>
      </w:r>
      <w:r>
        <w:t xml:space="preserve"> </w:t>
      </w:r>
      <w:r>
        <w:t xml:space="preserve">R², predicted R² (from the PRESS statistic), the overall model F-test, and an ANOVA</w:t>
      </w:r>
      <w:r>
        <w:t xml:space="preserve"> </w:t>
      </w:r>
      <w:r>
        <w:t xml:space="preserve">lack-of-fit test against the centre-point pure error; a response with no significant</w:t>
      </w:r>
      <w:r>
        <w:t xml:space="preserve"> </w:t>
      </w:r>
      <w:r>
        <w:t xml:space="preserve">parameter effect beyond a single dominant factor will be reported as robust rather than</w:t>
      </w:r>
      <w:r>
        <w:t xml:space="preserve"> </w:t>
      </w:r>
      <w:r>
        <w:t xml:space="preserve">modelled predictively. The operating region will be defined as the multivariate region of</w:t>
      </w:r>
      <w:r>
        <w:t xml:space="preserve"> </w:t>
      </w:r>
      <w:r>
        <w:t xml:space="preserve">the well-controlled CPPs over which the eluate-pool aggregate and HCP are controlled, and</w:t>
      </w:r>
      <w:r>
        <w:t xml:space="preserve"> </w:t>
      </w:r>
      <w:r>
        <w:t xml:space="preserve">commercial-scale capability of the drug-substance CQAs governed by the step will be</w:t>
      </w:r>
      <w:r>
        <w:t xml:space="preserve"> </w:t>
      </w:r>
      <w:r>
        <w:t xml:space="preserve">estimated by Monte-Carlo simulation with each parameter varied 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Five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 the</w:t>
      </w:r>
      <w:r>
        <w:t xml:space="preserve"> </w:t>
      </w:r>
      <w:r>
        <w:t xml:space="preserve">PAR; the NOR is the tighter routine-control range. Classification is an output of the</w:t>
      </w:r>
      <w:r>
        <w:t xml:space="preserve"> </w:t>
      </w:r>
      <w:r>
        <w:t xml:space="preserve">study and is reported in PCR-007. The DoE factor coding for the four multivariate factors</w:t>
      </w:r>
      <w:r>
        <w:t xml:space="preserve"> </w:t>
      </w:r>
      <w:r>
        <w:t xml:space="preserve">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Cation-exchange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968"/>
              <w:gridCol w:w="1144"/>
              <w:gridCol w:w="1496"/>
              <w:gridCol w:w="96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Three responses will be recorded for each run (eluate-pool aggregate,</w:t>
      </w:r>
      <w:r>
        <w:t xml:space="preserve"> </w:t>
      </w:r>
      <w:r>
        <w:t xml:space="preserve">eluate-pool HCP and step yield).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four multivariate factors will be carried into a face-centred central-composite</w:t>
      </w:r>
      <w:r>
        <w:t xml:space="preserve"> </w:t>
      </w:r>
      <w:r>
        <w:t xml:space="preserve">design with four centre-point replicates, 28 runs in total, enabling</w:t>
      </w:r>
      <w:r>
        <w:t xml:space="preserve"> </w:t>
      </w:r>
      <w:r>
        <w:t xml:space="preserve">estimation of curvature in addition to main effects and interactions. The planned coded</w:t>
      </w:r>
      <w:r>
        <w:t xml:space="preserve"> </w:t>
      </w:r>
      <w:r>
        <w:t xml:space="preserve">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elution flow rate will be evaluated one factor at a time across its characterization</w:t>
      </w:r>
      <w:r>
        <w:t xml:space="preserve"> </w:t>
      </w:r>
      <w:r>
        <w:t xml:space="preserve">range for its effect on step yield, the eluate-pool aggregate and HCP, and the</w:t>
      </w:r>
      <w:r>
        <w:t xml:space="preserve"> </w:t>
      </w:r>
      <w:r>
        <w:t xml:space="preserve">chromatographic profile; it will not be carried into the multivariate design because</w:t>
      </w:r>
      <w:r>
        <w:t xml:space="preserve"> </w:t>
      </w:r>
      <w:r>
        <w:t xml:space="preserve">prior knowledge indicates no credible impact to a product-quality CQA.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for the eluate-pool aggregate and the eluate-pool</w:t>
      </w:r>
      <w:r>
        <w:t xml:space="preserve"> </w:t>
      </w:r>
      <w:r>
        <w:t xml:space="preserve">HCP are adequate — target R² ≥ 0.90, adjusted R² ≥ 0.80, no significant lack of fit</w:t>
      </w:r>
      <w:r>
        <w:t xml:space="preserve"> </w:t>
      </w:r>
      <w:r>
        <w:t xml:space="preserve">(p &gt; 0.05 against the centre-point pure error), and residual diagnostics without</w:t>
      </w:r>
      <w:r>
        <w:t xml:space="preserve"> </w:t>
      </w:r>
      <w:r>
        <w:t xml:space="preserve">systematic structure (a response governed by a single dominant factor is reported by</w:t>
      </w:r>
      <w:r>
        <w:t xml:space="preserve"> </w:t>
      </w:r>
      <w:r>
        <w:t xml:space="preserve">that dependence and is otherwise robust); and</w:t>
      </w:r>
    </w:p>
    <w:p>
      <w:pPr>
        <w:pStyle w:val="Compact"/>
        <w:numPr>
          <w:ilvl w:val="0"/>
          <w:numId w:val="1002"/>
        </w:numPr>
      </w:pPr>
      <w:r>
        <w:t xml:space="preserve">a multivariate operating region exists over which the eluate-pool aggregate and HCP are</w:t>
      </w:r>
      <w:r>
        <w:t xml:space="preserve"> </w:t>
      </w:r>
      <w:r>
        <w:t xml:space="preserve">controlled at 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operating region (low risk of leaving it)</w:t>
      </w:r>
      <w:r>
        <w:t xml:space="preserve"> </w:t>
      </w:r>
      <w:r>
        <w:t xml:space="preserve">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</w:t>
      </w:r>
      <w:r>
        <w:t xml:space="preserve"> </w:t>
      </w:r>
      <w:r>
        <w:t xml:space="preserve">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</w:t>
      </w:r>
      <w:r>
        <w:t xml:space="preserve"> </w:t>
      </w:r>
      <w:r>
        <w:t xml:space="preserve">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operating region, classifications and PARs established here will justify the</w:t>
      </w:r>
      <w:r>
        <w:t xml:space="preserve"> </w:t>
      </w:r>
      <w:r>
        <w:t xml:space="preserve">Stage 2 operating ranges and feed the drug-substance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 recorded</w:t>
      </w:r>
      <w:r>
        <w:t xml:space="preserve"> </w:t>
      </w:r>
      <w:r>
        <w:t xml:space="preserve">and retained under the site data-integrity procedures (ALCOA+). Analyses will be</w:t>
      </w:r>
      <w:r>
        <w:t xml:space="preserve"> </w:t>
      </w:r>
      <w:r>
        <w:t xml:space="preserve">performed with version-controlled scripts and reviewed by a second analyst; designs,</w:t>
      </w:r>
      <w:r>
        <w:t xml:space="preserve"> </w:t>
      </w:r>
      <w:r>
        <w:t xml:space="preserve">models and the derived operating region will be archived with the report. Any deviation</w:t>
      </w:r>
      <w:r>
        <w:t xml:space="preserve"> </w:t>
      </w:r>
      <w:r>
        <w:t xml:space="preserve">from this plan will be documented and assessed for impact in PCR-007.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operating-region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PCR-007</w:t>
      </w:r>
      <w:r>
        <w:t xml:space="preserve">),</w:t>
      </w:r>
      <w:r>
        <w:t xml:space="preserve"> </w:t>
      </w:r>
      <w:r>
        <w:t xml:space="preserve">reporting the executed designs, the significant effects, the operating region, the</w:t>
      </w:r>
      <w:r>
        <w:t xml:space="preserve"> </w:t>
      </w:r>
      <w:r>
        <w:t xml:space="preserve">parameter classification and the aggregate/impurity-CQA outcomes. PCR-007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 and provides the parameter risk</w:t>
      </w:r>
      <w:r>
        <w:t xml:space="preserve"> </w:t>
      </w:r>
      <w:r>
        <w:t xml:space="preserve">basis 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 The</w:t>
      </w:r>
      <w:r>
        <w:t xml:space="preserve"> </w:t>
      </w:r>
      <w:r>
        <w:t xml:space="preserve">principal risk is that the absolute aggregate and HCP clearance shift at commercial scale</w:t>
      </w:r>
      <w:r>
        <w:t xml:space="preserve"> </w:t>
      </w:r>
      <w:r>
        <w:t xml:space="preserve">or over the resin life-cycle, or that the incoming aggregate load is higher than</w:t>
      </w:r>
      <w:r>
        <w:t xml:space="preserve"> </w:t>
      </w:r>
      <w:r>
        <w:t xml:space="preserve">characterized; this is mitigated by defining the operating region on the qualified SDM,</w:t>
      </w:r>
      <w:r>
        <w:t xml:space="preserve"> </w:t>
      </w:r>
      <w:r>
        <w:t xml:space="preserve">challenging the step against a representative worst-case aggregate feed, confirming the</w:t>
      </w:r>
      <w:r>
        <w:t xml:space="preserve"> </w:t>
      </w:r>
      <w:r>
        <w:t xml:space="preserve">region at scale in Stage 2, and carrying the WC-CPP ranges forward with in-process</w:t>
      </w:r>
      <w:r>
        <w:t xml:space="preserve"> </w:t>
      </w:r>
      <w:r>
        <w:t xml:space="preserve">monitoring and resin life-cycle control.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6"/>
    <w:bookmarkStart w:id="47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7"/>
    <w:bookmarkStart w:id="48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p>
      <w:r>
        <w:br w:type="page"/>
      </w:r>
    </w:p>
    <w:bookmarkEnd w:id="51"/>
    <w:bookmarkStart w:id="53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</w:t>
      </w:r>
      <w:r>
        <w:t xml:space="preserve"> </w:t>
      </w:r>
      <w:r>
        <w:t xml:space="preserve">−1/0/+1). Responses will be recorded at execution and reported in PCR-007.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r>
        <w:br w:type="page"/>
      </w:r>
    </w:p>
    <w:bookmarkEnd w:id="53"/>
    <w:bookmarkStart w:id="55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A–D;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2026-07-25T08:59:41Z</dcterms:created>
  <dcterms:modified xsi:type="dcterms:W3CDTF">2026-07-25T08:59:41Z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Cation Exchange Chromatography (Step 7) — PCP-007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