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9.png" ContentType="image/png"/>
  <Override PartName="/word/media/rId17.png" ContentType="image/png"/>
  <Override PartName="/word/media/rId4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Report</w:t>
      </w:r>
    </w:p>
    <w:p>
      <w:pPr>
        <w:pStyle w:val="Subtitle"/>
      </w:pPr>
      <w:r>
        <w:t xml:space="preserve">A-Mab Drug Substance — Stage 1 Process Characterization — PCMR-001</w:t>
      </w:r>
    </w:p>
    <w:p>
      <w:pPr>
        <w:pStyle w:val="Author"/>
      </w:pPr>
      <w:r>
        <w:t xml:space="preserve">Manufacturing Science &amp; Technology (MSAT) / Process Development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 —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BLA, Biologics License Application · CPP, critical process parameter · CQA, critical quality</w:t>
      </w:r>
      <w:r>
        <w:t xml:space="preserve"> </w:t>
      </w:r>
      <w:r>
        <w:t xml:space="preserve">attribute · Cpk, process-capability index · DoE, design of experiments · DS, drug substance ·</w:t>
      </w:r>
      <w:r>
        <w:t xml:space="preserve"> </w:t>
      </w:r>
      <w:r>
        <w:t xml:space="preserve">GPP, general process parameter · HCP, host-cell protein · ICH, International Council for</w:t>
      </w:r>
      <w:r>
        <w:t xml:space="preserve"> </w:t>
      </w:r>
      <w:r>
        <w:t xml:space="preserve">Harmonisation · KPP, key process parameter · LRV, log-reduction value · MVM, minute virus of</w:t>
      </w:r>
      <w:r>
        <w:t xml:space="preserve"> </w:t>
      </w:r>
      <w:r>
        <w:t xml:space="preserve">mice · MSAT, Manufacturing Science and Technology · NOR, normal operating range · PPQ, process</w:t>
      </w:r>
      <w:r>
        <w:t xml:space="preserve"> </w:t>
      </w:r>
      <w:r>
        <w:t xml:space="preserve">performance qualification · QbD, Quality by Design · WC-CPP, well-controlled CPP ·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Process Characterization Master Report (</w:t>
      </w:r>
      <w:r>
        <w:rPr>
          <w:b/>
          <w:bCs/>
        </w:rPr>
        <w:t xml:space="preserve">PCMR-001</w:t>
      </w:r>
      <w:r>
        <w:t xml:space="preserve">) consolidates the Stage 1 (Process</w:t>
      </w:r>
      <w:r>
        <w:t xml:space="preserve"> </w:t>
      </w:r>
      <w:r>
        <w:t xml:space="preserve">Design) characterization of the A-Mab drug-substance (DS) process, rolling up the</w:t>
      </w:r>
      <w:r>
        <w:t xml:space="preserve"> </w:t>
      </w:r>
      <w:r>
        <w:t xml:space="preserve">8 per-unit-operation reports (</w:t>
      </w:r>
      <w:r>
        <w:rPr>
          <w:b/>
          <w:bCs/>
        </w:rPr>
        <w:t xml:space="preserve">PCR-003 … PCR-010</w:t>
      </w:r>
      <w:r>
        <w:t xml:space="preserve">) into an integrated</w:t>
      </w:r>
      <w:r>
        <w:t xml:space="preserve"> </w:t>
      </w:r>
      <w:r>
        <w:t xml:space="preserve">statement of process understanding, parameter classification, process capability, viral</w:t>
      </w:r>
      <w:r>
        <w:t xml:space="preserve"> </w:t>
      </w:r>
      <w:r>
        <w:t xml:space="preserve">clearance and the overall control strategy. The characterization was executed under the Process</w:t>
      </w:r>
      <w:r>
        <w:t xml:space="preserve"> </w:t>
      </w:r>
      <w:r>
        <w:t xml:space="preserve">Characterization Master Plan (</w:t>
      </w:r>
      <w:r>
        <w:rPr>
          <w:b/>
          <w:bCs/>
        </w:rPr>
        <w:t xml:space="preserve">PCMP-001</w:t>
      </w:r>
      <w:r>
        <w:t xml:space="preserve">) and the per-unit-operation plans, on qualified</w:t>
      </w:r>
      <w:r>
        <w:t xml:space="preserve"> </w:t>
      </w:r>
      <w:r>
        <w:t xml:space="preserve">scale-down models, following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Quality-by-Design principles of ICH Q8, Q9, Q10 and Q11</w:t>
      </w:r>
      <w:r>
        <w:t xml:space="preserve"> </w:t>
      </w:r>
      <w:r>
        <w:t xml:space="preserve">(International Council for Harmonisation 2009, 2023b, 2008, 2012)</w:t>
      </w:r>
      <w:r>
        <w:t xml:space="preserve"> </w:t>
      </w:r>
      <w:r>
        <w:t xml:space="preserve">and the viral-safety expectations of ICH Q5A(R2)</w:t>
      </w:r>
      <w:r>
        <w:t xml:space="preserve"> </w:t>
      </w:r>
      <w:r>
        <w:t xml:space="preserve">(International Council for Harmonisation 2023a)</w:t>
      </w:r>
      <w:r>
        <w:t xml:space="preserve">,</w:t>
      </w:r>
      <w:r>
        <w:t xml:space="preserve"> </w:t>
      </w:r>
      <w:r>
        <w:t xml:space="preserve">with the process model and quality-attribute framework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Headline outcomes</w:t>
      </w:r>
    </w:p>
    <w:p>
      <w:pPr>
        <w:pStyle w:val="Compact"/>
        <w:numPr>
          <w:ilvl w:val="0"/>
          <w:numId w:val="1001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37</w:t>
      </w:r>
      <w:r>
        <w:t xml:space="preserve"> </w:t>
      </w:r>
      <w:r>
        <w:t xml:space="preserve">process parameters across the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unit operations were classified on</w:t>
      </w:r>
      <w:r>
        <w:t xml:space="preserve"> </w:t>
      </w:r>
      <w:r>
        <w:t xml:space="preserve">the A-Mab continuum:</w:t>
      </w:r>
      <w:r>
        <w:t xml:space="preserve"> </w:t>
      </w:r>
      <w:r>
        <w:rPr>
          <w:b/>
          <w:bCs/>
        </w:rPr>
        <w:t xml:space="preserve">1 CPP, 20 WC-CPP, 10 KPP and 6 GPP</w:t>
      </w:r>
      <w:r>
        <w:t xml:space="preserve"> </w:t>
      </w:r>
      <w:r>
        <w:t xml:space="preserve">(21 critical parameters in total). Every classification is supported by data from the</w:t>
      </w:r>
      <w:r>
        <w:t xml:space="preserve"> </w:t>
      </w:r>
      <w:r>
        <w:t xml:space="preserve">characterization studies.</w:t>
      </w:r>
    </w:p>
    <w:p>
      <w:pPr>
        <w:pStyle w:val="Compact"/>
        <w:numPr>
          <w:ilvl w:val="0"/>
          <w:numId w:val="1001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drug-substance CQAs meet their acceptance criteria at commercial scale with a</w:t>
      </w:r>
      <w:r>
        <w:t xml:space="preserve"> </w:t>
      </w:r>
      <w:r>
        <w:t xml:space="preserve">process capability of</w:t>
      </w:r>
      <w:r>
        <w:t xml:space="preserve"> </w:t>
      </w:r>
      <w:r>
        <w:rPr>
          <w:b/>
          <w:bCs/>
        </w:rPr>
        <w:t xml:space="preserve">Cpk ≥ 1.51</w:t>
      </w:r>
      <w:r>
        <w:t xml:space="preserve"> </w:t>
      </w:r>
      <w:r>
        <w:t xml:space="preserve">(all CQAs Cpk ≥ 1.33),</w:t>
      </w:r>
      <w:r>
        <w:t xml:space="preserve"> </w:t>
      </w:r>
      <w:r>
        <w:t xml:space="preserve">the minimum being the cumulative Viral clearance — MVM (parvovirus) clearance.</w:t>
      </w:r>
    </w:p>
    <w:p>
      <w:pPr>
        <w:pStyle w:val="Compact"/>
        <w:numPr>
          <w:ilvl w:val="0"/>
          <w:numId w:val="1001"/>
        </w:numPr>
      </w:pPr>
      <w:r>
        <w:t xml:space="preserve">The modular viral clearance meets its requirements with margin: cumulative</w:t>
      </w:r>
      <w:r>
        <w:t xml:space="preserve"> </w:t>
      </w:r>
      <w:r>
        <w:rPr>
          <w:b/>
          <w:bCs/>
        </w:rPr>
        <w:t xml:space="preserve">18.87 log₁₀ (XMuLV)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10.03 log₁₀ (MVM)</w:t>
      </w:r>
      <w:r>
        <w:t xml:space="preserve">, delivered orthogonally across</w:t>
      </w:r>
      <w:r>
        <w:t xml:space="preserve"> </w:t>
      </w:r>
      <w:r>
        <w:t xml:space="preserve">the low-pH inactivation, anion-exchange and virus-filtration steps.</w:t>
      </w:r>
    </w:p>
    <w:p>
      <w:pPr>
        <w:pStyle w:val="Compact"/>
        <w:numPr>
          <w:ilvl w:val="0"/>
          <w:numId w:val="1001"/>
        </w:numPr>
      </w:pPr>
      <w:r>
        <w:t xml:space="preserve">The integrated process delivers an overall DS yield of</w:t>
      </w:r>
      <w:r>
        <w:t xml:space="preserve"> </w:t>
      </w:r>
      <w:r>
        <w:rPr>
          <w:b/>
          <w:bCs/>
        </w:rPr>
        <w:t xml:space="preserve">83.2%</w:t>
      </w:r>
      <w:r>
        <w:t xml:space="preserve"> </w:t>
      </w:r>
      <w:r>
        <w:t xml:space="preserve">(~</w:t>
      </w:r>
      <w:r>
        <w:rPr>
          <w:b/>
          <w:bCs/>
        </w:rPr>
        <w:t xml:space="preserve">54.6 kg</w:t>
      </w:r>
      <w:r>
        <w:t xml:space="preserve"> </w:t>
      </w:r>
      <w:r>
        <w:t xml:space="preserve">of drug substance at 75 g/L) from the</w:t>
      </w:r>
      <w:r>
        <w:t xml:space="preserve"> </w:t>
      </w:r>
      <w:r>
        <w:t xml:space="preserve">15,000-L production culture.</w:t>
      </w:r>
    </w:p>
    <w:p>
      <w:pPr>
        <w:pStyle w:val="Compact"/>
        <w:numPr>
          <w:ilvl w:val="0"/>
          <w:numId w:val="1001"/>
        </w:numPr>
      </w:pPr>
      <w:r>
        <w:t xml:space="preserve">Multivariate design spaces were established for the DoE unit operations; the production</w:t>
      </w:r>
      <w:r>
        <w:t xml:space="preserve"> </w:t>
      </w:r>
      <w:r>
        <w:t xml:space="preserve">bioreactor forms the glycan, charge-variant and aggregate CQAs, and the purification train</w:t>
      </w:r>
      <w:r>
        <w:t xml:space="preserve"> </w:t>
      </w:r>
      <w:r>
        <w:t xml:space="preserve">clears the process-related impurities and provides the viral clearance.</w:t>
      </w:r>
    </w:p>
    <w:p>
      <w:pPr>
        <w:pStyle w:val="FirstParagraph"/>
      </w:pPr>
      <w:r>
        <w:t xml:space="preserve">The A-Mab drug-substance process is demonstrated to be well understood, robust and in control</w:t>
      </w:r>
      <w:r>
        <w:t xml:space="preserve"> </w:t>
      </w:r>
      <w:r>
        <w:t xml:space="preserve">across its 8 unit operations. The parameter classifications, design spaces,</w:t>
      </w:r>
      <w:r>
        <w:t xml:space="preserve"> </w:t>
      </w:r>
      <w:r>
        <w:t xml:space="preserve">proven acceptable ranges and per-CQA control strategy support the Stage 2 operating ranges and</w:t>
      </w:r>
      <w:r>
        <w:t xml:space="preserve"> </w:t>
      </w:r>
      <w:r>
        <w:t xml:space="preserve">the receiving-site validation (</w:t>
      </w:r>
      <w:r>
        <w:rPr>
          <w:b/>
          <w:bCs/>
        </w:rPr>
        <w:t xml:space="preserve">PTP-001</w:t>
      </w:r>
      <w:r>
        <w:t xml:space="preserve">); the process is</w:t>
      </w:r>
      <w:r>
        <w:t xml:space="preserve"> </w:t>
      </w:r>
      <w:r>
        <w:rPr>
          <w:b/>
          <w:bCs/>
        </w:rPr>
        <w:t xml:space="preserve">ready for Stage 2 (Process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Qualification)</w:t>
      </w:r>
      <w:r>
        <w:t xml:space="preserve">.</w:t>
      </w:r>
    </w:p>
    <w:bookmarkEnd w:id="12"/>
    <w:bookmarkStart w:id="15" w:name="introduction"/>
    <w:p>
      <w:pPr>
        <w:pStyle w:val="Heading1"/>
      </w:pPr>
      <w:r>
        <w:t xml:space="preserve">1. Introduction</w:t>
      </w:r>
    </w:p>
    <w:bookmarkStart w:id="13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This master report consolidates the per-unit-operation characterization reports into a single</w:t>
      </w:r>
      <w:r>
        <w:t xml:space="preserve"> </w:t>
      </w:r>
      <w:r>
        <w:t xml:space="preserve">statement of the drug-substance process understanding and control strategy suitable to support a</w:t>
      </w:r>
      <w:r>
        <w:t xml:space="preserve"> </w:t>
      </w:r>
      <w:r>
        <w:t xml:space="preserve">Biologics License Application. It summarizes, across the whole train, the process description and</w:t>
      </w:r>
      <w:r>
        <w:t xml:space="preserve"> </w:t>
      </w:r>
      <w:r>
        <w:t xml:space="preserve">performance, the CQA outcomes, the parameter classification, the process capability, the viral</w:t>
      </w:r>
      <w:r>
        <w:t xml:space="preserve"> </w:t>
      </w:r>
      <w:r>
        <w:t xml:space="preserve">clearance and the overall control strategy, and it establishes Stage-2 readiness. The detailed</w:t>
      </w:r>
      <w:r>
        <w:t xml:space="preserve"> </w:t>
      </w:r>
      <w:r>
        <w:t xml:space="preserve">studies, effects, models and design spaces are in the per-unit-operation reports cited herein.</w:t>
      </w:r>
    </w:p>
    <w:bookmarkEnd w:id="13"/>
    <w:bookmarkStart w:id="14" w:name="regulatory-and-scientific-basis"/>
    <w:p>
      <w:pPr>
        <w:pStyle w:val="Heading2"/>
      </w:pPr>
      <w:r>
        <w:t xml:space="preserve">1.2 Regulatory and scientific basis</w:t>
      </w:r>
    </w:p>
    <w:p>
      <w:pPr>
        <w:pStyle w:val="FirstParagraph"/>
      </w:pPr>
      <w:r>
        <w:t xml:space="preserve">The characterization follows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enhanced (QbD) approach of ICH Q8, Q9, Q10 and Q11</w:t>
      </w:r>
      <w:r>
        <w:t xml:space="preserve"> </w:t>
      </w:r>
      <w:r>
        <w:t xml:space="preserve">(International Council for Harmonisation 2009, 2023b, 2008, 2012)</w:t>
      </w:r>
      <w:r>
        <w:t xml:space="preserve">; viral clearance is credited per 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Criticality is treated as a continuum (ICH Q9). The report consolidates the Stage 1 Process</w:t>
      </w:r>
      <w:r>
        <w:t xml:space="preserve"> </w:t>
      </w:r>
      <w:r>
        <w:t xml:space="preserve">Design outputs of PDA TR 60 §3.11 across the unit operations.</w:t>
      </w:r>
    </w:p>
    <w:bookmarkEnd w:id="14"/>
    <w:bookmarkEnd w:id="15"/>
    <w:bookmarkStart w:id="25" w:name="process-description-and-performance"/>
    <w:p>
      <w:pPr>
        <w:pStyle w:val="Heading1"/>
      </w:pPr>
      <w:r>
        <w:t xml:space="preserve">2. Process description and performance</w:t>
      </w:r>
    </w:p>
    <w:p>
      <w:pPr>
        <w:pStyle w:val="FirstParagraph"/>
      </w:pPr>
      <w:r>
        <w:t xml:space="preserve">The A-Mab DS process comprises the 8 unit operations of</w:t>
      </w:r>
      <w:r>
        <w:t xml:space="preserve"> </w:t>
      </w:r>
      <w:hyperlink w:anchor="tbl-steps">
        <w:r>
          <w:rPr>
            <w:rStyle w:val="Hyperlink"/>
          </w:rPr>
          <w:t xml:space="preserve">Table 2</w:t>
        </w:r>
      </w:hyperlink>
      <w:r>
        <w:t xml:space="preserve">, operated at</w:t>
      </w:r>
      <w:r>
        <w:t xml:space="preserve"> </w:t>
      </w:r>
      <w:r>
        <w:t xml:space="preserve">15,000 L with a nominal titre of 4.37 g/L. The process</w:t>
      </w:r>
      <w:r>
        <w:t xml:space="preserve"> </w:t>
      </w:r>
      <w:r>
        <w:t xml:space="preserve">flow and the principal quality impact of each step are shown in</w:t>
      </w:r>
      <w:r>
        <w:t xml:space="preserve"> 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(Steps 3–10)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A-Mab drug-substance process flow (Steps 3–10) with the principal quality impact of each unit operation.</w:t>
            </w:r>
          </w:p>
          <w:bookmarkEnd w:id="20"/>
        </w:tc>
      </w:tr>
    </w:tbl>
    <w:p>
      <w:pPr>
        <w:pStyle w:val="BodyText"/>
      </w:pPr>
      <w:r>
        <w:t xml:space="preserve">The integrated process delivers an overall DS yield of 83.2%,</w:t>
      </w:r>
      <w:r>
        <w:t xml:space="preserve"> </w:t>
      </w:r>
      <w:r>
        <w:t xml:space="preserve">approximately 54.6 kg of drug substance at 75</w:t>
      </w:r>
      <w:r>
        <w:t xml:space="preserve"> </w:t>
      </w:r>
      <w:r>
        <w:t xml:space="preserve">g/L. The cumulative step-yield across the train is shown in</w:t>
      </w:r>
      <w:r>
        <w:t xml:space="preserve"> </w:t>
      </w:r>
      <w:hyperlink w:anchor="fig-yield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yield"/>
          <w:p>
            <w:pPr>
              <w:pStyle w:val="Compact"/>
              <w:jc w:val="center"/>
            </w:pPr>
            <w:r>
              <w:drawing>
                <wp:inline>
                  <wp:extent cx="4533900" cy="246906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469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step-yield across the eight modelled unit operations.</w:t>
            </w:r>
          </w:p>
          <w:bookmarkEnd w:id="24"/>
        </w:tc>
      </w:tr>
    </w:tbl>
    <w:bookmarkEnd w:id="25"/>
    <w:bookmarkStart w:id="27" w:name="consolidated-cqa-outcomes"/>
    <w:p>
      <w:pPr>
        <w:pStyle w:val="Heading1"/>
      </w:pPr>
      <w:r>
        <w:t xml:space="preserve">3. Consolidated CQA outcomes</w:t>
      </w:r>
    </w:p>
    <w:p>
      <w:pPr>
        <w:pStyle w:val="FirstParagraph"/>
      </w:pPr>
      <w:r>
        <w:t xml:space="preserve">The 10 drug-substance CQAs, the unit operation that primarily sets or controls</w:t>
      </w:r>
      <w:r>
        <w:t xml:space="preserve"> </w:t>
      </w:r>
      <w:r>
        <w:t xml:space="preserve">each, and the commercial-scale outcome (mean ± SD and capability against the acceptance</w:t>
      </w:r>
      <w:r>
        <w:t xml:space="preserve"> </w:t>
      </w:r>
      <w:r>
        <w:t xml:space="preserve">criterion) are consolidated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Every CQA meets its acceptance criterion with a</w:t>
      </w:r>
      <w:r>
        <w:t xml:space="preserve"> </w:t>
      </w:r>
      <w:r>
        <w:t xml:space="preserve">capability of Cpk ≥ 1.51.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Consolidated drug-substance CQA outcomes — the step that primarily sets/controls each CQA and the commercial-scale capability.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72"/>
              <w:gridCol w:w="609"/>
              <w:gridCol w:w="2098"/>
              <w:gridCol w:w="947"/>
              <w:gridCol w:w="1083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Set/controlled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The glycan and charge-variant CQAs (afucosylation, galactosylation, high mannose, acidic</w:t>
      </w:r>
      <w:r>
        <w:t xml:space="preserve"> </w:t>
      </w:r>
      <w:r>
        <w:t xml:space="preserve">variants) are formed and controlled in the production bioreactor within its multivariate design</w:t>
      </w:r>
      <w:r>
        <w:t xml:space="preserve"> </w:t>
      </w:r>
      <w:r>
        <w:t xml:space="preserve">space; the aggregate is formed upstream, can rise during the low-pH hold, and is polished at</w:t>
      </w:r>
      <w:r>
        <w:t xml:space="preserve"> </w:t>
      </w:r>
      <w:r>
        <w:t xml:space="preserve">cation exchange; the process-related impurities (HCP, residual DNA, leached Protein A) are formed</w:t>
      </w:r>
      <w:r>
        <w:t xml:space="preserve"> </w:t>
      </w:r>
      <w:r>
        <w:t xml:space="preserve">upstream and cleared modularly across Protein A, cation exchange and anion exchange; and the</w:t>
      </w:r>
      <w:r>
        <w:t xml:space="preserve"> </w:t>
      </w:r>
      <w:r>
        <w:t xml:space="preserve">viral clearance is delivered orthogonally across the low-pH inactivation, anion-exchange and</w:t>
      </w:r>
      <w:r>
        <w:t xml:space="preserve"> </w:t>
      </w:r>
      <w:r>
        <w:t xml:space="preserve">virus-filtration steps.</w:t>
      </w:r>
    </w:p>
    <w:bookmarkEnd w:id="27"/>
    <w:bookmarkStart w:id="33" w:name="parameter-classification-summary"/>
    <w:p>
      <w:pPr>
        <w:pStyle w:val="Heading1"/>
      </w:pPr>
      <w:r>
        <w:t xml:space="preserve">4. Parameter classification summary</w:t>
      </w:r>
    </w:p>
    <w:p>
      <w:pPr>
        <w:pStyle w:val="FirstParagraph"/>
      </w:pPr>
      <w:r>
        <w:t xml:space="preserve">All 37 process parameters were classified on the A-Mab continuum (</w:t>
      </w:r>
      <w:hyperlink w:anchor="tbl-class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hyperlink w:anchor="fig-class">
        <w:r>
          <w:rPr>
            <w:rStyle w:val="Hyperlink"/>
          </w:rPr>
          <w:t xml:space="preserve">Figure 3</w:t>
        </w:r>
      </w:hyperlink>
      <w:r>
        <w:t xml:space="preserve">). Of these, 21 are critical (1 CPP and</w:t>
      </w:r>
      <w:r>
        <w:t xml:space="preserve"> </w:t>
      </w:r>
      <w:r>
        <w:t xml:space="preserve">20 WC-CPP), 10 are KPP and 6 are GPP. The single true</w:t>
      </w:r>
      <w:r>
        <w:t xml:space="preserve"> </w:t>
      </w:r>
      <w:r>
        <w:t xml:space="preserve">CPP is the low-pH viral-inactivation pH — a narrow, high-consequence parameter — while the</w:t>
      </w:r>
      <w:r>
        <w:t xml:space="preserve"> </w:t>
      </w:r>
      <w:r>
        <w:t xml:space="preserve">remaining critical parameters are well-controlled CPPs whose impact is reliably controlled within</w:t>
      </w:r>
      <w:r>
        <w:t xml:space="preserve"> </w:t>
      </w:r>
      <w:r>
        <w:t xml:space="preserve">the operating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Parameter-classification summary across the train (detail in the per-unit-operation reports).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ass"/>
          <w:p>
            <w:pPr>
              <w:pStyle w:val="Compact"/>
              <w:jc w:val="center"/>
            </w:pPr>
            <w:r>
              <w:drawing>
                <wp:inline>
                  <wp:extent cx="5334000" cy="22691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aram_classification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69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Post-characterization classification of process parameters (CPP / WC-CPP / KPP / GPP) by unit operation.</w:t>
            </w:r>
          </w:p>
          <w:bookmarkEnd w:id="32"/>
        </w:tc>
      </w:tr>
    </w:tbl>
    <w:bookmarkEnd w:id="33"/>
    <w:bookmarkStart w:id="38" w:name="process-capability"/>
    <w:p>
      <w:pPr>
        <w:pStyle w:val="Heading1"/>
      </w:pPr>
      <w:r>
        <w:t xml:space="preserve">5. Process capability</w:t>
      </w:r>
    </w:p>
    <w:p>
      <w:pPr>
        <w:pStyle w:val="FirstParagraph"/>
      </w:pPr>
      <w:r>
        <w:t xml:space="preserve">Commercial-scale process capability was estimated by Monte-Carlo simulation of</w:t>
      </w:r>
      <w:r>
        <w:t xml:space="preserve"> </w:t>
      </w:r>
      <w:r>
        <w:t xml:space="preserve">2,000 batches with every parameter varied within its NOR (</w:t>
      </w:r>
      <w:hyperlink w:anchor="fig-cap">
        <w:r>
          <w:rPr>
            <w:rStyle w:val="Hyperlink"/>
          </w:rPr>
          <w:t xml:space="preserve">Figure 4</w:t>
        </w:r>
      </w:hyperlink>
      <w:r>
        <w:t xml:space="preserve">). Every CQA</w:t>
      </w:r>
      <w:r>
        <w:t xml:space="preserve"> </w:t>
      </w:r>
      <w:r>
        <w:t xml:space="preserve">meets its acceptance criterion, with the minimum capability at the cumulative</w:t>
      </w:r>
      <w:r>
        <w:t xml:space="preserve"> </w:t>
      </w:r>
      <w:r>
        <w:t xml:space="preserve">Viral clearance — MVM (parvovirus) clearance (</w:t>
      </w:r>
      <w:r>
        <w:rPr>
          <w:b/>
          <w:bCs/>
        </w:rPr>
        <w:t xml:space="preserve">Cpk = 1.51</w:t>
      </w:r>
      <w:r>
        <w:t xml:space="preserve">); all CQAs achieve</w:t>
      </w:r>
      <w:r>
        <w:t xml:space="preserve"> </w:t>
      </w:r>
      <w:r>
        <w:t xml:space="preserve">Cpk ≥ 1.33. The capability is confirmed at commercial scale by the Stage-2 PPQ campaign</w:t>
      </w:r>
      <w:r>
        <w:t xml:space="preserve"> </w:t>
      </w:r>
      <w:r>
        <w:t xml:space="preserve">(5 qualification batches as the capability basis).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cap"/>
          <w:p>
            <w:pPr>
              <w:pStyle w:val="Compact"/>
              <w:jc w:val="center"/>
            </w:pPr>
            <w:r>
              <w:drawing>
                <wp:inline>
                  <wp:extent cx="5334000" cy="290077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Monte-Carlo drug-substance CQA distributions vs acceptance limits, annotated with process capability (Cpk).</w:t>
            </w:r>
          </w:p>
          <w:bookmarkEnd w:id="37"/>
        </w:tc>
      </w:tr>
    </w:tbl>
    <w:bookmarkEnd w:id="38"/>
    <w:bookmarkStart w:id="44" w:name="viral-clearance-summary"/>
    <w:p>
      <w:pPr>
        <w:pStyle w:val="Heading1"/>
      </w:pPr>
      <w:r>
        <w:t xml:space="preserve">6. Viral clearance summary</w:t>
      </w:r>
    </w:p>
    <w:p>
      <w:pPr>
        <w:pStyle w:val="FirstParagraph"/>
      </w:pPr>
      <w:r>
        <w:t xml:space="preserve">The modular viral clearance is delivered by three orthogonal mechanisms — low-pH inactivation,</w:t>
      </w:r>
      <w:r>
        <w:t xml:space="preserve"> </w:t>
      </w:r>
      <w:r>
        <w:t xml:space="preserve">anion-exchange adsorption and small-virus size-exclusion filtration — and credited per ICH</w:t>
      </w:r>
      <w:r>
        <w:t xml:space="preserve"> </w:t>
      </w:r>
      <w:r>
        <w:t xml:space="preserve">Q5A(R2)</w:t>
      </w:r>
      <w:r>
        <w:t xml:space="preserve"> </w:t>
      </w:r>
      <w:r>
        <w:t xml:space="preserve">(International Council for Harmonisation 2023a)</w:t>
      </w:r>
      <w:r>
        <w:t xml:space="preserve">. The per-step and cumulative log-reductions are consolidated in</w:t>
      </w:r>
      <w:r>
        <w:t xml:space="preserve"> </w:t>
      </w:r>
      <w:hyperlink w:anchor="tbl-vir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fig-viral">
        <w:r>
          <w:rPr>
            <w:rStyle w:val="Hyperlink"/>
          </w:rPr>
          <w:t xml:space="preserve">Figure 5</w:t>
        </w:r>
      </w:hyperlink>
      <w:r>
        <w:t xml:space="preserve">. The cumulative clearance is 18.87 log₁₀ for XMuLV (enveloped</w:t>
      </w:r>
      <w:r>
        <w:t xml:space="preserve"> </w:t>
      </w:r>
      <w:r>
        <w:t xml:space="preserve">retrovirus) and 10.03 log₁₀ for MVM (small non-enveloped parvovirus), both</w:t>
      </w:r>
      <w:r>
        <w:t xml:space="preserve"> </w:t>
      </w:r>
      <w:r>
        <w:t xml:space="preserve">above their cumulative requirements with margin.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vi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Modular viral clearance by step and cumulative (log₁₀), for XMuLV and MVM.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10.03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viral"/>
          <w:p>
            <w:pPr>
              <w:pStyle w:val="Compact"/>
              <w:jc w:val="center"/>
            </w:pPr>
            <w:r>
              <w:drawing>
                <wp:inline>
                  <wp:extent cx="4800600" cy="192606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ral_clearanc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9260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Modular viral clearance by step for XMuLV and MVM; cumulative clearance exceeds the total requirement with margin.</w:t>
            </w:r>
          </w:p>
          <w:bookmarkEnd w:id="43"/>
        </w:tc>
      </w:tr>
    </w:tbl>
    <w:bookmarkEnd w:id="44"/>
    <w:bookmarkStart w:id="46" w:name="overall-control-strategy"/>
    <w:p>
      <w:pPr>
        <w:pStyle w:val="Heading1"/>
      </w:pPr>
      <w:r>
        <w:t xml:space="preserve">7. Overall control strategy</w:t>
      </w:r>
    </w:p>
    <w:p>
      <w:pPr>
        <w:pStyle w:val="FirstParagraph"/>
      </w:pPr>
      <w:r>
        <w:t xml:space="preserve">The overall control strategy is the sum of the individual per-CQA control strategies established</w:t>
      </w:r>
      <w:r>
        <w:t xml:space="preserve"> </w:t>
      </w:r>
      <w:r>
        <w:t xml:space="preserve">across the unit operations. It comprises: control of the 1 CPP and</w:t>
      </w:r>
      <w:r>
        <w:t xml:space="preserve"> </w:t>
      </w:r>
      <w:r>
        <w:t xml:space="preserve">20 WC-CPPs to their NORs within the established design spaces, with enhanced control</w:t>
      </w:r>
      <w:r>
        <w:t xml:space="preserve"> </w:t>
      </w:r>
      <w:r>
        <w:t xml:space="preserve">of the low-pH-inactivation pH; control of the 10 KPPs for process performance and</w:t>
      </w:r>
      <w:r>
        <w:t xml:space="preserve"> </w:t>
      </w:r>
      <w:r>
        <w:t xml:space="preserve">of the 6 GPPs as general parameters; in-process controls and monitoring at each</w:t>
      </w:r>
      <w:r>
        <w:t xml:space="preserve"> </w:t>
      </w:r>
      <w:r>
        <w:t xml:space="preserve">step; resin and membrane life-cycle control; the modular, orthogonal viral-clearance strategy;</w:t>
      </w:r>
      <w:r>
        <w:t xml:space="preserve"> </w:t>
      </w:r>
      <w:r>
        <w:t xml:space="preserve">and the release and characterization testing of the 10 CQAs. The per-unit-operation</w:t>
      </w:r>
      <w:r>
        <w:t xml:space="preserve"> </w:t>
      </w:r>
      <w:r>
        <w:t xml:space="preserve">contributions are detailed in the reports of</w:t>
      </w:r>
      <w:r>
        <w:t xml:space="preserve"> </w:t>
      </w:r>
      <w:hyperlink w:anchor="tbl-report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are the basis of the drug-substance</w:t>
      </w:r>
      <w:r>
        <w:t xml:space="preserve"> </w:t>
      </w:r>
      <w:r>
        <w:t xml:space="preserve">control strategy transferred to the commercial site (</w:t>
      </w:r>
      <w:r>
        <w:rPr>
          <w:b/>
          <w:bCs/>
        </w:rPr>
        <w:t xml:space="preserve">PTP-001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epor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per-unit-operation Process Characterization Reports consolidated in this master report.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clusions-and-stage-2-readiness"/>
    <w:p>
      <w:pPr>
        <w:pStyle w:val="Heading1"/>
      </w:pPr>
      <w:r>
        <w:t xml:space="preserve">8. Conclusions and Stage-2 readiness</w:t>
      </w:r>
    </w:p>
    <w:p>
      <w:pPr>
        <w:pStyle w:val="FirstParagraph"/>
      </w:pPr>
      <w:r>
        <w:t xml:space="preserve">The Stage 1 characterization demonstrates that the A-Mab drug-substance process is well</w:t>
      </w:r>
      <w:r>
        <w:t xml:space="preserve"> </w:t>
      </w:r>
      <w:r>
        <w:t xml:space="preserve">understood, robust and in control across its 8 unit operations. All</w:t>
      </w:r>
      <w:r>
        <w:t xml:space="preserve"> </w:t>
      </w:r>
      <w:r>
        <w:t xml:space="preserve">37 parameters are classified with a data-supported rationale; multivariate</w:t>
      </w:r>
      <w:r>
        <w:t xml:space="preserve"> </w:t>
      </w:r>
      <w:r>
        <w:t xml:space="preserve">design spaces are established for the DoE unit operations; all 10 CQAs meet their</w:t>
      </w:r>
      <w:r>
        <w:t xml:space="preserve"> </w:t>
      </w:r>
      <w:r>
        <w:t xml:space="preserve">acceptance criteria at commercial scale with Cpk ≥ 1.51; and the modular</w:t>
      </w:r>
      <w:r>
        <w:t xml:space="preserve"> </w:t>
      </w:r>
      <w:r>
        <w:t xml:space="preserve">viral clearance meets its requirements with margin (18.87 /</w:t>
      </w:r>
      <w:r>
        <w:t xml:space="preserve"> </w:t>
      </w:r>
      <w:r>
        <w:t xml:space="preserve">10.03 log₁₀ for XMuLV / MVM). The parameter classifications, design spaces,</w:t>
      </w:r>
      <w:r>
        <w:t xml:space="preserve"> </w:t>
      </w:r>
      <w:r>
        <w:t xml:space="preserve">proven acceptable ranges and per-CQA control strategy support the Stage 2 operating ranges and</w:t>
      </w:r>
      <w:r>
        <w:t xml:space="preserve"> </w:t>
      </w:r>
      <w:r>
        <w:t xml:space="preserve">the receiving-site validation. The process is</w:t>
      </w:r>
      <w:r>
        <w:t xml:space="preserve"> </w:t>
      </w:r>
      <w:r>
        <w:rPr>
          <w:b/>
          <w:bCs/>
        </w:rPr>
        <w:t xml:space="preserve">ready for Stage 2 (Process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Qualification)</w:t>
      </w:r>
      <w:r>
        <w:t xml:space="preserve">; the post-characterization process risk assessment finalizes the CPP selection</w:t>
      </w:r>
      <w:r>
        <w:t xml:space="preserve"> </w:t>
      </w:r>
      <w:r>
        <w:t xml:space="preserve">and the residual-risk position from these outcomes.</w:t>
      </w:r>
    </w:p>
    <w:bookmarkEnd w:id="47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4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8"/>
    <w:bookmarkStart w:id="4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9"/>
    <w:bookmarkStart w:id="5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0"/>
    <w:bookmarkStart w:id="5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1"/>
    <w:bookmarkStart w:id="52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2"/>
    <w:bookmarkStart w:id="53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3"/>
    <w:bookmarkStart w:id="54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54"/>
    <w:bookmarkStart w:id="55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Report</dc:title>
  <dc:creator>Manufacturing Science &amp; Technology (MSAT) / Process Development</dc:creator>
  <cp:keywords/>
  <dcterms:created xsi:type="dcterms:W3CDTF">2026-07-25T11:03:52Z</dcterms:created>
  <dcterms:modified xsi:type="dcterms:W3CDTF">2026-07-25T11:03:52Z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Stage 1 Process Characterization — PCMR-001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