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ANOVA, analysis of variance · CCD, central-composite design · CPP, critical process</w:t>
      </w:r>
      <w:r>
        <w:t xml:space="preserve"> </w:t>
      </w:r>
      <w:r>
        <w:t xml:space="preserve">parameter · CQA, critical quality attribute · DoE, design of experiments · DS, drug</w:t>
      </w:r>
      <w:r>
        <w:t xml:space="preserve"> </w:t>
      </w:r>
      <w:r>
        <w:t xml:space="preserve">substance · GPP, general process parameter · HCP, host-cell protein · ICH,</w:t>
      </w:r>
      <w:r>
        <w:t xml:space="preserve"> </w:t>
      </w:r>
      <w:r>
        <w:t xml:space="preserve">International Council for Harmonisation · KPP, key process parameter · MSAT,</w:t>
      </w:r>
      <w:r>
        <w:t xml:space="preserve"> </w:t>
      </w:r>
      <w:r>
        <w:t xml:space="preserve">Manufacturing Science and Technology · NOR, normal operating range · PAR, proven</w:t>
      </w:r>
      <w:r>
        <w:t xml:space="preserve"> </w:t>
      </w:r>
      <w:r>
        <w:t xml:space="preserve">acceptable range · PPQ, process performance qualification · QbD, Quality by Design ·</w:t>
      </w:r>
      <w:r>
        <w:t xml:space="preserve"> </w:t>
      </w:r>
      <w:r>
        <w:t xml:space="preserve">RRF, risk ranking and filtering · RSM, response-surface methodology · SDM, scale-down</w:t>
      </w:r>
      <w:r>
        <w:t xml:space="preserve"> </w:t>
      </w:r>
      <w:r>
        <w:t xml:space="preserve">model · SEC, size-exclusion chromatography · VCD, viable cell density · WC-CPP,</w:t>
      </w:r>
      <w:r>
        <w:t xml:space="preserve"> </w:t>
      </w:r>
      <w:r>
        <w:t xml:space="preserve">well-controlled CPP.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PCP-003</w:t>
      </w:r>
      <w:r>
        <w:t xml:space="preserve">) defines the Stage 1 (Process</w:t>
      </w:r>
      <w:r>
        <w:t xml:space="preserve"> </w:t>
      </w:r>
      <w:r>
        <w:t xml:space="preserve">Design) characterization of the A-Mab production bioreactor (Step 3), the fed-batch</w:t>
      </w:r>
      <w:r>
        <w:t xml:space="preserve"> </w:t>
      </w:r>
      <w:r>
        <w:t xml:space="preserve">cell-culture operation that establishes the N-glycosylation, charge-variant and</w:t>
      </w:r>
      <w:r>
        <w:t xml:space="preserve"> </w:t>
      </w:r>
      <w:r>
        <w:t xml:space="preserve">initial size-variant and process-impurity profile of the drug substance. The plan</w:t>
      </w:r>
      <w:r>
        <w:t xml:space="preserve"> </w:t>
      </w:r>
      <w:r>
        <w:t xml:space="preserve">specifies the objectives, the quality attributes in scope, the process parameters</w:t>
      </w:r>
      <w:r>
        <w:t xml:space="preserve"> </w:t>
      </w:r>
      <w:r>
        <w:t xml:space="preserve">and ranges to be characterized, the experimental designs, the analytical methods,</w:t>
      </w:r>
      <w:r>
        <w:t xml:space="preserve"> </w:t>
      </w:r>
      <w:r>
        <w:t xml:space="preserve">the sampling plan, the statistical-analysis approach, and the acceptance and decision</w:t>
      </w:r>
      <w:r>
        <w:t xml:space="preserve"> </w:t>
      </w:r>
      <w:r>
        <w:t xml:space="preserve">criteria by which each parameter will be classified and a design space established.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15,000-L commercial-scale</w:t>
      </w:r>
      <w:r>
        <w:t xml:space="preserve"> </w:t>
      </w:r>
      <w:r>
        <w:t xml:space="preserve">production bioreactor, characterized on a qualified 2 L scale-down model (SDM).</w:t>
      </w:r>
      <w:r>
        <w:t xml:space="preserve"> </w:t>
      </w:r>
      <w:r>
        <w:t xml:space="preserve">Seed-train expansion (Steps 1–2) and harvest (Step 4) are addressed only where they</w:t>
      </w:r>
      <w:r>
        <w:t xml:space="preserve"> </w:t>
      </w:r>
      <w:r>
        <w:t xml:space="preserve">affect the production culture; their characterization is out of scope. This plan</w:t>
      </w:r>
      <w:r>
        <w:t xml:space="preserve"> </w:t>
      </w:r>
      <w:r>
        <w:t xml:space="preserve">governs execution only — the results are reported in the paired Process</w:t>
      </w:r>
      <w:r>
        <w:t xml:space="preserve"> </w:t>
      </w:r>
      <w:r>
        <w:t xml:space="preserve">Characterization Report (</w:t>
      </w:r>
      <w:r>
        <w:rPr>
          <w:b/>
          <w:bCs/>
        </w:rPr>
        <w:t xml:space="preserve">PCR-003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unit-operation model, quality-attribute framework and risk</w:t>
      </w:r>
      <w:r>
        <w:t xml:space="preserve"> </w:t>
      </w:r>
      <w:r>
        <w:t xml:space="preserve">methodology follow the A-Mab case study</w:t>
      </w:r>
      <w:r>
        <w:t xml:space="preserve"> </w:t>
      </w:r>
      <w:r>
        <w:t xml:space="preserve">(CMC Biotech Working Group 2009)</w:t>
      </w:r>
      <w:r>
        <w:t xml:space="preserve">; the Stage 1 approach and report</w:t>
      </w:r>
      <w:r>
        <w:t xml:space="preserve"> </w:t>
      </w:r>
      <w:r>
        <w:t xml:space="preserve">structure follow PDA TR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; the QbD framework follows ICH Q8, Q9 and Q11</w:t>
      </w:r>
      <w:r>
        <w:t xml:space="preserve"> </w:t>
      </w:r>
      <w:r>
        <w:t xml:space="preserve">(International Council for Harmonisation 2009, 2023, 2012)</w:t>
      </w:r>
      <w:r>
        <w:t xml:space="preserve"> </w:t>
      </w:r>
      <w:r>
        <w:t xml:space="preserve">and the lifecycle approach of the FDA 2011 guidance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will:</w:t>
      </w:r>
    </w:p>
    <w:p>
      <w:pPr>
        <w:pStyle w:val="Compact"/>
        <w:numPr>
          <w:ilvl w:val="0"/>
          <w:numId w:val="1001"/>
        </w:numPr>
      </w:pPr>
      <w:r>
        <w:t xml:space="preserve">establish the quantitative relationships between the production-bioreactor</w:t>
      </w:r>
      <w:r>
        <w:t xml:space="preserve"> </w:t>
      </w:r>
      <w:r>
        <w:t xml:space="preserve">process parameters and the cell-culture CQAs;</w:t>
      </w:r>
    </w:p>
    <w:p>
      <w:pPr>
        <w:pStyle w:val="Compact"/>
        <w:numPr>
          <w:ilvl w:val="0"/>
          <w:numId w:val="1001"/>
        </w:numPr>
      </w:pPr>
      <w:r>
        <w:t xml:space="preserve">identify the significant main effects, two-factor interactions and curvature;</w:t>
      </w:r>
    </w:p>
    <w:p>
      <w:pPr>
        <w:pStyle w:val="Compact"/>
        <w:numPr>
          <w:ilvl w:val="0"/>
          <w:numId w:val="1001"/>
        </w:numPr>
      </w:pPr>
      <w:r>
        <w:t xml:space="preserve">define the multivariate design space over which all CQAs are met simultaneously;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</w:t>
      </w:r>
      <w:r>
        <w:t xml:space="preserve"> </w:t>
      </w:r>
      <w:r>
        <w:t xml:space="preserve">(NORs) for each parameter;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</w:t>
      </w:r>
      <w:r>
        <w:t xml:space="preserve"> </w:t>
      </w:r>
      <w:r>
        <w:t xml:space="preserve">performance (CPP / WC-CPP / KPP / GPP); and</w:t>
      </w:r>
    </w:p>
    <w:p>
      <w:pPr>
        <w:pStyle w:val="Compact"/>
        <w:numPr>
          <w:ilvl w:val="0"/>
          <w:numId w:val="1001"/>
        </w:numPr>
      </w:pPr>
      <w:r>
        <w:t xml:space="preserve">provide the process understanding and ranges that justify the Stage 2 operating</w:t>
      </w:r>
      <w:r>
        <w:t xml:space="preserve"> </w:t>
      </w:r>
      <w:r>
        <w:t xml:space="preserve">conditions and the drug-substance control strategy.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</w:t>
      </w:r>
      <w:r>
        <w:t xml:space="preserve"> </w:t>
      </w:r>
      <w:r>
        <w:t xml:space="preserve">report; the 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governing procedures and validated analytical methods referenced by this plan</w:t>
      </w:r>
      <w:r>
        <w:t xml:space="preserve"> </w:t>
      </w:r>
      <w:r>
        <w:t xml:space="preserve">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mammalian cell culture operated at</w:t>
      </w:r>
      <w:r>
        <w:t xml:space="preserve"> </w:t>
      </w:r>
      <w:r>
        <w:t xml:space="preserve">15,000 L working volume. It is the only upstream</w:t>
      </w:r>
      <w:r>
        <w:t xml:space="preserve"> </w:t>
      </w:r>
      <w:r>
        <w:t xml:space="preserve">operation that forms product-quality CQAs and is therefore the sole upstream step</w:t>
      </w:r>
      <w:r>
        <w:t xml:space="preserve"> </w:t>
      </w:r>
      <w:r>
        <w:t xml:space="preserve">used to define the upstream design space</w:t>
      </w:r>
      <w:r>
        <w:t xml:space="preserve"> </w:t>
      </w:r>
      <w:r>
        <w:t xml:space="preserve">(CMC Biotech Working Group 2009)</w:t>
      </w:r>
      <w:r>
        <w:t xml:space="preserve">. Platform knowledge from related</w:t>
      </w:r>
      <w:r>
        <w:t xml:space="preserve"> </w:t>
      </w:r>
      <w:r>
        <w:t xml:space="preserve">humanized IgG1 antibodies and A-Mab development experience established that Fc</w:t>
      </w:r>
      <w:r>
        <w:t xml:space="preserve"> </w:t>
      </w:r>
      <w:r>
        <w:t xml:space="preserve">glycosylation governs ADCC/CDC potency and is set in culture, that aggregate formed</w:t>
      </w:r>
      <w:r>
        <w:t xml:space="preserve"> </w:t>
      </w:r>
      <w:r>
        <w:t xml:space="preserve">in culture is polished downstream, and that the harvest HCP and DNA burden is</w:t>
      </w:r>
      <w:r>
        <w:t xml:space="preserve"> </w:t>
      </w:r>
      <w:r>
        <w:t xml:space="preserve">generated upstream and cleared by the purification train. This knowledge frames the</w:t>
      </w:r>
      <w:r>
        <w:t xml:space="preserve"> </w:t>
      </w:r>
      <w:r>
        <w:t xml:space="preserve">CQAs in scope and the 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characterization targets the CQAs set or principally controlled by the production</w:t>
      </w:r>
      <w:r>
        <w:t xml:space="preserve"> </w:t>
      </w:r>
      <w:r>
        <w:t xml:space="preserve">bioreactor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Criticality is scored on the A-Mab continuum using Tool #1</w:t>
      </w:r>
      <w:r>
        <w:t xml:space="preserve"> </w:t>
      </w:r>
      <w:r>
        <w:t xml:space="preserve">(Risk Score = Impact × Uncertainty); attributes rated High (H) or Very High (VH) are</w:t>
      </w:r>
      <w:r>
        <w:t xml:space="preserve"> </w:t>
      </w:r>
      <w:r>
        <w:t xml:space="preserve">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CQAs in scope, with acceptance criteria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 and the risk flow</w:t>
      </w:r>
      <w:r>
        <w:t xml:space="preserve"> </w:t>
      </w:r>
      <w:r>
        <w:t xml:space="preserve">of PDA TR 60, the study scope is set by the Pre-Characterization Process Risk</w:t>
      </w:r>
      <w:r>
        <w:t xml:space="preserve"> </w:t>
      </w:r>
      <w:r>
        <w:t xml:space="preserve">Assessment (</w:t>
      </w:r>
      <w:r>
        <w:rPr>
          <w:b/>
          <w:bCs/>
        </w:rPr>
        <w:t xml:space="preserve">RA-001</w:t>
      </w:r>
      <w:r>
        <w:t xml:space="preserve">). A risk-ranking-and-filtering (RRF) screen scores each</w:t>
      </w:r>
      <w:r>
        <w:t xml:space="preserve"> </w:t>
      </w:r>
      <w:r>
        <w:t xml:space="preserve">parameter for its potential main-effect and interaction impact on the CQAs and</w:t>
      </w:r>
      <w:r>
        <w:t xml:space="preserve"> </w:t>
      </w:r>
      <w:r>
        <w:t xml:space="preserve">assigns the study type accordingly: parameters with a credible multivariate risk are</w:t>
      </w:r>
      <w:r>
        <w:t xml:space="preserve"> </w:t>
      </w:r>
      <w:r>
        <w:t xml:space="preserve">studied in the multivariate DoE; parameters expected to affect only process</w:t>
      </w:r>
      <w:r>
        <w:t xml:space="preserve"> </w:t>
      </w:r>
      <w:r>
        <w:t xml:space="preserve">performance are studied univariately or held at their set-point; parameters with no</w:t>
      </w:r>
      <w:r>
        <w:t xml:space="preserve"> </w:t>
      </w:r>
      <w:r>
        <w:t xml:space="preserve">credible impact over a wide range are not formally studied</w:t>
      </w:r>
      <w:r>
        <w:t xml:space="preserve"> </w:t>
      </w:r>
      <w:r>
        <w:t xml:space="preserve">(CMC Biotech Working Group 2009)</w:t>
      </w:r>
      <w:r>
        <w:t xml:space="preserve">. The resulting</w:t>
      </w:r>
      <w:r>
        <w:t xml:space="preserve"> </w:t>
      </w:r>
      <w:r>
        <w:t xml:space="preserve">parameter set and study-type 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Characterization will be performed on a 2 L bench-scale bioreactor operated at the</w:t>
      </w:r>
      <w:r>
        <w:t xml:space="preserve"> </w:t>
      </w:r>
      <w:r>
        <w:t xml:space="preserve">commercial working-volume equivalent for pH, temperature, dissolved oxygen and CO₂</w:t>
      </w:r>
      <w:r>
        <w:t xml:space="preserve"> </w:t>
      </w:r>
      <w:r>
        <w:t xml:space="preserve">control, gas sparging, agitation power per unit volume and feeding strategy</w:t>
      </w:r>
      <w:r>
        <w:t xml:space="preserve"> </w:t>
      </w:r>
      <w:r>
        <w:t xml:space="preserve">(</w:t>
      </w:r>
      <w:r>
        <w:rPr>
          <w:b/>
          <w:bCs/>
        </w:rPr>
        <w:t xml:space="preserve">SOP-2003</w:t>
      </w:r>
      <w:r>
        <w:t xml:space="preserve">,</w:t>
      </w:r>
      <w:r>
        <w:t xml:space="preserve"> </w:t>
      </w:r>
      <w:r>
        <w:rPr>
          <w:b/>
          <w:bCs/>
        </w:rPr>
        <w:t xml:space="preserve">SOP-2004</w:t>
      </w:r>
      <w:r>
        <w:t xml:space="preserve">). Prior to characterization the SDM will be qualified</w:t>
      </w:r>
      <w:r>
        <w:t xml:space="preserve"> </w:t>
      </w:r>
      <w:r>
        <w:t xml:space="preserve">against at-scale reference data (</w:t>
      </w:r>
      <w:r>
        <w:rPr>
          <w:b/>
          <w:bCs/>
        </w:rPr>
        <w:t xml:space="preserve">SOP-1001</w:t>
      </w:r>
      <w:r>
        <w:t xml:space="preserve">) by comparing the operational</w:t>
      </w:r>
      <w:r>
        <w:t xml:space="preserve"> </w:t>
      </w:r>
      <w:r>
        <w:t xml:space="preserve">parameters and, critically, the input and output quality attributes — viable cell</w:t>
      </w:r>
      <w:r>
        <w:t xml:space="preserve"> </w:t>
      </w:r>
      <w:r>
        <w:t xml:space="preserve">density, viability, titer and the glycan, charge-variant, aggregate, HCP and DNA</w:t>
      </w:r>
      <w:r>
        <w:t xml:space="preserve"> </w:t>
      </w:r>
      <w:r>
        <w:t xml:space="preserve">profiles — to confirm the model is representative and suitable to support design-space</w:t>
      </w:r>
      <w:r>
        <w:t xml:space="preserve"> </w:t>
      </w:r>
      <w:r>
        <w:t xml:space="preserve">and PAR claims</w:t>
      </w:r>
      <w:r>
        <w:t xml:space="preserve"> </w:t>
      </w:r>
      <w:r>
        <w:t xml:space="preserve">(Parenteral Drug Association 2013)</w:t>
      </w:r>
      <w:r>
        <w:t xml:space="preserve">. The center-point replicates of each design provide an</w:t>
      </w:r>
      <w:r>
        <w:t xml:space="preserve"> </w:t>
      </w:r>
      <w:r>
        <w:t xml:space="preserve">in-study estimate of model reproducibility (pure error) used in the lack-of-fit</w:t>
      </w:r>
      <w:r>
        <w:t xml:space="preserve"> </w:t>
      </w:r>
      <w:r>
        <w:t xml:space="preserve">assessment.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The production culture is a fed-batch process inoculated from the N-1 seed</w:t>
      </w:r>
      <w:r>
        <w:t xml:space="preserve"> </w:t>
      </w:r>
      <w:r>
        <w:t xml:space="preserve">bioreactor at the target initial viable cell concentration, using platform basal</w:t>
      </w:r>
      <w:r>
        <w:t xml:space="preserve"> </w:t>
      </w:r>
      <w:r>
        <w:t xml:space="preserve">medium and a bolus nutrient feed (</w:t>
      </w:r>
      <w:r>
        <w:rPr>
          <w:b/>
          <w:bCs/>
        </w:rPr>
        <w:t xml:space="preserve">SOP-2004</w:t>
      </w:r>
      <w:r>
        <w:t xml:space="preserve">). Culture pH, temperature, dissolved</w:t>
      </w:r>
      <w:r>
        <w:t xml:space="preserve"> </w:t>
      </w:r>
      <w:r>
        <w:t xml:space="preserve">oxygen and dissolved CO₂ are controlled to set-point; osmolality is a monitored</w:t>
      </w:r>
      <w:r>
        <w:t xml:space="preserve"> </w:t>
      </w:r>
      <w:r>
        <w:t xml:space="preserve">attribute governed by feed and base addition; the culture is harvested on the nominal</w:t>
      </w:r>
      <w:r>
        <w:t xml:space="preserve"> </w:t>
      </w:r>
      <w:r>
        <w:t xml:space="preserve">duration criterion. Raw materials and media are controlled to platform specifications</w:t>
      </w:r>
      <w:r>
        <w:t xml:space="preserve"> </w:t>
      </w:r>
      <w:r>
        <w:t xml:space="preserve">and are treated as identity/quality-controlled inputs rather than characterized</w:t>
      </w:r>
      <w:r>
        <w:t xml:space="preserve"> </w:t>
      </w:r>
      <w:r>
        <w:t xml:space="preserve">variables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CQAs will be measured by the validated 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 performance</w:t>
      </w:r>
      <w:r>
        <w:t xml:space="preserve"> </w:t>
      </w:r>
      <w:r>
        <w:t xml:space="preserve">characteristics are per the cited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DoE run will be sampled at harvest for the released CQAs (glycan map, charge</w:t>
      </w:r>
      <w:r>
        <w:t xml:space="preserve"> </w:t>
      </w:r>
      <w:r>
        <w:t xml:space="preserve">variants, aggregate) and for the harvest HCP and residual-DNA load; daily process</w:t>
      </w:r>
      <w:r>
        <w:t xml:space="preserve"> </w:t>
      </w:r>
      <w:r>
        <w:t xml:space="preserve">samples (viable cell density, viability, metabolites, pH/pCO₂ verification) will</w:t>
      </w:r>
      <w:r>
        <w:t xml:space="preserve"> </w:t>
      </w:r>
      <w:r>
        <w:t xml:space="preserve">confirm the culture trajectory. Center-point runs are replicated within each design</w:t>
      </w:r>
      <w:r>
        <w:t xml:space="preserve"> </w:t>
      </w:r>
      <w:r>
        <w:t xml:space="preserve">(three in screening, four in the response-surface design) to quantify reproducibility</w:t>
      </w:r>
      <w:r>
        <w:t xml:space="preserve"> </w:t>
      </w:r>
      <w:r>
        <w:t xml:space="preserve">and pure error.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Designs will be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will be analyzed by ordinary-least-squares</w:t>
      </w:r>
      <w:r>
        <w:t xml:space="preserve"> </w:t>
      </w:r>
      <w:r>
        <w:t xml:space="preserve">regression of each response on the main effects and all two-factor interactions;</w:t>
      </w:r>
      <w:r>
        <w:t xml:space="preserve"> </w:t>
      </w:r>
      <w:r>
        <w:t xml:space="preserve">factor effects are reported as twice the coded coefficient. Response-surface data</w:t>
      </w:r>
      <w:r>
        <w:t xml:space="preserve"> </w:t>
      </w:r>
      <w:r>
        <w:t xml:space="preserve">will be analyzed with the full quadratic model (main effects, two-factor</w:t>
      </w:r>
      <w:r>
        <w:t xml:space="preserve"> </w:t>
      </w:r>
      <w:r>
        <w:t xml:space="preserve">interactions and pure-quadratic terms). Significance will be assessed at α = 0.05.</w:t>
      </w:r>
      <w:r>
        <w:t xml:space="preserve"> </w:t>
      </w:r>
      <w:r>
        <w:t xml:space="preserve">Model adequacy will be judged by R², adjusted R², predicted R² (from the PRESS</w:t>
      </w:r>
      <w:r>
        <w:t xml:space="preserve"> </w:t>
      </w:r>
      <w:r>
        <w:t xml:space="preserve">statistic), the overall model F-test, and an ANOVA lack-of-fit test against the</w:t>
      </w:r>
      <w:r>
        <w:t xml:space="preserve"> </w:t>
      </w:r>
      <w:r>
        <w:t xml:space="preserve">center-point pure error. The design space will be defined as the multivariate region</w:t>
      </w:r>
      <w:r>
        <w:t xml:space="preserve"> </w:t>
      </w:r>
      <w:r>
        <w:t xml:space="preserve">over which all CQA responses satisfy their acceptance criteria simultaneously, and</w:t>
      </w:r>
      <w:r>
        <w:t xml:space="preserve"> </w:t>
      </w:r>
      <w:r>
        <w:t xml:space="preserve">commercial-scale capability will be estimated by Monte-Carlo simulation with each</w:t>
      </w:r>
      <w:r>
        <w:t xml:space="preserve"> </w:t>
      </w:r>
      <w:r>
        <w:t xml:space="preserve">parameter varied within its NOR.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Nine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“Range studied”</w:t>
      </w:r>
      <w:r>
        <w:t xml:space="preserve">) defines the edges of the explored knowledge space and the basis of</w:t>
      </w:r>
      <w:r>
        <w:t xml:space="preserve"> </w:t>
      </w:r>
      <w:r>
        <w:t xml:space="preserve">the PAR; the NOR is the tighter routine-control range. Classification is an output of</w:t>
      </w:r>
      <w:r>
        <w:t xml:space="preserve"> </w:t>
      </w:r>
      <w:r>
        <w:t xml:space="preserve">the study and is reported in PCR-003. The DoE factor coding is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Production-bioreactor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Design-of-experiments factor legend (coded A–E).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Factor screening will use a resolution-V two-level fractional factorial in the five</w:t>
      </w:r>
      <w:r>
        <w:t xml:space="preserve"> </w:t>
      </w:r>
      <w:r>
        <w:t xml:space="preserve">multivariate factors (A–E) with three center-point replicates, 19 runs</w:t>
      </w:r>
      <w:r>
        <w:t xml:space="preserve"> </w:t>
      </w:r>
      <w:r>
        <w:t xml:space="preserve">in total. At resolution V, main effects are unconfounded with one another and with</w:t>
      </w:r>
      <w:r>
        <w:t xml:space="preserve"> </w:t>
      </w:r>
      <w:r>
        <w:t xml:space="preserve">two-factor interactions, permitting clean estimation of both. Five responses will be</w:t>
      </w:r>
      <w:r>
        <w:t xml:space="preserve"> </w:t>
      </w:r>
      <w:r>
        <w:t xml:space="preserve">recorded for each run (afucosylation, galactosylation, high mannose, acidic charge</w:t>
      </w:r>
      <w:r>
        <w:t xml:space="preserve"> </w:t>
      </w:r>
      <w:r>
        <w:t xml:space="preserve">variants and aggregate). The planned coded design is given in Appendix A.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dominant factors carried forward from screening (anticipated to be culture pH,</w:t>
      </w:r>
      <w:r>
        <w:t xml:space="preserve"> </w:t>
      </w:r>
      <w:r>
        <w:t xml:space="preserve">temperature, culture duration and dissolved CO₂) will be studied in a face-centred</w:t>
      </w:r>
      <w:r>
        <w:t xml:space="preserve"> </w:t>
      </w:r>
      <w:r>
        <w:t xml:space="preserve">central-composite design with four center-point replicates, 28 runs in</w:t>
      </w:r>
      <w:r>
        <w:t xml:space="preserve"> </w:t>
      </w:r>
      <w:r>
        <w:t xml:space="preserve">total, enabling estimation of curvature in addition to main effects and interactions.</w:t>
      </w:r>
      <w:r>
        <w:t xml:space="preserve"> </w:t>
      </w:r>
      <w:r>
        <w:t xml:space="preserve">The planned coded design is given in Appendix B.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Initial viable cell concentration will be evaluated one factor at a time across its</w:t>
      </w:r>
      <w:r>
        <w:t xml:space="preserve"> </w:t>
      </w:r>
      <w:r>
        <w:t xml:space="preserve">characterization range for its effect on peak viable cell density, titer and culture</w:t>
      </w:r>
      <w:r>
        <w:t xml:space="preserve"> </w:t>
      </w:r>
      <w:r>
        <w:t xml:space="preserve">trajectory.</w:t>
      </w:r>
    </w:p>
    <w:bookmarkEnd w:id="34"/>
    <w:bookmarkEnd w:id="35"/>
    <w:bookmarkStart w:id="36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when:</w:t>
      </w:r>
    </w:p>
    <w:p>
      <w:pPr>
        <w:pStyle w:val="Compact"/>
        <w:numPr>
          <w:ilvl w:val="0"/>
          <w:numId w:val="1002"/>
        </w:numPr>
      </w:pPr>
      <w:r>
        <w:t xml:space="preserve">the SDM qualification confirms representativeness of commercial scale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the fitted response-surface models are adequate — target R² ≥ 0.90, adjusted</w:t>
      </w:r>
      <w:r>
        <w:t xml:space="preserve"> </w:t>
      </w:r>
      <w:r>
        <w:t xml:space="preserve">R² ≥ 0.80, no significant lack of fit (p &gt; 0.05 against the center-point pure</w:t>
      </w:r>
      <w:r>
        <w:t xml:space="preserve"> </w:t>
      </w:r>
      <w:r>
        <w:t xml:space="preserve">error), and residual diagnostics without systematic structure; and</w:t>
      </w:r>
    </w:p>
    <w:p>
      <w:pPr>
        <w:pStyle w:val="Compact"/>
        <w:numPr>
          <w:ilvl w:val="0"/>
          <w:numId w:val="1002"/>
        </w:numPr>
      </w:pPr>
      <w:r>
        <w:t xml:space="preserve">a design space exists over which every in-scope CQA is satisfied simultaneously at</w:t>
      </w:r>
      <w:r>
        <w:t xml:space="preserve"> </w:t>
      </w:r>
      <w:r>
        <w:t xml:space="preserve">the set-point and across each parameter’s NOR.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parameter whose variability significantly impacts a CQA is a</w:t>
      </w:r>
      <w:r>
        <w:t xml:space="preserve"> </w:t>
      </w:r>
      <w:r>
        <w:rPr>
          <w:b/>
          <w:bCs/>
        </w:rPr>
        <w:t xml:space="preserve">CPP</w:t>
      </w:r>
      <w:r>
        <w:t xml:space="preserve">; where the</w:t>
      </w:r>
      <w:r>
        <w:t xml:space="preserve"> </w:t>
      </w:r>
      <w:r>
        <w:t xml:space="preserve">impact is reliably controlled within the design space (low risk of leaving it) the</w:t>
      </w:r>
      <w:r>
        <w:t xml:space="preserve"> </w:t>
      </w:r>
      <w:r>
        <w:t xml:space="preserve">parameter is a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parameter that does not significantly impact a CQA but affects process</w:t>
      </w:r>
      <w:r>
        <w:t xml:space="preserve"> </w:t>
      </w:r>
      <w:r>
        <w:t xml:space="preserve">performance or 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 otherwise it is a</w:t>
      </w:r>
      <w:r>
        <w:t xml:space="preserve"> </w:t>
      </w:r>
      <w:r>
        <w:rPr>
          <w:b/>
          <w:bCs/>
        </w:rPr>
        <w:t xml:space="preserve">GPP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consistent with the post-characterization FMEA convention, a parameter that affects</w:t>
      </w:r>
      <w:r>
        <w:t xml:space="preserve"> </w:t>
      </w:r>
      <w:r>
        <w:t xml:space="preserve">a CQA with Severity ≥ 8, or that carries an initial (pre-mitigation) risk priority</w:t>
      </w:r>
      <w:r>
        <w:t xml:space="preserve"> </w:t>
      </w:r>
      <w:r>
        <w:t xml:space="preserve">number &gt; 72, is designated a CPP before mitigation by the control strategy.</w:t>
      </w:r>
    </w:p>
    <w:p>
      <w:pPr>
        <w:pStyle w:val="FirstParagraph"/>
      </w:pPr>
      <w:r>
        <w:t xml:space="preserve">The design space, classifications and PARs established here will justify the Stage 2</w:t>
      </w:r>
      <w:r>
        <w:t xml:space="preserve"> </w:t>
      </w:r>
      <w:r>
        <w:t xml:space="preserve">operating ranges and feed the drug-substance control strategy.</w:t>
      </w:r>
    </w:p>
    <w:bookmarkEnd w:id="36"/>
    <w:bookmarkStart w:id="37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DoE designs, analytical results and statistical analyses will be</w:t>
      </w:r>
      <w:r>
        <w:t xml:space="preserve"> </w:t>
      </w:r>
      <w:r>
        <w:t xml:space="preserve">recorded and retained under the site data-integrity procedures (ALCOA+). Analyses</w:t>
      </w:r>
      <w:r>
        <w:t xml:space="preserve"> </w:t>
      </w:r>
      <w:r>
        <w:t xml:space="preserve">will be performed with version-controlled scripts and reviewed by a second analyst;</w:t>
      </w:r>
      <w:r>
        <w:t xml:space="preserve"> </w:t>
      </w:r>
      <w:r>
        <w:t xml:space="preserve">designs, models and derived design spaces will be archived with the report. Any</w:t>
      </w:r>
      <w:r>
        <w:t xml:space="preserve"> </w:t>
      </w:r>
      <w:r>
        <w:t xml:space="preserve">deviation from this plan will be documented and assessed for impact in PCR-003.</w:t>
      </w:r>
    </w:p>
    <w:bookmarkEnd w:id="37"/>
    <w:bookmarkStart w:id="39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DoE; author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released and in-process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model; confirm commercial-scale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the design, the statistical analysis and the design-space 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8"/>
          <w:p/>
        </w:tc>
      </w:tr>
    </w:tbl>
    <w:bookmarkEnd w:id="39"/>
    <w:bookmarkStart w:id="40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PCR-003</w:t>
      </w:r>
      <w:r>
        <w:t xml:space="preserve">),</w:t>
      </w:r>
      <w:r>
        <w:t xml:space="preserve"> </w:t>
      </w:r>
      <w:r>
        <w:t xml:space="preserve">reporting the executed designs, the significant effects, the design space, the</w:t>
      </w:r>
      <w:r>
        <w:t xml:space="preserve"> </w:t>
      </w:r>
      <w:r>
        <w:t xml:space="preserve">parameter classification and the CQA outcomes. PCR-003 rolls up into the Process</w:t>
      </w:r>
      <w:r>
        <w:t xml:space="preserve"> </w:t>
      </w:r>
      <w:r>
        <w:t xml:space="preserve">Characterization Master Report (</w:t>
      </w:r>
      <w:r>
        <w:rPr>
          <w:b/>
          <w:bCs/>
        </w:rPr>
        <w:t xml:space="preserve">PCMR-001</w:t>
      </w:r>
      <w:r>
        <w:t xml:space="preserve">) and provides the parameter risk basis</w:t>
      </w:r>
      <w:r>
        <w:t xml:space="preserve"> </w:t>
      </w:r>
      <w:r>
        <w:t xml:space="preserve">for the post-characterization process risk assessment. Execution follows SDM</w:t>
      </w:r>
      <w:r>
        <w:t xml:space="preserve"> </w:t>
      </w:r>
      <w:r>
        <w:t xml:space="preserve">qualification and precedes the Stage 2 PPQ campaign.</w:t>
      </w:r>
    </w:p>
    <w:bookmarkEnd w:id="40"/>
    <w:bookmarkStart w:id="41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SDM is representative of commercial scale (confirmed by</w:t>
      </w:r>
      <w:r>
        <w:t xml:space="preserve"> </w:t>
      </w:r>
      <w:r>
        <w:t xml:space="preserve">qualification) and that the platform analytical methods are validated and in control.</w:t>
      </w:r>
      <w:r>
        <w:t xml:space="preserve"> </w:t>
      </w:r>
      <w:r>
        <w:t xml:space="preserve">The principal risk is that absolute CQA values or the harvest impurity load shift at</w:t>
      </w:r>
      <w:r>
        <w:t xml:space="preserve"> </w:t>
      </w:r>
      <w:r>
        <w:t xml:space="preserve">commercial scale; this is mitigated by defining the design space on the qualified SDM,</w:t>
      </w:r>
      <w:r>
        <w:t xml:space="preserve"> </w:t>
      </w:r>
      <w:r>
        <w:t xml:space="preserve">confirming it at scale in Stage 2, and carrying the WC-CPP ranges forward with</w:t>
      </w:r>
      <w:r>
        <w:t xml:space="preserve"> </w:t>
      </w:r>
      <w:r>
        <w:t xml:space="preserve">in-process monitoring.</w:t>
      </w:r>
    </w:p>
    <w:bookmarkEnd w:id="41"/>
    <w:bookmarkStart w:id="42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2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Start w:id="4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3"/>
    <w:bookmarkStart w:id="4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4"/>
    <w:bookmarkStart w:id="4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5"/>
    <w:bookmarkStart w:id="46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6"/>
    <w:bookmarkStart w:id="47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47"/>
    <w:bookmarkStart w:id="48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48"/>
    <w:bookmarkStart w:id="4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9"/>
    <w:bookmarkEnd w:id="50"/>
    <w:p>
      <w:r>
        <w:br w:type="page"/>
      </w:r>
    </w:p>
    <w:bookmarkEnd w:id="51"/>
    <w:bookmarkStart w:id="53" w:name="appendix-a-planned-screening-design"/>
    <w:p>
      <w:pPr>
        <w:pStyle w:val="Heading1"/>
      </w:pPr>
      <w:r>
        <w:t xml:space="preserve">Appendix A — Planned screening design</w:t>
      </w:r>
    </w:p>
    <w:p>
      <w:pPr>
        <w:pStyle w:val="FirstParagraph"/>
      </w:pPr>
      <w:r>
        <w:t xml:space="preserve">Coded resolution-V fractional-factorial design (factors A–E per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; coded</w:t>
      </w:r>
      <w:r>
        <w:t xml:space="preserve"> </w:t>
      </w:r>
      <w:r>
        <w:t xml:space="preserve">levels −1/0/+1). Responses will be recorded at execution and reported in PCR-003.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Appendix A — planned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p>
      <w:r>
        <w:br w:type="page"/>
      </w:r>
    </w:p>
    <w:bookmarkEnd w:id="53"/>
    <w:bookmarkStart w:id="55" w:name="X3978fd0e1f4921f866c945eb6c5168c0afc9cb9"/>
    <w:p>
      <w:pPr>
        <w:pStyle w:val="Heading1"/>
      </w:pPr>
      <w:r>
        <w:t xml:space="preserve">Appendix B — Planned response-surface design</w:t>
      </w:r>
    </w:p>
    <w:p>
      <w:pPr>
        <w:pStyle w:val="FirstParagraph"/>
      </w:pPr>
      <w:r>
        <w:t xml:space="preserve">Coded face-centred central-composite design (factors A, B, C, E; coded levels</w:t>
      </w:r>
      <w:r>
        <w:t xml:space="preserve"> </w:t>
      </w:r>
      <w:r>
        <w:t xml:space="preserve">−1/0/+1).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Appendix B — planned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4"/>
          <w:p/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2026-07-25T10:58:52Z</dcterms:created>
  <dcterms:modified xsi:type="dcterms:W3CDTF">2026-07-25T10:58:52Z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Production Bioreactor (Step 3) — PCP-003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