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Formulation / Drug Product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CPP, critical process parameter · CQA, critical quality attribute · DF, diafiltration · DP,</w:t>
      </w:r>
      <w:r>
        <w:t xml:space="preserve"> </w:t>
      </w:r>
      <w:r>
        <w:t xml:space="preserve">drug product · DS, drug substance · DV, diavolume · GPP, general process parameter · ICH,</w:t>
      </w:r>
      <w:r>
        <w:t xml:space="preserve"> </w:t>
      </w:r>
      <w:r>
        <w:t xml:space="preserve">International Council for Harmonisation · IPC, in-process control · KPP, key process</w:t>
      </w:r>
      <w:r>
        <w:t xml:space="preserve"> </w:t>
      </w:r>
      <w:r>
        <w:t xml:space="preserve">parameter · MSAT, Manufacturing Science and Technology · NOR, normal operating range · PAR,</w:t>
      </w:r>
      <w:r>
        <w:t xml:space="preserve"> </w:t>
      </w:r>
      <w:r>
        <w:t xml:space="preserve">proven acceptable range · PPQ, process performance qualification · QbD, Quality by Design ·</w:t>
      </w:r>
      <w:r>
        <w:t xml:space="preserve"> </w:t>
      </w:r>
      <w:r>
        <w:t xml:space="preserve">TFF, tangential-flow filtration · TMP, transmembrane pressure · UF, ultrafiltration · UF/DF,</w:t>
      </w:r>
      <w:r>
        <w:t xml:space="preserve"> </w:t>
      </w:r>
      <w:r>
        <w:t xml:space="preserve">ultrafiltration / diafiltration.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PCP-010</w:t>
      </w:r>
      <w:r>
        <w:t xml:space="preserve">) defines the Stage 1 (Process Design)</w:t>
      </w:r>
      <w:r>
        <w:t xml:space="preserve"> </w:t>
      </w:r>
      <w:r>
        <w:t xml:space="preserve">evaluation of the A-Mab final ultrafiltration / diafiltration (UF/DF) operation (Step 10), the</w:t>
      </w:r>
      <w:r>
        <w:t xml:space="preserve"> </w:t>
      </w:r>
      <w:r>
        <w:t xml:space="preserve">tangential-flow-filtration step that concentrates the virus-filtration pool and buffer-exchanges</w:t>
      </w:r>
      <w:r>
        <w:t xml:space="preserve"> </w:t>
      </w:r>
      <w:r>
        <w:t xml:space="preserve">it into the final formulation buffer to deliver the drug substance at its target concentration.</w:t>
      </w:r>
      <w:r>
        <w:t xml:space="preserve"> </w:t>
      </w:r>
      <w:r>
        <w:t xml:space="preserve">The plan specifies the objectives, the process-performance measures in scope, the process</w:t>
      </w:r>
      <w:r>
        <w:t xml:space="preserve"> </w:t>
      </w:r>
      <w:r>
        <w:t xml:space="preserve">parameters and ranges to be evaluated, the analytical methods, the sampling plan, the analysis</w:t>
      </w:r>
      <w:r>
        <w:t xml:space="preserve"> </w:t>
      </w:r>
      <w:r>
        <w:t xml:space="preserve">approach, and the acceptance and decision criteria by which each parameter will be classified.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UF/DF operation that concentrates and buffer-exchanges the</w:t>
      </w:r>
      <w:r>
        <w:t xml:space="preserve"> </w:t>
      </w:r>
      <w:r>
        <w:t xml:space="preserve">virus-filtration pool to the drug-substance target of 75 g/L, evaluated</w:t>
      </w:r>
      <w:r>
        <w:t xml:space="preserve"> </w:t>
      </w:r>
      <w:r>
        <w:t xml:space="preserve">on a qualified bench-scale UF/DF model. The upstream virus-filtration step (Step 9), which</w:t>
      </w:r>
      <w:r>
        <w:t xml:space="preserve"> </w:t>
      </w:r>
      <w:r>
        <w:t xml:space="preserve">defines the feed to this operation, is addressed only where it defines that feed; its</w:t>
      </w:r>
      <w:r>
        <w:t xml:space="preserve"> </w:t>
      </w:r>
      <w:r>
        <w:t xml:space="preserve">characterization is out of scope. In the A-Mab case study the operation has</w:t>
      </w:r>
      <w:r>
        <w:t xml:space="preserve"> </w:t>
      </w:r>
      <w:r>
        <w:rPr>
          <w:b/>
          <w:bCs/>
        </w:rPr>
        <w:t xml:space="preserve">no drug-substance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product-quality impact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formulation characterization</w:t>
      </w:r>
      <w:r>
        <w:t xml:space="preserve"> </w:t>
      </w:r>
      <w:r>
        <w:t xml:space="preserve">(excipient levels, pH,</w:t>
      </w:r>
      <w:r>
        <w:t xml:space="preserve"> </w:t>
      </w:r>
      <w:r>
        <w:t xml:space="preserve">osmolality and stability) is conducted and reported under the</w:t>
      </w:r>
      <w:r>
        <w:t xml:space="preserve"> </w:t>
      </w:r>
      <w:r>
        <w:rPr>
          <w:b/>
          <w:bCs/>
        </w:rPr>
        <w:t xml:space="preserve">drug-product development</w:t>
      </w:r>
      <w:r>
        <w:rPr>
          <w:b/>
          <w:bCs/>
        </w:rPr>
        <w:t xml:space="preserve"> </w:t>
      </w:r>
      <w:r>
        <w:rPr>
          <w:b/>
          <w:bCs/>
        </w:rPr>
        <w:t xml:space="preserve">program</w:t>
      </w:r>
      <w:r>
        <w:t xml:space="preserve">; that characterization is therefore out of scope of this drug-substance plan. This</w:t>
      </w:r>
      <w:r>
        <w:t xml:space="preserve"> </w:t>
      </w:r>
      <w:r>
        <w:t xml:space="preserve">plan governs execution only — the results are reported in the paired Process Characterization</w:t>
      </w:r>
      <w:r>
        <w:t xml:space="preserve"> </w:t>
      </w:r>
      <w:r>
        <w:t xml:space="preserve">Report (</w:t>
      </w:r>
      <w:r>
        <w:rPr>
          <w:b/>
          <w:bCs/>
        </w:rPr>
        <w:t xml:space="preserve">PCR-010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In the A-Mab case study, final UF/DF is a formulation / mass-balance operation with</w:t>
      </w:r>
      <w:r>
        <w:t xml:space="preserve"> </w:t>
      </w:r>
      <w:r>
        <w:t xml:space="preserve">no drug-substance product-quality impact</w:t>
      </w:r>
      <w:r>
        <w:t xml:space="preserve"> </w:t>
      </w:r>
      <w:r>
        <w:t xml:space="preserve">(CMC Biotech Working Group 2009)</w:t>
      </w:r>
      <w:r>
        <w:t xml:space="preserve">. The Stage 1 approach and report structure</w:t>
      </w:r>
      <w:r>
        <w:t xml:space="preserve"> </w:t>
      </w:r>
      <w:r>
        <w:t xml:space="preserve">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 framework</w:t>
      </w:r>
      <w:r>
        <w:t xml:space="preserve"> </w:t>
      </w:r>
      <w:r>
        <w:t xml:space="preserve">follows ICH Q8, Q9 and Q11</w:t>
      </w:r>
      <w:r>
        <w:t xml:space="preserve"> </w:t>
      </w:r>
      <w:r>
        <w:t xml:space="preserve">(International Council for Harmonisation 2009, 2023, 2012)</w:t>
      </w:r>
      <w:r>
        <w:t xml:space="preserve"> </w:t>
      </w:r>
      <w:r>
        <w:t xml:space="preserve">and the lifecycle approach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evaluation will:</w:t>
      </w:r>
    </w:p>
    <w:p>
      <w:pPr>
        <w:pStyle w:val="Compact"/>
        <w:numPr>
          <w:ilvl w:val="0"/>
          <w:numId w:val="1001"/>
        </w:numPr>
      </w:pPr>
      <w:r>
        <w:t xml:space="preserve">confirm that UF/DF has</w:t>
      </w:r>
      <w:r>
        <w:t xml:space="preserve"> </w:t>
      </w:r>
      <w:r>
        <w:rPr>
          <w:b/>
          <w:bCs/>
        </w:rPr>
        <w:t xml:space="preserve">no impact on the drug-substance product-quality CQAs</w:t>
      </w:r>
      <w:r>
        <w:t xml:space="preserve">, which pass</w:t>
      </w:r>
      <w:r>
        <w:t xml:space="preserve"> </w:t>
      </w:r>
      <w:r>
        <w:t xml:space="preserve">through the operation unchanged;</w:t>
      </w:r>
    </w:p>
    <w:p>
      <w:pPr>
        <w:pStyle w:val="Compact"/>
        <w:numPr>
          <w:ilvl w:val="0"/>
          <w:numId w:val="1001"/>
        </w:numPr>
      </w:pPr>
      <w:r>
        <w:t xml:space="preserve">establish the effect of the operating parameters on the process-performance measures — step</w:t>
      </w:r>
      <w:r>
        <w:t xml:space="preserve"> </w:t>
      </w:r>
      <w:r>
        <w:t xml:space="preserve">yield, buffer-exchange completeness and the final DS concentration;</w:t>
      </w:r>
    </w:p>
    <w:p>
      <w:pPr>
        <w:pStyle w:val="Compact"/>
        <w:numPr>
          <w:ilvl w:val="0"/>
          <w:numId w:val="1001"/>
        </w:numPr>
      </w:pPr>
      <w:r>
        <w:t xml:space="preserve">confirm that the drug substance is delivered at its target concentration and buffer</w:t>
      </w:r>
      <w:r>
        <w:t xml:space="preserve"> </w:t>
      </w:r>
      <w:r>
        <w:t xml:space="preserve">composition across the operating ranges;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 (NORs) for</w:t>
      </w:r>
      <w:r>
        <w:t xml:space="preserve"> </w:t>
      </w:r>
      <w:r>
        <w:t xml:space="preserve">each parameter; and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KPP / GPP) and provide the ranges that support the Stage 2 operating conditions and</w:t>
      </w:r>
      <w:r>
        <w:t xml:space="preserve"> </w:t>
      </w:r>
      <w:r>
        <w:t xml:space="preserve">the drug-substance control strategy.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 the full</w:t>
      </w:r>
      <w:r>
        <w:t xml:space="preserve"> </w:t>
      </w:r>
      <w:r>
        <w:t xml:space="preserve">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Ultrafiltration / diafiltration is the final drug-substance operation of the A-Mab train: a</w:t>
      </w:r>
      <w:r>
        <w:t xml:space="preserve"> </w:t>
      </w:r>
      <w:r>
        <w:t xml:space="preserve">tangential-flow-filtration step in which ultrafiltration concentrates the virus-filtration pool</w:t>
      </w:r>
      <w:r>
        <w:t xml:space="preserve"> </w:t>
      </w:r>
      <w:r>
        <w:t xml:space="preserve">and diafiltration exchanges it into the final formulation buffer, delivering the drug substance</w:t>
      </w:r>
      <w:r>
        <w:t xml:space="preserve"> </w:t>
      </w:r>
      <w:r>
        <w:t xml:space="preserve">at its target concentration</w:t>
      </w:r>
      <w:r>
        <w:t xml:space="preserve"> </w:t>
      </w:r>
      <w:r>
        <w:t xml:space="preserve">(CMC Biotech Working Group 2009)</w:t>
      </w:r>
      <w:r>
        <w:t xml:space="preserve">. Unlike the CQA-forming and CQA-clearing operations it</w:t>
      </w:r>
      <w:r>
        <w:t xml:space="preserve"> </w:t>
      </w:r>
      <w:r>
        <w:t xml:space="preserve">forms no new product-quality attribute; the antibody is retained by the membrane while water and</w:t>
      </w:r>
      <w:r>
        <w:t xml:space="preserve"> </w:t>
      </w:r>
      <w:r>
        <w:t xml:space="preserve">small solutes permeate, so the product-quality attributes established and cleared upstream pass</w:t>
      </w:r>
      <w:r>
        <w:t xml:space="preserve"> </w:t>
      </w:r>
      <w:r>
        <w:t xml:space="preserve">through unchanged. Platform knowledge from related humanized IgG1 antibodies established that a</w:t>
      </w:r>
      <w:r>
        <w:t xml:space="preserve"> </w:t>
      </w:r>
      <w:r>
        <w:t xml:space="preserve">well-controlled UF/DF step concentrates and buffer-exchanges without altering the glycan,</w:t>
      </w:r>
      <w:r>
        <w:t xml:space="preserve"> </w:t>
      </w:r>
      <w:r>
        <w:t xml:space="preserve">charge-variant, aggregate or impurity attributes, and that its parameters govern process</w:t>
      </w:r>
      <w:r>
        <w:t xml:space="preserve"> </w:t>
      </w:r>
      <w:r>
        <w:t xml:space="preserve">performance — buffer-exchange completeness, permeate flux/process time and the final</w:t>
      </w:r>
      <w:r>
        <w:t xml:space="preserve"> </w:t>
      </w:r>
      <w:r>
        <w:t xml:space="preserve">concentration. This knowledge frames the process-performance measures in scope and the</w:t>
      </w:r>
      <w:r>
        <w:t xml:space="preserve"> </w:t>
      </w:r>
      <w:r>
        <w:t xml:space="preserve">prioritization of parameters for evaluation.</w:t>
      </w:r>
    </w:p>
    <w:bookmarkEnd w:id="17"/>
    <w:bookmarkStart w:id="19" w:name="X691cbf76c2291c519056583d65ff05b507644cc"/>
    <w:p>
      <w:pPr>
        <w:pStyle w:val="Heading2"/>
      </w:pPr>
      <w:r>
        <w:t xml:space="preserve">4.2 Quality attributes and process-performance measures</w:t>
      </w:r>
    </w:p>
    <w:p>
      <w:pPr>
        <w:pStyle w:val="FirstParagraph"/>
      </w:pPr>
      <w:r>
        <w:t xml:space="preserve">UF/DF</w:t>
      </w:r>
      <w:r>
        <w:t xml:space="preserve"> </w:t>
      </w:r>
      <w:r>
        <w:rPr>
          <w:b/>
          <w:bCs/>
        </w:rPr>
        <w:t xml:space="preserve">sets or modifies no drug-substance product-quality CQA</w:t>
      </w:r>
      <w:r>
        <w:t xml:space="preserve">; the CQAs established and</w:t>
      </w:r>
      <w:r>
        <w:t xml:space="preserve"> </w:t>
      </w:r>
      <w:r>
        <w:t xml:space="preserve">cleared upstream pass through the operation unchanged. The operation is therefore evaluated</w:t>
      </w:r>
      <w:r>
        <w:t xml:space="preserve"> </w:t>
      </w:r>
      <w:r>
        <w:t xml:space="preserve">against the process-performance measures it governs (</w:t>
      </w:r>
      <w:hyperlink w:anchor="tbl-perf">
        <w:r>
          <w:rPr>
            <w:rStyle w:val="Hyperlink"/>
          </w:rPr>
          <w:t xml:space="preserve">Table 4</w:t>
        </w:r>
      </w:hyperlink>
      <w:r>
        <w:t xml:space="preserve">): the product (step) yield, the</w:t>
      </w:r>
      <w:r>
        <w:t xml:space="preserve"> </w:t>
      </w:r>
      <w:r>
        <w:t xml:space="preserve">buffer-exchange completeness delivered by the diafiltration, and the final DS concentration.</w:t>
      </w:r>
      <w:r>
        <w:t xml:space="preserve"> </w:t>
      </w:r>
      <w:r>
        <w:t xml:space="preserve">Formulation attributes (excipient concentrations, pH, osmolality) are drug-product</w:t>
      </w:r>
      <w:r>
        <w:t xml:space="preserve"> </w:t>
      </w:r>
      <w:r>
        <w:t xml:space="preserve">characterization endpoints and are addressed under the drug-product program, not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Process-performance measures for the UF/DF evaluation (no drug-substance product-quality CQA is set by this step).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Process-performance measure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governs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(step) yield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Antibody recovery across the final operation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Mass balance; platform target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Buffer-exchange completeness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Exchange into the final formulation buffer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diavolumes (</w:t>
                  </w:r>
                  <w:hyperlink w:anchor="tbl-param">
                    <w:r>
                      <w:rPr>
                        <w:rStyle w:val="Hyperlink"/>
                      </w:rPr>
                      <w:t xml:space="preserve">Table 6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Drug-substance concentration delivered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 70–80 g/L (</w:t>
                  </w:r>
                  <w:hyperlink w:anchor="tbl-param">
                    <w:r>
                      <w:rPr>
                        <w:rStyle w:val="Hyperlink"/>
                      </w:rPr>
                      <w:t xml:space="preserve">Table 6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Product-quality CQAs (monitored)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Confirmation of no product-quality impact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 and cleared upstream; unchanged here</w:t>
                  </w:r>
                </w:p>
              </w:tc>
            </w:tr>
          </w:tbl>
          <w:bookmarkEnd w:id="18"/>
          <w:p/>
        </w:tc>
      </w:tr>
    </w:tbl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assessments, the evaluation scope is set</w:t>
      </w:r>
      <w:r>
        <w:t xml:space="preserve"> </w:t>
      </w:r>
      <w:r>
        <w:t xml:space="preserve">by the Pre-Characterization Process Risk Assessment (</w:t>
      </w:r>
      <w:r>
        <w:rPr>
          <w:b/>
          <w:bCs/>
        </w:rPr>
        <w:t xml:space="preserve">RA-001</w:t>
      </w:r>
      <w:r>
        <w:t xml:space="preserve">). Because UF/DF carries no</w:t>
      </w:r>
      <w:r>
        <w:t xml:space="preserve"> </w:t>
      </w:r>
      <w:r>
        <w:t xml:space="preserve">credible risk of impact to a drug-substance product-quality CQA, none of its parameters was</w:t>
      </w:r>
      <w:r>
        <w:t xml:space="preserve"> </w:t>
      </w:r>
      <w:r>
        <w:t xml:space="preserve">assigned to a multivariate design of experiments; each parameter is evaluated</w:t>
      </w:r>
      <w:r>
        <w:t xml:space="preserve"> </w:t>
      </w:r>
      <w:r>
        <w:rPr>
          <w:b/>
          <w:bCs/>
        </w:rPr>
        <w:t xml:space="preserve">one factor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across its characterization range for its effect on the process-performance measures. The</w:t>
      </w:r>
      <w:r>
        <w:t xml:space="preserve"> </w:t>
      </w:r>
      <w:r>
        <w:t xml:space="preserve">resulting 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Evaluation will be performed on a qualified bench-scale UF/DF (tangential-flow-filtration) model</w:t>
      </w:r>
      <w:r>
        <w:t xml:space="preserve"> </w:t>
      </w:r>
      <w:r>
        <w:t xml:space="preserve">representing the commercial operation — the platform membrane chemistry and molecular-weight</w:t>
      </w:r>
      <w:r>
        <w:t xml:space="preserve"> </w:t>
      </w:r>
      <w:r>
        <w:t xml:space="preserve">cut-off, operated at the commercial-equivalent membrane loading, transmembrane pressure and</w:t>
      </w:r>
      <w:r>
        <w:t xml:space="preserve"> </w:t>
      </w:r>
      <w:r>
        <w:t xml:space="preserve">cross-flow, with the same ultrafiltration-concentration and diafiltration-exchange sequence</w:t>
      </w:r>
      <w:r>
        <w:t xml:space="preserve"> </w:t>
      </w:r>
      <w:r>
        <w:t xml:space="preserve">(</w:t>
      </w:r>
      <w:r>
        <w:rPr>
          <w:b/>
          <w:bCs/>
        </w:rPr>
        <w:t xml:space="preserve">SOP-2013</w:t>
      </w:r>
      <w:r>
        <w:t xml:space="preserve">). Prior to evaluation the model will be qualified against at-scale reference data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by comparing step yield, the final concentration and the buffer-exchange</w:t>
      </w:r>
      <w:r>
        <w:t xml:space="preserve"> </w:t>
      </w:r>
      <w:r>
        <w:t xml:space="preserve">completeness, confirming the model is representative and suitable to support the parameter</w:t>
      </w:r>
      <w:r>
        <w:t xml:space="preserve"> </w:t>
      </w:r>
      <w:r>
        <w:t xml:space="preserve">ranges</w:t>
      </w:r>
      <w:r>
        <w:t xml:space="preserve"> </w:t>
      </w:r>
      <w:r>
        <w:t xml:space="preserve">(Parenteral Drug Association 2013)</w:t>
      </w:r>
      <w:r>
        <w:t xml:space="preserve">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virus-filtration pool is concentrated by ultrafiltration, diafiltered against the final</w:t>
      </w:r>
      <w:r>
        <w:t xml:space="preserve"> </w:t>
      </w:r>
      <w:r>
        <w:t xml:space="preserve">formulation buffer for the target number of diavolumes, and further concentrated to the final</w:t>
      </w:r>
      <w:r>
        <w:t xml:space="preserve"> </w:t>
      </w:r>
      <w:r>
        <w:t xml:space="preserve">drug-substance target, with the transmembrane pressure and cross-flow controlled through the</w:t>
      </w:r>
      <w:r>
        <w:t xml:space="preserve"> </w:t>
      </w:r>
      <w:r>
        <w:t xml:space="preserve">operation. The number of diavolumes, the transmembrane pressure and the final DS concentration</w:t>
      </w:r>
      <w:r>
        <w:t xml:space="preserve"> </w:t>
      </w:r>
      <w:r>
        <w:t xml:space="preserve">are the operating variables; membrane lot and buffer composition are controlled to platform</w:t>
      </w:r>
      <w:r>
        <w:t xml:space="preserve"> </w:t>
      </w:r>
      <w:r>
        <w:t xml:space="preserve">specifications and treated as identity/quality-controlled inputs rather than characterized</w:t>
      </w:r>
      <w:r>
        <w:t xml:space="preserve"> </w:t>
      </w:r>
      <w:r>
        <w:t xml:space="preserve">variables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Product concentration and the product-quality attributes will be measured by the validated</w:t>
      </w:r>
      <w:r>
        <w:t xml:space="preserve"> </w:t>
      </w:r>
      <w:r>
        <w:t xml:space="preserve">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 performance characteristics are per the cited validation</w:t>
      </w:r>
      <w:r>
        <w:t xml:space="preserve"> </w:t>
      </w:r>
      <w:r>
        <w:t xml:space="preserve">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evaluation.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run will be sampled at the final drug-substance pool for concentration and for the size-</w:t>
      </w:r>
      <w:r>
        <w:t xml:space="preserve"> </w:t>
      </w:r>
      <w:r>
        <w:t xml:space="preserve">and charge-variant attributes, and the product mass across the operation will be recorded for</w:t>
      </w:r>
      <w:r>
        <w:t xml:space="preserve"> </w:t>
      </w:r>
      <w:r>
        <w:t xml:space="preserve">the step-yield calculation; the diafiltration exchange will be monitored to confirm</w:t>
      </w:r>
      <w:r>
        <w:t xml:space="preserve"> </w:t>
      </w:r>
      <w:r>
        <w:t xml:space="preserve">buffer-exchange completeness. Runs at the parameter set-points will be replicated to quantify</w:t>
      </w:r>
      <w:r>
        <w:t xml:space="preserve"> </w:t>
      </w:r>
      <w:r>
        <w:t xml:space="preserve">the reproducibility of yield and final concentration.</w:t>
      </w:r>
    </w:p>
    <w:bookmarkEnd w:id="26"/>
    <w:bookmarkStart w:id="27" w:name="statistical-and-analysis-methods"/>
    <w:p>
      <w:pPr>
        <w:pStyle w:val="Heading2"/>
      </w:pPr>
      <w:r>
        <w:t xml:space="preserve">5.5 Statistical and analysis methods</w:t>
      </w:r>
    </w:p>
    <w:p>
      <w:pPr>
        <w:pStyle w:val="FirstParagraph"/>
      </w:pPr>
      <w:r>
        <w:t xml:space="preserve">Because no drug-substance product-quality CQA is affected, the operation is evaluated</w:t>
      </w:r>
      <w:r>
        <w:t xml:space="preserve"> </w:t>
      </w:r>
      <w:r>
        <w:t xml:space="preserve">univariately rather than by a designed experiment. Each parameter will be varied one factor at a</w:t>
      </w:r>
      <w:r>
        <w:t xml:space="preserve"> </w:t>
      </w:r>
      <w:r>
        <w:t xml:space="preserve">time across its characterization range, holding the others at their set-points, and the</w:t>
      </w:r>
      <w:r>
        <w:t xml:space="preserve"> </w:t>
      </w:r>
      <w:r>
        <w:t xml:space="preserve">process-performance measures — step yield, buffer-exchange completeness and final DS</w:t>
      </w:r>
      <w:r>
        <w:t xml:space="preserve"> </w:t>
      </w:r>
      <w:r>
        <w:t xml:space="preserve">concentration — will be summarized against the parameter level. Reproducibility of yield and</w:t>
      </w:r>
      <w:r>
        <w:t xml:space="preserve"> </w:t>
      </w:r>
      <w:r>
        <w:t xml:space="preserve">final concentration will be estimated from the replicated set-point runs. Parameter ranges will</w:t>
      </w:r>
      <w:r>
        <w:t xml:space="preserve"> </w:t>
      </w:r>
      <w:r>
        <w:t xml:space="preserve">be judged acceptable where the performance measures remain within their platform targets and the</w:t>
      </w:r>
      <w:r>
        <w:t xml:space="preserve"> </w:t>
      </w:r>
      <w:r>
        <w:t xml:space="preserve">product-quality CQAs are unchanged.</w:t>
      </w:r>
    </w:p>
    <w:bookmarkEnd w:id="27"/>
    <w:bookmarkEnd w:id="28"/>
    <w:bookmarkStart w:id="32" w:name="study-design"/>
    <w:p>
      <w:pPr>
        <w:pStyle w:val="Heading1"/>
      </w:pPr>
      <w:r>
        <w:t xml:space="preserve">6. Study design</w:t>
      </w:r>
    </w:p>
    <w:bookmarkStart w:id="30" w:name="parameters-ranges-and-study-type"/>
    <w:p>
      <w:pPr>
        <w:pStyle w:val="Heading2"/>
      </w:pPr>
      <w:r>
        <w:t xml:space="preserve">6.1 Parameters, ranges and study type</w:t>
      </w:r>
    </w:p>
    <w:p>
      <w:pPr>
        <w:pStyle w:val="FirstParagraph"/>
      </w:pPr>
      <w:r>
        <w:t xml:space="preserve">3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</w:t>
      </w:r>
      <w:r>
        <w:t xml:space="preserve"> </w:t>
      </w:r>
      <w:r>
        <w:t xml:space="preserve">parameter (</w:t>
      </w:r>
      <w:r>
        <w:t xml:space="preserve">“Range studied”</w:t>
      </w:r>
      <w:r>
        <w:t xml:space="preserve">) defines the edges of the explored knowledge space and the basis of</w:t>
      </w:r>
      <w:r>
        <w:t xml:space="preserve"> </w:t>
      </w:r>
      <w:r>
        <w:t xml:space="preserve">the PAR; the NOR is the tighter routine-control range. Classification is an output of the</w:t>
      </w:r>
      <w:r>
        <w:t xml:space="preserve"> </w:t>
      </w:r>
      <w:r>
        <w:t xml:space="preserve">evaluation and is reported in PCR-010.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UF/DF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univariate-ranging"/>
    <w:p>
      <w:pPr>
        <w:pStyle w:val="Heading2"/>
      </w:pPr>
      <w:r>
        <w:t xml:space="preserve">6.2 Univariate ranging</w:t>
      </w:r>
    </w:p>
    <w:p>
      <w:pPr>
        <w:pStyle w:val="FirstParagraph"/>
      </w:pPr>
      <w:r>
        <w:t xml:space="preserve">Each parameter will be evaluated one factor at a time across its characterization range: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Number of diavolumes</w:t>
      </w:r>
      <w:r>
        <w:t xml:space="preserve"> </w:t>
      </w:r>
      <w:r>
        <w:t xml:space="preserve">— evaluated across its range for its effect on buffer-exchange</w:t>
      </w:r>
      <w:r>
        <w:t xml:space="preserve"> </w:t>
      </w:r>
      <w:r>
        <w:t xml:space="preserve">completeness and process time. More diavolumes lower the residual old-buffer components at the</w:t>
      </w:r>
      <w:r>
        <w:t xml:space="preserve"> </w:t>
      </w:r>
      <w:r>
        <w:t xml:space="preserve">cost of longer process time; the range is bounded to assure complete exchange without</w:t>
      </w:r>
      <w:r>
        <w:t xml:space="preserve"> </w:t>
      </w:r>
      <w:r>
        <w:t xml:space="preserve">unnecessary process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Transmembrane pressure</w:t>
      </w:r>
      <w:r>
        <w:t xml:space="preserve"> </w:t>
      </w:r>
      <w:r>
        <w:t xml:space="preserve">— evaluated across its range for its effect on permeate flux,</w:t>
      </w:r>
      <w:r>
        <w:t xml:space="preserve"> </w:t>
      </w:r>
      <w:r>
        <w:t xml:space="preserve">process time and yield. Higher pressure raises flux and shortens process time but risks</w:t>
      </w:r>
      <w:r>
        <w:t xml:space="preserve"> </w:t>
      </w:r>
      <w:r>
        <w:t xml:space="preserve">membrane fouling and concentration polarization near the top of the range.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Final DS concentration</w:t>
      </w:r>
      <w:r>
        <w:t xml:space="preserve"> </w:t>
      </w:r>
      <w:r>
        <w:t xml:space="preserve">— evaluated as the controlled output attribute of the operation,</w:t>
      </w:r>
      <w:r>
        <w:t xml:space="preserve"> </w:t>
      </w:r>
      <w:r>
        <w:t xml:space="preserve">confirming that the drug substance is delivered on target across the operating conditions.</w:t>
      </w:r>
    </w:p>
    <w:p>
      <w:pPr>
        <w:pStyle w:val="FirstParagraph"/>
      </w:pPr>
      <w:r>
        <w:t xml:space="preserve">The product-quality CQAs will be confirmed unchanged across the ranging to demonstrate the</w:t>
      </w:r>
      <w:r>
        <w:t xml:space="preserve"> </w:t>
      </w:r>
      <w:r>
        <w:t xml:space="preserve">absence of a drug-substance product-quality impact.</w:t>
      </w:r>
    </w:p>
    <w:bookmarkEnd w:id="31"/>
    <w:bookmarkEnd w:id="32"/>
    <w:bookmarkStart w:id="33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evaluation is acceptable when:</w:t>
      </w:r>
    </w:p>
    <w:p>
      <w:pPr>
        <w:pStyle w:val="Compact"/>
        <w:numPr>
          <w:ilvl w:val="0"/>
          <w:numId w:val="1003"/>
        </w:numPr>
      </w:pPr>
      <w:r>
        <w:t xml:space="preserve">the scale-down UF/DF model qualification confirms representativeness of the commercial</w:t>
      </w:r>
      <w:r>
        <w:t xml:space="preserve"> </w:t>
      </w:r>
      <w:r>
        <w:t xml:space="preserve">operation (</w:t>
      </w:r>
      <w:r>
        <w:rPr>
          <w:b/>
          <w:bCs/>
        </w:rPr>
        <w:t xml:space="preserve">SOP-1001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t xml:space="preserve">the product-quality CQAs are demonstrated to be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across the operation and across</w:t>
      </w:r>
      <w:r>
        <w:t xml:space="preserve"> </w:t>
      </w:r>
      <w:r>
        <w:t xml:space="preserve">each parameter’s characterization range; and</w:t>
      </w:r>
    </w:p>
    <w:p>
      <w:pPr>
        <w:pStyle w:val="Compact"/>
        <w:numPr>
          <w:ilvl w:val="0"/>
          <w:numId w:val="1003"/>
        </w:numPr>
      </w:pPr>
      <w:r>
        <w:t xml:space="preserve">step yield, buffer-exchange completeness and the final DS concentration remain within their</w:t>
      </w:r>
      <w:r>
        <w:t xml:space="preserve"> </w:t>
      </w:r>
      <w:r>
        <w:t xml:space="preserve">platform targets across each parameter’s normal operating range, with reproducibility at the</w:t>
      </w:r>
      <w:r>
        <w:t xml:space="preserve"> </w:t>
      </w:r>
      <w:r>
        <w:t xml:space="preserve">set-point sufficient to assure drug substance of consistent concentration and buffer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 a parameter that</w:t>
      </w:r>
      <w:r>
        <w:t xml:space="preserve"> </w:t>
      </w:r>
      <w:r>
        <w:t xml:space="preserve">does not significantly impact a CQA but affects process performance 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</w:t>
      </w:r>
      <w:r>
        <w:t xml:space="preserve"> </w:t>
      </w:r>
      <w:r>
        <w:t xml:space="preserve">a parameter with no meaningful impact on CQAs or performance over a wide range is a</w:t>
      </w:r>
      <w:r>
        <w:t xml:space="preserve"> </w:t>
      </w:r>
      <w:r>
        <w:rPr>
          <w:b/>
          <w:bCs/>
        </w:rPr>
        <w:t xml:space="preserve">GPP</w:t>
      </w:r>
      <w:r>
        <w:t xml:space="preserve">. No</w:t>
      </w:r>
      <w:r>
        <w:t xml:space="preserve"> </w:t>
      </w:r>
      <w:r>
        <w:t xml:space="preserve">UF/DF parameter is expected to be a CPP because the operation forms no drug-substance CQA;</w:t>
      </w:r>
      <w:r>
        <w:t xml:space="preserve"> </w:t>
      </w:r>
      <w:r>
        <w:t xml:space="preserve">formulation-related criticality is assessed under the drug-product program.</w:t>
      </w:r>
    </w:p>
    <w:bookmarkEnd w:id="33"/>
    <w:bookmarkStart w:id="34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analytical results and analyses will be recorded and retained under the site</w:t>
      </w:r>
      <w:r>
        <w:t xml:space="preserve"> </w:t>
      </w:r>
      <w:r>
        <w:t xml:space="preserve">data-integrity procedures (ALCOA+). Analyses will be performed with version-controlled scripts</w:t>
      </w:r>
      <w:r>
        <w:t xml:space="preserve"> </w:t>
      </w:r>
      <w:r>
        <w:t xml:space="preserve">and reviewed by a second analyst, and the ranging results will be archived with the report. Any</w:t>
      </w:r>
      <w:r>
        <w:t xml:space="preserve"> </w:t>
      </w:r>
      <w:r>
        <w:t xml:space="preserve">deviation from this plan will be documented and assessed for impact in PCR-010.</w:t>
      </w:r>
    </w:p>
    <w:bookmarkEnd w:id="34"/>
    <w:bookmarkStart w:id="36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ranging study; author PCR-010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Formulation / Drug Product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 the formulation characterization (reported under the drug-product program)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concentration and size/charge-variant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UF/DF model; confirm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PCR-010</w:t>
      </w:r>
      <w:r>
        <w:t xml:space="preserve">), reporting the</w:t>
      </w:r>
      <w:r>
        <w:t xml:space="preserve"> </w:t>
      </w:r>
      <w:r>
        <w:t xml:space="preserve">executed ranging, the parameter classification and the confirmation that the operation has no</w:t>
      </w:r>
      <w:r>
        <w:t xml:space="preserve"> </w:t>
      </w:r>
      <w:r>
        <w:t xml:space="preserve">drug-substance product-quality impact. PCR-010 rolls up into the Process Characterization Master</w:t>
      </w:r>
      <w:r>
        <w:t xml:space="preserve"> </w:t>
      </w:r>
      <w:r>
        <w:t xml:space="preserve">Report (</w:t>
      </w:r>
      <w:r>
        <w:rPr>
          <w:b/>
          <w:bCs/>
        </w:rPr>
        <w:t xml:space="preserve">PCMR-001</w:t>
      </w:r>
      <w:r>
        <w:t xml:space="preserve">) and provides the parameter risk basis for the post-characterization</w:t>
      </w:r>
      <w:r>
        <w:t xml:space="preserve"> </w:t>
      </w:r>
      <w:r>
        <w:t xml:space="preserve">process risk assessment. Execution follows scale-down model qualification and precedes the</w:t>
      </w:r>
      <w:r>
        <w:t xml:space="preserve"> </w:t>
      </w:r>
      <w:r>
        <w:t xml:space="preserve">Stage 2 PPQ campaign.</w:t>
      </w:r>
    </w:p>
    <w:bookmarkEnd w:id="37"/>
    <w:bookmarkStart w:id="38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scale-down UF/DF model is representative of the commercial operation</w:t>
      </w:r>
      <w:r>
        <w:t xml:space="preserve"> </w:t>
      </w:r>
      <w:r>
        <w:t xml:space="preserve">(confirmed by qualification) and that the platform analytical methods are validated and in</w:t>
      </w:r>
      <w:r>
        <w:t xml:space="preserve"> </w:t>
      </w:r>
      <w:r>
        <w:t xml:space="preserve">control. The principal risk is that yield, flux or buffer-exchange kinetics shift at commercial</w:t>
      </w:r>
      <w:r>
        <w:t xml:space="preserve"> </w:t>
      </w:r>
      <w:r>
        <w:t xml:space="preserve">scale; this is mitigated by confirming the model at scale in Stage 2 and by carrying the KPP</w:t>
      </w:r>
      <w:r>
        <w:t xml:space="preserve"> </w:t>
      </w:r>
      <w:r>
        <w:t xml:space="preserve">ranges forward with in-process monitoring of the final concentration and buffer exchange. The</w:t>
      </w:r>
      <w:r>
        <w:t xml:space="preserve"> </w:t>
      </w:r>
      <w:r>
        <w:t xml:space="preserve">formulation characterization is addressed under the drug-product program.</w:t>
      </w:r>
    </w:p>
    <w:bookmarkEnd w:id="38"/>
    <w:bookmarkStart w:id="39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evaluation described herein. Signatures are</w:t>
      </w:r>
      <w:r>
        <w:t xml:space="preserve"> </w:t>
      </w:r>
      <w:r>
        <w:t xml:space="preserve">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9"/>
    <w:bookmarkStart w:id="48" w:name="references"/>
    <w:p>
      <w:pPr>
        <w:pStyle w:val="Heading1"/>
      </w:pPr>
      <w:r>
        <w:t xml:space="preserve">References</w:t>
      </w:r>
    </w:p>
    <w:bookmarkStart w:id="47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1"/>
    <w:bookmarkStart w:id="4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2"/>
    <w:bookmarkStart w:id="43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3"/>
    <w:bookmarkStart w:id="44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4"/>
    <w:bookmarkStart w:id="45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45"/>
    <w:bookmarkStart w:id="4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6"/>
    <w:bookmarkEnd w:id="47"/>
    <w:p>
      <w:r>
        <w:br w:type="page"/>
      </w:r>
    </w:p>
    <w:bookmarkEnd w:id="48"/>
    <w:bookmarkStart w:id="50" w:name="appendix-a-planned-univariate-ranging"/>
    <w:p>
      <w:pPr>
        <w:pStyle w:val="Heading1"/>
      </w:pPr>
      <w:r>
        <w:t xml:space="preserve">Appendix A — Planned univariate ranging</w:t>
      </w:r>
    </w:p>
    <w:p>
      <w:pPr>
        <w:pStyle w:val="FirstParagraph"/>
      </w:pPr>
      <w:r>
        <w:t xml:space="preserve">Each parameter is varied one factor at a time across its characterization range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</w:t>
      </w:r>
      <w:r>
        <w:t xml:space="preserve"> </w:t>
      </w:r>
      <w:r>
        <w:t xml:space="preserve">with the remaining parameters held at their set-points; the process-performance measures are</w:t>
      </w:r>
      <w:r>
        <w:t xml:space="preserve"> </w:t>
      </w:r>
      <w:r>
        <w:t xml:space="preserve">recorded at each level.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Appendix A — planned one-factor-at-a-time ranging design.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6"/>
              <w:gridCol w:w="810"/>
              <w:gridCol w:w="1060"/>
              <w:gridCol w:w="436"/>
              <w:gridCol w:w="41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 measures recorded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buffer-exchange completeness, final DS concentration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buffer-exchange completeness, final DS concentration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yield, buffer-exchange completeness, final DS concentration</w:t>
                  </w:r>
                </w:p>
              </w:tc>
            </w:tr>
          </w:tbl>
          <w:bookmarkEnd w:id="49"/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2026-07-25T11:00:49Z</dcterms:created>
  <dcterms:modified xsi:type="dcterms:W3CDTF">2026-07-25T11:00:49Z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Ultrafiltration / Diafiltration (Step 10) — PCP-010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