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51.png" ContentType="image/png"/>
  <Override PartName="/word/media/rId25.png" ContentType="image/png"/>
  <Override PartName="/word/media/rId61.png" ContentType="image/png"/>
  <Override PartName="/word/media/rId65.png" ContentType="image/png"/>
  <Override PartName="/word/media/rId77.png" ContentType="image/png"/>
  <Override PartName="/word/media/rId69.png" ContentType="image/png"/>
  <Override PartName="/word/media/rId73.png" ContentType="image/png"/>
  <Override PartName="/word/media/rId103.png" ContentType="image/png"/>
  <Override PartName="/word/media/rId91.png" ContentType="image/png"/>
  <Override PartName="/word/media/rId107.png" ContentType="image/png"/>
  <Override PartName="/word/media/rId9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Production Bioreactor (Step 3) — PCR-003</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PCR-003</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2-AB, 2-aminobenzamide; ADCC, antibody dependent cell mediated cytotoxicity; AMV, analytical</w:t>
      </w:r>
      <w:r>
        <w:t xml:space="preserve"> </w:t>
      </w:r>
      <w:r>
        <w:t xml:space="preserve">method validation; ANOVA, analysis of variance; BLA, Biologics License Application; CCD,</w:t>
      </w:r>
      <w:r>
        <w:t xml:space="preserve"> </w:t>
      </w:r>
      <w:r>
        <w:t xml:space="preserve">central composite design; CDC, complement dependent cytotoxicity; CEX, cation exchange</w:t>
      </w:r>
      <w:r>
        <w:t xml:space="preserve"> </w:t>
      </w:r>
      <w:r>
        <w:t xml:space="preserve">chromatography; CQA, critical quality attribute; CPP, critical process parameter; Cpk,</w:t>
      </w:r>
      <w:r>
        <w:t xml:space="preserve"> </w:t>
      </w:r>
      <w:r>
        <w:t xml:space="preserve">process capability index; DoE, design of experiments; DS, drug substance; GPP, general</w:t>
      </w:r>
      <w:r>
        <w:t xml:space="preserve"> </w:t>
      </w:r>
      <w:r>
        <w:t xml:space="preserve">process parameter; HCP, host cell protein; HILIC, hydrophilic interaction liquid</w:t>
      </w:r>
      <w:r>
        <w:t xml:space="preserve"> </w:t>
      </w:r>
      <w:r>
        <w:t xml:space="preserve">chromatography; HMW, high molecular weight; icIEF, imaged capillary isoelectric focusing;</w:t>
      </w:r>
      <w:r>
        <w:t xml:space="preserve"> </w:t>
      </w:r>
      <w:r>
        <w:t xml:space="preserve">iVCC, initial viable cell concentration; KPP, key process parameter; MSAT, Manufacturing</w:t>
      </w:r>
      <w:r>
        <w:t xml:space="preserve"> </w:t>
      </w:r>
      <w:r>
        <w:t xml:space="preserve">Science and Technology; NOR, normal operating range; OLS, ordinary least squares; PAR,</w:t>
      </w:r>
      <w:r>
        <w:t xml:space="preserve"> </w:t>
      </w:r>
      <w:r>
        <w:t xml:space="preserve">proven acceptable range; pCO2, dissolved carbon dioxide partial pressure; PPQ, process</w:t>
      </w:r>
      <w:r>
        <w:t xml:space="preserve"> </w:t>
      </w:r>
      <w:r>
        <w:t xml:space="preserve">performance qualification; PRESS, prediction error sum of squares; qPCR, quantitative</w:t>
      </w:r>
      <w:r>
        <w:t xml:space="preserve"> </w:t>
      </w:r>
      <w:r>
        <w:t xml:space="preserve">polymerase chain reaction; RMSE, root mean square error; RSM, response surface methodology;</w:t>
      </w:r>
      <w:r>
        <w:t xml:space="preserve"> </w:t>
      </w:r>
      <w:r>
        <w:t xml:space="preserve">SD, standard deviation; SDM, scale-down model; SEC, size exclusion chromatography; SOP,</w:t>
      </w:r>
      <w:r>
        <w:t xml:space="preserve"> </w:t>
      </w:r>
      <w:r>
        <w:t xml:space="preserve">standard operating procedure; UPLC, ultra performance liquid chromatography; WC-CPP, well</w:t>
      </w:r>
      <w:r>
        <w:t xml:space="preserve"> </w:t>
      </w:r>
      <w:r>
        <w:t xml:space="preserve">controlled critical process parameter.</w:t>
      </w:r>
    </w:p>
    <w:p>
      <w:r>
        <w:br w:type="page"/>
      </w:r>
    </w:p>
    <w:bookmarkEnd w:id="11"/>
    <w:bookmarkStart w:id="12" w:name="executive-summary"/>
    <w:p>
      <w:pPr>
        <w:pStyle w:val="Heading1"/>
      </w:pPr>
      <w:r>
        <w:t xml:space="preserve">Executive summary</w:t>
      </w:r>
    </w:p>
    <w:p>
      <w:pPr>
        <w:pStyle w:val="FirstParagraph"/>
      </w:pPr>
      <w:r>
        <w:t xml:space="preserve">The production bioreactor forms the glycan, charge variant and aggregate quality attributes of</w:t>
      </w:r>
      <w:r>
        <w:t xml:space="preserve"> </w:t>
      </w:r>
      <w:r>
        <w:t xml:space="preserve">A-Mab, which places the widest part of the drug substance control strategy at this one step.</w:t>
      </w:r>
      <w:r>
        <w:t xml:space="preserve"> </w:t>
      </w:r>
      <w:r>
        <w:t xml:space="preserve">The characterization of that step is recorded here against the approved plan PCP-003. Although the characterization studies were executed at small scale, they were run on a scale-down model qualified against</w:t>
      </w:r>
      <w:r>
        <w:t xml:space="preserve"> </w:t>
      </w:r>
      <w:r>
        <w:t xml:space="preserve">the commercial 15,000 L vessel under SOP-1001, within the</w:t>
      </w:r>
      <w:r>
        <w:t xml:space="preserve"> </w:t>
      </w:r>
      <w:r>
        <w:t xml:space="preserve">lifecycle approach to process validation</w:t>
      </w:r>
      <w:r>
        <w:t xml:space="preserve"> </w:t>
      </w:r>
      <w:r>
        <w:t xml:space="preserve">(U.S. Food and Drug Administration 2011)</w:t>
      </w:r>
      <w:r>
        <w:t xml:space="preserve"> </w:t>
      </w:r>
      <w:r>
        <w:t xml:space="preserve">and the enhanced development approach of</w:t>
      </w:r>
      <w:r>
        <w:t xml:space="preserve"> </w:t>
      </w:r>
      <w:r>
        <w:t xml:space="preserve">ICH Q8, Q9 and Q11</w:t>
      </w:r>
      <w:r>
        <w:t xml:space="preserve"> </w:t>
      </w:r>
      <w:r>
        <w:t xml:space="preserve">(International Council for Harmonisation 2009, 2023, 2012)</w:t>
      </w:r>
      <w:r>
        <w:t xml:space="preserve">. The attribute framework and the risk ranking approach were taken from the A-Mab case study</w:t>
      </w:r>
      <w:r>
        <w:t xml:space="preserve"> </w:t>
      </w:r>
      <w:r>
        <w:t xml:space="preserve">(CMC Biotech Working Group 2009)</w:t>
      </w:r>
      <w:r>
        <w:t xml:space="preserve">. The scope of the study was fixed in advance by the pre-characterization risk assessment RA-001.</w:t>
      </w:r>
    </w:p>
    <w:p>
      <w:pPr>
        <w:pStyle w:val="BodyText"/>
      </w:pPr>
      <w:r>
        <w:t xml:space="preserve">9 process parameters were characterized over ranges</w:t>
      </w:r>
      <w:r>
        <w:t xml:space="preserve"> </w:t>
      </w:r>
      <w:r>
        <w:t xml:space="preserve">1.5 to 2.5 times as wide as the intended</w:t>
      </w:r>
      <w:r>
        <w:t xml:space="preserve"> </w:t>
      </w:r>
      <w:r>
        <w:t xml:space="preserve">commercial control ranges, which puts the edge of the knowledge space well outside the region the commercial process is expected to occupy under routine operation (</w:t>
      </w:r>
      <w:hyperlink w:anchor="tbl-params">
        <w:r>
          <w:rPr>
            <w:rStyle w:val="Hyperlink"/>
          </w:rPr>
          <w:t xml:space="preserve">Table 6</w:t>
        </w:r>
      </w:hyperlink>
      <w:r>
        <w:t xml:space="preserve">). 5 of those parameters were varied together in a multivariate design, while 4 were assessed one at a time. The 5 parameters studied together entered a resolution V screening design of 19 runs, in which every main effect is estimated clear of every two-factor interaction. The</w:t>
      </w:r>
      <w:r>
        <w:t xml:space="preserve"> </w:t>
      </w:r>
      <w:r>
        <w:t xml:space="preserve">4 factors retained from screening were then studied in a face centred central</w:t>
      </w:r>
      <w:r>
        <w:t xml:space="preserve"> </w:t>
      </w:r>
      <w:r>
        <w:t xml:space="preserve">composite design of 28 runs, which supports a full quadratic model over three</w:t>
      </w:r>
      <w:r>
        <w:t xml:space="preserve"> </w:t>
      </w:r>
      <w:r>
        <w:t xml:space="preserve">levels of every factor it carries. On every run of both designs the same 5 quality attributes were measured at harvest: afucosylation, galactosylation, high mannose, acidic variants and aggregates.</w:t>
      </w:r>
    </w:p>
    <w:p>
      <w:pPr>
        <w:pStyle w:val="BodyText"/>
      </w:pPr>
      <w:r>
        <w:t xml:space="preserve">Over the ranges studied, the response surface models fitted to those runs describe the data adequately, with R² between 0.911 and 0.971, a lowest adjusted R² of 0.815, and no lack of fit test reaching significance against the pure error measured on the 4 centre-point replicates (</w:t>
      </w:r>
      <w:hyperlink w:anchor="tbl-lof">
        <w:r>
          <w:rPr>
            <w:rStyle w:val="Hyperlink"/>
          </w:rPr>
          <w:t xml:space="preserve">Table 16</w:t>
        </w:r>
      </w:hyperlink>
      <w:r>
        <w:t xml:space="preserve">). Predicted R² separates the five responses more sharply than R² does. The weakest response on that measure is acidic variants, at 0.598. In this report both the predictive claim for those responses and the basis of the design space in §6 rest on the response surface models, whereas the factors that matter were identified by screening.</w:t>
      </w:r>
    </w:p>
    <w:p>
      <w:pPr>
        <w:pStyle w:val="BodyText"/>
      </w:pPr>
      <w:r>
        <w:t xml:space="preserve">Culture pH, the first of those factors, moves more attributes than any other parameter, at</w:t>
      </w:r>
      <w:r>
        <w:t xml:space="preserve"> </w:t>
      </w:r>
      <w:r>
        <w:t xml:space="preserve">+1.09 percentage points per coded unit on high</w:t>
      </w:r>
      <w:r>
        <w:t xml:space="preserve"> </w:t>
      </w:r>
      <w:r>
        <w:t xml:space="preserve">mannose and +0.37 on aggregates, while</w:t>
      </w:r>
      <w:r>
        <w:t xml:space="preserve"> </w:t>
      </w:r>
      <w:r>
        <w:t xml:space="preserve">afucosylation runs the other way at -1.00. Because</w:t>
      </w:r>
      <w:r>
        <w:t xml:space="preserve"> </w:t>
      </w:r>
      <w:r>
        <w:t xml:space="preserve">the same parameter pushes different attributes in opposite directions, the operating region is</w:t>
      </w:r>
      <w:r>
        <w:t xml:space="preserve"> </w:t>
      </w:r>
      <w:r>
        <w:t xml:space="preserve">defined multivariately in §6 instead of as a set of independent one-dimensional ranges. Over the characterized space, 57 % of the region meets every in-process limit the step governs. The region is bound most tightly by galactosylation (§6).</w:t>
      </w:r>
    </w:p>
    <w:p>
      <w:pPr>
        <w:pStyle w:val="BodyText"/>
      </w:pPr>
      <w:r>
        <w:t xml:space="preserve">Commercial-scale capability of the seven attributes was estimated by Monte-Carlo simulation of 2,000 batches, with every parameter drawn independently from inside its own normal operating range. On that basis all 7 attributes the step sets are shown to meet the drug substance acceptance criteria at commercial scale (</w:t>
      </w:r>
      <w:hyperlink w:anchor="tbl-cap">
        <w:r>
          <w:rPr>
            <w:rStyle w:val="Hyperlink"/>
          </w:rPr>
          <w:t xml:space="preserve">Table 22</w:t>
        </w:r>
      </w:hyperlink>
      <w:r>
        <w:t xml:space="preserve">). Among the seven, the tightest of those indices reaches 1.94 for High Mannose, which sits</w:t>
      </w:r>
      <w:r>
        <w:t xml:space="preserve"> </w:t>
      </w:r>
      <w:r>
        <w:t xml:space="preserve">2.99 percentage points inside the nearer acceptance limit on</w:t>
      </w:r>
      <w:r>
        <w:t xml:space="preserve"> </w:t>
      </w:r>
      <w:r>
        <w:t xml:space="preserve">a simulated standard deviation of 0.51. Two deviations were recorded during execution of the two designs (</w:t>
      </w:r>
      <w:hyperlink w:anchor="tbl-dev">
        <w:r>
          <w:rPr>
            <w:rStyle w:val="Hyperlink"/>
          </w:rPr>
          <w:t xml:space="preserve">Table 23</w:t>
        </w:r>
      </w:hyperlink>
      <w:r>
        <w:t xml:space="preserve">). Both of them were investigated, root caused and retained, and neither altered a fitted effect, a proven acceptable range or a parameter classification (§12).</w:t>
      </w:r>
    </w:p>
    <w:p>
      <w:pPr>
        <w:pStyle w:val="BodyText"/>
      </w:pPr>
      <w:r>
        <w:t xml:space="preserve">Of the 9 parameters characterized, 5 were classified WC-CPP, 3 KPP and 1 GPP, while none required classification as a CPP (§9). The step does not</w:t>
      </w:r>
      <w:r>
        <w:t xml:space="preserve"> </w:t>
      </w:r>
      <w:r>
        <w:t xml:space="preserve">control host cell protein or residual DNA on its own, because both are formed in the culture and</w:t>
      </w:r>
      <w:r>
        <w:t xml:space="preserve"> </w:t>
      </w:r>
      <w:r>
        <w:t xml:space="preserve">cleared downstream, with the clearance credited in PCR-005, PCR-007 and PCR-008. Throughout this report, every claim made about those parameters rests on a qualified scale-down model with each of them held inside the normal operating range. Confirmation at commercial scale is the work of Stage 2. Once that confirmation is complete, this report rolls up into PCMR-001 alongside the reports covering the other seven steps of the train.</w:t>
      </w:r>
    </w:p>
    <w:bookmarkEnd w:id="12"/>
    <w:bookmarkStart w:id="19"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produced by fed-batch mammalian cell culture and</w:t>
      </w:r>
      <w:r>
        <w:t xml:space="preserve"> </w:t>
      </w:r>
      <w:r>
        <w:t xml:space="preserve">purified on a platform train. The primary mechanism of action of that antibody is antibody dependent cell mediated cytotoxicity, which makes the N-linked glycan attributes efficacy linked and places them among the attributes of highest criticality in the drug substance</w:t>
      </w:r>
      <w:r>
        <w:t xml:space="preserve"> </w:t>
      </w:r>
      <w:r>
        <w:t xml:space="preserve">(CMC Biotech Working Group 2009)</w:t>
      </w:r>
      <w:r>
        <w:t xml:space="preserve">. Downstream of the culture, the purification train for that antibody runs Protein A capture (PCR-005), low-pH viral inactivation (PCR-006), cation</w:t>
      </w:r>
      <w:r>
        <w:t xml:space="preserve"> </w:t>
      </w:r>
      <w:r>
        <w:t xml:space="preserve">exchange (PCR-007), anion exchange (PCR-008), small virus retentive filtration (PCR-009) and</w:t>
      </w:r>
      <w:r>
        <w:t xml:space="preserve"> </w:t>
      </w:r>
      <w:r>
        <w:t xml:space="preserve">ultrafiltration with diafiltration (PCR-010), each of them covered by a characterization plan</w:t>
      </w:r>
      <w:r>
        <w:t xml:space="preserve"> </w:t>
      </w:r>
      <w:r>
        <w:t xml:space="preserve">and report pair of its own (</w:t>
      </w:r>
      <w:hyperlink w:anchor="tbl-related">
        <w:r>
          <w:rPr>
            <w:rStyle w:val="Hyperlink"/>
          </w:rPr>
          <w:t xml:space="preserve">Table 2</w:t>
        </w:r>
      </w:hyperlink>
      <w:r>
        <w:t xml:space="preserve">).</w:t>
      </w:r>
    </w:p>
    <w:p>
      <w:pPr>
        <w:pStyle w:val="BodyText"/>
      </w:pPr>
      <w:r>
        <w:t xml:space="preserve">The production bioreactor occupies Step 3 of that drug substance process. Within the drug substance train, that step opens the characterization campaign this package documents. The culture in that bioreactor is grown at a working volume of</w:t>
      </w:r>
      <w:r>
        <w:t xml:space="preserve"> </w:t>
      </w:r>
      <w:r>
        <w:t xml:space="preserve">15,000 L, fed on a defined schedule, and harvested after</w:t>
      </w:r>
      <w:r>
        <w:t xml:space="preserve"> </w:t>
      </w:r>
      <w:r>
        <w:t xml:space="preserve">about 17 days at a nominal titer of</w:t>
      </w:r>
      <w:r>
        <w:t xml:space="preserve"> </w:t>
      </w:r>
      <w:r>
        <w:t xml:space="preserve">4.37 g/L. The production bioreactor is the only step</w:t>
      </w:r>
      <w:r>
        <w:t xml:space="preserve"> </w:t>
      </w:r>
      <w:r>
        <w:t xml:space="preserve">of the drug substance process at which product quality attributes are formed. Those quality attributes, the glycosylation and charge variant distributions, are established inside the cell and in the culture fluid.</w:t>
      </w:r>
      <w:r>
        <w:t xml:space="preserve"> </w:t>
      </w:r>
      <w:r>
        <w:t xml:space="preserve">Neither distribution is modified by the platform purification train, which separates on</w:t>
      </w:r>
      <w:r>
        <w:t xml:space="preserve"> </w:t>
      </w:r>
      <w:r>
        <w:t xml:space="preserve">affinity, charge and size without discriminating between glycoforms of the same antibody.</w:t>
      </w:r>
    </w:p>
    <w:p>
      <w:pPr>
        <w:pStyle w:val="BodyText"/>
      </w:pPr>
      <w:r>
        <w:t xml:space="preserve">Five of the attributes formed in that culture were measured as responses of the characterization studies:</w:t>
      </w:r>
      <w:r>
        <w:t xml:space="preserve"> </w:t>
      </w:r>
      <w:r>
        <w:t xml:space="preserve">afucosylation, galactosylation, high mannose, acidic variants and aggregates. Two further attributes, host cell protein and residual DNA, are also formed in the culture.</w:t>
      </w:r>
      <w:r>
        <w:t xml:space="preserve"> </w:t>
      </w:r>
      <w:r>
        <w:t xml:space="preserve">Because the purification train clears both by several orders of magnitude, neither was carried</w:t>
      </w:r>
      <w:r>
        <w:t xml:space="preserve"> </w:t>
      </w:r>
      <w:r>
        <w:t xml:space="preserve">as a response of this study; the clearance is characterized in PCR-005, PCR-007 and PCR-008,</w:t>
      </w:r>
      <w:r>
        <w:t xml:space="preserve"> </w:t>
      </w:r>
      <w:r>
        <w:t xml:space="preserve">while the commercial-scale outcome for both attributes appears in the capability table of §8 (</w:t>
      </w:r>
      <w:hyperlink w:anchor="tbl-cap">
        <w:r>
          <w:rPr>
            <w:rStyle w:val="Hyperlink"/>
          </w:rPr>
          <w:t xml:space="preserve">Table 22</w:t>
        </w:r>
      </w:hyperlink>
      <w:r>
        <w:t xml:space="preserve">).</w:t>
      </w:r>
    </w:p>
    <w:bookmarkEnd w:id="13"/>
    <w:bookmarkStart w:id="14" w:name="objectives"/>
    <w:p>
      <w:pPr>
        <w:pStyle w:val="Heading2"/>
      </w:pPr>
      <w:r>
        <w:t xml:space="preserve">1.2 Objectives</w:t>
      </w:r>
    </w:p>
    <w:p>
      <w:pPr>
        <w:pStyle w:val="FirstParagraph"/>
      </w:pPr>
      <w:r>
        <w:t xml:space="preserve">The characterization studies were performed to meet the five objectives listed below, each of which is answered in a section of this report.</w:t>
      </w:r>
    </w:p>
    <w:p>
      <w:pPr>
        <w:pStyle w:val="Compact"/>
        <w:numPr>
          <w:ilvl w:val="0"/>
          <w:numId w:val="1001"/>
        </w:numPr>
      </w:pPr>
      <w:r>
        <w:t xml:space="preserve">Quantify the relationship between each process parameter and each quality attribute the step</w:t>
      </w:r>
      <w:r>
        <w:t xml:space="preserve"> </w:t>
      </w:r>
      <w:r>
        <w:t xml:space="preserve">forms, over ranges wider than the intended commercial control ranges.</w:t>
      </w:r>
    </w:p>
    <w:p>
      <w:pPr>
        <w:pStyle w:val="Compact"/>
        <w:numPr>
          <w:ilvl w:val="0"/>
          <w:numId w:val="1001"/>
        </w:numPr>
      </w:pPr>
      <w:r>
        <w:t xml:space="preserve">Define the multivariate operating region within which every attribute the step governs</w:t>
      </w:r>
      <w:r>
        <w:t xml:space="preserve"> </w:t>
      </w:r>
      <w:r>
        <w:t xml:space="preserve">stays inside its acceptance criterion.</w:t>
      </w:r>
    </w:p>
    <w:p>
      <w:pPr>
        <w:pStyle w:val="Compact"/>
        <w:numPr>
          <w:ilvl w:val="0"/>
          <w:numId w:val="1001"/>
        </w:numPr>
      </w:pPr>
      <w:r>
        <w:t xml:space="preserve">Establish a proven acceptable range for each response surface factor against each governed</w:t>
      </w:r>
      <w:r>
        <w:t xml:space="preserve"> </w:t>
      </w:r>
      <w:r>
        <w:t xml:space="preserve">attribute, both at the set-point and under normal operating range variation of the</w:t>
      </w:r>
      <w:r>
        <w:t xml:space="preserve"> </w:t>
      </w:r>
      <w:r>
        <w:t xml:space="preserve">remaining factors.</w:t>
      </w:r>
    </w:p>
    <w:p>
      <w:pPr>
        <w:pStyle w:val="Compact"/>
        <w:numPr>
          <w:ilvl w:val="0"/>
          <w:numId w:val="1001"/>
        </w:numPr>
      </w:pPr>
      <w:r>
        <w:t xml:space="preserve">Classify each parameter from the demonstrated effect on quality and from the risk of</w:t>
      </w:r>
      <w:r>
        <w:t xml:space="preserve"> </w:t>
      </w:r>
      <w:r>
        <w:t xml:space="preserve">operating outside the region.</w:t>
      </w:r>
    </w:p>
    <w:p>
      <w:pPr>
        <w:pStyle w:val="Compact"/>
        <w:numPr>
          <w:ilvl w:val="0"/>
          <w:numId w:val="1001"/>
        </w:numPr>
      </w:pPr>
      <w:r>
        <w:t xml:space="preserve">Justify the Stage 2 ranges and the control strategy contribution of the step, for roll-up</w:t>
      </w:r>
      <w:r>
        <w:t xml:space="preserve"> </w:t>
      </w:r>
      <w:r>
        <w:t xml:space="preserve">into PCMR-001.</w:t>
      </w:r>
    </w:p>
    <w:bookmarkEnd w:id="14"/>
    <w:bookmarkStart w:id="15" w:name="regulatory-and-scientific-basis"/>
    <w:p>
      <w:pPr>
        <w:pStyle w:val="Heading2"/>
      </w:pPr>
      <w:r>
        <w:t xml:space="preserve">1.3 Regulatory and scientific basis</w:t>
      </w:r>
    </w:p>
    <w:p>
      <w:pPr>
        <w:pStyle w:val="FirstParagraph"/>
      </w:pPr>
      <w:r>
        <w:t xml:space="preserve">The characterization of the step was performed as Stage 1 process design work under the lifecycle approach to process validation</w:t>
      </w:r>
      <w:r>
        <w:t xml:space="preserve"> </w:t>
      </w:r>
      <w:r>
        <w:t xml:space="preserve">(U.S. Food and Drug Administration 2011)</w:t>
      </w:r>
      <w:r>
        <w:t xml:space="preserve">. The enhanced development approach of ICH Q8 supplies the design space</w:t>
      </w:r>
      <w:r>
        <w:t xml:space="preserve"> </w:t>
      </w:r>
      <w:r>
        <w:t xml:space="preserve">concept, ICH Q9 supplies the risk methodology, while ICH Q11 supplies the expectation that a process parameter be linked both to the quality attribute it moves and to the range over which that link was demonstrated</w:t>
      </w:r>
      <w:r>
        <w:t xml:space="preserve"> </w:t>
      </w:r>
      <w:r>
        <w:t xml:space="preserve">(International Council for Harmonisation 2009, 2023, 2012)</w:t>
      </w:r>
      <w:r>
        <w:t xml:space="preserve">.</w:t>
      </w:r>
      <w:r>
        <w:t xml:space="preserve"> </w:t>
      </w:r>
      <w:r>
        <w:t xml:space="preserve">Attribute criticality was treated throughout as a continuum instead of a binary label, consistent with ICH Q9 and with the assessment tools of the case study</w:t>
      </w:r>
      <w:r>
        <w:t xml:space="preserve"> </w:t>
      </w:r>
      <w:r>
        <w:t xml:space="preserve">(CMC Biotech Working Group 2009)</w:t>
      </w:r>
      <w:r>
        <w:t xml:space="preserve">. Attributes scoring high or</w:t>
      </w:r>
      <w:r>
        <w:t xml:space="preserve"> </w:t>
      </w:r>
      <w:r>
        <w:t xml:space="preserve">very high on those tools were called critical.</w:t>
      </w:r>
    </w:p>
    <w:p>
      <w:pPr>
        <w:pStyle w:val="BodyText"/>
      </w:pPr>
      <w:r>
        <w:t xml:space="preserve">No viral clearance claim is made for this step, which places the viral safety framework of ICH Q5A outside the scope of this report. The</w:t>
      </w:r>
      <w:r>
        <w:t xml:space="preserve"> </w:t>
      </w:r>
      <w:r>
        <w:t xml:space="preserve">modular clearance claims belong to low-pH viral inactivation (PCR-006), anion exchange (PCR-008)</w:t>
      </w:r>
      <w:r>
        <w:t xml:space="preserve"> </w:t>
      </w:r>
      <w:r>
        <w:t xml:space="preserve">and small virus retentive filtration (PCR-009), and each of them is consolidated in PCMR-001.</w:t>
      </w:r>
      <w:r>
        <w:t xml:space="preserve"> </w:t>
      </w:r>
      <w:r>
        <w:t xml:space="preserve">At the procedural level, qualification of the scale-down model followed SOP-1001, while the design, execution and statistical analysis of the designed experiments followed SOP-1002.</w:t>
      </w:r>
    </w:p>
    <w:bookmarkEnd w:id="15"/>
    <w:bookmarkStart w:id="18" w:name="related-documents"/>
    <w:p>
      <w:pPr>
        <w:pStyle w:val="Heading2"/>
      </w:pPr>
      <w:r>
        <w:t xml:space="preserve">1.4 Related documents</w:t>
      </w:r>
    </w:p>
    <w:p>
      <w:pPr>
        <w:pStyle w:val="FirstParagraph"/>
      </w:pPr>
      <w:r>
        <w:t xml:space="preserve">As a set, the documents that scope, plan and consolidate this work appear in</w:t>
      </w:r>
      <w:r>
        <w:t xml:space="preserve"> </w:t>
      </w:r>
      <w:hyperlink w:anchor="tbl-related">
        <w:r>
          <w:rPr>
            <w:rStyle w:val="Hyperlink"/>
          </w:rPr>
          <w:t xml:space="preserve">Table 2</w:t>
        </w:r>
      </w:hyperlink>
      <w:r>
        <w:t xml:space="preserve">. RA-001 set the study scope and PCP-003 is the approved plan this report executes. That plan and this report both roll up into PCMR-001, in which the outcome of the step is consolidated with the outcome of the other seven steps of the drug substance train before Stage 2 begins.</w:t>
      </w:r>
    </w:p>
    <w:tbl>
      <w:tblPr>
        <w:tblStyle w:val="Table"/>
        <w:tblW w:type="pct" w:w="5000"/>
        <w:tblLayout w:type="fixed"/>
        <w:tblLook w:firstRow="0" w:lastRow="0" w:firstColumn="0" w:lastColumn="0" w:noHBand="0" w:noVBand="0" w:val="0000"/>
      </w:tblPr>
      <w:tblGrid>
        <w:gridCol w:w="7920"/>
      </w:tblGrid>
      <w:tr>
        <w:tc>
          <w:tcPr/>
          <w:bookmarkStart w:id="16" w:name="tbl-related"/>
          <w:p>
            <w:pPr>
              <w:jc w:val="center"/>
            </w:pPr>
            <w:pPr>
              <w:jc w:val="left"/>
              <w:spacing w:before="200"/>
              <w:pStyle w:val="ImageCaption"/>
            </w:pPr>
            <w:r>
              <w:t xml:space="preserve">Table 2: Related documents.</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PCP-003</w:t>
                  </w:r>
                </w:p>
              </w:tc>
              <w:tc>
                <w:tcPr/>
                <w:p>
                  <w:pPr>
                    <w:pStyle w:val="Compact"/>
                    <w:jc w:val="left"/>
                    <w:jc w:val="center"/>
                  </w:pPr>
                  <w:r>
                    <w:t xml:space="preserve">Process Characterization Plan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6"/>
          <w:p/>
        </w:tc>
      </w:tr>
    </w:tbl>
    <w:p>
      <w:pPr>
        <w:pStyle w:val="BodyText"/>
      </w:pPr>
      <w:r>
        <w:t xml:space="preserve">The controlled procedures governing the studies are listed in</w:t>
      </w:r>
      <w:r>
        <w:t xml:space="preserve"> </w:t>
      </w:r>
      <w:hyperlink w:anchor="tbl-sop">
        <w:r>
          <w:rPr>
            <w:rStyle w:val="Hyperlink"/>
          </w:rPr>
          <w:t xml:space="preserve">Table 3</w:t>
        </w:r>
      </w:hyperlink>
      <w:r>
        <w:t xml:space="preserve">, while the analytical method validations supporting the four assays are listed separately in</w:t>
      </w:r>
      <w:r>
        <w:t xml:space="preserve"> </w:t>
      </w:r>
      <w:hyperlink w:anchor="tbl-amv">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sop"/>
          <w:p>
            <w:pPr>
              <w:jc w:val="center"/>
            </w:pPr>
            <w:pPr>
              <w:jc w:val="left"/>
              <w:spacing w:before="200"/>
              <w:pStyle w:val="ImageCaption"/>
            </w:pPr>
            <w:r>
              <w:t xml:space="preserve">Table 3: Controlled procedures governing the characterization of Step 3.</w:t>
            </w:r>
          </w:p>
          <w:tbl>
            <w:tblPr>
              <w:tblStyle w:val="Table"/>
              <w:tblW w:type="pct" w:w="5000"/>
              <w:tblLayout w:type="fixed"/>
              <w:tblLook w:firstRow="1" w:lastRow="0" w:firstColumn="0" w:lastColumn="0" w:noHBand="0" w:noVBand="0" w:val="0020"/>
            </w:tblPr>
            <w:tblGrid>
              <w:gridCol w:w="1183"/>
              <w:gridCol w:w="6008"/>
              <w:gridCol w:w="728"/>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Novacyte operates a single humanized IgG1 platform, on which A-Mab is the fourth product to be</w:t>
      </w:r>
      <w:r>
        <w:t xml:space="preserve"> </w:t>
      </w:r>
      <w:r>
        <w:t xml:space="preserve">developed. In development order, three products preceded A-Mab on that platform: X-Mab, Y-Mab and Z-Mab, all of them humanized IgG1 antibodies expressed in the same host cell line. The cell line lineage, the basal medium, the feed strategy and the control scheme of the production bioreactor run common to all four products, which means the mechanisms by which culture conditions move the glycan and charge variant distributions were established well before this study began. What the platform does not supply is the size of each effect for this molecule, or the shape of the region over which all five of the measured attributes stay simultaneously acceptable at commercial scale under normal operating range variation. For that reason, characterization of those mechanisms at this step confirms and bounds what the platform already establishes. It was not expected to discover a mechanism that the platform had not already established.</w:t>
      </w:r>
    </w:p>
    <w:p>
      <w:pPr>
        <w:pStyle w:val="BodyText"/>
      </w:pPr>
      <w:r>
        <w:t xml:space="preserve">Of the seven attributes, several acceptance limits carried into this study come from X-Mab clinical experience, which the attribute register records as such (</w:t>
      </w:r>
      <w:hyperlink w:anchor="tbl-cqa">
        <w:r>
          <w:rPr>
            <w:rStyle w:val="Hyperlink"/>
          </w:rPr>
          <w:t xml:space="preserve">Table 4</w:t>
        </w:r>
      </w:hyperlink>
      <w:r>
        <w:t xml:space="preserve">). Y-Mab and Z-Mab, the other two products of the X-Mab lineage, contribute platform process history without contributing clinical data of their own. Because the three prior products share the expression system, the medium and the control scheme, the mechanistic expectations below were treated as established knowledge and were used to set both the direction and the width of each of the factor ranges studied here (</w:t>
      </w:r>
      <w:hyperlink w:anchor="tbl-params">
        <w:r>
          <w:rPr>
            <w:rStyle w:val="Hyperlink"/>
          </w:rPr>
          <w:t xml:space="preserve">Table 6</w:t>
        </w:r>
      </w:hyperlink>
      <w:r>
        <w:t xml:space="preserve">).</w:t>
      </w:r>
    </w:p>
    <w:p>
      <w:pPr>
        <w:pStyle w:val="BodyText"/>
      </w:pPr>
      <w:r>
        <w:t xml:space="preserve">Among the glycan attributes, galactosylation tracks the activity of the Golgi galactosyltransferase and the supply of its nucleotide sugar donor, both of which decline as a culture ages, which made a lower galactosylation the expectation for a longer culture with every other condition held constant. High mannose behaves enzymatically in the same way and reflects how far mannosidase trimming has run, which makes the attribute sensitive both to lumenal pH and to the temperature at which the culture is held over the whole of the production stage. Unlike the other two glycans, afucosylation depends on a competition, between core fucosyltransferase activity and the rate at which antibody transits the Golgi. Afucosylation was expected on that basis to fall as the culture progresses. Aggregate in the same culture follows the one expectation of the five that is not enzymatic, because antibody that sits longer in an ageing broth aggregates more through simple physical association of the secreted material. Acidic variants in the same broth arise mainly by deamidation of the secreted antibody in the culture fluid, where the carbonate</w:t>
      </w:r>
      <w:r>
        <w:t xml:space="preserve"> </w:t>
      </w:r>
      <w:r>
        <w:t xml:space="preserve">system sets the local proton activity, which made dissolved CO2 the parameter expected to dominate that response over the ranges characterized here.</w:t>
      </w:r>
    </w:p>
    <w:bookmarkEnd w:id="20"/>
    <w:bookmarkStart w:id="22" w:name="quality-attributes-in-scope"/>
    <w:p>
      <w:pPr>
        <w:pStyle w:val="Heading2"/>
      </w:pPr>
      <w:r>
        <w:t xml:space="preserve">2.2 Quality attributes in scope</w:t>
      </w:r>
    </w:p>
    <w:p>
      <w:pPr>
        <w:pStyle w:val="FirstParagraph"/>
      </w:pPr>
      <w:r>
        <w:t xml:space="preserve">In all, 7 attributes of the drug substance are set at the bioreactor step, listed with acceptance criteria, criticality level and Tool #1 score in</w:t>
      </w:r>
      <w:r>
        <w:t xml:space="preserve"> </w:t>
      </w:r>
      <w:hyperlink w:anchor="tbl-cqa">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Quality attributes formed at the production bioreactor, with acceptance criteria, criticality and the Tool #1 score.</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bl>
          <w:bookmarkEnd w:id="21"/>
          <w:p/>
        </w:tc>
      </w:tr>
    </w:tbl>
    <w:p>
      <w:pPr>
        <w:pStyle w:val="BodyText"/>
      </w:pPr>
      <w:r>
        <w:t xml:space="preserve">High mannose ranks as the most consequential of those seven attributes, at a Tool #1 score of 80, because both the potential impact on clearance and the residual uncertainty about that impact are scored high. The second of the seven attributes, afucosylation, carries high criticality for a different reason. Through the same glycan route, it drives effector function directly, which means a shift in either direction changes potency. Galactosylation and aggregate follow those two attributes, both of high criticality and both scoring</w:t>
      </w:r>
      <w:r>
        <w:t xml:space="preserve"> </w:t>
      </w:r>
      <w:r>
        <w:t xml:space="preserve">60 or below on the same tool. On the same tool, the remaining three attributes sit far lower, with acidic variants at 4, the lowest</w:t>
      </w:r>
      <w:r>
        <w:t xml:space="preserve"> </w:t>
      </w:r>
      <w:r>
        <w:t xml:space="preserve">score anywhere in the register, and residual DNA at</w:t>
      </w:r>
      <w:r>
        <w:t xml:space="preserve"> </w:t>
      </w:r>
      <w:r>
        <w:t xml:space="preserve">6.</w:t>
      </w:r>
    </w:p>
    <w:p>
      <w:pPr>
        <w:pStyle w:val="BodyText"/>
      </w:pPr>
      <w:r>
        <w:t xml:space="preserve">Five of those seven attributes were measured as responses of the designed experiments. The other two attributes, host cell protein and residual DNA, were not measured as responses, for the reason given in §1.1: neither of them reaches the drug substance at a level the culture governs. Despite that exclusion, both attributes carry a drug substance acceptance criterion of their own. Both attributes are reported in the capability analysis of §8 on that basis, with the clearance credited to the steps that deliver it.</w:t>
      </w:r>
    </w:p>
    <w:bookmarkEnd w:id="22"/>
    <w:bookmarkStart w:id="23" w:name="X8e350aaf11e00001962f0e94cfe08bc5c1a6d7b"/>
    <w:p>
      <w:pPr>
        <w:pStyle w:val="Heading2"/>
      </w:pPr>
      <w:r>
        <w:t xml:space="preserve">2.3 Risk-based prioritization and parameter selection</w:t>
      </w:r>
    </w:p>
    <w:p>
      <w:pPr>
        <w:pStyle w:val="FirstParagraph"/>
      </w:pPr>
      <w:r>
        <w:t xml:space="preserve">Before any run was executed, every bioreactor parameter was ranked in RA-001 on two axes, the potential impact on a quality attribute and the potential to interact with other parameters. The ranked list was then filtered into study groups. 5 parameters were assigned to the multivariate design, on the</w:t>
      </w:r>
      <w:r>
        <w:t xml:space="preserve"> </w:t>
      </w:r>
      <w:r>
        <w:t xml:space="preserve">ground that each of them acts on the enzymatic and physicochemical environment that sets a</w:t>
      </w:r>
      <w:r>
        <w:t xml:space="preserve"> </w:t>
      </w:r>
      <w:r>
        <w:t xml:space="preserve">glycan or a charge variant. The remaining 4 parameters were assigned to univariate assessment instead, on the ground that each of them acts on the culture through growth and productivity rather than through that chemistry. No parameter was excluded from study altogether, which is the conservative default RA-001 applies wherever</w:t>
      </w:r>
      <w:r>
        <w:t xml:space="preserve"> </w:t>
      </w:r>
      <w:r>
        <w:t xml:space="preserve">the supporting rationale is judged incomplete.</w:t>
      </w:r>
    </w:p>
    <w:p>
      <w:pPr>
        <w:pStyle w:val="BodyText"/>
      </w:pPr>
      <w:r>
        <w:t xml:space="preserve">The studied ranges of those parameters were widened well beyond the intended commercial control ranges, by a factor of</w:t>
      </w:r>
      <w:r>
        <w:t xml:space="preserve"> </w:t>
      </w:r>
      <w:r>
        <w:t xml:space="preserve">1.5 to 2.5 across the nine parameters, in order that the characterized space would bound the operating region at every edge instead of coinciding with it (</w:t>
      </w:r>
      <w:hyperlink w:anchor="tbl-params">
        <w:r>
          <w:rPr>
            <w:rStyle w:val="Hyperlink"/>
          </w:rPr>
          <w:t xml:space="preserve">Table 6</w:t>
        </w:r>
      </w:hyperlink>
      <w:r>
        <w:t xml:space="preserve">). Culture pH, the first of those parameters, was studied across 6.6–7.1 against a normal operating range of</w:t>
      </w:r>
      <w:r>
        <w:t xml:space="preserve"> </w:t>
      </w:r>
      <w:r>
        <w:t xml:space="preserve">6.75–6.95, culture temperature across 34–36 °C</w:t>
      </w:r>
      <w:r>
        <w:t xml:space="preserve"> </w:t>
      </w:r>
      <w:r>
        <w:t xml:space="preserve">against 34.5–35.5 °C, and dissolved CO2 across 40–160</w:t>
      </w:r>
      <w:r>
        <w:t xml:space="preserve"> </w:t>
      </w:r>
      <w:r>
        <w:t xml:space="preserve">mmHg against 70–130 mmHg. Culture duration was studied across</w:t>
      </w:r>
      <w:r>
        <w:t xml:space="preserve"> </w:t>
      </w:r>
      <w:r>
        <w:t xml:space="preserve">15–19 days, which brackets the scheduled harvest day by</w:t>
      </w:r>
      <w:r>
        <w:t xml:space="preserve"> </w:t>
      </w:r>
      <w:r>
        <w:t xml:space="preserve">2 days on each side. In</w:t>
      </w:r>
      <w:r>
        <w:t xml:space="preserve"> </w:t>
      </w:r>
      <w:r>
        <w:t xml:space="preserve">addition, widening the ranges in this way supports later movement within the design space, since</w:t>
      </w:r>
      <w:r>
        <w:t xml:space="preserve"> </w:t>
      </w:r>
      <w:r>
        <w:t xml:space="preserve">the knowledge space then extends beyond the region the commercial process is expected to occupy.</w:t>
      </w:r>
    </w:p>
    <w:bookmarkEnd w:id="23"/>
    <w:bookmarkEnd w:id="24"/>
    <w:bookmarkStart w:id="35" w:name="materials-and-methods"/>
    <w:p>
      <w:pPr>
        <w:pStyle w:val="Heading1"/>
      </w:pPr>
      <w:r>
        <w:t xml:space="preserve">3. Materials and methods</w:t>
      </w:r>
    </w:p>
    <w:bookmarkStart w:id="29" w:name="scale-down-model-and-its-qualification"/>
    <w:p>
      <w:pPr>
        <w:pStyle w:val="Heading2"/>
      </w:pPr>
      <w:r>
        <w:t xml:space="preserve">3.1 Scale-down model and its qualification</w:t>
      </w:r>
    </w:p>
    <w:p>
      <w:pPr>
        <w:pStyle w:val="FirstParagraph"/>
      </w:pPr>
      <w:r>
        <w:t xml:space="preserve">The characterization studies were executed in stirred tank scale-down bioreactors qualified against the commercial vessel under SOP-1001. Although the scale-down bioreactors reproduce the geometry</w:t>
      </w:r>
      <w:r>
        <w:t xml:space="preserve"> </w:t>
      </w:r>
      <w:r>
        <w:t xml:space="preserve">class, the mixing and mass transfer behaviour and the control capability of the</w:t>
      </w:r>
      <w:r>
        <w:t xml:space="preserve"> </w:t>
      </w:r>
      <w:r>
        <w:t xml:space="preserve">15,000 L vessel, the qualification rests on measured</w:t>
      </w:r>
      <w:r>
        <w:t xml:space="preserve"> </w:t>
      </w:r>
      <w:r>
        <w:t xml:space="preserve">comparability of the input and output attributes at set-point operation instead of on equipment</w:t>
      </w:r>
      <w:r>
        <w:t xml:space="preserve"> </w:t>
      </w:r>
      <w:r>
        <w:t xml:space="preserve">similarity alone. Scale-independent parameters, among them culture pH, temperature, dissolved</w:t>
      </w:r>
      <w:r>
        <w:t xml:space="preserve"> </w:t>
      </w:r>
      <w:r>
        <w:t xml:space="preserve">oxygen, initial viable cell concentration and culture duration, were operated at the target</w:t>
      </w:r>
      <w:r>
        <w:t xml:space="preserve"> </w:t>
      </w:r>
      <w:r>
        <w:t xml:space="preserve">values of commercial operation. Scale-dependent parameters, among them agitation, gas flow</w:t>
      </w:r>
      <w:r>
        <w:t xml:space="preserve"> </w:t>
      </w:r>
      <w:r>
        <w:t xml:space="preserve">rates, headspace pressure and the dissolved CO2 that follows from them, were set at small scale to match the process performance of the full-scale system instead of its equipment settings, which is the convention SOP-1001 requires.</w:t>
      </w:r>
    </w:p>
    <w:p>
      <w:pPr>
        <w:pStyle w:val="BodyText"/>
      </w:pPr>
      <w:r>
        <w:t xml:space="preserve">At the qualification stage, the two scales were compared at set-point operation on growth, viability and titer trajectories, and on the five quality attributes measured at harvest. For the set-point condition, the nominal profile of the qualified scale-down model appears in</w:t>
      </w:r>
      <w:r>
        <w:t xml:space="preserve"> </w:t>
      </w:r>
      <w:hyperlink w:anchor="fig-timecourse">
        <w:r>
          <w:rPr>
            <w:rStyle w:val="Hyperlink"/>
          </w:rPr>
          <w:t xml:space="preserve">Figure 1</w:t>
        </w:r>
      </w:hyperlink>
      <w:r>
        <w:t xml:space="preserve">, in which peak viable cell density reaches</w:t>
      </w:r>
      <w:r>
        <w:t xml:space="preserve"> </w:t>
      </w:r>
      <w:r>
        <w:t xml:space="preserve">13.5 × 10⁶ cells/mL and viability at harvest is</w:t>
      </w:r>
      <w:r>
        <w:t xml:space="preserve"> </w:t>
      </w:r>
      <w:r>
        <w:t xml:space="preserve">67 %. Because the conclusions of this report are applied directly to the commercial process at 15,000 L, that qualification is the warrant standing behind every operating range claim made in the sections below. Instead of reproducing them here, the comparability data supporting that qualification are held under SOP-1001.</w:t>
      </w:r>
    </w:p>
    <w:p>
      <w:pPr>
        <w:pStyle w:val="BodyText"/>
      </w:pPr>
      <w:r>
        <w:t xml:space="preserve">The 4 centre-point replicates of the response surface design were distributed across the execution campaign instead of being run consecutively, which means the spread between them</w:t>
      </w:r>
      <w:r>
        <w:t xml:space="preserve"> </w:t>
      </w:r>
      <w:r>
        <w:t xml:space="preserve">carries culture-to-culture variation as well as assay variation. That spread is the pure error term against which the lack of fit tests of §5.3 are measured. The pure error term is reported per response in</w:t>
      </w:r>
      <w:r>
        <w:t xml:space="preserve"> </w:t>
      </w:r>
      <w:hyperlink w:anchor="tbl-cv">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timecourse"/>
          <w:p>
            <w:pPr>
              <w:pStyle w:val="Compact"/>
              <w:jc w:val="center"/>
            </w:pPr>
            <w:r>
              <w:drawing>
                <wp:inline>
                  <wp:extent cx="5334000" cy="1538514"/>
                  <wp:effectExtent b="0" l="0" r="0" t="0"/>
                  <wp:docPr descr="" title="" id="26" name="Picture"/>
                  <a:graphic>
                    <a:graphicData uri="http://schemas.openxmlformats.org/drawingml/2006/picture">
                      <pic:pic>
                        <pic:nvPicPr>
                          <pic:cNvPr descr="../outputs/figures/fig_bioreactor_timecourse.png" id="27" name="Picture"/>
                          <pic:cNvPicPr>
                            <a:picLocks noChangeArrowheads="1" noChangeAspect="1"/>
                          </pic:cNvPicPr>
                        </pic:nvPicPr>
                        <pic:blipFill>
                          <a:blip r:embed="rId25"/>
                          <a:stretch>
                            <a:fillRect/>
                          </a:stretch>
                        </pic:blipFill>
                        <pic:spPr bwMode="auto">
                          <a:xfrm>
                            <a:off x="0" y="0"/>
                            <a:ext cx="5334000" cy="1538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Nominal fed-batch profile of the qualified scale-down model at set-point operation: viable cell density, culture viability and product titer.</w:t>
            </w:r>
          </w:p>
          <w:bookmarkEnd w:id="28"/>
        </w:tc>
      </w:tr>
    </w:tbl>
    <w:bookmarkEnd w:id="29"/>
    <w:bookmarkStart w:id="30" w:name="cell-line-media-and-culture-operation"/>
    <w:p>
      <w:pPr>
        <w:pStyle w:val="Heading2"/>
      </w:pPr>
      <w:r>
        <w:t xml:space="preserve">3.2 Cell line, media and culture operation</w:t>
      </w:r>
    </w:p>
    <w:p>
      <w:pPr>
        <w:pStyle w:val="FirstParagraph"/>
      </w:pPr>
      <w:r>
        <w:t xml:space="preserve">The production culture of every run was inoculated from an N-1 seed bioreactor at an initial viable cell concentration of 1 × 10⁶ cells/mL and operated under</w:t>
      </w:r>
      <w:r>
        <w:t xml:space="preserve"> </w:t>
      </w:r>
      <w:r>
        <w:t xml:space="preserve">SOP-2003. Chemically defined culture medium and nutrient feeds were prepared under SOP-2004 at a basal medium concentration of 1.2 X, with nutrient</w:t>
      </w:r>
      <w:r>
        <w:t xml:space="preserve"> </w:t>
      </w:r>
      <w:r>
        <w:t xml:space="preserve">feed-1 delivered at 12 % of working volume on the</w:t>
      </w:r>
      <w:r>
        <w:t xml:space="preserve"> </w:t>
      </w:r>
      <w:r>
        <w:t xml:space="preserve">platform schedule. Culture pH during the feed was held at 6.85 by carbon dioxide</w:t>
      </w:r>
      <w:r>
        <w:t xml:space="preserve"> </w:t>
      </w:r>
      <w:r>
        <w:t xml:space="preserve">sparging and base addition, temperature at</w:t>
      </w:r>
      <w:r>
        <w:t xml:space="preserve"> </w:t>
      </w:r>
      <w:r>
        <w:t xml:space="preserve">35 °C by jacket control, and dissolved oxygen at</w:t>
      </w:r>
      <w:r>
        <w:t xml:space="preserve"> </w:t>
      </w:r>
      <w:r>
        <w:t xml:space="preserve">50 % of air saturation by cascaded gassing.</w:t>
      </w:r>
    </w:p>
    <w:p>
      <w:pPr>
        <w:pStyle w:val="BodyText"/>
      </w:pPr>
      <w:r>
        <w:t xml:space="preserve">Raw materials controlled to the platform specification were treated as identity and quality controlled inputs, and none of those materials was characterized as a variable of this study. The one exception among those inputs is nutrient feed-1, whose delivered volume is a settable parameter and was assessed univariately for that reason (§4.4). The cell bank, the medium formulation and the nutrient feed formulation were held constant across every run of both designs, which is the assumption under which every fitted effect reported in §5 is attributed to a studied parameter rather than to a change in the raw materials.</w:t>
      </w:r>
    </w:p>
    <w:bookmarkEnd w:id="30"/>
    <w:bookmarkStart w:id="32" w:name="analytical-methods"/>
    <w:p>
      <w:pPr>
        <w:pStyle w:val="Heading2"/>
      </w:pPr>
      <w:r>
        <w:t xml:space="preserve">3.3 Analytical methods</w:t>
      </w:r>
    </w:p>
    <w:p>
      <w:pPr>
        <w:pStyle w:val="FirstParagraph"/>
      </w:pPr>
      <w:r>
        <w:t xml:space="preserve">Each of the five responses was measured by a validated method on the harvest sample. Of the four methods, the released N-glycan map by 2-AB HILIC-UPLC reports three responses from a single injection, namely afucosylation, galactosylation and high mannose, which removes any between-assay component from a comparison among the three glycan</w:t>
      </w:r>
      <w:r>
        <w:t xml:space="preserve"> </w:t>
      </w:r>
      <w:r>
        <w:t xml:space="preserve">responses. The charge variant response was measured on the same sample by imaged capillary isoelectric focusing (icIEF), with the acidic variant group reported as the summed area of the peaks eluting ahead of the main peak. The aggregate peak was measured as the high molecular weight fraction by SEC-HPLC, and the result was reported as a percentage of the total integrated peak area. The two process impurities were measured separately, host cell protein by ELISA and residual DNA by qPCR, both on the clarified harvest instead of on the bioreactor broth.</w:t>
      </w:r>
    </w:p>
    <w:tbl>
      <w:tblPr>
        <w:tblStyle w:val="Table"/>
        <w:tblW w:type="pct" w:w="5000"/>
        <w:tblLayout w:type="fixed"/>
        <w:tblLook w:firstRow="0" w:lastRow="0" w:firstColumn="0" w:lastColumn="0" w:noHBand="0" w:noVBand="0" w:val="0000"/>
      </w:tblPr>
      <w:tblGrid>
        <w:gridCol w:w="7920"/>
      </w:tblGrid>
      <w:tr>
        <w:tc>
          <w:tcPr/>
          <w:bookmarkStart w:id="31" w:name="tbl-amv"/>
          <w:p>
            <w:pPr>
              <w:jc w:val="center"/>
            </w:pPr>
            <w:pPr>
              <w:jc w:val="left"/>
              <w:spacing w:before="200"/>
              <w:pStyle w:val="ImageCaption"/>
            </w:pPr>
            <w:r>
              <w:t xml:space="preserve">Table 5: Validated analytical methods supporting the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31"/>
          <w:p/>
        </w:tc>
      </w:tr>
    </w:tbl>
    <w:p>
      <w:pPr>
        <w:pStyle w:val="BodyText"/>
      </w:pPr>
      <w:r>
        <w:t xml:space="preserve">The attribute to method assignment is given in</w:t>
      </w:r>
      <w:r>
        <w:t xml:space="preserve"> </w:t>
      </w:r>
      <w:hyperlink w:anchor="tbl-methods">
        <w:r>
          <w:rPr>
            <w:rStyle w:val="Hyperlink"/>
          </w:rPr>
          <w:t xml:space="preserve">Table 36</w:t>
        </w:r>
      </w:hyperlink>
      <w:r>
        <w:t xml:space="preserve"> </w:t>
      </w:r>
      <w:r>
        <w:t xml:space="preserve">and the recorded method performance</w:t>
      </w:r>
      <w:r>
        <w:t xml:space="preserve"> </w:t>
      </w:r>
      <w:r>
        <w:t xml:space="preserve">in</w:t>
      </w:r>
      <w:r>
        <w:t xml:space="preserve"> </w:t>
      </w:r>
      <w:hyperlink w:anchor="tbl-methodperf">
        <w:r>
          <w:rPr>
            <w:rStyle w:val="Hyperlink"/>
          </w:rPr>
          <w:t xml:space="preserve">Table 37</w:t>
        </w:r>
      </w:hyperlink>
      <w:r>
        <w:t xml:space="preserve">, both of them in Appendix D. Method performance is not restated in the body</w:t>
      </w:r>
      <w:r>
        <w:t xml:space="preserve"> </w:t>
      </w:r>
      <w:r>
        <w:t xml:space="preserve">of this report, because the validation reports listed in</w:t>
      </w:r>
      <w:r>
        <w:t xml:space="preserve"> </w:t>
      </w:r>
      <w:hyperlink w:anchor="tbl-amv">
        <w:r>
          <w:rPr>
            <w:rStyle w:val="Hyperlink"/>
          </w:rPr>
          <w:t xml:space="preserve">Table 5</w:t>
        </w:r>
      </w:hyperlink>
      <w:r>
        <w:t xml:space="preserve"> </w:t>
      </w:r>
      <w:r>
        <w:t xml:space="preserve">hold the full data for each</w:t>
      </w:r>
      <w:r>
        <w:t xml:space="preserve"> </w:t>
      </w:r>
      <w:r>
        <w:t xml:space="preserve">method.</w:t>
      </w:r>
    </w:p>
    <w:bookmarkEnd w:id="32"/>
    <w:bookmarkStart w:id="33" w:name="sampling-plan"/>
    <w:p>
      <w:pPr>
        <w:pStyle w:val="Heading2"/>
      </w:pPr>
      <w:r>
        <w:t xml:space="preserve">3.4 Sampling plan</w:t>
      </w:r>
    </w:p>
    <w:p>
      <w:pPr>
        <w:pStyle w:val="FirstParagraph"/>
      </w:pPr>
      <w:r>
        <w:t xml:space="preserve">Every run of both designs was sampled once, at harvest, and each harvest sample was then split between the four validated methods listed in</w:t>
      </w:r>
      <w:r>
        <w:t xml:space="preserve"> </w:t>
      </w:r>
      <w:hyperlink w:anchor="tbl-amv">
        <w:r>
          <w:rPr>
            <w:rStyle w:val="Hyperlink"/>
          </w:rPr>
          <w:t xml:space="preserve">Table 5</w:t>
        </w:r>
      </w:hyperlink>
      <w:r>
        <w:t xml:space="preserve">. Sampling at harvest matches the point at which the attributes leave</w:t>
      </w:r>
      <w:r>
        <w:t xml:space="preserve"> </w:t>
      </w:r>
      <w:r>
        <w:t xml:space="preserve">the step, which is also the point the scale-down model was qualified against (§3.1). In-process samples were drawn from the same cultures daily, for growth, viability, titer, pH, dissolved oxygen and dissolved CO2.</w:t>
      </w:r>
      <w:r>
        <w:t xml:space="preserve"> </w:t>
      </w:r>
      <w:r>
        <w:t xml:space="preserve">In this report those daily in-process results are held with the operating record and are kept out of the response models.</w:t>
      </w:r>
    </w:p>
    <w:p>
      <w:pPr>
        <w:pStyle w:val="BodyText"/>
      </w:pPr>
      <w:r>
        <w:t xml:space="preserve">Between them, the two designs were given 3 and 4 centre-point replicates respectively, with the centre-point runs distributed through the execution sequence in each case. Run order within each design was randomized under SOP-1002, which</w:t>
      </w:r>
      <w:r>
        <w:t xml:space="preserve"> </w:t>
      </w:r>
      <w:r>
        <w:t xml:space="preserve">protects the effect estimates against any drift in the analytical methods or in the culture</w:t>
      </w:r>
      <w:r>
        <w:t xml:space="preserve"> </w:t>
      </w:r>
      <w:r>
        <w:t xml:space="preserve">system over the campaign.</w:t>
      </w:r>
    </w:p>
    <w:bookmarkEnd w:id="33"/>
    <w:bookmarkStart w:id="34" w:name="statistical-methods"/>
    <w:p>
      <w:pPr>
        <w:pStyle w:val="Heading2"/>
      </w:pPr>
      <w:r>
        <w:t xml:space="preserve">3.5 Statistical methods</w:t>
      </w:r>
    </w:p>
    <w:p>
      <w:pPr>
        <w:pStyle w:val="FirstParagraph"/>
      </w:pPr>
      <w:r>
        <w:t xml:space="preserve">Factors were coded so that the set-point maps to 0 and the edges of the characterization range</w:t>
      </w:r>
      <w:r>
        <w:t xml:space="preserve"> </w:t>
      </w:r>
      <w:r>
        <w:t xml:space="preserve">map to −1 and +1. By coding the factors in that way, the estimates are placed on a common scale, on which a coefficient is the change in the response over half the characterized range of that factor.</w:t>
      </w:r>
      <w:r>
        <w:t xml:space="preserve"> </w:t>
      </w:r>
      <w:r>
        <w:t xml:space="preserve">The screening data for each response were fitted on that coded scale by ordinary least squares, with all main effects and all two-factor interactions, which gives 16 terms on 19 runs and</w:t>
      </w:r>
      <w:r>
        <w:t xml:space="preserve"> </w:t>
      </w:r>
      <w:r>
        <w:t xml:space="preserve">leaves 3 residual degrees of freedom. An effect is reported as twice the</w:t>
      </w:r>
      <w:r>
        <w:t xml:space="preserve"> </w:t>
      </w:r>
      <w:r>
        <w:t xml:space="preserve">coefficient on the coded factor, which is the change across the full characterized range. The</w:t>
      </w:r>
      <w:r>
        <w:t xml:space="preserve"> </w:t>
      </w:r>
      <w:r>
        <w:t xml:space="preserve">response surface data were fitted with a full quadratic model of 15 terms on</w:t>
      </w:r>
      <w:r>
        <w:t xml:space="preserve"> </w:t>
      </w:r>
      <w:r>
        <w:t xml:space="preserve">28 runs, leaving 13 residual degrees of freedom.</w:t>
      </w:r>
    </w:p>
    <w:p>
      <w:pPr>
        <w:pStyle w:val="BodyText"/>
      </w:pPr>
      <w:r>
        <w:t xml:space="preserve">Significance of every term was assessed at α = 0.05 throughout both designs. That significance threshold was not adjusted for the number of terms estimated. Model adequacy was judged on R²,</w:t>
      </w:r>
      <w:r>
        <w:t xml:space="preserve"> </w:t>
      </w:r>
      <w:r>
        <w:t xml:space="preserve">adjusted R², predicted R² from the PRESS statistic, the overall F test, and an analysis of</w:t>
      </w:r>
      <w:r>
        <w:t xml:space="preserve"> </w:t>
      </w:r>
      <w:r>
        <w:t xml:space="preserve">variance partitioning the residual into lack of fit and pure error against the centre-point replicates of each design (</w:t>
      </w:r>
      <w:hyperlink w:anchor="tbl-lof">
        <w:r>
          <w:rPr>
            <w:rStyle w:val="Hyperlink"/>
          </w:rPr>
          <w:t xml:space="preserve">Table 16</w:t>
        </w:r>
      </w:hyperlink>
      <w:r>
        <w:t xml:space="preserve">). A factor whose terms reach no significance in that analysis is reported as inactive over the range screened. Such a null result is retained in the knowledge space as evidence of robustness, because a parameter shown to be inactive over a wide range would otherwise have to be established again later in the lifecycle, at greater cost and with less supporting data behind it.</w:t>
      </w:r>
    </w:p>
    <w:p>
      <w:pPr>
        <w:pStyle w:val="BodyText"/>
      </w:pPr>
      <w:r>
        <w:t xml:space="preserve">Commercial-scale capability was estimated on the same fitted models, by simulating 2,000 batches with every parameter drawn from inside its normal operating range and with the fitted models propagated through the train to the drug substance.</w:t>
      </w:r>
      <w:r>
        <w:t xml:space="preserve"> </w:t>
      </w:r>
      <w:r>
        <w:t xml:space="preserve">Capability is reported as a one-sided Cpk against the drug substance criterion, taken on the</w:t>
      </w:r>
      <w:r>
        <w:t xml:space="preserve"> </w:t>
      </w:r>
      <w:r>
        <w:t xml:space="preserve">binding side of the specification. No numerical acceptance threshold for Cpk is defined in this package. Each Cpk index is accordingly reported alongside the margin to the limit, which is what a reviewer needs in order to judge it directly.</w:t>
      </w:r>
    </w:p>
    <w:bookmarkEnd w:id="34"/>
    <w:bookmarkEnd w:id="35"/>
    <w:bookmarkStart w:id="42" w:name="study-design"/>
    <w:p>
      <w:pPr>
        <w:pStyle w:val="Heading1"/>
      </w:pPr>
      <w:r>
        <w:t xml:space="preserve">4. Study design</w:t>
      </w:r>
    </w:p>
    <w:bookmarkStart w:id="38" w:name="factors-ranges-and-the-knowledge-space"/>
    <w:p>
      <w:pPr>
        <w:pStyle w:val="Heading2"/>
      </w:pPr>
      <w:r>
        <w:t xml:space="preserve">4.1 Factors, ranges and the knowledge space</w:t>
      </w:r>
    </w:p>
    <w:p>
      <w:pPr>
        <w:pStyle w:val="FirstParagraph"/>
      </w:pPr>
      <w:r>
        <w:t xml:space="preserve">The 9 parameters carried into the study are listed in</w:t>
      </w:r>
      <w:r>
        <w:t xml:space="preserve"> </w:t>
      </w:r>
      <w:hyperlink w:anchor="tbl-params">
        <w:r>
          <w:rPr>
            <w:rStyle w:val="Hyperlink"/>
          </w:rPr>
          <w:t xml:space="preserve">Table 6</w:t>
        </w:r>
      </w:hyperlink>
      <w:r>
        <w:t xml:space="preserve"> </w:t>
      </w:r>
      <w:r>
        <w:t xml:space="preserve">with the</w:t>
      </w:r>
      <w:r>
        <w:t xml:space="preserve"> </w:t>
      </w:r>
      <w:r>
        <w:t xml:space="preserve">set-point, the normal operating range, the characterization range and the classification reached</w:t>
      </w:r>
      <w:r>
        <w:t xml:space="preserve"> </w:t>
      </w:r>
      <w:r>
        <w:t xml:space="preserve">in §9. For each parameter, the characterization range given there marks the knowledge-space edge. That edge is not a proven acceptable range, because the proven acceptable ranges are computed per attribute in §7 and run narrower than the characterization range in several cases.</w:t>
      </w:r>
    </w:p>
    <w:tbl>
      <w:tblPr>
        <w:tblStyle w:val="Table"/>
        <w:tblW w:type="pct" w:w="5000"/>
        <w:tblLayout w:type="fixed"/>
        <w:tblLook w:firstRow="0" w:lastRow="0" w:firstColumn="0" w:lastColumn="0" w:noHBand="0" w:noVBand="0" w:val="0000"/>
      </w:tblPr>
      <w:tblGrid>
        <w:gridCol w:w="7920"/>
      </w:tblGrid>
      <w:tr>
        <w:tc>
          <w:tcPr/>
          <w:bookmarkStart w:id="36" w:name="tbl-params"/>
          <w:p>
            <w:pPr>
              <w:jc w:val="center"/>
            </w:pPr>
            <w:pPr>
              <w:jc w:val="left"/>
              <w:spacing w:before="200"/>
              <w:pStyle w:val="ImageCaption"/>
            </w:pPr>
            <w:r>
              <w:t xml:space="preserve">Table 6: Production bioreactor parameters, ranges, study type and final classification.</w:t>
            </w:r>
          </w:p>
          <w:tbl>
            <w:tblPr>
              <w:tblStyle w:val="Table"/>
              <w:tblW w:type="pct" w:w="5000"/>
              <w:tblLayout w:type="fixed"/>
              <w:tblLook w:firstRow="1" w:lastRow="0" w:firstColumn="0" w:lastColumn="0" w:noHBand="0" w:noVBand="0" w:val="0020"/>
            </w:tblPr>
            <w:tblGrid>
              <w:gridCol w:w="2153"/>
              <w:gridCol w:w="999"/>
              <w:gridCol w:w="999"/>
              <w:gridCol w:w="845"/>
              <w:gridCol w:w="1153"/>
              <w:gridCol w:w="692"/>
              <w:gridCol w:w="1076"/>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right"/>
                    <w:jc w:val="center"/>
                  </w:pPr>
                  <w:r>
                    <w:t xml:space="preserve">6.85</w:t>
                  </w:r>
                </w:p>
              </w:tc>
              <w:tc>
                <w:tcPr/>
                <w:p>
                  <w:pPr>
                    <w:pStyle w:val="Compact"/>
                    <w:jc w:val="left"/>
                    <w:jc w:val="center"/>
                  </w:pPr>
                  <w:r>
                    <w:t xml:space="preserve">6.75–6.95</w:t>
                  </w:r>
                </w:p>
              </w:tc>
              <w:tc>
                <w:tcPr/>
                <w:p>
                  <w:pPr>
                    <w:pStyle w:val="Compact"/>
                    <w:jc w:val="left"/>
                    <w:jc w:val="center"/>
                  </w:pPr>
                  <w:r>
                    <w:t xml:space="preserve">6.6–7.1</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right"/>
                    <w:jc w:val="center"/>
                  </w:pPr>
                  <w:r>
                    <w:t xml:space="preserve">35</w:t>
                  </w:r>
                </w:p>
              </w:tc>
              <w:tc>
                <w:tcPr/>
                <w:p>
                  <w:pPr>
                    <w:pStyle w:val="Compact"/>
                    <w:jc w:val="left"/>
                    <w:jc w:val="center"/>
                  </w:pPr>
                  <w:r>
                    <w:t xml:space="preserve">34.5–35.5</w:t>
                  </w:r>
                </w:p>
              </w:tc>
              <w:tc>
                <w:tcPr/>
                <w:p>
                  <w:pPr>
                    <w:pStyle w:val="Compact"/>
                    <w:jc w:val="left"/>
                    <w:jc w:val="center"/>
                  </w:pPr>
                  <w:r>
                    <w:t xml:space="preserve">34–36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right"/>
                    <w:jc w:val="center"/>
                  </w:pPr>
                  <w:r>
                    <w:t xml:space="preserve">100</w:t>
                  </w:r>
                </w:p>
              </w:tc>
              <w:tc>
                <w:tcPr/>
                <w:p>
                  <w:pPr>
                    <w:pStyle w:val="Compact"/>
                    <w:jc w:val="left"/>
                    <w:jc w:val="center"/>
                  </w:pPr>
                  <w:r>
                    <w:t xml:space="preserve">70–130</w:t>
                  </w:r>
                </w:p>
              </w:tc>
              <w:tc>
                <w:tcPr/>
                <w:p>
                  <w:pPr>
                    <w:pStyle w:val="Compact"/>
                    <w:jc w:val="left"/>
                    <w:jc w:val="center"/>
                  </w:pPr>
                  <w:r>
                    <w:t xml:space="preserve">40–160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w:t>
                  </w:r>
                </w:p>
              </w:tc>
              <w:tc>
                <w:tcPr/>
                <w:p>
                  <w:pPr>
                    <w:pStyle w:val="Compact"/>
                    <w:jc w:val="right"/>
                    <w:jc w:val="center"/>
                  </w:pPr>
                  <w:r>
                    <w:t xml:space="preserve">400</w:t>
                  </w:r>
                </w:p>
              </w:tc>
              <w:tc>
                <w:tcPr/>
                <w:p>
                  <w:pPr>
                    <w:pStyle w:val="Compact"/>
                    <w:jc w:val="left"/>
                    <w:jc w:val="center"/>
                  </w:pPr>
                  <w:r>
                    <w:t xml:space="preserve">375–425</w:t>
                  </w:r>
                </w:p>
              </w:tc>
              <w:tc>
                <w:tcPr/>
                <w:p>
                  <w:pPr>
                    <w:pStyle w:val="Compact"/>
                    <w:jc w:val="left"/>
                    <w:jc w:val="center"/>
                  </w:pPr>
                  <w:r>
                    <w:t xml:space="preserve">360–440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right"/>
                    <w:jc w:val="center"/>
                  </w:pPr>
                  <w:r>
                    <w:t xml:space="preserve">17</w:t>
                  </w:r>
                </w:p>
              </w:tc>
              <w:tc>
                <w:tcPr/>
                <w:p>
                  <w:pPr>
                    <w:pStyle w:val="Compact"/>
                    <w:jc w:val="left"/>
                    <w:jc w:val="center"/>
                  </w:pPr>
                  <w:r>
                    <w:t xml:space="preserve">16–18</w:t>
                  </w:r>
                </w:p>
              </w:tc>
              <w:tc>
                <w:tcPr/>
                <w:p>
                  <w:pPr>
                    <w:pStyle w:val="Compact"/>
                    <w:jc w:val="left"/>
                    <w:jc w:val="center"/>
                  </w:pPr>
                  <w:r>
                    <w:t xml:space="preserve">15–19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sat</w:t>
                  </w:r>
                </w:p>
              </w:tc>
              <w:tc>
                <w:tcPr/>
                <w:p>
                  <w:pPr>
                    <w:pStyle w:val="Compact"/>
                    <w:jc w:val="right"/>
                    <w:jc w:val="center"/>
                  </w:pPr>
                  <w:r>
                    <w:t xml:space="preserve">50</w:t>
                  </w:r>
                </w:p>
              </w:tc>
              <w:tc>
                <w:tcPr/>
                <w:p>
                  <w:pPr>
                    <w:pStyle w:val="Compact"/>
                    <w:jc w:val="left"/>
                    <w:jc w:val="center"/>
                  </w:pPr>
                  <w:r>
                    <w:t xml:space="preserve">40–60</w:t>
                  </w:r>
                </w:p>
              </w:tc>
              <w:tc>
                <w:tcPr/>
                <w:p>
                  <w:pPr>
                    <w:pStyle w:val="Compact"/>
                    <w:jc w:val="left"/>
                    <w:jc w:val="center"/>
                  </w:pPr>
                  <w:r>
                    <w:t xml:space="preserve">30–70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e6 cells/mL</w:t>
                  </w:r>
                </w:p>
              </w:tc>
              <w:tc>
                <w:tcPr/>
                <w:p>
                  <w:pPr>
                    <w:pStyle w:val="Compact"/>
                    <w:jc w:val="right"/>
                    <w:jc w:val="center"/>
                  </w:pPr>
                  <w:r>
                    <w:t xml:space="preserve">1</w:t>
                  </w:r>
                </w:p>
              </w:tc>
              <w:tc>
                <w:tcPr/>
                <w:p>
                  <w:pPr>
                    <w:pStyle w:val="Compact"/>
                    <w:jc w:val="left"/>
                    <w:jc w:val="center"/>
                  </w:pPr>
                  <w:r>
                    <w:t xml:space="preserve">0.8–1.2</w:t>
                  </w:r>
                </w:p>
              </w:tc>
              <w:tc>
                <w:tcPr/>
                <w:p>
                  <w:pPr>
                    <w:pStyle w:val="Compact"/>
                    <w:jc w:val="left"/>
                    <w:jc w:val="center"/>
                  </w:pPr>
                  <w:r>
                    <w:t xml:space="preserve">0.5–1.5</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X</w:t>
                  </w:r>
                </w:p>
              </w:tc>
              <w:tc>
                <w:tcPr/>
                <w:p>
                  <w:pPr>
                    <w:pStyle w:val="Compact"/>
                    <w:jc w:val="right"/>
                    <w:jc w:val="center"/>
                  </w:pPr>
                  <w:r>
                    <w:t xml:space="preserve">1.2</w:t>
                  </w:r>
                </w:p>
              </w:tc>
              <w:tc>
                <w:tcPr/>
                <w:p>
                  <w:pPr>
                    <w:pStyle w:val="Compact"/>
                    <w:jc w:val="left"/>
                    <w:jc w:val="center"/>
                  </w:pPr>
                  <w:r>
                    <w:t xml:space="preserve">1–1.4</w:t>
                  </w:r>
                </w:p>
              </w:tc>
              <w:tc>
                <w:tcPr/>
                <w:p>
                  <w:pPr>
                    <w:pStyle w:val="Compact"/>
                    <w:jc w:val="left"/>
                    <w:jc w:val="center"/>
                  </w:pPr>
                  <w:r>
                    <w:t xml:space="preserve">0.8–1.6</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WV</w:t>
                  </w:r>
                </w:p>
              </w:tc>
              <w:tc>
                <w:tcPr/>
                <w:p>
                  <w:pPr>
                    <w:pStyle w:val="Compact"/>
                    <w:jc w:val="right"/>
                    <w:jc w:val="center"/>
                  </w:pPr>
                  <w:r>
                    <w:t xml:space="preserve">12</w:t>
                  </w:r>
                </w:p>
              </w:tc>
              <w:tc>
                <w:tcPr/>
                <w:p>
                  <w:pPr>
                    <w:pStyle w:val="Compact"/>
                    <w:jc w:val="left"/>
                    <w:jc w:val="center"/>
                  </w:pPr>
                  <w:r>
                    <w:t xml:space="preserve">10–14</w:t>
                  </w:r>
                </w:p>
              </w:tc>
              <w:tc>
                <w:tcPr/>
                <w:p>
                  <w:pPr>
                    <w:pStyle w:val="Compact"/>
                    <w:jc w:val="left"/>
                    <w:jc w:val="center"/>
                  </w:pPr>
                  <w:r>
                    <w:t xml:space="preserve">9–15</w:t>
                  </w:r>
                </w:p>
              </w:tc>
              <w:tc>
                <w:tcPr/>
                <w:p>
                  <w:pPr>
                    <w:pStyle w:val="Compact"/>
                    <w:jc w:val="left"/>
                    <w:jc w:val="center"/>
                  </w:pPr>
                  <w:r>
                    <w:t xml:space="preserve">KPP</w:t>
                  </w:r>
                </w:p>
              </w:tc>
              <w:tc>
                <w:tcPr/>
                <w:p>
                  <w:pPr>
                    <w:pStyle w:val="Compact"/>
                    <w:jc w:val="left"/>
                    <w:jc w:val="center"/>
                  </w:pPr>
                  <w:r>
                    <w:t xml:space="preserve">univariate</w:t>
                  </w:r>
                </w:p>
              </w:tc>
            </w:tr>
          </w:tbl>
          <w:bookmarkEnd w:id="36"/>
          <w:p/>
        </w:tc>
      </w:tr>
    </w:tbl>
    <w:p>
      <w:pPr>
        <w:pStyle w:val="BodyText"/>
      </w:pPr>
      <w:r>
        <w:t xml:space="preserve">5 of the 9 parameters were varied together. The coded letters used for those parameters throughout this report are given in</w:t>
      </w:r>
      <w:r>
        <w:t xml:space="preserve"> </w:t>
      </w:r>
      <w:hyperlink w:anchor="tbl-legend">
        <w:r>
          <w:rPr>
            <w:rStyle w:val="Hyperlink"/>
          </w:rPr>
          <w:t xml:space="preserve">Table 7</w:t>
        </w:r>
      </w:hyperlink>
      <w:r>
        <w:t xml:space="preserve">. The letters follow the screening order</w:t>
      </w:r>
      <w:r>
        <w:t xml:space="preserve"> </w:t>
      </w:r>
      <w:r>
        <w:t xml:space="preserve">and are reused for the response surface terms, which means term AE denotes the same factor pair in both designs and in the appendix tables that carry the full matrices (Appendices A and B).</w:t>
      </w:r>
    </w:p>
    <w:tbl>
      <w:tblPr>
        <w:tblStyle w:val="Table"/>
        <w:tblW w:type="pct" w:w="5000"/>
        <w:tblLayout w:type="fixed"/>
        <w:tblLook w:firstRow="0" w:lastRow="0" w:firstColumn="0" w:lastColumn="0" w:noHBand="0" w:noVBand="0" w:val="0000"/>
      </w:tblPr>
      <w:tblGrid>
        <w:gridCol w:w="7920"/>
      </w:tblGrid>
      <w:tr>
        <w:tc>
          <w:tcPr/>
          <w:bookmarkStart w:id="37" w:name="tbl-legend"/>
          <w:p>
            <w:pPr>
              <w:jc w:val="center"/>
            </w:pPr>
            <w:pPr>
              <w:jc w:val="left"/>
              <w:spacing w:before="200"/>
              <w:pStyle w:val="ImageCaption"/>
            </w:pPr>
            <w:r>
              <w:t xml:space="preserve">Table 7: Coded factor legend for the screening and response-surface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w:t>
                  </w:r>
                </w:p>
              </w:tc>
              <w:tc>
                <w:tcPr/>
                <w:p>
                  <w:pPr>
                    <w:pStyle w:val="Compact"/>
                    <w:jc w:val="left"/>
                    <w:jc w:val="center"/>
                  </w:pPr>
                  <w:r>
                    <w:t xml:space="preserve">screening</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screening + RSM</w:t>
                  </w:r>
                </w:p>
              </w:tc>
            </w:tr>
          </w:tbl>
          <w:bookmarkEnd w:id="37"/>
          <w:p/>
        </w:tc>
      </w:tr>
    </w:tbl>
    <w:bookmarkEnd w:id="38"/>
    <w:bookmarkStart w:id="39" w:name="screening-design"/>
    <w:p>
      <w:pPr>
        <w:pStyle w:val="Heading2"/>
      </w:pPr>
      <w:r>
        <w:t xml:space="preserve">4.2 Screening design</w:t>
      </w:r>
    </w:p>
    <w:p>
      <w:pPr>
        <w:pStyle w:val="FirstParagraph"/>
      </w:pPr>
      <w:r>
        <w:t xml:space="preserve">As executed, a two-level fractional factorial in 5 factors at resolution V was used for screening, augmented with 3 centre points, which gives 16 factorial runs and 19 runs in total. At that resolution every main effect of the five factors stays clear of every two-factor interaction, while each two-factor interaction is aliased only with interactions of three factors or more, which platform experience does not support as active in this expression system at the ranges studied. In a campaign of this kind, a screening experiment is run to identify the parameters with the largest effect on the quality attributes. A screening design of this kind supports no predictive claim. By construction, this type of design cannot resolve curvature. It has to be augmented on the subset of factors shown to move an attribute, which is the purpose of the response surface stage described below. The full coded matrix of that design and the measured responses are given in Appendix A.</w:t>
      </w:r>
    </w:p>
    <w:bookmarkEnd w:id="39"/>
    <w:bookmarkStart w:id="40" w:name="response-surface-design"/>
    <w:p>
      <w:pPr>
        <w:pStyle w:val="Heading2"/>
      </w:pPr>
      <w:r>
        <w:t xml:space="preserve">4.3 Response-surface design</w:t>
      </w:r>
    </w:p>
    <w:p>
      <w:pPr>
        <w:pStyle w:val="FirstParagraph"/>
      </w:pPr>
      <w:r>
        <w:t xml:space="preserve">At the second stage, a face centred central composite layout was used in the 4 factors retained from screening: culture pH, culture temperature, culture duration and dissolved CO2. In total that layout is built from 16 factorial runs, 8 axial runs and 4 centre points, on 28 runs. Face centred axial points were chosen so that no run falls outside the characterization range of any factor, which keeps every run of the design inside the space the scale-down model of §3.1 was qualified over, with no extrapolation involved. The design supports a full quadratic model, in</w:t>
      </w:r>
      <w:r>
        <w:t xml:space="preserve"> </w:t>
      </w:r>
      <w:r>
        <w:t xml:space="preserve">which curvature and two-factor interaction are estimated together over three levels of each</w:t>
      </w:r>
      <w:r>
        <w:t xml:space="preserve"> </w:t>
      </w:r>
      <w:r>
        <w:t xml:space="preserve">factor.</w:t>
      </w:r>
    </w:p>
    <w:p>
      <w:pPr>
        <w:pStyle w:val="BodyText"/>
      </w:pPr>
      <w:r>
        <w:t xml:space="preserve">Osmolality was screened but was not carried into the response surface stage. The largest significant screening main effect of osmolality reached 2.55 percentage points across the characterized range, against 3.54 for the smallest</w:t>
      </w:r>
      <w:r>
        <w:t xml:space="preserve"> </w:t>
      </w:r>
      <w:r>
        <w:t xml:space="preserve">of the four factors that were carried forward. Because osmolality was left out of the response surface model, any interaction involving it is represented in this report by the screening estimate alone. That bound is stated again in §11, where it also explains why osmolality keeps a WC-CPP classification on screening evidence (§9).</w:t>
      </w:r>
    </w:p>
    <w:bookmarkEnd w:id="40"/>
    <w:bookmarkStart w:id="41" w:name="univariate-assessment"/>
    <w:p>
      <w:pPr>
        <w:pStyle w:val="Heading2"/>
      </w:pPr>
      <w:r>
        <w:t xml:space="preserve">4.4 Univariate assessment</w:t>
      </w:r>
    </w:p>
    <w:p>
      <w:pPr>
        <w:pStyle w:val="FirstParagraph"/>
      </w:pPr>
      <w:r>
        <w:t xml:space="preserve">The remaining 4 parameters were assessed one at a time across the ranges in</w:t>
      </w:r>
      <w:r>
        <w:t xml:space="preserve"> </w:t>
      </w:r>
      <w:hyperlink w:anchor="tbl-params">
        <w:r>
          <w:rPr>
            <w:rStyle w:val="Hyperlink"/>
          </w:rPr>
          <w:t xml:space="preserve">Table 6</w:t>
        </w:r>
      </w:hyperlink>
      <w:r>
        <w:t xml:space="preserve">:</w:t>
      </w:r>
      <w:r>
        <w:t xml:space="preserve"> </w:t>
      </w:r>
      <w:r>
        <w:t xml:space="preserve">dissolved oxygen, initial viable cell conc., basal medium concentration and nutrient feed-1 volume. Each of them acts on the culture through growth and productivity</w:t>
      </w:r>
      <w:r>
        <w:t xml:space="preserve"> </w:t>
      </w:r>
      <w:r>
        <w:t xml:space="preserve">instead of through the enzymatic chemistry that sets a glycan, which is why a multivariate design would have spent runs resolving interactions that platform experience does not support at this step.</w:t>
      </w:r>
      <w:r>
        <w:t xml:space="preserve"> </w:t>
      </w:r>
      <w:r>
        <w:t xml:space="preserve">Dissolved oxygen and initial viable cell concentration were varied to both edges of the characterization range given in</w:t>
      </w:r>
      <w:r>
        <w:t xml:space="preserve"> </w:t>
      </w:r>
      <w:hyperlink w:anchor="tbl-params">
        <w:r>
          <w:rPr>
            <w:rStyle w:val="Hyperlink"/>
          </w:rPr>
          <w:t xml:space="preserve">Table 6</w:t>
        </w:r>
      </w:hyperlink>
      <w:r>
        <w:t xml:space="preserve">, with every other parameter held at its set-point throughout. Across a further set of runs, basal medium concentration and nutrient feed-1 volume were varied over their own ranges in the same way. However, neither of them was combined with another parameter in a factorial run.</w:t>
      </w:r>
    </w:p>
    <w:p>
      <w:pPr>
        <w:pStyle w:val="BodyText"/>
      </w:pPr>
      <w:r>
        <w:t xml:space="preserve">Over the ranges assessed, no univariate variation of those four parameters moved a quality attribute outside its acceptance criterion. The classification consequences of that univariate work appear in §9, where dissolved oxygen, initial</w:t>
      </w:r>
      <w:r>
        <w:t xml:space="preserve"> </w:t>
      </w:r>
      <w:r>
        <w:t xml:space="preserve">viable cell concentration and nutrient feed-1 volume are classified KPP on process performance</w:t>
      </w:r>
      <w:r>
        <w:t xml:space="preserve"> </w:t>
      </w:r>
      <w:r>
        <w:t xml:space="preserve">grounds, while basal medium concentration is classified GPP.</w:t>
      </w:r>
    </w:p>
    <w:bookmarkEnd w:id="41"/>
    <w:bookmarkEnd w:id="42"/>
    <w:bookmarkStart w:id="83" w:name="results"/>
    <w:p>
      <w:pPr>
        <w:pStyle w:val="Heading1"/>
      </w:pPr>
      <w:r>
        <w:t xml:space="preserve">5. Results</w:t>
      </w:r>
    </w:p>
    <w:bookmarkStart w:id="44" w:name="Xa1d357a057988a4668963a3d4bd6b4df2b4673e"/>
    <w:p>
      <w:pPr>
        <w:pStyle w:val="Heading2"/>
      </w:pPr>
      <w:r>
        <w:t xml:space="preserve">5.1 Centre-point performance and reproducibility</w:t>
      </w:r>
    </w:p>
    <w:p>
      <w:pPr>
        <w:pStyle w:val="FirstParagraph"/>
      </w:pPr>
      <w:r>
        <w:t xml:space="preserve">Taken together, the centre-point replicates of both designs reproduce well enough to support the model adequacy tests that follow. The mean, the standard deviation and the coefficient of variation of each response across the 4 centre points of the response surface design are given in</w:t>
      </w:r>
      <w:r>
        <w:t xml:space="preserve"> </w:t>
      </w:r>
      <w:hyperlink w:anchor="tbl-cv">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cv"/>
          <w:p>
            <w:pPr>
              <w:jc w:val="center"/>
            </w:pPr>
            <w:pPr>
              <w:jc w:val="left"/>
              <w:spacing w:before="200"/>
              <w:pStyle w:val="ImageCaption"/>
            </w:pPr>
            <w:r>
              <w:t xml:space="preserve">Table 8: Centre-point reproducibility of the response-surface design: mean, standard deviation and coefficient of variation per response.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Afucosylation</w:t>
                  </w:r>
                </w:p>
              </w:tc>
              <w:tc>
                <w:tcPr/>
                <w:p>
                  <w:pPr>
                    <w:pStyle w:val="Compact"/>
                    <w:jc w:val="right"/>
                    <w:jc w:val="center"/>
                  </w:pPr>
                  <w:r>
                    <w:t xml:space="preserve">4</w:t>
                  </w:r>
                </w:p>
              </w:tc>
              <w:tc>
                <w:tcPr/>
                <w:p>
                  <w:pPr>
                    <w:pStyle w:val="Compact"/>
                    <w:jc w:val="right"/>
                    <w:jc w:val="center"/>
                  </w:pPr>
                  <w:r>
                    <w:t xml:space="preserve">7.61</w:t>
                  </w:r>
                </w:p>
              </w:tc>
              <w:tc>
                <w:tcPr/>
                <w:p>
                  <w:pPr>
                    <w:pStyle w:val="Compact"/>
                    <w:jc w:val="right"/>
                    <w:jc w:val="center"/>
                  </w:pPr>
                  <w:r>
                    <w:t xml:space="preserve">0.355</w:t>
                  </w:r>
                </w:p>
              </w:tc>
              <w:tc>
                <w:tcPr/>
                <w:p>
                  <w:pPr>
                    <w:pStyle w:val="Compact"/>
                    <w:jc w:val="right"/>
                    <w:jc w:val="center"/>
                  </w:pPr>
                  <w:r>
                    <w:t xml:space="preserve">4.66</w:t>
                  </w:r>
                </w:p>
              </w:tc>
            </w:tr>
            <w:tr>
              <w:tc>
                <w:tcPr/>
                <w:p>
                  <w:pPr>
                    <w:pStyle w:val="Compact"/>
                    <w:jc w:val="left"/>
                    <w:jc w:val="center"/>
                  </w:pPr>
                  <w:r>
                    <w:t xml:space="preserve">Galactosylation</w:t>
                  </w:r>
                </w:p>
              </w:tc>
              <w:tc>
                <w:tcPr/>
                <w:p>
                  <w:pPr>
                    <w:pStyle w:val="Compact"/>
                    <w:jc w:val="right"/>
                    <w:jc w:val="center"/>
                  </w:pPr>
                  <w:r>
                    <w:t xml:space="preserve">4</w:t>
                  </w:r>
                </w:p>
              </w:tc>
              <w:tc>
                <w:tcPr/>
                <w:p>
                  <w:pPr>
                    <w:pStyle w:val="Compact"/>
                    <w:jc w:val="right"/>
                    <w:jc w:val="center"/>
                  </w:pPr>
                  <w:r>
                    <w:t xml:space="preserve">25.9</w:t>
                  </w:r>
                </w:p>
              </w:tc>
              <w:tc>
                <w:tcPr/>
                <w:p>
                  <w:pPr>
                    <w:pStyle w:val="Compact"/>
                    <w:jc w:val="right"/>
                    <w:jc w:val="center"/>
                  </w:pPr>
                  <w:r>
                    <w:t xml:space="preserve">2.34</w:t>
                  </w:r>
                </w:p>
              </w:tc>
              <w:tc>
                <w:tcPr/>
                <w:p>
                  <w:pPr>
                    <w:pStyle w:val="Compact"/>
                    <w:jc w:val="right"/>
                    <w:jc w:val="center"/>
                  </w:pPr>
                  <w:r>
                    <w:t xml:space="preserve">9.02</w:t>
                  </w:r>
                </w:p>
              </w:tc>
            </w:tr>
            <w:tr>
              <w:tc>
                <w:tcPr/>
                <w:p>
                  <w:pPr>
                    <w:pStyle w:val="Compact"/>
                    <w:jc w:val="left"/>
                    <w:jc w:val="center"/>
                  </w:pPr>
                  <w:r>
                    <w:t xml:space="preserve">High mannose</w:t>
                  </w:r>
                </w:p>
              </w:tc>
              <w:tc>
                <w:tcPr/>
                <w:p>
                  <w:pPr>
                    <w:pStyle w:val="Compact"/>
                    <w:jc w:val="right"/>
                    <w:jc w:val="center"/>
                  </w:pPr>
                  <w:r>
                    <w:t xml:space="preserve">4</w:t>
                  </w:r>
                </w:p>
              </w:tc>
              <w:tc>
                <w:tcPr/>
                <w:p>
                  <w:pPr>
                    <w:pStyle w:val="Compact"/>
                    <w:jc w:val="right"/>
                    <w:jc w:val="center"/>
                  </w:pPr>
                  <w:r>
                    <w:t xml:space="preserve">5.66</w:t>
                  </w:r>
                </w:p>
              </w:tc>
              <w:tc>
                <w:tcPr/>
                <w:p>
                  <w:pPr>
                    <w:pStyle w:val="Compact"/>
                    <w:jc w:val="right"/>
                    <w:jc w:val="center"/>
                  </w:pPr>
                  <w:r>
                    <w:t xml:space="preserve">0.559</w:t>
                  </w:r>
                </w:p>
              </w:tc>
              <w:tc>
                <w:tcPr/>
                <w:p>
                  <w:pPr>
                    <w:pStyle w:val="Compact"/>
                    <w:jc w:val="right"/>
                    <w:jc w:val="center"/>
                  </w:pPr>
                  <w:r>
                    <w:t xml:space="preserve">9.88</w:t>
                  </w:r>
                </w:p>
              </w:tc>
            </w:tr>
            <w:tr>
              <w:tc>
                <w:tcPr/>
                <w:p>
                  <w:pPr>
                    <w:pStyle w:val="Compact"/>
                    <w:jc w:val="left"/>
                    <w:jc w:val="center"/>
                  </w:pPr>
                  <w:r>
                    <w:t xml:space="preserve">Acidic variants</w:t>
                  </w:r>
                </w:p>
              </w:tc>
              <w:tc>
                <w:tcPr/>
                <w:p>
                  <w:pPr>
                    <w:pStyle w:val="Compact"/>
                    <w:jc w:val="right"/>
                    <w:jc w:val="center"/>
                  </w:pPr>
                  <w:r>
                    <w:t xml:space="preserve">4</w:t>
                  </w:r>
                </w:p>
              </w:tc>
              <w:tc>
                <w:tcPr/>
                <w:p>
                  <w:pPr>
                    <w:pStyle w:val="Compact"/>
                    <w:jc w:val="right"/>
                    <w:jc w:val="center"/>
                  </w:pPr>
                  <w:r>
                    <w:t xml:space="preserve">21.5</w:t>
                  </w:r>
                </w:p>
              </w:tc>
              <w:tc>
                <w:tcPr/>
                <w:p>
                  <w:pPr>
                    <w:pStyle w:val="Compact"/>
                    <w:jc w:val="right"/>
                    <w:jc w:val="center"/>
                  </w:pPr>
                  <w:r>
                    <w:t xml:space="preserve">0.877</w:t>
                  </w:r>
                </w:p>
              </w:tc>
              <w:tc>
                <w:tcPr/>
                <w:p>
                  <w:pPr>
                    <w:pStyle w:val="Compact"/>
                    <w:jc w:val="right"/>
                    <w:jc w:val="center"/>
                  </w:pPr>
                  <w:r>
                    <w:t xml:space="preserve">4.08</w:t>
                  </w:r>
                </w:p>
              </w:tc>
            </w:tr>
            <w:tr>
              <w:tc>
                <w:tcPr/>
                <w:p>
                  <w:pPr>
                    <w:pStyle w:val="Compact"/>
                    <w:jc w:val="left"/>
                    <w:jc w:val="center"/>
                  </w:pPr>
                  <w:r>
                    <w:t xml:space="preserve">Aggregates (HMW)</w:t>
                  </w:r>
                </w:p>
              </w:tc>
              <w:tc>
                <w:tcPr/>
                <w:p>
                  <w:pPr>
                    <w:pStyle w:val="Compact"/>
                    <w:jc w:val="right"/>
                    <w:jc w:val="center"/>
                  </w:pPr>
                  <w:r>
                    <w:t xml:space="preserve">4</w:t>
                  </w:r>
                </w:p>
              </w:tc>
              <w:tc>
                <w:tcPr/>
                <w:p>
                  <w:pPr>
                    <w:pStyle w:val="Compact"/>
                    <w:jc w:val="right"/>
                    <w:jc w:val="center"/>
                  </w:pPr>
                  <w:r>
                    <w:t xml:space="preserve">1.51</w:t>
                  </w:r>
                </w:p>
              </w:tc>
              <w:tc>
                <w:tcPr/>
                <w:p>
                  <w:pPr>
                    <w:pStyle w:val="Compact"/>
                    <w:jc w:val="right"/>
                    <w:jc w:val="center"/>
                  </w:pPr>
                  <w:r>
                    <w:t xml:space="preserve">0.0985</w:t>
                  </w:r>
                </w:p>
              </w:tc>
              <w:tc>
                <w:tcPr/>
                <w:p>
                  <w:pPr>
                    <w:pStyle w:val="Compact"/>
                    <w:jc w:val="right"/>
                    <w:jc w:val="center"/>
                  </w:pPr>
                  <w:r>
                    <w:t xml:space="preserve">6.53</w:t>
                  </w:r>
                </w:p>
              </w:tc>
            </w:tr>
          </w:tbl>
          <w:bookmarkEnd w:id="43"/>
          <w:p/>
        </w:tc>
      </w:tr>
    </w:tbl>
    <w:p>
      <w:pPr>
        <w:pStyle w:val="BodyText"/>
      </w:pPr>
      <w:r>
        <w:t xml:space="preserve">The least precise of those responses is high mannose, at</w:t>
      </w:r>
      <w:r>
        <w:t xml:space="preserve"> </w:t>
      </w:r>
      <w:r>
        <w:t xml:space="preserve">9.9 % of the mean, while the most precise is</w:t>
      </w:r>
      <w:r>
        <w:t xml:space="preserve"> </w:t>
      </w:r>
      <w:r>
        <w:t xml:space="preserve">acidic variants at 4.1 %. At the screening centre points, the same responses give a similar picture, with high mannose least precise there at</w:t>
      </w:r>
      <w:r>
        <w:t xml:space="preserve"> </w:t>
      </w:r>
      <w:r>
        <w:t xml:space="preserve">11.5 %. Because the scale-down runs were executed across the whole</w:t>
      </w:r>
      <w:r>
        <w:t xml:space="preserve"> </w:t>
      </w:r>
      <w:r>
        <w:t xml:space="preserve">campaign, these figures carry culture-to-culture variation as well as assay variation, which</w:t>
      </w:r>
      <w:r>
        <w:t xml:space="preserve"> </w:t>
      </w:r>
      <w:r>
        <w:t xml:space="preserve">makes them an upper bound on the assay contribution taken alone. Against those figures, the recorded intermediate precision of the glycan assay reaches 2.5 % relative standard deviation. The validation summary for that method attributes 30 % of the observed variance on those responses to the assay itself (</w:t>
      </w:r>
      <w:hyperlink w:anchor="tbl-methodperf">
        <w:r>
          <w:rPr>
            <w:rStyle w:val="Hyperlink"/>
          </w:rPr>
          <w:t xml:space="preserve">Table 37</w:t>
        </w:r>
      </w:hyperlink>
      <w:r>
        <w:t xml:space="preserve">). The remainder of that variance is culture variation, which is the quantity the lack of fit tests of §5.3 are measured against.</w:t>
      </w:r>
    </w:p>
    <w:bookmarkEnd w:id="44"/>
    <w:bookmarkStart w:id="55" w:name="screening-factor-effects"/>
    <w:p>
      <w:pPr>
        <w:pStyle w:val="Heading2"/>
      </w:pPr>
      <w:r>
        <w:t xml:space="preserve">5.2 Screening: factor effects</w:t>
      </w:r>
    </w:p>
    <w:p>
      <w:pPr>
        <w:pStyle w:val="FirstParagraph"/>
      </w:pPr>
      <w:r>
        <w:t xml:space="preserve">Across the five responses, only a small number of large effects was resolved by screening. The model summaries for all five responses are given in</w:t>
      </w:r>
      <w:r>
        <w:t xml:space="preserve"> </w:t>
      </w:r>
      <w:hyperlink w:anchor="tbl-fit-scr">
        <w:r>
          <w:rPr>
            <w:rStyle w:val="Hyperlink"/>
          </w:rPr>
          <w:t xml:space="preserve">Table 9</w:t>
        </w:r>
      </w:hyperlink>
      <w:r>
        <w:t xml:space="preserve">. The adjusted R² of those summaries runs high throughout, but the near-saturated design leaves only</w:t>
      </w:r>
      <w:r>
        <w:t xml:space="preserve"> </w:t>
      </w:r>
      <w:r>
        <w:t xml:space="preserve">3 residual degrees of freedom, which drives the predicted R² negative for</w:t>
      </w:r>
      <w:r>
        <w:t xml:space="preserve"> </w:t>
      </w:r>
      <w:r>
        <w:t xml:space="preserve">every response and leaves the overall F test short of significance on 2 of the</w:t>
      </w:r>
      <w:r>
        <w:t xml:space="preserve"> </w:t>
      </w:r>
      <w:r>
        <w:t xml:space="preserve">5 responses. Consequently the fits from that design are read as effect estimates and never as predictive models of the step. Those magnitudes are refined by the response surface stage in §5.3, which is where the predictive claim of this report is made.</w:t>
      </w:r>
    </w:p>
    <w:tbl>
      <w:tblPr>
        <w:tblStyle w:val="Table"/>
        <w:tblW w:type="pct" w:w="5000"/>
        <w:tblLayout w:type="fixed"/>
        <w:tblLook w:firstRow="0" w:lastRow="0" w:firstColumn="0" w:lastColumn="0" w:noHBand="0" w:noVBand="0" w:val="0000"/>
      </w:tblPr>
      <w:tblGrid>
        <w:gridCol w:w="7920"/>
      </w:tblGrid>
      <w:tr>
        <w:tc>
          <w:tcPr/>
          <w:bookmarkStart w:id="45" w:name="tbl-fit-scr"/>
          <w:p>
            <w:pPr>
              <w:jc w:val="center"/>
            </w:pPr>
            <w:pPr>
              <w:jc w:val="left"/>
              <w:spacing w:before="200"/>
              <w:pStyle w:val="ImageCaption"/>
            </w:pPr>
            <w:r>
              <w:t xml:space="preserve">Table 9: Screening model summaries. Predicted R² is negative throughout, which is the expected behaviour of a near-saturated design.</w:t>
            </w:r>
          </w:p>
          <w:tbl>
            <w:tblPr>
              <w:tblStyle w:val="Table"/>
              <w:tblW w:type="pct" w:w="5000"/>
              <w:tblLayout w:type="fixed"/>
              <w:tblLook w:firstRow="1" w:lastRow="0" w:firstColumn="0" w:lastColumn="0" w:noHBand="0" w:noVBand="0" w:val="0020"/>
            </w:tblPr>
            <w:tblGrid>
              <w:gridCol w:w="1782"/>
              <w:gridCol w:w="495"/>
              <w:gridCol w:w="693"/>
              <w:gridCol w:w="1089"/>
              <w:gridCol w:w="1188"/>
              <w:gridCol w:w="792"/>
              <w:gridCol w:w="1089"/>
              <w:gridCol w:w="79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19</w:t>
                  </w:r>
                </w:p>
              </w:tc>
              <w:tc>
                <w:tcPr/>
                <w:p>
                  <w:pPr>
                    <w:pStyle w:val="Compact"/>
                    <w:jc w:val="right"/>
                    <w:jc w:val="center"/>
                  </w:pPr>
                  <w:r>
                    <w:t xml:space="preserve">0.965</w:t>
                  </w:r>
                </w:p>
              </w:tc>
              <w:tc>
                <w:tcPr/>
                <w:p>
                  <w:pPr>
                    <w:pStyle w:val="Compact"/>
                    <w:jc w:val="right"/>
                    <w:jc w:val="center"/>
                  </w:pPr>
                  <w:r>
                    <w:t xml:space="preserve">0.79</w:t>
                  </w:r>
                </w:p>
              </w:tc>
              <w:tc>
                <w:tcPr/>
                <w:p>
                  <w:pPr>
                    <w:pStyle w:val="Compact"/>
                    <w:jc w:val="right"/>
                    <w:jc w:val="center"/>
                  </w:pPr>
                  <w:r>
                    <w:t xml:space="preserve">-47.4</w:t>
                  </w:r>
                </w:p>
              </w:tc>
              <w:tc>
                <w:tcPr/>
                <w:p>
                  <w:pPr>
                    <w:pStyle w:val="Compact"/>
                    <w:jc w:val="right"/>
                    <w:jc w:val="center"/>
                  </w:pPr>
                  <w:r>
                    <w:t xml:space="preserve">5.51</w:t>
                  </w:r>
                </w:p>
              </w:tc>
              <w:tc>
                <w:tcPr/>
                <w:p>
                  <w:pPr>
                    <w:pStyle w:val="Compact"/>
                    <w:jc w:val="right"/>
                    <w:jc w:val="center"/>
                  </w:pPr>
                  <w:r>
                    <w:t xml:space="preserve">0.0926</w:t>
                  </w:r>
                </w:p>
              </w:tc>
              <w:tc>
                <w:tcPr/>
                <w:p>
                  <w:pPr>
                    <w:pStyle w:val="Compact"/>
                    <w:jc w:val="right"/>
                    <w:jc w:val="center"/>
                  </w:pPr>
                  <w:r>
                    <w:t xml:space="preserve">1.06</w:t>
                  </w:r>
                </w:p>
              </w:tc>
            </w:tr>
            <w:tr>
              <w:tc>
                <w:tcPr/>
                <w:p>
                  <w:pPr>
                    <w:pStyle w:val="Compact"/>
                    <w:jc w:val="left"/>
                    <w:jc w:val="center"/>
                  </w:pPr>
                  <w:r>
                    <w:t xml:space="preserve">Galactosylation</w:t>
                  </w:r>
                </w:p>
              </w:tc>
              <w:tc>
                <w:tcPr/>
                <w:p>
                  <w:pPr>
                    <w:pStyle w:val="Compact"/>
                    <w:jc w:val="right"/>
                    <w:jc w:val="center"/>
                  </w:pPr>
                  <w:r>
                    <w:t xml:space="preserve">19</w:t>
                  </w:r>
                </w:p>
              </w:tc>
              <w:tc>
                <w:tcPr/>
                <w:p>
                  <w:pPr>
                    <w:pStyle w:val="Compact"/>
                    <w:jc w:val="right"/>
                    <w:jc w:val="center"/>
                  </w:pPr>
                  <w:r>
                    <w:t xml:space="preserve">0.998</w:t>
                  </w:r>
                </w:p>
              </w:tc>
              <w:tc>
                <w:tcPr/>
                <w:p>
                  <w:pPr>
                    <w:pStyle w:val="Compact"/>
                    <w:jc w:val="right"/>
                    <w:jc w:val="center"/>
                  </w:pPr>
                  <w:r>
                    <w:t xml:space="preserve">0.988</w:t>
                  </w:r>
                </w:p>
              </w:tc>
              <w:tc>
                <w:tcPr/>
                <w:p>
                  <w:pPr>
                    <w:pStyle w:val="Compact"/>
                    <w:jc w:val="right"/>
                    <w:jc w:val="center"/>
                  </w:pPr>
                  <w:r>
                    <w:t xml:space="preserve">-1.33</w:t>
                  </w:r>
                </w:p>
              </w:tc>
              <w:tc>
                <w:tcPr/>
                <w:p>
                  <w:pPr>
                    <w:pStyle w:val="Compact"/>
                    <w:jc w:val="right"/>
                    <w:jc w:val="center"/>
                  </w:pPr>
                  <w:r>
                    <w:t xml:space="preserve">103</w:t>
                  </w:r>
                </w:p>
              </w:tc>
              <w:tc>
                <w:tcPr/>
                <w:p>
                  <w:pPr>
                    <w:pStyle w:val="Compact"/>
                    <w:jc w:val="right"/>
                    <w:jc w:val="center"/>
                  </w:pPr>
                  <w:r>
                    <w:t xml:space="preserve">0.00138</w:t>
                  </w:r>
                </w:p>
              </w:tc>
              <w:tc>
                <w:tcPr/>
                <w:p>
                  <w:pPr>
                    <w:pStyle w:val="Compact"/>
                    <w:jc w:val="right"/>
                    <w:jc w:val="center"/>
                  </w:pPr>
                  <w:r>
                    <w:t xml:space="preserve">0.773</w:t>
                  </w:r>
                </w:p>
              </w:tc>
            </w:tr>
            <w:tr>
              <w:tc>
                <w:tcPr/>
                <w:p>
                  <w:pPr>
                    <w:pStyle w:val="Compact"/>
                    <w:jc w:val="left"/>
                    <w:jc w:val="center"/>
                  </w:pPr>
                  <w:r>
                    <w:t xml:space="preserve">High mannose</w:t>
                  </w:r>
                </w:p>
              </w:tc>
              <w:tc>
                <w:tcPr/>
                <w:p>
                  <w:pPr>
                    <w:pStyle w:val="Compact"/>
                    <w:jc w:val="right"/>
                    <w:jc w:val="center"/>
                  </w:pPr>
                  <w:r>
                    <w:t xml:space="preserve">19</w:t>
                  </w:r>
                </w:p>
              </w:tc>
              <w:tc>
                <w:tcPr/>
                <w:p>
                  <w:pPr>
                    <w:pStyle w:val="Compact"/>
                    <w:jc w:val="right"/>
                    <w:jc w:val="center"/>
                  </w:pPr>
                  <w:r>
                    <w:t xml:space="preserve">0.942</w:t>
                  </w:r>
                </w:p>
              </w:tc>
              <w:tc>
                <w:tcPr/>
                <w:p>
                  <w:pPr>
                    <w:pStyle w:val="Compact"/>
                    <w:jc w:val="right"/>
                    <w:jc w:val="center"/>
                  </w:pPr>
                  <w:r>
                    <w:t xml:space="preserve">0.65</w:t>
                  </w:r>
                </w:p>
              </w:tc>
              <w:tc>
                <w:tcPr/>
                <w:p>
                  <w:pPr>
                    <w:pStyle w:val="Compact"/>
                    <w:jc w:val="right"/>
                    <w:jc w:val="center"/>
                  </w:pPr>
                  <w:r>
                    <w:t xml:space="preserve">-7.99</w:t>
                  </w:r>
                </w:p>
              </w:tc>
              <w:tc>
                <w:tcPr/>
                <w:p>
                  <w:pPr>
                    <w:pStyle w:val="Compact"/>
                    <w:jc w:val="right"/>
                    <w:jc w:val="center"/>
                  </w:pPr>
                  <w:r>
                    <w:t xml:space="preserve">3.23</w:t>
                  </w:r>
                </w:p>
              </w:tc>
              <w:tc>
                <w:tcPr/>
                <w:p>
                  <w:pPr>
                    <w:pStyle w:val="Compact"/>
                    <w:jc w:val="right"/>
                    <w:jc w:val="center"/>
                  </w:pPr>
                  <w:r>
                    <w:t xml:space="preserve">0.182</w:t>
                  </w:r>
                </w:p>
              </w:tc>
              <w:tc>
                <w:tcPr/>
                <w:p>
                  <w:pPr>
                    <w:pStyle w:val="Compact"/>
                    <w:jc w:val="right"/>
                    <w:jc w:val="center"/>
                  </w:pPr>
                  <w:r>
                    <w:t xml:space="preserve">0.619</w:t>
                  </w:r>
                </w:p>
              </w:tc>
            </w:tr>
            <w:tr>
              <w:tc>
                <w:tcPr/>
                <w:p>
                  <w:pPr>
                    <w:pStyle w:val="Compact"/>
                    <w:jc w:val="left"/>
                    <w:jc w:val="center"/>
                  </w:pPr>
                  <w:r>
                    <w:t xml:space="preserve">Acidic variants</w:t>
                  </w:r>
                </w:p>
              </w:tc>
              <w:tc>
                <w:tcPr/>
                <w:p>
                  <w:pPr>
                    <w:pStyle w:val="Compact"/>
                    <w:jc w:val="right"/>
                    <w:jc w:val="center"/>
                  </w:pPr>
                  <w:r>
                    <w:t xml:space="preserve">19</w:t>
                  </w:r>
                </w:p>
              </w:tc>
              <w:tc>
                <w:tcPr/>
                <w:p>
                  <w:pPr>
                    <w:pStyle w:val="Compact"/>
                    <w:jc w:val="right"/>
                    <w:jc w:val="center"/>
                  </w:pPr>
                  <w:r>
                    <w:t xml:space="preserve">0.994</w:t>
                  </w:r>
                </w:p>
              </w:tc>
              <w:tc>
                <w:tcPr/>
                <w:p>
                  <w:pPr>
                    <w:pStyle w:val="Compact"/>
                    <w:jc w:val="right"/>
                    <w:jc w:val="center"/>
                  </w:pPr>
                  <w:r>
                    <w:t xml:space="preserve">0.963</w:t>
                  </w:r>
                </w:p>
              </w:tc>
              <w:tc>
                <w:tcPr/>
                <w:p>
                  <w:pPr>
                    <w:pStyle w:val="Compact"/>
                    <w:jc w:val="right"/>
                    <w:jc w:val="center"/>
                  </w:pPr>
                  <w:r>
                    <w:t xml:space="preserve">-0.442</w:t>
                  </w:r>
                </w:p>
              </w:tc>
              <w:tc>
                <w:tcPr/>
                <w:p>
                  <w:pPr>
                    <w:pStyle w:val="Compact"/>
                    <w:jc w:val="right"/>
                    <w:jc w:val="center"/>
                  </w:pPr>
                  <w:r>
                    <w:t xml:space="preserve">32.2</w:t>
                  </w:r>
                </w:p>
              </w:tc>
              <w:tc>
                <w:tcPr/>
                <w:p>
                  <w:pPr>
                    <w:pStyle w:val="Compact"/>
                    <w:jc w:val="right"/>
                    <w:jc w:val="center"/>
                  </w:pPr>
                  <w:r>
                    <w:t xml:space="preserve">0.00766</w:t>
                  </w:r>
                </w:p>
              </w:tc>
              <w:tc>
                <w:tcPr/>
                <w:p>
                  <w:pPr>
                    <w:pStyle w:val="Compact"/>
                    <w:jc w:val="right"/>
                    <w:jc w:val="center"/>
                  </w:pPr>
                  <w:r>
                    <w:t xml:space="preserve">0.957</w:t>
                  </w:r>
                </w:p>
              </w:tc>
            </w:tr>
            <w:tr>
              <w:tc>
                <w:tcPr/>
                <w:p>
                  <w:pPr>
                    <w:pStyle w:val="Compact"/>
                    <w:jc w:val="left"/>
                    <w:jc w:val="center"/>
                  </w:pPr>
                  <w:r>
                    <w:t xml:space="preserve">Aggregates (HMW)</w:t>
                  </w:r>
                </w:p>
              </w:tc>
              <w:tc>
                <w:tcPr/>
                <w:p>
                  <w:pPr>
                    <w:pStyle w:val="Compact"/>
                    <w:jc w:val="right"/>
                    <w:jc w:val="center"/>
                  </w:pPr>
                  <w:r>
                    <w:t xml:space="preserve">19</w:t>
                  </w:r>
                </w:p>
              </w:tc>
              <w:tc>
                <w:tcPr/>
                <w:p>
                  <w:pPr>
                    <w:pStyle w:val="Compact"/>
                    <w:jc w:val="right"/>
                    <w:jc w:val="center"/>
                  </w:pPr>
                  <w:r>
                    <w:t xml:space="preserve">0.995</w:t>
                  </w:r>
                </w:p>
              </w:tc>
              <w:tc>
                <w:tcPr/>
                <w:p>
                  <w:pPr>
                    <w:pStyle w:val="Compact"/>
                    <w:jc w:val="right"/>
                    <w:jc w:val="center"/>
                  </w:pPr>
                  <w:r>
                    <w:t xml:space="preserve">0.972</w:t>
                  </w:r>
                </w:p>
              </w:tc>
              <w:tc>
                <w:tcPr/>
                <w:p>
                  <w:pPr>
                    <w:pStyle w:val="Compact"/>
                    <w:jc w:val="right"/>
                    <w:jc w:val="center"/>
                  </w:pPr>
                  <w:r>
                    <w:t xml:space="preserve">-2.44</w:t>
                  </w:r>
                </w:p>
              </w:tc>
              <w:tc>
                <w:tcPr/>
                <w:p>
                  <w:pPr>
                    <w:pStyle w:val="Compact"/>
                    <w:jc w:val="right"/>
                    <w:jc w:val="center"/>
                  </w:pPr>
                  <w:r>
                    <w:t xml:space="preserve">42.2</w:t>
                  </w:r>
                </w:p>
              </w:tc>
              <w:tc>
                <w:tcPr/>
                <w:p>
                  <w:pPr>
                    <w:pStyle w:val="Compact"/>
                    <w:jc w:val="right"/>
                    <w:jc w:val="center"/>
                  </w:pPr>
                  <w:r>
                    <w:t xml:space="preserve">0.00515</w:t>
                  </w:r>
                </w:p>
              </w:tc>
              <w:tc>
                <w:tcPr/>
                <w:p>
                  <w:pPr>
                    <w:pStyle w:val="Compact"/>
                    <w:jc w:val="right"/>
                    <w:jc w:val="center"/>
                  </w:pPr>
                  <w:r>
                    <w:t xml:space="preserve">0.0829</w:t>
                  </w:r>
                </w:p>
              </w:tc>
            </w:tr>
          </w:tbl>
          <w:bookmarkEnd w:id="45"/>
          <w:p/>
        </w:tc>
      </w:tr>
    </w:tbl>
    <w:p>
      <w:pPr>
        <w:pStyle w:val="BodyText"/>
      </w:pPr>
      <w:r>
        <w:t xml:space="preserve">Of those five, galactosylation was found to be the most responsive attribute measured. 12 of the 15 terms estimable on that response reach significance at α = 0.05. The largest of them is culture duration at</w:t>
      </w:r>
      <w:r>
        <w:t xml:space="preserve"> </w:t>
      </w:r>
      <w:r>
        <w:t xml:space="preserve">-7.82 percentage points across the</w:t>
      </w:r>
      <w:r>
        <w:t xml:space="preserve"> </w:t>
      </w:r>
      <w:r>
        <w:t xml:space="preserve">characterized range (p = 0.0003). Behind that term, dissolved CO2 follows at -5.79 and culture pH at</w:t>
      </w:r>
      <w:r>
        <w:t xml:space="preserve"> </w:t>
      </w:r>
      <w:r>
        <w:t xml:space="preserve">-4.56, both in the same direction as duration.</w:t>
      </w:r>
      <w:r>
        <w:t xml:space="preserve"> </w:t>
      </w:r>
      <w:r>
        <w:t xml:space="preserve">The pH by duration interaction is larger than either of those main effects at</w:t>
      </w:r>
      <w:r>
        <w:t xml:space="preserve"> </w:t>
      </w:r>
      <w:r>
        <w:t xml:space="preserve">+6.90, which is the first indication in the study that the two factors cannot be ranged independently of one another within the operating region defined in §6 (</w:t>
      </w:r>
      <w:hyperlink w:anchor="tbl-eff-gal">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eff-gal"/>
          <w:p>
            <w:pPr>
              <w:jc w:val="center"/>
            </w:pPr>
            <w:pPr>
              <w:jc w:val="left"/>
              <w:spacing w:before="200"/>
              <w:pStyle w:val="ImageCaption"/>
            </w:pPr>
            <w:r>
              <w:t xml:space="preserve">Table 10: Screening effects on galactosylation, six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-7.82</w:t>
                  </w:r>
                </w:p>
              </w:tc>
              <w:tc>
                <w:tcPr/>
                <w:p>
                  <w:pPr>
                    <w:pStyle w:val="Compact"/>
                    <w:jc w:val="right"/>
                    <w:jc w:val="center"/>
                  </w:pPr>
                  <w:r>
                    <w:t xml:space="preserve">-3.91</w:t>
                  </w:r>
                </w:p>
              </w:tc>
              <w:tc>
                <w:tcPr/>
                <w:p>
                  <w:pPr>
                    <w:pStyle w:val="Compact"/>
                    <w:jc w:val="right"/>
                    <w:jc w:val="center"/>
                  </w:pPr>
                  <w:r>
                    <w:t xml:space="preserve">0.193</w:t>
                  </w:r>
                </w:p>
              </w:tc>
              <w:tc>
                <w:tcPr/>
                <w:p>
                  <w:pPr>
                    <w:pStyle w:val="Compact"/>
                    <w:jc w:val="right"/>
                    <w:jc w:val="center"/>
                  </w:pPr>
                  <w:r>
                    <w:t xml:space="preserve">-20.2</w:t>
                  </w:r>
                </w:p>
              </w:tc>
              <w:tc>
                <w:tcPr/>
                <w:p>
                  <w:pPr>
                    <w:pStyle w:val="Compact"/>
                    <w:jc w:val="right"/>
                    <w:jc w:val="center"/>
                  </w:pPr>
                  <w:r>
                    <w:t xml:space="preserve">0.000264</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w:t>
                  </w:r>
                </w:p>
              </w:tc>
              <w:tc>
                <w:tcPr/>
                <w:p>
                  <w:pPr>
                    <w:pStyle w:val="Compact"/>
                    <w:jc w:val="right"/>
                    <w:jc w:val="center"/>
                  </w:pPr>
                  <w:r>
                    <w:t xml:space="preserve">3.45</w:t>
                  </w:r>
                </w:p>
              </w:tc>
              <w:tc>
                <w:tcPr/>
                <w:p>
                  <w:pPr>
                    <w:pStyle w:val="Compact"/>
                    <w:jc w:val="right"/>
                    <w:jc w:val="center"/>
                  </w:pPr>
                  <w:r>
                    <w:t xml:space="preserve">0.193</w:t>
                  </w:r>
                </w:p>
              </w:tc>
              <w:tc>
                <w:tcPr/>
                <w:p>
                  <w:pPr>
                    <w:pStyle w:val="Compact"/>
                    <w:jc w:val="right"/>
                    <w:jc w:val="center"/>
                  </w:pPr>
                  <w:r>
                    <w:t xml:space="preserve">17.9</w:t>
                  </w:r>
                </w:p>
              </w:tc>
              <w:tc>
                <w:tcPr/>
                <w:p>
                  <w:pPr>
                    <w:pStyle w:val="Compact"/>
                    <w:jc w:val="right"/>
                    <w:jc w:val="center"/>
                  </w:pPr>
                  <w:r>
                    <w:t xml:space="preserve">0.000382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-5.79</w:t>
                  </w:r>
                </w:p>
              </w:tc>
              <w:tc>
                <w:tcPr/>
                <w:p>
                  <w:pPr>
                    <w:pStyle w:val="Compact"/>
                    <w:jc w:val="right"/>
                    <w:jc w:val="center"/>
                  </w:pPr>
                  <w:r>
                    <w:t xml:space="preserve">-2.9</w:t>
                  </w:r>
                </w:p>
              </w:tc>
              <w:tc>
                <w:tcPr/>
                <w:p>
                  <w:pPr>
                    <w:pStyle w:val="Compact"/>
                    <w:jc w:val="right"/>
                    <w:jc w:val="center"/>
                  </w:pPr>
                  <w:r>
                    <w:t xml:space="preserve">0.193</w:t>
                  </w:r>
                </w:p>
              </w:tc>
              <w:tc>
                <w:tcPr/>
                <w:p>
                  <w:pPr>
                    <w:pStyle w:val="Compact"/>
                    <w:jc w:val="right"/>
                    <w:jc w:val="center"/>
                  </w:pPr>
                  <w:r>
                    <w:t xml:space="preserve">-15</w:t>
                  </w:r>
                </w:p>
              </w:tc>
              <w:tc>
                <w:tcPr/>
                <w:p>
                  <w:pPr>
                    <w:pStyle w:val="Compact"/>
                    <w:jc w:val="right"/>
                    <w:jc w:val="center"/>
                  </w:pPr>
                  <w:r>
                    <w:t xml:space="preserve">0.000644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-4.56</w:t>
                  </w:r>
                </w:p>
              </w:tc>
              <w:tc>
                <w:tcPr/>
                <w:p>
                  <w:pPr>
                    <w:pStyle w:val="Compact"/>
                    <w:jc w:val="right"/>
                    <w:jc w:val="center"/>
                  </w:pPr>
                  <w:r>
                    <w:t xml:space="preserve">-2.28</w:t>
                  </w:r>
                </w:p>
              </w:tc>
              <w:tc>
                <w:tcPr/>
                <w:p>
                  <w:pPr>
                    <w:pStyle w:val="Compact"/>
                    <w:jc w:val="right"/>
                    <w:jc w:val="center"/>
                  </w:pPr>
                  <w:r>
                    <w:t xml:space="preserve">0.193</w:t>
                  </w:r>
                </w:p>
              </w:tc>
              <w:tc>
                <w:tcPr/>
                <w:p>
                  <w:pPr>
                    <w:pStyle w:val="Compact"/>
                    <w:jc w:val="right"/>
                    <w:jc w:val="center"/>
                  </w:pPr>
                  <w:r>
                    <w:t xml:space="preserve">-11.8</w:t>
                  </w:r>
                </w:p>
              </w:tc>
              <w:tc>
                <w:tcPr/>
                <w:p>
                  <w:pPr>
                    <w:pStyle w:val="Compact"/>
                    <w:jc w:val="right"/>
                    <w:jc w:val="center"/>
                  </w:pPr>
                  <w:r>
                    <w:t xml:space="preserve">0.00131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w:t>
                  </w:r>
                </w:p>
              </w:tc>
              <w:tc>
                <w:tcPr/>
                <w:p>
                  <w:pPr>
                    <w:pStyle w:val="Compact"/>
                    <w:jc w:val="right"/>
                    <w:jc w:val="center"/>
                  </w:pPr>
                  <w:r>
                    <w:t xml:space="preserve">1.85</w:t>
                  </w:r>
                </w:p>
              </w:tc>
              <w:tc>
                <w:tcPr/>
                <w:p>
                  <w:pPr>
                    <w:pStyle w:val="Compact"/>
                    <w:jc w:val="right"/>
                    <w:jc w:val="center"/>
                  </w:pPr>
                  <w:r>
                    <w:t xml:space="preserve">0.193</w:t>
                  </w:r>
                </w:p>
              </w:tc>
              <w:tc>
                <w:tcPr/>
                <w:p>
                  <w:pPr>
                    <w:pStyle w:val="Compact"/>
                    <w:jc w:val="right"/>
                    <w:jc w:val="center"/>
                  </w:pPr>
                  <w:r>
                    <w:t xml:space="preserve">9.57</w:t>
                  </w:r>
                </w:p>
              </w:tc>
              <w:tc>
                <w:tcPr/>
                <w:p>
                  <w:pPr>
                    <w:pStyle w:val="Compact"/>
                    <w:jc w:val="right"/>
                    <w:jc w:val="center"/>
                  </w:pPr>
                  <w:r>
                    <w:t xml:space="preserve">0.00242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w:t>
                  </w:r>
                </w:p>
              </w:tc>
              <w:tc>
                <w:tcPr/>
                <w:p>
                  <w:pPr>
                    <w:pStyle w:val="Compact"/>
                    <w:jc w:val="right"/>
                    <w:jc w:val="center"/>
                  </w:pPr>
                  <w:r>
                    <w:t xml:space="preserve">1.8</w:t>
                  </w:r>
                </w:p>
              </w:tc>
              <w:tc>
                <w:tcPr/>
                <w:p>
                  <w:pPr>
                    <w:pStyle w:val="Compact"/>
                    <w:jc w:val="right"/>
                    <w:jc w:val="center"/>
                  </w:pPr>
                  <w:r>
                    <w:t xml:space="preserve">0.193</w:t>
                  </w:r>
                </w:p>
              </w:tc>
              <w:tc>
                <w:tcPr/>
                <w:p>
                  <w:pPr>
                    <w:pStyle w:val="Compact"/>
                    <w:jc w:val="right"/>
                    <w:jc w:val="center"/>
                  </w:pPr>
                  <w:r>
                    <w:t xml:space="preserve">9.32</w:t>
                  </w:r>
                </w:p>
              </w:tc>
              <w:tc>
                <w:tcPr/>
                <w:p>
                  <w:pPr>
                    <w:pStyle w:val="Compact"/>
                    <w:jc w:val="right"/>
                    <w:jc w:val="center"/>
                  </w:pPr>
                  <w:r>
                    <w:t xml:space="preserve">0.00261</w:t>
                  </w:r>
                </w:p>
              </w:tc>
              <w:tc>
                <w:tcPr/>
                <w:p>
                  <w:pPr>
                    <w:pStyle w:val="Compact"/>
                    <w:jc w:val="left"/>
                    <w:jc w:val="center"/>
                  </w:pPr>
                  <w:r>
                    <w:t xml:space="preserve">**</w:t>
                  </w:r>
                </w:p>
              </w:tc>
            </w:tr>
          </w:tbl>
          <w:bookmarkEnd w:id="46"/>
          <w:p/>
        </w:tc>
      </w:tr>
    </w:tbl>
    <w:p>
      <w:pPr>
        <w:pStyle w:val="BodyText"/>
      </w:pPr>
      <w:r>
        <w:t xml:space="preserve">Acidic variants are governed by dissolved CO2 above every other factor screened. That main effect reaches -8.15 percentage points across the characterized range (p = 0.0004), which is roughly twice the</w:t>
      </w:r>
      <w:r>
        <w:t xml:space="preserve"> </w:t>
      </w:r>
      <w:r>
        <w:t xml:space="preserve">next largest term in the table. Behind that effect, culture pH and culture temperature follow with opposite signs, at -4.17 and +2.97 respectively. Where a culture runs both warm and acidic, the two effects partly cancel.</w:t>
      </w:r>
    </w:p>
    <w:tbl>
      <w:tblPr>
        <w:tblStyle w:val="Table"/>
        <w:tblW w:type="pct" w:w="5000"/>
        <w:tblLayout w:type="fixed"/>
        <w:tblLook w:firstRow="0" w:lastRow="0" w:firstColumn="0" w:lastColumn="0" w:noHBand="0" w:noVBand="0" w:val="0000"/>
      </w:tblPr>
      <w:tblGrid>
        <w:gridCol w:w="7920"/>
      </w:tblGrid>
      <w:tr>
        <w:tc>
          <w:tcPr/>
          <w:bookmarkStart w:id="47" w:name="tbl-eff-ac"/>
          <w:p>
            <w:pPr>
              <w:jc w:val="center"/>
            </w:pPr>
            <w:pPr>
              <w:jc w:val="left"/>
              <w:spacing w:before="200"/>
              <w:pStyle w:val="ImageCaption"/>
            </w:pPr>
            <w:r>
              <w:t xml:space="preserve">Table 11: Screening effects on acidic variants, six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-8.15</w:t>
                  </w:r>
                </w:p>
              </w:tc>
              <w:tc>
                <w:tcPr/>
                <w:p>
                  <w:pPr>
                    <w:pStyle w:val="Compact"/>
                    <w:jc w:val="right"/>
                    <w:jc w:val="center"/>
                  </w:pPr>
                  <w:r>
                    <w:t xml:space="preserve">-4.08</w:t>
                  </w:r>
                </w:p>
              </w:tc>
              <w:tc>
                <w:tcPr/>
                <w:p>
                  <w:pPr>
                    <w:pStyle w:val="Compact"/>
                    <w:jc w:val="right"/>
                    <w:jc w:val="center"/>
                  </w:pPr>
                  <w:r>
                    <w:t xml:space="preserve">0.239</w:t>
                  </w:r>
                </w:p>
              </w:tc>
              <w:tc>
                <w:tcPr/>
                <w:p>
                  <w:pPr>
                    <w:pStyle w:val="Compact"/>
                    <w:jc w:val="right"/>
                    <w:jc w:val="center"/>
                  </w:pPr>
                  <w:r>
                    <w:t xml:space="preserve">-17</w:t>
                  </w:r>
                </w:p>
              </w:tc>
              <w:tc>
                <w:tcPr/>
                <w:p>
                  <w:pPr>
                    <w:pStyle w:val="Compact"/>
                    <w:jc w:val="right"/>
                    <w:jc w:val="center"/>
                  </w:pPr>
                  <w:r>
                    <w:t xml:space="preserve">0.000441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-4.17</w:t>
                  </w:r>
                </w:p>
              </w:tc>
              <w:tc>
                <w:tcPr/>
                <w:p>
                  <w:pPr>
                    <w:pStyle w:val="Compact"/>
                    <w:jc w:val="right"/>
                    <w:jc w:val="center"/>
                  </w:pPr>
                  <w:r>
                    <w:t xml:space="preserve">-2.08</w:t>
                  </w:r>
                </w:p>
              </w:tc>
              <w:tc>
                <w:tcPr/>
                <w:p>
                  <w:pPr>
                    <w:pStyle w:val="Compact"/>
                    <w:jc w:val="right"/>
                    <w:jc w:val="center"/>
                  </w:pPr>
                  <w:r>
                    <w:t xml:space="preserve">0.239</w:t>
                  </w:r>
                </w:p>
              </w:tc>
              <w:tc>
                <w:tcPr/>
                <w:p>
                  <w:pPr>
                    <w:pStyle w:val="Compact"/>
                    <w:jc w:val="right"/>
                    <w:jc w:val="center"/>
                  </w:pPr>
                  <w:r>
                    <w:t xml:space="preserve">-8.7</w:t>
                  </w:r>
                </w:p>
              </w:tc>
              <w:tc>
                <w:tcPr/>
                <w:p>
                  <w:pPr>
                    <w:pStyle w:val="Compact"/>
                    <w:jc w:val="right"/>
                    <w:jc w:val="center"/>
                  </w:pPr>
                  <w:r>
                    <w:t xml:space="preserve">0.00319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2.97</w:t>
                  </w:r>
                </w:p>
              </w:tc>
              <w:tc>
                <w:tcPr/>
                <w:p>
                  <w:pPr>
                    <w:pStyle w:val="Compact"/>
                    <w:jc w:val="right"/>
                    <w:jc w:val="center"/>
                  </w:pPr>
                  <w:r>
                    <w:t xml:space="preserve">1.48</w:t>
                  </w:r>
                </w:p>
              </w:tc>
              <w:tc>
                <w:tcPr/>
                <w:p>
                  <w:pPr>
                    <w:pStyle w:val="Compact"/>
                    <w:jc w:val="right"/>
                    <w:jc w:val="center"/>
                  </w:pPr>
                  <w:r>
                    <w:t xml:space="preserve">0.239</w:t>
                  </w:r>
                </w:p>
              </w:tc>
              <w:tc>
                <w:tcPr/>
                <w:p>
                  <w:pPr>
                    <w:pStyle w:val="Compact"/>
                    <w:jc w:val="right"/>
                    <w:jc w:val="center"/>
                  </w:pPr>
                  <w:r>
                    <w:t xml:space="preserve">6.19</w:t>
                  </w:r>
                </w:p>
              </w:tc>
              <w:tc>
                <w:tcPr/>
                <w:p>
                  <w:pPr>
                    <w:pStyle w:val="Compact"/>
                    <w:jc w:val="right"/>
                    <w:jc w:val="center"/>
                  </w:pPr>
                  <w:r>
                    <w:t xml:space="preserve">0.00848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-2.55</w:t>
                  </w:r>
                </w:p>
              </w:tc>
              <w:tc>
                <w:tcPr/>
                <w:p>
                  <w:pPr>
                    <w:pStyle w:val="Compact"/>
                    <w:jc w:val="right"/>
                    <w:jc w:val="center"/>
                  </w:pPr>
                  <w:r>
                    <w:t xml:space="preserve">-1.28</w:t>
                  </w:r>
                </w:p>
              </w:tc>
              <w:tc>
                <w:tcPr/>
                <w:p>
                  <w:pPr>
                    <w:pStyle w:val="Compact"/>
                    <w:jc w:val="right"/>
                    <w:jc w:val="center"/>
                  </w:pPr>
                  <w:r>
                    <w:t xml:space="preserve">0.239</w:t>
                  </w:r>
                </w:p>
              </w:tc>
              <w:tc>
                <w:tcPr/>
                <w:p>
                  <w:pPr>
                    <w:pStyle w:val="Compact"/>
                    <w:jc w:val="right"/>
                    <w:jc w:val="center"/>
                  </w:pPr>
                  <w:r>
                    <w:t xml:space="preserve">-5.34</w:t>
                  </w:r>
                </w:p>
              </w:tc>
              <w:tc>
                <w:tcPr/>
                <w:p>
                  <w:pPr>
                    <w:pStyle w:val="Compact"/>
                    <w:jc w:val="right"/>
                    <w:jc w:val="center"/>
                  </w:pPr>
                  <w:r>
                    <w:t xml:space="preserve">0.0129</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1.98</w:t>
                  </w:r>
                </w:p>
              </w:tc>
              <w:tc>
                <w:tcPr/>
                <w:p>
                  <w:pPr>
                    <w:pStyle w:val="Compact"/>
                    <w:jc w:val="right"/>
                    <w:jc w:val="center"/>
                  </w:pPr>
                  <w:r>
                    <w:t xml:space="preserve">0.992</w:t>
                  </w:r>
                </w:p>
              </w:tc>
              <w:tc>
                <w:tcPr/>
                <w:p>
                  <w:pPr>
                    <w:pStyle w:val="Compact"/>
                    <w:jc w:val="right"/>
                    <w:jc w:val="center"/>
                  </w:pPr>
                  <w:r>
                    <w:t xml:space="preserve">0.239</w:t>
                  </w:r>
                </w:p>
              </w:tc>
              <w:tc>
                <w:tcPr/>
                <w:p>
                  <w:pPr>
                    <w:pStyle w:val="Compact"/>
                    <w:jc w:val="right"/>
                    <w:jc w:val="center"/>
                  </w:pPr>
                  <w:r>
                    <w:t xml:space="preserve">4.15</w:t>
                  </w:r>
                </w:p>
              </w:tc>
              <w:tc>
                <w:tcPr/>
                <w:p>
                  <w:pPr>
                    <w:pStyle w:val="Compact"/>
                    <w:jc w:val="right"/>
                    <w:jc w:val="center"/>
                  </w:pPr>
                  <w:r>
                    <w:t xml:space="preserve">0.0255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-1.93</w:t>
                  </w:r>
                </w:p>
              </w:tc>
              <w:tc>
                <w:tcPr/>
                <w:p>
                  <w:pPr>
                    <w:pStyle w:val="Compact"/>
                    <w:jc w:val="right"/>
                    <w:jc w:val="center"/>
                  </w:pPr>
                  <w:r>
                    <w:t xml:space="preserve">-0.964</w:t>
                  </w:r>
                </w:p>
              </w:tc>
              <w:tc>
                <w:tcPr/>
                <w:p>
                  <w:pPr>
                    <w:pStyle w:val="Compact"/>
                    <w:jc w:val="right"/>
                    <w:jc w:val="center"/>
                  </w:pPr>
                  <w:r>
                    <w:t xml:space="preserve">0.239</w:t>
                  </w:r>
                </w:p>
              </w:tc>
              <w:tc>
                <w:tcPr/>
                <w:p>
                  <w:pPr>
                    <w:pStyle w:val="Compact"/>
                    <w:jc w:val="right"/>
                    <w:jc w:val="center"/>
                  </w:pPr>
                  <w:r>
                    <w:t xml:space="preserve">-4.03</w:t>
                  </w:r>
                </w:p>
              </w:tc>
              <w:tc>
                <w:tcPr/>
                <w:p>
                  <w:pPr>
                    <w:pStyle w:val="Compact"/>
                    <w:jc w:val="right"/>
                    <w:jc w:val="center"/>
                  </w:pPr>
                  <w:r>
                    <w:t xml:space="preserve">0.0275</w:t>
                  </w:r>
                </w:p>
              </w:tc>
              <w:tc>
                <w:tcPr/>
                <w:p>
                  <w:pPr>
                    <w:pStyle w:val="Compact"/>
                    <w:jc w:val="left"/>
                    <w:jc w:val="center"/>
                  </w:pPr>
                  <w:r>
                    <w:t xml:space="preserve">*</w:t>
                  </w:r>
                </w:p>
              </w:tc>
            </w:tr>
          </w:tbl>
          <w:bookmarkEnd w:id="47"/>
          <w:p/>
        </w:tc>
      </w:tr>
    </w:tbl>
    <w:p>
      <w:pPr>
        <w:pStyle w:val="BodyText"/>
      </w:pPr>
      <w:r>
        <w:t xml:space="preserve">Afucosylation and aggregate each rest on 3 significant terms of their own. For afucosylation the largest of them is the pH by duration interaction at</w:t>
      </w:r>
      <w:r>
        <w:t xml:space="preserve"> </w:t>
      </w:r>
      <w:r>
        <w:t xml:space="preserve">+2.46 percentage points, ahead of</w:t>
      </w:r>
      <w:r>
        <w:t xml:space="preserve"> </w:t>
      </w:r>
      <w:r>
        <w:t xml:space="preserve">the culture duration main effect at</w:t>
      </w:r>
      <w:r>
        <w:t xml:space="preserve"> </w:t>
      </w:r>
      <w:r>
        <w:t xml:space="preserve">-2.37 (</w:t>
      </w:r>
      <w:hyperlink w:anchor="tbl-eff-afu">
        <w:r>
          <w:rPr>
            <w:rStyle w:val="Hyperlink"/>
          </w:rPr>
          <w:t xml:space="preserve">Table 12</w:t>
        </w:r>
      </w:hyperlink>
      <w:r>
        <w:t xml:space="preserve">). For aggregate the</w:t>
      </w:r>
      <w:r>
        <w:t xml:space="preserve"> </w:t>
      </w:r>
      <w:r>
        <w:t xml:space="preserve">ranking is simpler, with culture pH at</w:t>
      </w:r>
      <w:r>
        <w:t xml:space="preserve"> </w:t>
      </w:r>
      <w:r>
        <w:t xml:space="preserve">+0.83 and culture duration at</w:t>
      </w:r>
      <w:r>
        <w:t xml:space="preserve"> </w:t>
      </w:r>
      <w:r>
        <w:t xml:space="preserve">+0.58 well ahead of one small interaction,</w:t>
      </w:r>
      <w:r>
        <w:t xml:space="preserve"> </w:t>
      </w:r>
      <w:r>
        <w:t xml:space="preserve">both of them in the direction the prior expectation of §2.1 predicts (</w:t>
      </w:r>
      <w:hyperlink w:anchor="tbl-eff-agg">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eff-afu"/>
          <w:p>
            <w:pPr>
              <w:jc w:val="center"/>
            </w:pPr>
            <w:pPr>
              <w:jc w:val="left"/>
              <w:spacing w:before="200"/>
              <w:pStyle w:val="ImageCaption"/>
            </w:pPr>
            <w:r>
              <w:t xml:space="preserve">Table 12: Screening effects on afucosylation, six largest by magnitude.</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0.266</w:t>
                  </w:r>
                </w:p>
              </w:tc>
              <w:tc>
                <w:tcPr/>
                <w:p>
                  <w:pPr>
                    <w:pStyle w:val="Compact"/>
                    <w:jc w:val="right"/>
                    <w:jc w:val="center"/>
                  </w:pPr>
                  <w:r>
                    <w:t xml:space="preserve">4.62</w:t>
                  </w:r>
                </w:p>
              </w:tc>
              <w:tc>
                <w:tcPr/>
                <w:p>
                  <w:pPr>
                    <w:pStyle w:val="Compact"/>
                    <w:jc w:val="right"/>
                    <w:jc w:val="center"/>
                  </w:pPr>
                  <w:r>
                    <w:t xml:space="preserve">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-2.37</w:t>
                  </w:r>
                </w:p>
              </w:tc>
              <w:tc>
                <w:tcPr/>
                <w:p>
                  <w:pPr>
                    <w:pStyle w:val="Compact"/>
                    <w:jc w:val="right"/>
                    <w:jc w:val="center"/>
                  </w:pPr>
                  <w:r>
                    <w:t xml:space="preserve">-1.19</w:t>
                  </w:r>
                </w:p>
              </w:tc>
              <w:tc>
                <w:tcPr/>
                <w:p>
                  <w:pPr>
                    <w:pStyle w:val="Compact"/>
                    <w:jc w:val="right"/>
                    <w:jc w:val="center"/>
                  </w:pPr>
                  <w:r>
                    <w:t xml:space="preserve">0.266</w:t>
                  </w:r>
                </w:p>
              </w:tc>
              <w:tc>
                <w:tcPr/>
                <w:p>
                  <w:pPr>
                    <w:pStyle w:val="Compact"/>
                    <w:jc w:val="right"/>
                    <w:jc w:val="center"/>
                  </w:pPr>
                  <w:r>
                    <w:t xml:space="preserve">-4.46</w:t>
                  </w:r>
                </w:p>
              </w:tc>
              <w:tc>
                <w:tcPr/>
                <w:p>
                  <w:pPr>
                    <w:pStyle w:val="Compact"/>
                    <w:jc w:val="right"/>
                    <w:jc w:val="center"/>
                  </w:pPr>
                  <w:r>
                    <w:t xml:space="preserve">0.0209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w:t>
                  </w:r>
                </w:p>
              </w:tc>
              <w:tc>
                <w:tcPr/>
                <w:p>
                  <w:pPr>
                    <w:pStyle w:val="Compact"/>
                    <w:jc w:val="right"/>
                    <w:jc w:val="center"/>
                  </w:pPr>
                  <w:r>
                    <w:t xml:space="preserve">-0.88</w:t>
                  </w:r>
                </w:p>
              </w:tc>
              <w:tc>
                <w:tcPr/>
                <w:p>
                  <w:pPr>
                    <w:pStyle w:val="Compact"/>
                    <w:jc w:val="right"/>
                    <w:jc w:val="center"/>
                  </w:pPr>
                  <w:r>
                    <w:t xml:space="preserve">0.266</w:t>
                  </w:r>
                </w:p>
              </w:tc>
              <w:tc>
                <w:tcPr/>
                <w:p>
                  <w:pPr>
                    <w:pStyle w:val="Compact"/>
                    <w:jc w:val="right"/>
                    <w:jc w:val="center"/>
                  </w:pPr>
                  <w:r>
                    <w:t xml:space="preserve">-3.31</w:t>
                  </w:r>
                </w:p>
              </w:tc>
              <w:tc>
                <w:tcPr/>
                <w:p>
                  <w:pPr>
                    <w:pStyle w:val="Compact"/>
                    <w:jc w:val="right"/>
                    <w:jc w:val="center"/>
                  </w:pPr>
                  <w:r>
                    <w:t xml:space="preserve">0.0455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w:t>
                  </w:r>
                </w:p>
              </w:tc>
              <w:tc>
                <w:tcPr/>
                <w:p>
                  <w:pPr>
                    <w:pStyle w:val="Compact"/>
                    <w:jc w:val="right"/>
                    <w:jc w:val="center"/>
                  </w:pPr>
                  <w:r>
                    <w:t xml:space="preserve">-0.785</w:t>
                  </w:r>
                </w:p>
              </w:tc>
              <w:tc>
                <w:tcPr/>
                <w:p>
                  <w:pPr>
                    <w:pStyle w:val="Compact"/>
                    <w:jc w:val="right"/>
                    <w:jc w:val="center"/>
                  </w:pPr>
                  <w:r>
                    <w:t xml:space="preserve">0.266</w:t>
                  </w:r>
                </w:p>
              </w:tc>
              <w:tc>
                <w:tcPr/>
                <w:p>
                  <w:pPr>
                    <w:pStyle w:val="Compact"/>
                    <w:jc w:val="right"/>
                    <w:jc w:val="center"/>
                  </w:pPr>
                  <w:r>
                    <w:t xml:space="preserve">-2.95</w:t>
                  </w:r>
                </w:p>
              </w:tc>
              <w:tc>
                <w:tcPr/>
                <w:p>
                  <w:pPr>
                    <w:pStyle w:val="Compact"/>
                    <w:jc w:val="right"/>
                    <w:jc w:val="center"/>
                  </w:pPr>
                  <w:r>
                    <w:t xml:space="preserve">0.06</w:t>
                  </w:r>
                </w:p>
              </w:tc>
              <w:tc>
                <w:tcPr/>
                <w:p>
                  <w:pPr>
                    <w:pStyle w:val="Compact"/>
                  </w:pPr>
                </w:p>
              </w:tc>
            </w:tr>
            <w:tr>
              <w:tc>
                <w:tcPr/>
                <w:p>
                  <w:pPr>
                    <w:pStyle w:val="Compact"/>
                    <w:jc w:val="left"/>
                    <w:jc w:val="center"/>
                  </w:pPr>
                  <w:r>
                    <w:t xml:space="preserve">B</w:t>
                  </w:r>
                </w:p>
              </w:tc>
              <w:tc>
                <w:tcPr/>
                <w:p>
                  <w:pPr>
                    <w:pStyle w:val="Compact"/>
                    <w:jc w:val="right"/>
                    <w:jc w:val="center"/>
                  </w:pPr>
                  <w:r>
                    <w:t xml:space="preserve">-1.34</w:t>
                  </w:r>
                </w:p>
              </w:tc>
              <w:tc>
                <w:tcPr/>
                <w:p>
                  <w:pPr>
                    <w:pStyle w:val="Compact"/>
                    <w:jc w:val="right"/>
                    <w:jc w:val="center"/>
                  </w:pPr>
                  <w:r>
                    <w:t xml:space="preserve">-0.671</w:t>
                  </w:r>
                </w:p>
              </w:tc>
              <w:tc>
                <w:tcPr/>
                <w:p>
                  <w:pPr>
                    <w:pStyle w:val="Compact"/>
                    <w:jc w:val="right"/>
                    <w:jc w:val="center"/>
                  </w:pPr>
                  <w:r>
                    <w:t xml:space="preserve">0.266</w:t>
                  </w:r>
                </w:p>
              </w:tc>
              <w:tc>
                <w:tcPr/>
                <w:p>
                  <w:pPr>
                    <w:pStyle w:val="Compact"/>
                    <w:jc w:val="right"/>
                    <w:jc w:val="center"/>
                  </w:pPr>
                  <w:r>
                    <w:t xml:space="preserve">-2.53</w:t>
                  </w:r>
                </w:p>
              </w:tc>
              <w:tc>
                <w:tcPr/>
                <w:p>
                  <w:pPr>
                    <w:pStyle w:val="Compact"/>
                    <w:jc w:val="right"/>
                    <w:jc w:val="center"/>
                  </w:pPr>
                  <w:r>
                    <w:t xml:space="preserve">0.0858</w:t>
                  </w:r>
                </w:p>
              </w:tc>
              <w:tc>
                <w:tcPr/>
                <w:p>
                  <w:pPr>
                    <w:pStyle w:val="Compact"/>
                  </w:pPr>
                </w:p>
              </w:tc>
            </w:tr>
            <w:tr>
              <w:tc>
                <w:tcPr/>
                <w:p>
                  <w:pPr>
                    <w:pStyle w:val="Compact"/>
                    <w:jc w:val="left"/>
                    <w:jc w:val="center"/>
                  </w:pPr>
                  <w:r>
                    <w:t xml:space="preserve">D</w:t>
                  </w:r>
                </w:p>
              </w:tc>
              <w:tc>
                <w:tcPr/>
                <w:p>
                  <w:pPr>
                    <w:pStyle w:val="Compact"/>
                    <w:jc w:val="right"/>
                    <w:jc w:val="center"/>
                  </w:pPr>
                  <w:r>
                    <w:t xml:space="preserve">-1.33</w:t>
                  </w:r>
                </w:p>
              </w:tc>
              <w:tc>
                <w:tcPr/>
                <w:p>
                  <w:pPr>
                    <w:pStyle w:val="Compact"/>
                    <w:jc w:val="right"/>
                    <w:jc w:val="center"/>
                  </w:pPr>
                  <w:r>
                    <w:t xml:space="preserve">-0.664</w:t>
                  </w:r>
                </w:p>
              </w:tc>
              <w:tc>
                <w:tcPr/>
                <w:p>
                  <w:pPr>
                    <w:pStyle w:val="Compact"/>
                    <w:jc w:val="right"/>
                    <w:jc w:val="center"/>
                  </w:pPr>
                  <w:r>
                    <w:t xml:space="preserve">0.266</w:t>
                  </w:r>
                </w:p>
              </w:tc>
              <w:tc>
                <w:tcPr/>
                <w:p>
                  <w:pPr>
                    <w:pStyle w:val="Compact"/>
                    <w:jc w:val="right"/>
                    <w:jc w:val="center"/>
                  </w:pPr>
                  <w:r>
                    <w:t xml:space="preserve">-2.5</w:t>
                  </w:r>
                </w:p>
              </w:tc>
              <w:tc>
                <w:tcPr/>
                <w:p>
                  <w:pPr>
                    <w:pStyle w:val="Compact"/>
                    <w:jc w:val="right"/>
                    <w:jc w:val="center"/>
                  </w:pPr>
                  <w:r>
                    <w:t xml:space="preserve">0.0878</w:t>
                  </w:r>
                </w:p>
              </w:tc>
              <w:tc>
                <w:tcPr/>
                <w:p>
                  <w:pPr>
                    <w:pStyle w:val="Compact"/>
                  </w:pP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eff-agg"/>
          <w:p>
            <w:pPr>
              <w:jc w:val="center"/>
            </w:pPr>
            <w:pPr>
              <w:jc w:val="left"/>
              <w:spacing w:before="200"/>
              <w:pStyle w:val="ImageCaption"/>
            </w:pPr>
            <w:r>
              <w:t xml:space="preserve">Table 13: Screening effects on aggregates (HMW), six largest by magnitude.</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0.834</w:t>
                  </w:r>
                </w:p>
              </w:tc>
              <w:tc>
                <w:tcPr/>
                <w:p>
                  <w:pPr>
                    <w:pStyle w:val="Compact"/>
                    <w:jc w:val="right"/>
                    <w:jc w:val="center"/>
                  </w:pPr>
                  <w:r>
                    <w:t xml:space="preserve">0.417</w:t>
                  </w:r>
                </w:p>
              </w:tc>
              <w:tc>
                <w:tcPr/>
                <w:p>
                  <w:pPr>
                    <w:pStyle w:val="Compact"/>
                    <w:jc w:val="right"/>
                    <w:jc w:val="center"/>
                  </w:pPr>
                  <w:r>
                    <w:t xml:space="preserve">0.0207</w:t>
                  </w:r>
                </w:p>
              </w:tc>
              <w:tc>
                <w:tcPr/>
                <w:p>
                  <w:pPr>
                    <w:pStyle w:val="Compact"/>
                    <w:jc w:val="right"/>
                    <w:jc w:val="center"/>
                  </w:pPr>
                  <w:r>
                    <w:t xml:space="preserve">20.1</w:t>
                  </w:r>
                </w:p>
              </w:tc>
              <w:tc>
                <w:tcPr/>
                <w:p>
                  <w:pPr>
                    <w:pStyle w:val="Compact"/>
                    <w:jc w:val="right"/>
                    <w:jc w:val="center"/>
                  </w:pPr>
                  <w:r>
                    <w:t xml:space="preserve">0.000268</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w:t>
                  </w:r>
                </w:p>
              </w:tc>
              <w:tc>
                <w:tcPr/>
                <w:p>
                  <w:pPr>
                    <w:pStyle w:val="Compact"/>
                    <w:jc w:val="right"/>
                    <w:jc w:val="center"/>
                  </w:pPr>
                  <w:r>
                    <w:t xml:space="preserve">0.289</w:t>
                  </w:r>
                </w:p>
              </w:tc>
              <w:tc>
                <w:tcPr/>
                <w:p>
                  <w:pPr>
                    <w:pStyle w:val="Compact"/>
                    <w:jc w:val="right"/>
                    <w:jc w:val="center"/>
                  </w:pPr>
                  <w:r>
                    <w:t xml:space="preserve">0.0207</w:t>
                  </w:r>
                </w:p>
              </w:tc>
              <w:tc>
                <w:tcPr/>
                <w:p>
                  <w:pPr>
                    <w:pStyle w:val="Compact"/>
                    <w:jc w:val="right"/>
                    <w:jc w:val="center"/>
                  </w:pPr>
                  <w:r>
                    <w:t xml:space="preserve">13.9</w:t>
                  </w:r>
                </w:p>
              </w:tc>
              <w:tc>
                <w:tcPr/>
                <w:p>
                  <w:pPr>
                    <w:pStyle w:val="Compact"/>
                    <w:jc w:val="right"/>
                    <w:jc w:val="center"/>
                  </w:pPr>
                  <w:r>
                    <w:t xml:space="preserve">0.0008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w:t>
                  </w:r>
                </w:p>
              </w:tc>
              <w:tc>
                <w:tcPr/>
                <w:p>
                  <w:pPr>
                    <w:pStyle w:val="Compact"/>
                    <w:jc w:val="right"/>
                    <w:jc w:val="center"/>
                  </w:pPr>
                  <w:r>
                    <w:t xml:space="preserve">-0.0705</w:t>
                  </w:r>
                </w:p>
              </w:tc>
              <w:tc>
                <w:tcPr/>
                <w:p>
                  <w:pPr>
                    <w:pStyle w:val="Compact"/>
                    <w:jc w:val="right"/>
                    <w:jc w:val="center"/>
                  </w:pPr>
                  <w:r>
                    <w:t xml:space="preserve">0.0207</w:t>
                  </w:r>
                </w:p>
              </w:tc>
              <w:tc>
                <w:tcPr/>
                <w:p>
                  <w:pPr>
                    <w:pStyle w:val="Compact"/>
                    <w:jc w:val="right"/>
                    <w:jc w:val="center"/>
                  </w:pPr>
                  <w:r>
                    <w:t xml:space="preserve">-3.4</w:t>
                  </w:r>
                </w:p>
              </w:tc>
              <w:tc>
                <w:tcPr/>
                <w:p>
                  <w:pPr>
                    <w:pStyle w:val="Compact"/>
                    <w:jc w:val="right"/>
                    <w:jc w:val="center"/>
                  </w:pPr>
                  <w:r>
                    <w:t xml:space="preserve">0.0424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w:t>
                  </w:r>
                </w:p>
              </w:tc>
              <w:tc>
                <w:tcPr/>
                <w:p>
                  <w:pPr>
                    <w:pStyle w:val="Compact"/>
                    <w:jc w:val="right"/>
                    <w:jc w:val="center"/>
                  </w:pPr>
                  <w:r>
                    <w:t xml:space="preserve">0.058</w:t>
                  </w:r>
                </w:p>
              </w:tc>
              <w:tc>
                <w:tcPr/>
                <w:p>
                  <w:pPr>
                    <w:pStyle w:val="Compact"/>
                    <w:jc w:val="right"/>
                    <w:jc w:val="center"/>
                  </w:pPr>
                  <w:r>
                    <w:t xml:space="preserve">0.0207</w:t>
                  </w:r>
                </w:p>
              </w:tc>
              <w:tc>
                <w:tcPr/>
                <w:p>
                  <w:pPr>
                    <w:pStyle w:val="Compact"/>
                    <w:jc w:val="right"/>
                    <w:jc w:val="center"/>
                  </w:pPr>
                  <w:r>
                    <w:t xml:space="preserve">2.8</w:t>
                  </w:r>
                </w:p>
              </w:tc>
              <w:tc>
                <w:tcPr/>
                <w:p>
                  <w:pPr>
                    <w:pStyle w:val="Compact"/>
                    <w:jc w:val="right"/>
                    <w:jc w:val="center"/>
                  </w:pPr>
                  <w:r>
                    <w:t xml:space="preserve">0.0678</w:t>
                  </w:r>
                </w:p>
              </w:tc>
              <w:tc>
                <w:tcPr/>
                <w:p>
                  <w:pPr>
                    <w:pStyle w:val="Compact"/>
                  </w:pPr>
                </w:p>
              </w:tc>
            </w:tr>
            <w:tr>
              <w:tc>
                <w:tcPr/>
                <w:p>
                  <w:pPr>
                    <w:pStyle w:val="Compact"/>
                    <w:jc w:val="left"/>
                    <w:jc w:val="center"/>
                  </w:pPr>
                  <w:r>
                    <w:t xml:space="preserve">CD</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0.0207</w:t>
                  </w:r>
                </w:p>
              </w:tc>
              <w:tc>
                <w:tcPr/>
                <w:p>
                  <w:pPr>
                    <w:pStyle w:val="Compact"/>
                    <w:jc w:val="right"/>
                    <w:jc w:val="center"/>
                  </w:pPr>
                  <w:r>
                    <w:t xml:space="preserve">-1.79</w:t>
                  </w:r>
                </w:p>
              </w:tc>
              <w:tc>
                <w:tcPr/>
                <w:p>
                  <w:pPr>
                    <w:pStyle w:val="Compact"/>
                    <w:jc w:val="right"/>
                    <w:jc w:val="center"/>
                  </w:pPr>
                  <w:r>
                    <w:t xml:space="preserve">0.171</w:t>
                  </w:r>
                </w:p>
              </w:tc>
              <w:tc>
                <w:tcPr/>
                <w:p>
                  <w:pPr>
                    <w:pStyle w:val="Compact"/>
                  </w:pPr>
                </w:p>
              </w:tc>
            </w:tr>
            <w:tr>
              <w:tc>
                <w:tcPr/>
                <w:p>
                  <w:pPr>
                    <w:pStyle w:val="Compact"/>
                    <w:jc w:val="left"/>
                    <w:jc w:val="center"/>
                  </w:pPr>
                  <w:r>
                    <w:t xml:space="preserve">AD</w:t>
                  </w:r>
                </w:p>
              </w:tc>
              <w:tc>
                <w:tcPr/>
                <w:p>
                  <w:pPr>
                    <w:pStyle w:val="Compact"/>
                    <w:jc w:val="right"/>
                    <w:jc w:val="center"/>
                  </w:pPr>
                  <w:r>
                    <w:t xml:space="preserve">-0.0666</w:t>
                  </w:r>
                </w:p>
              </w:tc>
              <w:tc>
                <w:tcPr/>
                <w:p>
                  <w:pPr>
                    <w:pStyle w:val="Compact"/>
                    <w:jc w:val="right"/>
                    <w:jc w:val="center"/>
                  </w:pPr>
                  <w:r>
                    <w:t xml:space="preserve">-0.0333</w:t>
                  </w:r>
                </w:p>
              </w:tc>
              <w:tc>
                <w:tcPr/>
                <w:p>
                  <w:pPr>
                    <w:pStyle w:val="Compact"/>
                    <w:jc w:val="right"/>
                    <w:jc w:val="center"/>
                  </w:pPr>
                  <w:r>
                    <w:t xml:space="preserve">0.0207</w:t>
                  </w:r>
                </w:p>
              </w:tc>
              <w:tc>
                <w:tcPr/>
                <w:p>
                  <w:pPr>
                    <w:pStyle w:val="Compact"/>
                    <w:jc w:val="right"/>
                    <w:jc w:val="center"/>
                  </w:pPr>
                  <w:r>
                    <w:t xml:space="preserve">-1.61</w:t>
                  </w:r>
                </w:p>
              </w:tc>
              <w:tc>
                <w:tcPr/>
                <w:p>
                  <w:pPr>
                    <w:pStyle w:val="Compact"/>
                    <w:jc w:val="right"/>
                    <w:jc w:val="center"/>
                  </w:pPr>
                  <w:r>
                    <w:t xml:space="preserve">0.206</w:t>
                  </w:r>
                </w:p>
              </w:tc>
              <w:tc>
                <w:tcPr/>
                <w:p>
                  <w:pPr>
                    <w:pStyle w:val="Compact"/>
                  </w:pPr>
                </w:p>
              </w:tc>
            </w:tr>
          </w:tbl>
          <w:bookmarkEnd w:id="49"/>
          <w:p/>
        </w:tc>
      </w:tr>
    </w:tbl>
    <w:p>
      <w:pPr>
        <w:pStyle w:val="BodyText"/>
      </w:pPr>
      <w:r>
        <w:t xml:space="preserve">Of the five responses, high mannose was resolved on the fewest terms. Only 2 terms</w:t>
      </w:r>
      <w:r>
        <w:t xml:space="preserve"> </w:t>
      </w:r>
      <w:r>
        <w:t xml:space="preserve">reach significance, both of them main effects: culture pH at</w:t>
      </w:r>
      <w:r>
        <w:t xml:space="preserve"> </w:t>
      </w:r>
      <w:r>
        <w:t xml:space="preserve">+1.51 percentage points and culture temperature at</w:t>
      </w:r>
      <w:r>
        <w:t xml:space="preserve"> </w:t>
      </w:r>
      <w:r>
        <w:t xml:space="preserve">-1.39. Over the ranges screened, dissolved CO2, osmolality and culture duration stay inactive on this response. That null result was</w:t>
      </w:r>
      <w:r>
        <w:t xml:space="preserve"> </w:t>
      </w:r>
      <w:r>
        <w:t xml:space="preserve">retained in the knowledge space, because it establishes that the attribute of highest</w:t>
      </w:r>
      <w:r>
        <w:t xml:space="preserve"> </w:t>
      </w:r>
      <w:r>
        <w:t xml:space="preserve">criticality among the seven depends on the two parameters held under continuous closed-loop</w:t>
      </w:r>
      <w:r>
        <w:t xml:space="preserve"> </w:t>
      </w:r>
      <w:r>
        <w:t xml:space="preserve">control (</w:t>
      </w:r>
      <w:hyperlink w:anchor="tbl-eff-h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eff-hm"/>
          <w:p>
            <w:pPr>
              <w:jc w:val="center"/>
            </w:pPr>
            <w:pPr>
              <w:jc w:val="left"/>
              <w:spacing w:before="200"/>
              <w:pStyle w:val="ImageCaption"/>
            </w:pPr>
            <w:r>
              <w:t xml:space="preserve">Table 14: Screening effects on high mannose, six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w:t>
                  </w:r>
                </w:p>
              </w:tc>
              <w:tc>
                <w:tcPr/>
                <w:p>
                  <w:pPr>
                    <w:pStyle w:val="Compact"/>
                    <w:jc w:val="right"/>
                    <w:jc w:val="center"/>
                  </w:pPr>
                  <w:r>
                    <w:t xml:space="preserve">0.756</w:t>
                  </w:r>
                </w:p>
              </w:tc>
              <w:tc>
                <w:tcPr/>
                <w:p>
                  <w:pPr>
                    <w:pStyle w:val="Compact"/>
                    <w:jc w:val="right"/>
                    <w:jc w:val="center"/>
                  </w:pPr>
                  <w:r>
                    <w:t xml:space="preserve">0.155</w:t>
                  </w:r>
                </w:p>
              </w:tc>
              <w:tc>
                <w:tcPr/>
                <w:p>
                  <w:pPr>
                    <w:pStyle w:val="Compact"/>
                    <w:jc w:val="right"/>
                    <w:jc w:val="center"/>
                  </w:pPr>
                  <w:r>
                    <w:t xml:space="preserve">4.89</w:t>
                  </w:r>
                </w:p>
              </w:tc>
              <w:tc>
                <w:tcPr/>
                <w:p>
                  <w:pPr>
                    <w:pStyle w:val="Compact"/>
                    <w:jc w:val="right"/>
                    <w:jc w:val="center"/>
                  </w:pPr>
                  <w:r>
                    <w:t xml:space="preserve">0.0164</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-1.39</w:t>
                  </w:r>
                </w:p>
              </w:tc>
              <w:tc>
                <w:tcPr/>
                <w:p>
                  <w:pPr>
                    <w:pStyle w:val="Compact"/>
                    <w:jc w:val="right"/>
                    <w:jc w:val="center"/>
                  </w:pPr>
                  <w:r>
                    <w:t xml:space="preserve">-0.696</w:t>
                  </w:r>
                </w:p>
              </w:tc>
              <w:tc>
                <w:tcPr/>
                <w:p>
                  <w:pPr>
                    <w:pStyle w:val="Compact"/>
                    <w:jc w:val="right"/>
                    <w:jc w:val="center"/>
                  </w:pPr>
                  <w:r>
                    <w:t xml:space="preserve">0.155</w:t>
                  </w:r>
                </w:p>
              </w:tc>
              <w:tc>
                <w:tcPr/>
                <w:p>
                  <w:pPr>
                    <w:pStyle w:val="Compact"/>
                    <w:jc w:val="right"/>
                    <w:jc w:val="center"/>
                  </w:pPr>
                  <w:r>
                    <w:t xml:space="preserve">-4.5</w:t>
                  </w:r>
                </w:p>
              </w:tc>
              <w:tc>
                <w:tcPr/>
                <w:p>
                  <w:pPr>
                    <w:pStyle w:val="Compact"/>
                    <w:jc w:val="right"/>
                    <w:jc w:val="center"/>
                  </w:pPr>
                  <w:r>
                    <w:t xml:space="preserve">0.0205</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-0.446</w:t>
                  </w:r>
                </w:p>
              </w:tc>
              <w:tc>
                <w:tcPr/>
                <w:p>
                  <w:pPr>
                    <w:pStyle w:val="Compact"/>
                    <w:jc w:val="right"/>
                    <w:jc w:val="center"/>
                  </w:pPr>
                  <w:r>
                    <w:t xml:space="preserve">-0.223</w:t>
                  </w:r>
                </w:p>
              </w:tc>
              <w:tc>
                <w:tcPr/>
                <w:p>
                  <w:pPr>
                    <w:pStyle w:val="Compact"/>
                    <w:jc w:val="right"/>
                    <w:jc w:val="center"/>
                  </w:pPr>
                  <w:r>
                    <w:t xml:space="preserve">0.155</w:t>
                  </w:r>
                </w:p>
              </w:tc>
              <w:tc>
                <w:tcPr/>
                <w:p>
                  <w:pPr>
                    <w:pStyle w:val="Compact"/>
                    <w:jc w:val="right"/>
                    <w:jc w:val="center"/>
                  </w:pPr>
                  <w:r>
                    <w:t xml:space="preserve">-1.44</w:t>
                  </w:r>
                </w:p>
              </w:tc>
              <w:tc>
                <w:tcPr/>
                <w:p>
                  <w:pPr>
                    <w:pStyle w:val="Compact"/>
                    <w:jc w:val="right"/>
                    <w:jc w:val="center"/>
                  </w:pPr>
                  <w:r>
                    <w:t xml:space="preserve">0.245</w:t>
                  </w:r>
                </w:p>
              </w:tc>
              <w:tc>
                <w:tcPr/>
                <w:p>
                  <w:pPr>
                    <w:pStyle w:val="Compact"/>
                  </w:pPr>
                </w:p>
              </w:tc>
            </w:tr>
            <w:tr>
              <w:tc>
                <w:tcPr/>
                <w:p>
                  <w:pPr>
                    <w:pStyle w:val="Compact"/>
                    <w:jc w:val="left"/>
                    <w:jc w:val="center"/>
                  </w:pPr>
                  <w:r>
                    <w:t xml:space="preserve">BC</w:t>
                  </w:r>
                </w:p>
              </w:tc>
              <w:tc>
                <w:tcPr/>
                <w:p>
                  <w:pPr>
                    <w:pStyle w:val="Compact"/>
                    <w:jc w:val="right"/>
                    <w:jc w:val="center"/>
                  </w:pPr>
                  <w:r>
                    <w:t xml:space="preserve">0.369</w:t>
                  </w:r>
                </w:p>
              </w:tc>
              <w:tc>
                <w:tcPr/>
                <w:p>
                  <w:pPr>
                    <w:pStyle w:val="Compact"/>
                    <w:jc w:val="right"/>
                    <w:jc w:val="center"/>
                  </w:pPr>
                  <w:r>
                    <w:t xml:space="preserve">0.185</w:t>
                  </w:r>
                </w:p>
              </w:tc>
              <w:tc>
                <w:tcPr/>
                <w:p>
                  <w:pPr>
                    <w:pStyle w:val="Compact"/>
                    <w:jc w:val="right"/>
                    <w:jc w:val="center"/>
                  </w:pPr>
                  <w:r>
                    <w:t xml:space="preserve">0.155</w:t>
                  </w:r>
                </w:p>
              </w:tc>
              <w:tc>
                <w:tcPr/>
                <w:p>
                  <w:pPr>
                    <w:pStyle w:val="Compact"/>
                    <w:jc w:val="right"/>
                    <w:jc w:val="center"/>
                  </w:pPr>
                  <w:r>
                    <w:t xml:space="preserve">1.19</w:t>
                  </w:r>
                </w:p>
              </w:tc>
              <w:tc>
                <w:tcPr/>
                <w:p>
                  <w:pPr>
                    <w:pStyle w:val="Compact"/>
                    <w:jc w:val="right"/>
                    <w:jc w:val="center"/>
                  </w:pPr>
                  <w:r>
                    <w:t xml:space="preserve">0.318</w:t>
                  </w:r>
                </w:p>
              </w:tc>
              <w:tc>
                <w:tcPr/>
                <w:p>
                  <w:pPr>
                    <w:pStyle w:val="Compact"/>
                  </w:pPr>
                </w:p>
              </w:tc>
            </w:tr>
            <w:tr>
              <w:tc>
                <w:tcPr/>
                <w:p>
                  <w:pPr>
                    <w:pStyle w:val="Compact"/>
                    <w:jc w:val="left"/>
                    <w:jc w:val="center"/>
                  </w:pPr>
                  <w:r>
                    <w:t xml:space="preserve">E</w:t>
                  </w:r>
                </w:p>
              </w:tc>
              <w:tc>
                <w:tcPr/>
                <w:p>
                  <w:pPr>
                    <w:pStyle w:val="Compact"/>
                    <w:jc w:val="right"/>
                    <w:jc w:val="center"/>
                  </w:pPr>
                  <w:r>
                    <w:t xml:space="preserve">0.158</w:t>
                  </w:r>
                </w:p>
              </w:tc>
              <w:tc>
                <w:tcPr/>
                <w:p>
                  <w:pPr>
                    <w:pStyle w:val="Compact"/>
                    <w:jc w:val="right"/>
                    <w:jc w:val="center"/>
                  </w:pPr>
                  <w:r>
                    <w:t xml:space="preserve">0.0791</w:t>
                  </w:r>
                </w:p>
              </w:tc>
              <w:tc>
                <w:tcPr/>
                <w:p>
                  <w:pPr>
                    <w:pStyle w:val="Compact"/>
                    <w:jc w:val="right"/>
                    <w:jc w:val="center"/>
                  </w:pPr>
                  <w:r>
                    <w:t xml:space="preserve">0.155</w:t>
                  </w:r>
                </w:p>
              </w:tc>
              <w:tc>
                <w:tcPr/>
                <w:p>
                  <w:pPr>
                    <w:pStyle w:val="Compact"/>
                    <w:jc w:val="right"/>
                    <w:jc w:val="center"/>
                  </w:pPr>
                  <w:r>
                    <w:t xml:space="preserve">0.511</w:t>
                  </w:r>
                </w:p>
              </w:tc>
              <w:tc>
                <w:tcPr/>
                <w:p>
                  <w:pPr>
                    <w:pStyle w:val="Compact"/>
                    <w:jc w:val="right"/>
                    <w:jc w:val="center"/>
                  </w:pPr>
                  <w:r>
                    <w:t xml:space="preserve">0.645</w:t>
                  </w:r>
                </w:p>
              </w:tc>
              <w:tc>
                <w:tcPr/>
                <w:p>
                  <w:pPr>
                    <w:pStyle w:val="Compact"/>
                  </w:pPr>
                </w:p>
              </w:tc>
            </w:tr>
            <w:tr>
              <w:tc>
                <w:tcPr/>
                <w:p>
                  <w:pPr>
                    <w:pStyle w:val="Compact"/>
                    <w:jc w:val="left"/>
                    <w:jc w:val="center"/>
                  </w:pPr>
                  <w:r>
                    <w:t xml:space="preserve">D</w:t>
                  </w:r>
                </w:p>
              </w:tc>
              <w:tc>
                <w:tcPr/>
                <w:p>
                  <w:pPr>
                    <w:pStyle w:val="Compact"/>
                    <w:jc w:val="right"/>
                    <w:jc w:val="center"/>
                  </w:pPr>
                  <w:r>
                    <w:t xml:space="preserve">-0.139</w:t>
                  </w:r>
                </w:p>
              </w:tc>
              <w:tc>
                <w:tcPr/>
                <w:p>
                  <w:pPr>
                    <w:pStyle w:val="Compact"/>
                    <w:jc w:val="right"/>
                    <w:jc w:val="center"/>
                  </w:pPr>
                  <w:r>
                    <w:t xml:space="preserve">-0.0693</w:t>
                  </w:r>
                </w:p>
              </w:tc>
              <w:tc>
                <w:tcPr/>
                <w:p>
                  <w:pPr>
                    <w:pStyle w:val="Compact"/>
                    <w:jc w:val="right"/>
                    <w:jc w:val="center"/>
                  </w:pPr>
                  <w:r>
                    <w:t xml:space="preserve">0.155</w:t>
                  </w:r>
                </w:p>
              </w:tc>
              <w:tc>
                <w:tcPr/>
                <w:p>
                  <w:pPr>
                    <w:pStyle w:val="Compact"/>
                    <w:jc w:val="right"/>
                    <w:jc w:val="center"/>
                  </w:pPr>
                  <w:r>
                    <w:t xml:space="preserve">-0.448</w:t>
                  </w:r>
                </w:p>
              </w:tc>
              <w:tc>
                <w:tcPr/>
                <w:p>
                  <w:pPr>
                    <w:pStyle w:val="Compact"/>
                    <w:jc w:val="right"/>
                    <w:jc w:val="center"/>
                  </w:pPr>
                  <w:r>
                    <w:t xml:space="preserve">0.685</w:t>
                  </w:r>
                </w:p>
              </w:tc>
              <w:tc>
                <w:tcPr/>
                <w:p>
                  <w:pPr>
                    <w:pStyle w:val="Compact"/>
                  </w:pPr>
                </w:p>
              </w:tc>
            </w:tr>
          </w:tbl>
          <w:bookmarkEnd w:id="50"/>
          <w:p/>
        </w:tc>
      </w:tr>
    </w:tbl>
    <w:p>
      <w:pPr>
        <w:pStyle w:val="BodyText"/>
      </w:pPr>
      <w:r>
        <w:t xml:space="preserve">The standardized effects for the two glycan responses carrying the most terms are ranked in</w:t>
      </w:r>
      <w:r>
        <w:t xml:space="preserve"> </w:t>
      </w:r>
      <w:hyperlink w:anchor="fig-pareto">
        <w:r>
          <w:rPr>
            <w:rStyle w:val="Hyperlink"/>
          </w:rPr>
          <w:t xml:space="preserve">Figure 2</w:t>
        </w:r>
      </w:hyperlink>
      <w:r>
        <w:t xml:space="preserve">.</w:t>
      </w:r>
      <w:r>
        <w:t xml:space="preserve"> </w:t>
      </w:r>
      <w:r>
        <w:t xml:space="preserve">The contrast between the two panels makes the argument for the design that follows, since</w:t>
      </w:r>
      <w:r>
        <w:t xml:space="preserve"> </w:t>
      </w:r>
      <w:r>
        <w:t xml:space="preserve">galactosylation is moved by four factors and by several of their interactions, whereas afucosylation is dominated by a single interaction and a single main effect of comparable size.</w:t>
      </w:r>
    </w:p>
    <w:tbl>
      <w:tblPr>
        <w:tblStyle w:val="Table"/>
        <w:tblW w:type="pct" w:w="5000"/>
        <w:tblLayout w:type="fixed"/>
        <w:tblLook w:firstRow="0" w:lastRow="0" w:firstColumn="0" w:lastColumn="0" w:noHBand="0" w:noVBand="0" w:val="0000"/>
      </w:tblPr>
      <w:tblGrid>
        <w:gridCol w:w="7920"/>
      </w:tblGrid>
      <w:tr>
        <w:tc>
          <w:tcPr/>
          <w:bookmarkStart w:id="54" w:name="fig-pareto"/>
          <w:p>
            <w:pPr>
              <w:pStyle w:val="Compact"/>
              <w:jc w:val="center"/>
            </w:pPr>
            <w:r>
              <w:drawing>
                <wp:inline>
                  <wp:extent cx="5334000" cy="1745450"/>
                  <wp:effectExtent b="0" l="0" r="0" t="0"/>
                  <wp:docPr descr="" title="" id="52" name="Picture"/>
                  <a:graphic>
                    <a:graphicData uri="http://schemas.openxmlformats.org/drawingml/2006/picture">
                      <pic:pic>
                        <pic:nvPicPr>
                          <pic:cNvPr descr="../outputs/figures/fig_bioreactor_pareto.png" id="53" name="Picture"/>
                          <pic:cNvPicPr>
                            <a:picLocks noChangeArrowheads="1" noChangeAspect="1"/>
                          </pic:cNvPicPr>
                        </pic:nvPicPr>
                        <pic:blipFill>
                          <a:blip r:embed="rId51"/>
                          <a:stretch>
                            <a:fillRect/>
                          </a:stretch>
                        </pic:blipFill>
                        <pic:spPr bwMode="auto">
                          <a:xfrm>
                            <a:off x="0" y="0"/>
                            <a:ext cx="5334000" cy="1745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Standardized screening effects on afucosylation and galactosylation. Significant terms are shown in red.</w:t>
            </w:r>
          </w:p>
          <w:bookmarkEnd w:id="54"/>
        </w:tc>
      </w:tr>
    </w:tbl>
    <w:bookmarkEnd w:id="55"/>
    <w:bookmarkStart w:id="81" w:name="response-surface-models"/>
    <w:p>
      <w:pPr>
        <w:pStyle w:val="Heading2"/>
      </w:pPr>
      <w:r>
        <w:t xml:space="preserve">5.3 Response-surface models</w:t>
      </w:r>
    </w:p>
    <w:p>
      <w:pPr>
        <w:pStyle w:val="FirstParagraph"/>
      </w:pPr>
      <w:r>
        <w:t xml:space="preserve">The response surface models describe the characterized region adequately. Within that region, those models carry the predictive claim of this report. The model summaries for all five responses are given in</w:t>
      </w:r>
      <w:r>
        <w:t xml:space="preserve"> </w:t>
      </w:r>
      <w:hyperlink w:anchor="tbl-fit-rsm">
        <w:r>
          <w:rPr>
            <w:rStyle w:val="Hyperlink"/>
          </w:rPr>
          <w:t xml:space="preserve">Table 15</w:t>
        </w:r>
      </w:hyperlink>
      <w:r>
        <w:t xml:space="preserve">. R² runs from 0.911 to 0.971, at a lowest adjusted R² of 0.815. Across the five responses, every overall F test reaches significance, the weakest of them at p = 0.00012.</w:t>
      </w:r>
    </w:p>
    <w:tbl>
      <w:tblPr>
        <w:tblStyle w:val="Table"/>
        <w:tblW w:type="pct" w:w="5000"/>
        <w:tblLayout w:type="fixed"/>
        <w:tblLook w:firstRow="0" w:lastRow="0" w:firstColumn="0" w:lastColumn="0" w:noHBand="0" w:noVBand="0" w:val="0000"/>
      </w:tblPr>
      <w:tblGrid>
        <w:gridCol w:w="7920"/>
      </w:tblGrid>
      <w:tr>
        <w:tc>
          <w:tcPr/>
          <w:bookmarkStart w:id="56" w:name="tbl-fit-rsm"/>
          <w:p>
            <w:pPr>
              <w:jc w:val="center"/>
            </w:pPr>
            <w:pPr>
              <w:jc w:val="left"/>
              <w:spacing w:before="200"/>
              <w:pStyle w:val="ImageCaption"/>
            </w:pPr>
            <w:r>
              <w:t xml:space="preserve">Table 15: Response-surface model summaries.</w:t>
            </w:r>
          </w:p>
          <w:tbl>
            <w:tblPr>
              <w:tblStyle w:val="Table"/>
              <w:tblW w:type="pct" w:w="5000"/>
              <w:tblLayout w:type="fixed"/>
              <w:tblLook w:firstRow="1" w:lastRow="0" w:firstColumn="0" w:lastColumn="0" w:noHBand="0" w:noVBand="0" w:val="0020"/>
            </w:tblPr>
            <w:tblGrid>
              <w:gridCol w:w="1804"/>
              <w:gridCol w:w="501"/>
              <w:gridCol w:w="701"/>
              <w:gridCol w:w="1102"/>
              <w:gridCol w:w="1203"/>
              <w:gridCol w:w="7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28</w:t>
                  </w:r>
                </w:p>
              </w:tc>
              <w:tc>
                <w:tcPr/>
                <w:p>
                  <w:pPr>
                    <w:pStyle w:val="Compact"/>
                    <w:jc w:val="right"/>
                    <w:jc w:val="center"/>
                  </w:pPr>
                  <w:r>
                    <w:t xml:space="preserve">0.963</w:t>
                  </w:r>
                </w:p>
              </w:tc>
              <w:tc>
                <w:tcPr/>
                <w:p>
                  <w:pPr>
                    <w:pStyle w:val="Compact"/>
                    <w:jc w:val="right"/>
                    <w:jc w:val="center"/>
                  </w:pPr>
                  <w:r>
                    <w:t xml:space="preserve">0.923</w:t>
                  </w:r>
                </w:p>
              </w:tc>
              <w:tc>
                <w:tcPr/>
                <w:p>
                  <w:pPr>
                    <w:pStyle w:val="Compact"/>
                    <w:jc w:val="right"/>
                    <w:jc w:val="center"/>
                  </w:pPr>
                  <w:r>
                    <w:t xml:space="preserve">0.795</w:t>
                  </w:r>
                </w:p>
              </w:tc>
              <w:tc>
                <w:tcPr/>
                <w:p>
                  <w:pPr>
                    <w:pStyle w:val="Compact"/>
                    <w:jc w:val="right"/>
                    <w:jc w:val="center"/>
                  </w:pPr>
                  <w:r>
                    <w:t xml:space="preserve">24.3</w:t>
                  </w:r>
                </w:p>
              </w:tc>
              <w:tc>
                <w:tcPr/>
                <w:p>
                  <w:pPr>
                    <w:pStyle w:val="Compact"/>
                    <w:jc w:val="right"/>
                    <w:jc w:val="center"/>
                  </w:pPr>
                  <w:r>
                    <w:t xml:space="preserve">5.05e-07</w:t>
                  </w:r>
                </w:p>
              </w:tc>
              <w:tc>
                <w:tcPr/>
                <w:p>
                  <w:pPr>
                    <w:pStyle w:val="Compact"/>
                    <w:jc w:val="right"/>
                    <w:jc w:val="center"/>
                  </w:pPr>
                  <w:r>
                    <w:t xml:space="preserve">0.584</w:t>
                  </w:r>
                </w:p>
              </w:tc>
            </w:tr>
            <w:tr>
              <w:tc>
                <w:tcPr/>
                <w:p>
                  <w:pPr>
                    <w:pStyle w:val="Compact"/>
                    <w:jc w:val="left"/>
                    <w:jc w:val="center"/>
                  </w:pPr>
                  <w:r>
                    <w:t xml:space="preserve">Galactosylation</w:t>
                  </w:r>
                </w:p>
              </w:tc>
              <w:tc>
                <w:tcPr/>
                <w:p>
                  <w:pPr>
                    <w:pStyle w:val="Compact"/>
                    <w:jc w:val="right"/>
                    <w:jc w:val="center"/>
                  </w:pPr>
                  <w:r>
                    <w:t xml:space="preserve">28</w:t>
                  </w:r>
                </w:p>
              </w:tc>
              <w:tc>
                <w:tcPr/>
                <w:p>
                  <w:pPr>
                    <w:pStyle w:val="Compact"/>
                    <w:jc w:val="right"/>
                    <w:jc w:val="center"/>
                  </w:pPr>
                  <w:r>
                    <w:t xml:space="preserve">0.971</w:t>
                  </w:r>
                </w:p>
              </w:tc>
              <w:tc>
                <w:tcPr/>
                <w:p>
                  <w:pPr>
                    <w:pStyle w:val="Compact"/>
                    <w:jc w:val="right"/>
                    <w:jc w:val="center"/>
                  </w:pPr>
                  <w:r>
                    <w:t xml:space="preserve">0.94</w:t>
                  </w:r>
                </w:p>
              </w:tc>
              <w:tc>
                <w:tcPr/>
                <w:p>
                  <w:pPr>
                    <w:pStyle w:val="Compact"/>
                    <w:jc w:val="right"/>
                    <w:jc w:val="center"/>
                  </w:pPr>
                  <w:r>
                    <w:t xml:space="preserve">0.915</w:t>
                  </w:r>
                </w:p>
              </w:tc>
              <w:tc>
                <w:tcPr/>
                <w:p>
                  <w:pPr>
                    <w:pStyle w:val="Compact"/>
                    <w:jc w:val="right"/>
                    <w:jc w:val="center"/>
                  </w:pPr>
                  <w:r>
                    <w:t xml:space="preserve">31.3</w:t>
                  </w:r>
                </w:p>
              </w:tc>
              <w:tc>
                <w:tcPr/>
                <w:p>
                  <w:pPr>
                    <w:pStyle w:val="Compact"/>
                    <w:jc w:val="right"/>
                    <w:jc w:val="center"/>
                  </w:pPr>
                  <w:r>
                    <w:t xml:space="preserve">1.06e-07</w:t>
                  </w:r>
                </w:p>
              </w:tc>
              <w:tc>
                <w:tcPr/>
                <w:p>
                  <w:pPr>
                    <w:pStyle w:val="Compact"/>
                    <w:jc w:val="right"/>
                    <w:jc w:val="center"/>
                  </w:pPr>
                  <w:r>
                    <w:t xml:space="preserve">1.36</w:t>
                  </w:r>
                </w:p>
              </w:tc>
            </w:tr>
            <w:tr>
              <w:tc>
                <w:tcPr/>
                <w:p>
                  <w:pPr>
                    <w:pStyle w:val="Compact"/>
                    <w:jc w:val="left"/>
                    <w:jc w:val="center"/>
                  </w:pPr>
                  <w:r>
                    <w:t xml:space="preserve">High mannose</w:t>
                  </w:r>
                </w:p>
              </w:tc>
              <w:tc>
                <w:tcPr/>
                <w:p>
                  <w:pPr>
                    <w:pStyle w:val="Compact"/>
                    <w:jc w:val="right"/>
                    <w:jc w:val="center"/>
                  </w:pPr>
                  <w:r>
                    <w:t xml:space="preserve">28</w:t>
                  </w:r>
                </w:p>
              </w:tc>
              <w:tc>
                <w:tcPr/>
                <w:p>
                  <w:pPr>
                    <w:pStyle w:val="Compact"/>
                    <w:jc w:val="right"/>
                    <w:jc w:val="center"/>
                  </w:pPr>
                  <w:r>
                    <w:t xml:space="preserve">0.911</w:t>
                  </w:r>
                </w:p>
              </w:tc>
              <w:tc>
                <w:tcPr/>
                <w:p>
                  <w:pPr>
                    <w:pStyle w:val="Compact"/>
                    <w:jc w:val="right"/>
                    <w:jc w:val="center"/>
                  </w:pPr>
                  <w:r>
                    <w:t xml:space="preserve">0.815</w:t>
                  </w:r>
                </w:p>
              </w:tc>
              <w:tc>
                <w:tcPr/>
                <w:p>
                  <w:pPr>
                    <w:pStyle w:val="Compact"/>
                    <w:jc w:val="right"/>
                    <w:jc w:val="center"/>
                  </w:pPr>
                  <w:r>
                    <w:t xml:space="preserve">0.65</w:t>
                  </w:r>
                </w:p>
              </w:tc>
              <w:tc>
                <w:tcPr/>
                <w:p>
                  <w:pPr>
                    <w:pStyle w:val="Compact"/>
                    <w:jc w:val="right"/>
                    <w:jc w:val="center"/>
                  </w:pPr>
                  <w:r>
                    <w:t xml:space="preserve">9.48</w:t>
                  </w:r>
                </w:p>
              </w:tc>
              <w:tc>
                <w:tcPr/>
                <w:p>
                  <w:pPr>
                    <w:pStyle w:val="Compact"/>
                    <w:jc w:val="right"/>
                    <w:jc w:val="center"/>
                  </w:pPr>
                  <w:r>
                    <w:t xml:space="preserve">0.000118</w:t>
                  </w:r>
                </w:p>
              </w:tc>
              <w:tc>
                <w:tcPr/>
                <w:p>
                  <w:pPr>
                    <w:pStyle w:val="Compact"/>
                    <w:jc w:val="right"/>
                    <w:jc w:val="center"/>
                  </w:pPr>
                  <w:r>
                    <w:t xml:space="preserve">0.472</w:t>
                  </w:r>
                </w:p>
              </w:tc>
            </w:tr>
            <w:tr>
              <w:tc>
                <w:tcPr/>
                <w:p>
                  <w:pPr>
                    <w:pStyle w:val="Compact"/>
                    <w:jc w:val="left"/>
                    <w:jc w:val="center"/>
                  </w:pPr>
                  <w:r>
                    <w:t xml:space="preserve">Acidic variants</w:t>
                  </w:r>
                </w:p>
              </w:tc>
              <w:tc>
                <w:tcPr/>
                <w:p>
                  <w:pPr>
                    <w:pStyle w:val="Compact"/>
                    <w:jc w:val="right"/>
                    <w:jc w:val="center"/>
                  </w:pPr>
                  <w:r>
                    <w:t xml:space="preserve">28</w:t>
                  </w:r>
                </w:p>
              </w:tc>
              <w:tc>
                <w:tcPr/>
                <w:p>
                  <w:pPr>
                    <w:pStyle w:val="Compact"/>
                    <w:jc w:val="right"/>
                    <w:jc w:val="center"/>
                  </w:pPr>
                  <w:r>
                    <w:t xml:space="preserve">0.938</w:t>
                  </w:r>
                </w:p>
              </w:tc>
              <w:tc>
                <w:tcPr/>
                <w:p>
                  <w:pPr>
                    <w:pStyle w:val="Compact"/>
                    <w:jc w:val="right"/>
                    <w:jc w:val="center"/>
                  </w:pPr>
                  <w:r>
                    <w:t xml:space="preserve">0.872</w:t>
                  </w:r>
                </w:p>
              </w:tc>
              <w:tc>
                <w:tcPr/>
                <w:p>
                  <w:pPr>
                    <w:pStyle w:val="Compact"/>
                    <w:jc w:val="right"/>
                    <w:jc w:val="center"/>
                  </w:pPr>
                  <w:r>
                    <w:t xml:space="preserve">0.598</w:t>
                  </w:r>
                </w:p>
              </w:tc>
              <w:tc>
                <w:tcPr/>
                <w:p>
                  <w:pPr>
                    <w:pStyle w:val="Compact"/>
                    <w:jc w:val="right"/>
                    <w:jc w:val="center"/>
                  </w:pPr>
                  <w:r>
                    <w:t xml:space="preserve">14.1</w:t>
                  </w:r>
                </w:p>
              </w:tc>
              <w:tc>
                <w:tcPr/>
                <w:p>
                  <w:pPr>
                    <w:pStyle w:val="Compact"/>
                    <w:jc w:val="right"/>
                    <w:jc w:val="center"/>
                  </w:pPr>
                  <w:r>
                    <w:t xml:space="preserve">1.27e-05</w:t>
                  </w:r>
                </w:p>
              </w:tc>
              <w:tc>
                <w:tcPr/>
                <w:p>
                  <w:pPr>
                    <w:pStyle w:val="Compact"/>
                    <w:jc w:val="right"/>
                    <w:jc w:val="center"/>
                  </w:pPr>
                  <w:r>
                    <w:t xml:space="preserve">1.57</w:t>
                  </w:r>
                </w:p>
              </w:tc>
            </w:tr>
            <w:tr>
              <w:tc>
                <w:tcPr/>
                <w:p>
                  <w:pPr>
                    <w:pStyle w:val="Compact"/>
                    <w:jc w:val="left"/>
                    <w:jc w:val="center"/>
                  </w:pPr>
                  <w:r>
                    <w:t xml:space="preserve">Aggregates (HMW)</w:t>
                  </w:r>
                </w:p>
              </w:tc>
              <w:tc>
                <w:tcPr/>
                <w:p>
                  <w:pPr>
                    <w:pStyle w:val="Compact"/>
                    <w:jc w:val="right"/>
                    <w:jc w:val="center"/>
                  </w:pPr>
                  <w:r>
                    <w:t xml:space="preserve">28</w:t>
                  </w:r>
                </w:p>
              </w:tc>
              <w:tc>
                <w:tcPr/>
                <w:p>
                  <w:pPr>
                    <w:pStyle w:val="Compact"/>
                    <w:jc w:val="right"/>
                    <w:jc w:val="center"/>
                  </w:pPr>
                  <w:r>
                    <w:t xml:space="preserve">0.969</w:t>
                  </w:r>
                </w:p>
              </w:tc>
              <w:tc>
                <w:tcPr/>
                <w:p>
                  <w:pPr>
                    <w:pStyle w:val="Compact"/>
                    <w:jc w:val="right"/>
                    <w:jc w:val="center"/>
                  </w:pPr>
                  <w:r>
                    <w:t xml:space="preserve">0.936</w:t>
                  </w:r>
                </w:p>
              </w:tc>
              <w:tc>
                <w:tcPr/>
                <w:p>
                  <w:pPr>
                    <w:pStyle w:val="Compact"/>
                    <w:jc w:val="right"/>
                    <w:jc w:val="center"/>
                  </w:pPr>
                  <w:r>
                    <w:t xml:space="preserve">0.835</w:t>
                  </w:r>
                </w:p>
              </w:tc>
              <w:tc>
                <w:tcPr/>
                <w:p>
                  <w:pPr>
                    <w:pStyle w:val="Compact"/>
                    <w:jc w:val="right"/>
                    <w:jc w:val="center"/>
                  </w:pPr>
                  <w:r>
                    <w:t xml:space="preserve">29.3</w:t>
                  </w:r>
                </w:p>
              </w:tc>
              <w:tc>
                <w:tcPr/>
                <w:p>
                  <w:pPr>
                    <w:pStyle w:val="Compact"/>
                    <w:jc w:val="right"/>
                    <w:jc w:val="center"/>
                  </w:pPr>
                  <w:r>
                    <w:t xml:space="preserve">1.58e-07</w:t>
                  </w:r>
                </w:p>
              </w:tc>
              <w:tc>
                <w:tcPr/>
                <w:p>
                  <w:pPr>
                    <w:pStyle w:val="Compact"/>
                    <w:jc w:val="right"/>
                    <w:jc w:val="center"/>
                  </w:pPr>
                  <w:r>
                    <w:t xml:space="preserve">0.0985</w:t>
                  </w:r>
                </w:p>
              </w:tc>
            </w:tr>
          </w:tbl>
          <w:bookmarkEnd w:id="56"/>
          <w:p/>
        </w:tc>
      </w:tr>
    </w:tbl>
    <w:p>
      <w:pPr>
        <w:pStyle w:val="BodyText"/>
      </w:pPr>
      <w:r>
        <w:t xml:space="preserve">Predicted R² is computed from the PRESS statistic and thus measures how a model behaves at a point it was not fitted to, which separates the five responses more sharply than R² does. The strongest of the five on that measure is galactosylation, at 0.915, well clear of the rest. The weakest is</w:t>
      </w:r>
      <w:r>
        <w:t xml:space="preserve"> </w:t>
      </w:r>
      <w:r>
        <w:t xml:space="preserve">acidic variants at 0.598, a value that still supports interpolation inside the design while leaving less assurance behind a claim made at the edge of it. The same bound is carried by every prediction made for that response below.</w:t>
      </w:r>
    </w:p>
    <w:p>
      <w:pPr>
        <w:pStyle w:val="BodyText"/>
      </w:pPr>
      <w:r>
        <w:t xml:space="preserve">No lack of fit test reaches significance against the centre-point pure error. The lack of fit partition for all five responses is set side by side in</w:t>
      </w:r>
      <w:r>
        <w:t xml:space="preserve"> </w:t>
      </w:r>
      <w:hyperlink w:anchor="tbl-lof">
        <w:r>
          <w:rPr>
            <w:rStyle w:val="Hyperlink"/>
          </w:rPr>
          <w:t xml:space="preserve">Table 16</w:t>
        </w:r>
      </w:hyperlink>
      <w:r>
        <w:t xml:space="preserve">. The smallest lack of fit p-value belongs to</w:t>
      </w:r>
      <w:r>
        <w:t xml:space="preserve"> </w:t>
      </w:r>
      <w:r>
        <w:t xml:space="preserve">acidic variants, at 0.15.</w:t>
      </w:r>
    </w:p>
    <w:tbl>
      <w:tblPr>
        <w:tblStyle w:val="Table"/>
        <w:tblW w:type="pct" w:w="5000"/>
        <w:tblLayout w:type="fixed"/>
        <w:tblLook w:firstRow="0" w:lastRow="0" w:firstColumn="0" w:lastColumn="0" w:noHBand="0" w:noVBand="0" w:val="0000"/>
      </w:tblPr>
      <w:tblGrid>
        <w:gridCol w:w="7920"/>
      </w:tblGrid>
      <w:tr>
        <w:tc>
          <w:tcPr/>
          <w:bookmarkStart w:id="57" w:name="tbl-lof"/>
          <w:p>
            <w:pPr>
              <w:jc w:val="center"/>
            </w:pPr>
            <w:pPr>
              <w:jc w:val="left"/>
              <w:spacing w:before="200"/>
              <w:pStyle w:val="ImageCaption"/>
            </w:pPr>
            <w:r>
              <w:t xml:space="preserve">Table 16: Lack-of-fit summary for the response-surface models, against the centre-point pure error.</w:t>
            </w:r>
          </w:p>
          <w:tbl>
            <w:tblPr>
              <w:tblStyle w:val="Table"/>
              <w:tblW w:type="pct" w:w="5000"/>
              <w:tblLayout w:type="fixed"/>
              <w:tblLook w:firstRow="1" w:lastRow="0" w:firstColumn="0" w:lastColumn="0" w:noHBand="0" w:noVBand="0" w:val="0020"/>
            </w:tblPr>
            <w:tblGrid>
              <w:gridCol w:w="1432"/>
              <w:gridCol w:w="1600"/>
              <w:gridCol w:w="926"/>
              <w:gridCol w:w="1685"/>
              <w:gridCol w:w="1600"/>
              <w:gridCol w:w="674"/>
            </w:tblGrid>
            <w:tr>
              <w:trPr>
                <w:tblHeader w:val="on"/>
              </w:trPr>
              <w:tc>
                <w:tcPr/>
                <w:p>
                  <w:pPr>
                    <w:pStyle w:val="Compact"/>
                    <w:jc w:val="left"/>
                    <w:jc w:val="center"/>
                  </w:pPr>
                  <w:r>
                    <w:t xml:space="preserve">Response</w:t>
                  </w:r>
                </w:p>
              </w:tc>
              <w:tc>
                <w:tcPr/>
                <w:p>
                  <w:pPr>
                    <w:pStyle w:val="Compact"/>
                    <w:jc w:val="right"/>
                    <w:jc w:val="center"/>
                  </w:pPr>
                  <w:r>
                    <w:t xml:space="preserve">F (lack of fit)</w:t>
                  </w:r>
                </w:p>
              </w:tc>
              <w:tc>
                <w:tcPr/>
                <w:p>
                  <w:pPr>
                    <w:pStyle w:val="Compact"/>
                    <w:jc w:val="right"/>
                    <w:jc w:val="center"/>
                  </w:pPr>
                  <w:r>
                    <w:t xml:space="preserve">p-value</w:t>
                  </w:r>
                </w:p>
              </w:tc>
              <w:tc>
                <w:tcPr/>
                <w:p>
                  <w:pPr>
                    <w:pStyle w:val="Compact"/>
                    <w:jc w:val="right"/>
                    <w:jc w:val="center"/>
                  </w:pPr>
                  <w:r>
                    <w:t xml:space="preserve">df (lack of fit)</w:t>
                  </w:r>
                </w:p>
              </w:tc>
              <w:tc>
                <w:tcPr/>
                <w:p>
                  <w:pPr>
                    <w:pStyle w:val="Compact"/>
                    <w:jc w:val="right"/>
                    <w:jc w:val="center"/>
                  </w:pPr>
                  <w:r>
                    <w:t xml:space="preserve">df (pure error)</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3.23</w:t>
                  </w:r>
                </w:p>
              </w:tc>
              <w:tc>
                <w:tcPr/>
                <w:p>
                  <w:pPr>
                    <w:pStyle w:val="Compact"/>
                    <w:jc w:val="right"/>
                    <w:jc w:val="center"/>
                  </w:pPr>
                  <w:r>
                    <w:t xml:space="preserve">0.182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0.584</w:t>
                  </w:r>
                </w:p>
              </w:tc>
            </w:tr>
            <w:tr>
              <w:tc>
                <w:tcPr/>
                <w:p>
                  <w:pPr>
                    <w:pStyle w:val="Compact"/>
                    <w:jc w:val="left"/>
                    <w:jc w:val="center"/>
                  </w:pPr>
                  <w:r>
                    <w:t xml:space="preserve">Galactosylation</w:t>
                  </w:r>
                </w:p>
              </w:tc>
              <w:tc>
                <w:tcPr/>
                <w:p>
                  <w:pPr>
                    <w:pStyle w:val="Compact"/>
                    <w:jc w:val="right"/>
                    <w:jc w:val="center"/>
                  </w:pPr>
                  <w:r>
                    <w:t xml:space="preserve">0.141</w:t>
                  </w:r>
                </w:p>
              </w:tc>
              <w:tc>
                <w:tcPr/>
                <w:p>
                  <w:pPr>
                    <w:pStyle w:val="Compact"/>
                    <w:jc w:val="right"/>
                    <w:jc w:val="center"/>
                  </w:pPr>
                  <w:r>
                    <w:t xml:space="preserve">0.992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1.36</w:t>
                  </w:r>
                </w:p>
              </w:tc>
            </w:tr>
            <w:tr>
              <w:tc>
                <w:tcPr/>
                <w:p>
                  <w:pPr>
                    <w:pStyle w:val="Compact"/>
                    <w:jc w:val="left"/>
                    <w:jc w:val="center"/>
                  </w:pPr>
                  <w:r>
                    <w:t xml:space="preserve">High mannose</w:t>
                  </w:r>
                </w:p>
              </w:tc>
              <w:tc>
                <w:tcPr/>
                <w:p>
                  <w:pPr>
                    <w:pStyle w:val="Compact"/>
                    <w:jc w:val="right"/>
                    <w:jc w:val="center"/>
                  </w:pPr>
                  <w:r>
                    <w:t xml:space="preserve">0.628</w:t>
                  </w:r>
                </w:p>
              </w:tc>
              <w:tc>
                <w:tcPr/>
                <w:p>
                  <w:pPr>
                    <w:pStyle w:val="Compact"/>
                    <w:jc w:val="right"/>
                    <w:jc w:val="center"/>
                  </w:pPr>
                  <w:r>
                    <w:t xml:space="preserve">0.748</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0.472</w:t>
                  </w:r>
                </w:p>
              </w:tc>
            </w:tr>
            <w:tr>
              <w:tc>
                <w:tcPr/>
                <w:p>
                  <w:pPr>
                    <w:pStyle w:val="Compact"/>
                    <w:jc w:val="left"/>
                    <w:jc w:val="center"/>
                  </w:pPr>
                  <w:r>
                    <w:t xml:space="preserve">Acidic variants</w:t>
                  </w:r>
                </w:p>
              </w:tc>
              <w:tc>
                <w:tcPr/>
                <w:p>
                  <w:pPr>
                    <w:pStyle w:val="Compact"/>
                    <w:jc w:val="right"/>
                    <w:jc w:val="center"/>
                  </w:pPr>
                  <w:r>
                    <w:t xml:space="preserve">3.85</w:t>
                  </w:r>
                </w:p>
              </w:tc>
              <w:tc>
                <w:tcPr/>
                <w:p>
                  <w:pPr>
                    <w:pStyle w:val="Compact"/>
                    <w:jc w:val="right"/>
                    <w:jc w:val="center"/>
                  </w:pPr>
                  <w:r>
                    <w:t xml:space="preserve">0.147</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1.57</w:t>
                  </w:r>
                </w:p>
              </w:tc>
            </w:tr>
            <w:tr>
              <w:tc>
                <w:tcPr/>
                <w:p>
                  <w:pPr>
                    <w:pStyle w:val="Compact"/>
                    <w:jc w:val="left"/>
                    <w:jc w:val="center"/>
                  </w:pPr>
                  <w:r>
                    <w:t xml:space="preserve">Aggregates</w:t>
                  </w:r>
                </w:p>
              </w:tc>
              <w:tc>
                <w:tcPr/>
                <w:p>
                  <w:pPr>
                    <w:pStyle w:val="Compact"/>
                    <w:jc w:val="right"/>
                    <w:jc w:val="center"/>
                  </w:pPr>
                  <w:r>
                    <w:t xml:space="preserve">1</w:t>
                  </w:r>
                </w:p>
              </w:tc>
              <w:tc>
                <w:tcPr/>
                <w:p>
                  <w:pPr>
                    <w:pStyle w:val="Compact"/>
                    <w:jc w:val="right"/>
                    <w:jc w:val="center"/>
                  </w:pPr>
                  <w:r>
                    <w:t xml:space="preserve">0.568</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0.0985</w:t>
                  </w:r>
                </w:p>
              </w:tc>
            </w:tr>
          </w:tbl>
          <w:bookmarkEnd w:id="57"/>
          <w:p/>
        </w:tc>
      </w:tr>
    </w:tbl>
    <w:p>
      <w:pPr>
        <w:pStyle w:val="BodyText"/>
      </w:pPr>
      <w:r>
        <w:t xml:space="preserve">The lack of fit tests rest on 4 centre-point replicates. Therefore a non-significant result bounds the evidence for the model form without establishing it. For the response with the least margin, the full partition is given in</w:t>
      </w:r>
      <w:r>
        <w:t xml:space="preserve"> </w:t>
      </w:r>
      <w:hyperlink w:anchor="tbl-anova-ac">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tbl-anova-ac"/>
          <w:p>
            <w:pPr>
              <w:jc w:val="center"/>
            </w:pPr>
            <w:pPr>
              <w:jc w:val="left"/>
              <w:spacing w:before="200"/>
              <w:pStyle w:val="ImageCaption"/>
            </w:pPr>
            <w:r>
              <w:t xml:space="preserve">Table 17: Analysis of variance for acidic variants, partitioning the residual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484</w:t>
                  </w:r>
                </w:p>
              </w:tc>
              <w:tc>
                <w:tcPr/>
                <w:p>
                  <w:pPr>
                    <w:pStyle w:val="Compact"/>
                    <w:jc w:val="right"/>
                    <w:jc w:val="center"/>
                  </w:pPr>
                  <w:r>
                    <w:t xml:space="preserve">14</w:t>
                  </w:r>
                </w:p>
              </w:tc>
              <w:tc>
                <w:tcPr/>
                <w:p>
                  <w:pPr>
                    <w:pStyle w:val="Compact"/>
                    <w:jc w:val="right"/>
                    <w:jc w:val="center"/>
                  </w:pPr>
                  <w:r>
                    <w:t xml:space="preserve">34.6</w:t>
                  </w:r>
                </w:p>
              </w:tc>
              <w:tc>
                <w:tcPr/>
                <w:p>
                  <w:pPr>
                    <w:pStyle w:val="Compact"/>
                    <w:jc w:val="right"/>
                    <w:jc w:val="center"/>
                  </w:pPr>
                  <w:r>
                    <w:t xml:space="preserve">14.1</w:t>
                  </w:r>
                </w:p>
              </w:tc>
              <w:tc>
                <w:tcPr/>
                <w:p>
                  <w:pPr>
                    <w:pStyle w:val="Compact"/>
                    <w:jc w:val="right"/>
                    <w:jc w:val="center"/>
                  </w:pPr>
                  <w:r>
                    <w:t xml:space="preserve">1.27e-05</w:t>
                  </w:r>
                </w:p>
              </w:tc>
            </w:tr>
            <w:tr>
              <w:tc>
                <w:tcPr/>
                <w:p>
                  <w:pPr>
                    <w:pStyle w:val="Compact"/>
                    <w:jc w:val="left"/>
                    <w:jc w:val="center"/>
                  </w:pPr>
                  <w:r>
                    <w:t xml:space="preserve">Residual</w:t>
                  </w:r>
                </w:p>
              </w:tc>
              <w:tc>
                <w:tcPr/>
                <w:p>
                  <w:pPr>
                    <w:pStyle w:val="Compact"/>
                    <w:jc w:val="right"/>
                    <w:jc w:val="center"/>
                  </w:pPr>
                  <w:r>
                    <w:t xml:space="preserve">31.9</w:t>
                  </w:r>
                </w:p>
              </w:tc>
              <w:tc>
                <w:tcPr/>
                <w:p>
                  <w:pPr>
                    <w:pStyle w:val="Compact"/>
                    <w:jc w:val="right"/>
                    <w:jc w:val="center"/>
                  </w:pPr>
                  <w:r>
                    <w:t xml:space="preserve">13</w:t>
                  </w:r>
                </w:p>
              </w:tc>
              <w:tc>
                <w:tcPr/>
                <w:p>
                  <w:pPr>
                    <w:pStyle w:val="Compact"/>
                    <w:jc w:val="right"/>
                    <w:jc w:val="center"/>
                  </w:pPr>
                  <w:r>
                    <w:t xml:space="preserve">2.45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29.6</w:t>
                  </w:r>
                </w:p>
              </w:tc>
              <w:tc>
                <w:tcPr/>
                <w:p>
                  <w:pPr>
                    <w:pStyle w:val="Compact"/>
                    <w:jc w:val="right"/>
                    <w:jc w:val="center"/>
                  </w:pPr>
                  <w:r>
                    <w:t xml:space="preserve">10</w:t>
                  </w:r>
                </w:p>
              </w:tc>
              <w:tc>
                <w:tcPr/>
                <w:p>
                  <w:pPr>
                    <w:pStyle w:val="Compact"/>
                    <w:jc w:val="right"/>
                    <w:jc w:val="center"/>
                  </w:pPr>
                  <w:r>
                    <w:t xml:space="preserve">2.96</w:t>
                  </w:r>
                </w:p>
              </w:tc>
              <w:tc>
                <w:tcPr/>
                <w:p>
                  <w:pPr>
                    <w:pStyle w:val="Compact"/>
                    <w:jc w:val="right"/>
                    <w:jc w:val="center"/>
                  </w:pPr>
                  <w:r>
                    <w:t xml:space="preserve">3.85</w:t>
                  </w:r>
                </w:p>
              </w:tc>
              <w:tc>
                <w:tcPr/>
                <w:p>
                  <w:pPr>
                    <w:pStyle w:val="Compact"/>
                    <w:jc w:val="right"/>
                    <w:jc w:val="center"/>
                  </w:pPr>
                  <w:r>
                    <w:t xml:space="preserve">0.147</w:t>
                  </w:r>
                </w:p>
              </w:tc>
            </w:tr>
            <w:tr>
              <w:tc>
                <w:tcPr/>
                <w:p>
                  <w:pPr>
                    <w:pStyle w:val="Compact"/>
                    <w:jc w:val="left"/>
                    <w:jc w:val="center"/>
                  </w:pPr>
                  <w:r>
                    <w:t xml:space="preserve">Pure error</w:t>
                  </w:r>
                </w:p>
              </w:tc>
              <w:tc>
                <w:tcPr/>
                <w:p>
                  <w:pPr>
                    <w:pStyle w:val="Compact"/>
                    <w:jc w:val="right"/>
                    <w:jc w:val="center"/>
                  </w:pPr>
                  <w:r>
                    <w:t xml:space="preserve">2.31</w:t>
                  </w:r>
                </w:p>
              </w:tc>
              <w:tc>
                <w:tcPr/>
                <w:p>
                  <w:pPr>
                    <w:pStyle w:val="Compact"/>
                    <w:jc w:val="right"/>
                    <w:jc w:val="center"/>
                  </w:pPr>
                  <w:r>
                    <w:t xml:space="preserve">3</w:t>
                  </w:r>
                </w:p>
              </w:tc>
              <w:tc>
                <w:tcPr/>
                <w:p>
                  <w:pPr>
                    <w:pStyle w:val="Compact"/>
                    <w:jc w:val="right"/>
                    <w:jc w:val="center"/>
                  </w:pPr>
                  <w:r>
                    <w:t xml:space="preserve">0.768</w:t>
                  </w:r>
                </w:p>
              </w:tc>
              <w:tc>
                <w:tcPr/>
                <w:p>
                  <w:pPr>
                    <w:pStyle w:val="Compact"/>
                    <w:jc w:val="right"/>
                    <w:jc w:val="center"/>
                  </w:pPr>
                  <w:r>
                    <w:t xml:space="preserve">nan</w:t>
                  </w:r>
                </w:p>
              </w:tc>
              <w:tc>
                <w:tcPr/>
                <w:p>
                  <w:pPr>
                    <w:pStyle w:val="Compact"/>
                    <w:jc w:val="right"/>
                    <w:jc w:val="center"/>
                  </w:pPr>
                  <w:r>
                    <w:t xml:space="preserve">nan</w:t>
                  </w:r>
                </w:p>
              </w:tc>
            </w:tr>
          </w:tbl>
          <w:bookmarkEnd w:id="58"/>
          <w:p/>
        </w:tc>
      </w:tr>
    </w:tbl>
    <w:p>
      <w:pPr>
        <w:pStyle w:val="BodyText"/>
      </w:pPr>
      <w:r>
        <w:t xml:space="preserve">Coefficient tables for the two glycan responses that drive the operating region are given in</w:t>
      </w:r>
      <w:r>
        <w:t xml:space="preserve"> </w:t>
      </w:r>
      <w:hyperlink w:anchor="tbl-coef-gal">
        <w:r>
          <w:rPr>
            <w:rStyle w:val="Hyperlink"/>
          </w:rPr>
          <w:t xml:space="preserve">Table 18</w:t>
        </w:r>
      </w:hyperlink>
      <w:r>
        <w:t xml:space="preserve"> </w:t>
      </w:r>
      <w:r>
        <w:t xml:space="preserve">and</w:t>
      </w:r>
      <w:r>
        <w:t xml:space="preserve"> </w:t>
      </w:r>
      <w:hyperlink w:anchor="tbl-coef-hm">
        <w:r>
          <w:rPr>
            <w:rStyle w:val="Hyperlink"/>
          </w:rPr>
          <w:t xml:space="preserve">Table 19</w:t>
        </w:r>
      </w:hyperlink>
      <w:r>
        <w:t xml:space="preserve">, with the remaining three in Appendix C. For galactosylation, 7 of the 14 model terms reach significance. On that response, culture duration carries the largest coefficient at -3.82 percentage</w:t>
      </w:r>
      <w:r>
        <w:t xml:space="preserve"> </w:t>
      </w:r>
      <w:r>
        <w:t xml:space="preserve">points per coded unit, followed by dissolved CO2 at</w:t>
      </w:r>
      <w:r>
        <w:t xml:space="preserve"> </w:t>
      </w:r>
      <w:r>
        <w:t xml:space="preserve">-2.43 and culture pH at</w:t>
      </w:r>
      <w:r>
        <w:t xml:space="preserve"> </w:t>
      </w:r>
      <w:r>
        <w:t xml:space="preserve">-2.21, while culture temperature runs the other</w:t>
      </w:r>
      <w:r>
        <w:t xml:space="preserve"> </w:t>
      </w:r>
      <w:r>
        <w:t xml:space="preserve">way at +2.30. Three of those interactions reach significance and none of the quadratic terms does, which describes a surface tilted and twisted</w:t>
      </w:r>
      <w:r>
        <w:t xml:space="preserve"> </w:t>
      </w:r>
      <w:r>
        <w:t xml:space="preserve">across this region without being curved within it.</w:t>
      </w:r>
    </w:p>
    <w:tbl>
      <w:tblPr>
        <w:tblStyle w:val="Table"/>
        <w:tblW w:type="pct" w:w="5000"/>
        <w:tblLayout w:type="fixed"/>
        <w:tblLook w:firstRow="0" w:lastRow="0" w:firstColumn="0" w:lastColumn="0" w:noHBand="0" w:noVBand="0" w:val="0000"/>
      </w:tblPr>
      <w:tblGrid>
        <w:gridCol w:w="7920"/>
      </w:tblGrid>
      <w:tr>
        <w:tc>
          <w:tcPr/>
          <w:bookmarkStart w:id="59" w:name="tbl-coef-gal"/>
          <w:p>
            <w:pPr>
              <w:jc w:val="center"/>
            </w:pPr>
            <w:pPr>
              <w:jc w:val="left"/>
              <w:spacing w:before="200"/>
              <w:pStyle w:val="ImageCaption"/>
            </w:pPr>
            <w:r>
              <w:t xml:space="preserve">Table 18: Response-surface coefficients for galactosylation.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25.8</w:t>
                  </w:r>
                </w:p>
              </w:tc>
              <w:tc>
                <w:tcPr/>
                <w:p>
                  <w:pPr>
                    <w:pStyle w:val="Compact"/>
                    <w:jc w:val="right"/>
                    <w:jc w:val="center"/>
                  </w:pPr>
                  <w:r>
                    <w:t xml:space="preserve">0.47</w:t>
                  </w:r>
                </w:p>
              </w:tc>
              <w:tc>
                <w:tcPr/>
                <w:p>
                  <w:pPr>
                    <w:pStyle w:val="Compact"/>
                    <w:jc w:val="right"/>
                    <w:jc w:val="center"/>
                  </w:pPr>
                  <w:r>
                    <w:t xml:space="preserve">54.8</w:t>
                  </w:r>
                </w:p>
              </w:tc>
              <w:tc>
                <w:tcPr/>
                <w:p>
                  <w:pPr>
                    <w:pStyle w:val="Compact"/>
                    <w:jc w:val="right"/>
                    <w:jc w:val="center"/>
                  </w:pPr>
                  <w:r>
                    <w:t xml:space="preserve">9.11e-17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-2.21</w:t>
                  </w:r>
                </w:p>
              </w:tc>
              <w:tc>
                <w:tcPr/>
                <w:p>
                  <w:pPr>
                    <w:pStyle w:val="Compact"/>
                    <w:jc w:val="right"/>
                    <w:jc w:val="center"/>
                  </w:pPr>
                  <w:r>
                    <w:t xml:space="preserve">0.321</w:t>
                  </w:r>
                </w:p>
              </w:tc>
              <w:tc>
                <w:tcPr/>
                <w:p>
                  <w:pPr>
                    <w:pStyle w:val="Compact"/>
                    <w:jc w:val="right"/>
                    <w:jc w:val="center"/>
                  </w:pPr>
                  <w:r>
                    <w:t xml:space="preserve">-6.89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2.3</w:t>
                  </w:r>
                </w:p>
              </w:tc>
              <w:tc>
                <w:tcPr/>
                <w:p>
                  <w:pPr>
                    <w:pStyle w:val="Compact"/>
                    <w:jc w:val="right"/>
                    <w:jc w:val="center"/>
                  </w:pPr>
                  <w:r>
                    <w:t xml:space="preserve">0.321</w:t>
                  </w:r>
                </w:p>
              </w:tc>
              <w:tc>
                <w:tcPr/>
                <w:p>
                  <w:pPr>
                    <w:pStyle w:val="Compact"/>
                    <w:jc w:val="right"/>
                    <w:jc w:val="center"/>
                  </w:pPr>
                  <w:r>
                    <w:t xml:space="preserve">7.18</w:t>
                  </w:r>
                </w:p>
              </w:tc>
              <w:tc>
                <w:tcPr/>
                <w:p>
                  <w:pPr>
                    <w:pStyle w:val="Compact"/>
                    <w:jc w:val="right"/>
                    <w:jc w:val="center"/>
                  </w:pPr>
                  <w:r>
                    <w:t xml:space="preserve">7.13e-06</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-3.82</w:t>
                  </w:r>
                </w:p>
              </w:tc>
              <w:tc>
                <w:tcPr/>
                <w:p>
                  <w:pPr>
                    <w:pStyle w:val="Compact"/>
                    <w:jc w:val="right"/>
                    <w:jc w:val="center"/>
                  </w:pPr>
                  <w:r>
                    <w:t xml:space="preserve">0.321</w:t>
                  </w:r>
                </w:p>
              </w:tc>
              <w:tc>
                <w:tcPr/>
                <w:p>
                  <w:pPr>
                    <w:pStyle w:val="Compact"/>
                    <w:jc w:val="right"/>
                    <w:jc w:val="center"/>
                  </w:pPr>
                  <w:r>
                    <w:t xml:space="preserve">-11.9</w:t>
                  </w:r>
                </w:p>
              </w:tc>
              <w:tc>
                <w:tcPr/>
                <w:p>
                  <w:pPr>
                    <w:pStyle w:val="Compact"/>
                    <w:jc w:val="right"/>
                    <w:jc w:val="center"/>
                  </w:pPr>
                  <w:r>
                    <w:t xml:space="preserve">2.27e-08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-2.43</w:t>
                  </w:r>
                </w:p>
              </w:tc>
              <w:tc>
                <w:tcPr/>
                <w:p>
                  <w:pPr>
                    <w:pStyle w:val="Compact"/>
                    <w:jc w:val="right"/>
                    <w:jc w:val="center"/>
                  </w:pPr>
                  <w:r>
                    <w:t xml:space="preserve">0.321</w:t>
                  </w:r>
                </w:p>
              </w:tc>
              <w:tc>
                <w:tcPr/>
                <w:p>
                  <w:pPr>
                    <w:pStyle w:val="Compact"/>
                    <w:jc w:val="right"/>
                    <w:jc w:val="center"/>
                  </w:pPr>
                  <w:r>
                    <w:t xml:space="preserve">-7.56</w:t>
                  </w:r>
                </w:p>
              </w:tc>
              <w:tc>
                <w:tcPr/>
                <w:p>
                  <w:pPr>
                    <w:pStyle w:val="Compact"/>
                    <w:jc w:val="right"/>
                    <w:jc w:val="center"/>
                  </w:pPr>
                  <w:r>
                    <w:t xml:space="preserve">4.11e-06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1.67</w:t>
                  </w:r>
                </w:p>
              </w:tc>
              <w:tc>
                <w:tcPr/>
                <w:p>
                  <w:pPr>
                    <w:pStyle w:val="Compact"/>
                    <w:jc w:val="right"/>
                    <w:jc w:val="center"/>
                  </w:pPr>
                  <w:r>
                    <w:t xml:space="preserve">0.34</w:t>
                  </w:r>
                </w:p>
              </w:tc>
              <w:tc>
                <w:tcPr/>
                <w:p>
                  <w:pPr>
                    <w:pStyle w:val="Compact"/>
                    <w:jc w:val="right"/>
                    <w:jc w:val="center"/>
                  </w:pPr>
                  <w:r>
                    <w:t xml:space="preserve">4.92</w:t>
                  </w:r>
                </w:p>
              </w:tc>
              <w:tc>
                <w:tcPr/>
                <w:p>
                  <w:pPr>
                    <w:pStyle w:val="Compact"/>
                    <w:jc w:val="right"/>
                    <w:jc w:val="center"/>
                  </w:pPr>
                  <w:r>
                    <w:t xml:space="preserve">0.000279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2.72</w:t>
                  </w:r>
                </w:p>
              </w:tc>
              <w:tc>
                <w:tcPr/>
                <w:p>
                  <w:pPr>
                    <w:pStyle w:val="Compact"/>
                    <w:jc w:val="right"/>
                    <w:jc w:val="center"/>
                  </w:pPr>
                  <w:r>
                    <w:t xml:space="preserve">0.34</w:t>
                  </w:r>
                </w:p>
              </w:tc>
              <w:tc>
                <w:tcPr/>
                <w:p>
                  <w:pPr>
                    <w:pStyle w:val="Compact"/>
                    <w:jc w:val="right"/>
                    <w:jc w:val="center"/>
                  </w:pPr>
                  <w:r>
                    <w:t xml:space="preserve">7.99</w:t>
                  </w:r>
                </w:p>
              </w:tc>
              <w:tc>
                <w:tcPr/>
                <w:p>
                  <w:pPr>
                    <w:pStyle w:val="Compact"/>
                    <w:jc w:val="right"/>
                    <w:jc w:val="center"/>
                  </w:pPr>
                  <w:r>
                    <w:t xml:space="preserve">2.28e-06</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2.35</w:t>
                  </w:r>
                </w:p>
              </w:tc>
              <w:tc>
                <w:tcPr/>
                <w:p>
                  <w:pPr>
                    <w:pStyle w:val="Compact"/>
                    <w:jc w:val="right"/>
                    <w:jc w:val="center"/>
                  </w:pPr>
                  <w:r>
                    <w:t xml:space="preserve">0.34</w:t>
                  </w:r>
                </w:p>
              </w:tc>
              <w:tc>
                <w:tcPr/>
                <w:p>
                  <w:pPr>
                    <w:pStyle w:val="Compact"/>
                    <w:jc w:val="right"/>
                    <w:jc w:val="center"/>
                  </w:pPr>
                  <w:r>
                    <w:t xml:space="preserve">6.9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-0.217</w:t>
                  </w:r>
                </w:p>
              </w:tc>
              <w:tc>
                <w:tcPr/>
                <w:p>
                  <w:pPr>
                    <w:pStyle w:val="Compact"/>
                    <w:jc w:val="right"/>
                    <w:jc w:val="center"/>
                  </w:pPr>
                  <w:r>
                    <w:t xml:space="preserve">0.34</w:t>
                  </w:r>
                </w:p>
              </w:tc>
              <w:tc>
                <w:tcPr/>
                <w:p>
                  <w:pPr>
                    <w:pStyle w:val="Compact"/>
                    <w:jc w:val="right"/>
                    <w:jc w:val="center"/>
                  </w:pPr>
                  <w:r>
                    <w:t xml:space="preserve">-0.639</w:t>
                  </w:r>
                </w:p>
              </w:tc>
              <w:tc>
                <w:tcPr/>
                <w:p>
                  <w:pPr>
                    <w:pStyle w:val="Compact"/>
                    <w:jc w:val="right"/>
                    <w:jc w:val="center"/>
                  </w:pPr>
                  <w:r>
                    <w:t xml:space="preserve">0.534</w:t>
                  </w:r>
                </w:p>
              </w:tc>
              <w:tc>
                <w:tcPr/>
                <w:p>
                  <w:pPr>
                    <w:pStyle w:val="Compact"/>
                  </w:pPr>
                </w:p>
              </w:tc>
            </w:tr>
            <w:tr>
              <w:tc>
                <w:tcPr/>
                <w:p>
                  <w:pPr>
                    <w:pStyle w:val="Compact"/>
                    <w:jc w:val="left"/>
                    <w:jc w:val="center"/>
                  </w:pPr>
                  <w:r>
                    <w:t xml:space="preserve">BC</w:t>
                  </w:r>
                </w:p>
              </w:tc>
              <w:tc>
                <w:tcPr/>
                <w:p>
                  <w:pPr>
                    <w:pStyle w:val="Compact"/>
                    <w:jc w:val="right"/>
                    <w:jc w:val="center"/>
                  </w:pPr>
                  <w:r>
                    <w:t xml:space="preserve">0.315</w:t>
                  </w:r>
                </w:p>
              </w:tc>
              <w:tc>
                <w:tcPr/>
                <w:p>
                  <w:pPr>
                    <w:pStyle w:val="Compact"/>
                    <w:jc w:val="right"/>
                    <w:jc w:val="center"/>
                  </w:pPr>
                  <w:r>
                    <w:t xml:space="preserve">0.34</w:t>
                  </w:r>
                </w:p>
              </w:tc>
              <w:tc>
                <w:tcPr/>
                <w:p>
                  <w:pPr>
                    <w:pStyle w:val="Compact"/>
                    <w:jc w:val="right"/>
                    <w:jc w:val="center"/>
                  </w:pPr>
                  <w:r>
                    <w:t xml:space="preserve">0.928</w:t>
                  </w:r>
                </w:p>
              </w:tc>
              <w:tc>
                <w:tcPr/>
                <w:p>
                  <w:pPr>
                    <w:pStyle w:val="Compact"/>
                    <w:jc w:val="right"/>
                    <w:jc w:val="center"/>
                  </w:pPr>
                  <w:r>
                    <w:t xml:space="preserve">0.37</w:t>
                  </w:r>
                </w:p>
              </w:tc>
              <w:tc>
                <w:tcPr/>
                <w:p>
                  <w:pPr>
                    <w:pStyle w:val="Compact"/>
                  </w:pPr>
                </w:p>
              </w:tc>
            </w:tr>
            <w:tr>
              <w:tc>
                <w:tcPr/>
                <w:p>
                  <w:pPr>
                    <w:pStyle w:val="Compact"/>
                    <w:jc w:val="left"/>
                    <w:jc w:val="center"/>
                  </w:pPr>
                  <w:r>
                    <w:t xml:space="preserve">EC</w:t>
                  </w:r>
                </w:p>
              </w:tc>
              <w:tc>
                <w:tcPr/>
                <w:p>
                  <w:pPr>
                    <w:pStyle w:val="Compact"/>
                    <w:jc w:val="right"/>
                    <w:jc w:val="center"/>
                  </w:pPr>
                  <w:r>
                    <w:t xml:space="preserve">0.332</w:t>
                  </w:r>
                </w:p>
              </w:tc>
              <w:tc>
                <w:tcPr/>
                <w:p>
                  <w:pPr>
                    <w:pStyle w:val="Compact"/>
                    <w:jc w:val="right"/>
                    <w:jc w:val="center"/>
                  </w:pPr>
                  <w:r>
                    <w:t xml:space="preserve">0.34</w:t>
                  </w:r>
                </w:p>
              </w:tc>
              <w:tc>
                <w:tcPr/>
                <w:p>
                  <w:pPr>
                    <w:pStyle w:val="Compact"/>
                    <w:jc w:val="right"/>
                    <w:jc w:val="center"/>
                  </w:pPr>
                  <w:r>
                    <w:t xml:space="preserve">0.975</w:t>
                  </w:r>
                </w:p>
              </w:tc>
              <w:tc>
                <w:tcPr/>
                <w:p>
                  <w:pPr>
                    <w:pStyle w:val="Compact"/>
                    <w:jc w:val="right"/>
                    <w:jc w:val="center"/>
                  </w:pPr>
                  <w:r>
                    <w:t xml:space="preserve">0.347</w:t>
                  </w:r>
                </w:p>
              </w:tc>
              <w:tc>
                <w:tcPr/>
                <w:p>
                  <w:pPr>
                    <w:pStyle w:val="Compact"/>
                  </w:pPr>
                </w:p>
              </w:tc>
            </w:tr>
            <w:tr>
              <w:tc>
                <w:tcPr/>
                <w:p>
                  <w:pPr>
                    <w:pStyle w:val="Compact"/>
                    <w:jc w:val="left"/>
                    <w:jc w:val="center"/>
                  </w:pPr>
                  <w:r>
                    <w:t xml:space="preserve">A²</w:t>
                  </w:r>
                </w:p>
              </w:tc>
              <w:tc>
                <w:tcPr/>
                <w:p>
                  <w:pPr>
                    <w:pStyle w:val="Compact"/>
                    <w:jc w:val="right"/>
                    <w:jc w:val="center"/>
                  </w:pPr>
                  <w:r>
                    <w:t xml:space="preserve">-0.837</w:t>
                  </w:r>
                </w:p>
              </w:tc>
              <w:tc>
                <w:tcPr/>
                <w:p>
                  <w:pPr>
                    <w:pStyle w:val="Compact"/>
                    <w:jc w:val="right"/>
                    <w:jc w:val="center"/>
                  </w:pPr>
                  <w:r>
                    <w:t xml:space="preserve">0.847</w:t>
                  </w:r>
                </w:p>
              </w:tc>
              <w:tc>
                <w:tcPr/>
                <w:p>
                  <w:pPr>
                    <w:pStyle w:val="Compact"/>
                    <w:jc w:val="right"/>
                    <w:jc w:val="center"/>
                  </w:pPr>
                  <w:r>
                    <w:t xml:space="preserve">-0.988</w:t>
                  </w:r>
                </w:p>
              </w:tc>
              <w:tc>
                <w:tcPr/>
                <w:p>
                  <w:pPr>
                    <w:pStyle w:val="Compact"/>
                    <w:jc w:val="right"/>
                    <w:jc w:val="center"/>
                  </w:pPr>
                  <w:r>
                    <w:t xml:space="preserve">0.341</w:t>
                  </w:r>
                </w:p>
              </w:tc>
              <w:tc>
                <w:tcPr/>
                <w:p>
                  <w:pPr>
                    <w:pStyle w:val="Compact"/>
                  </w:pPr>
                </w:p>
              </w:tc>
            </w:tr>
            <w:tr>
              <w:tc>
                <w:tcPr/>
                <w:p>
                  <w:pPr>
                    <w:pStyle w:val="Compact"/>
                    <w:jc w:val="left"/>
                    <w:jc w:val="center"/>
                  </w:pPr>
                  <w:r>
                    <w:t xml:space="preserve">B²</w:t>
                  </w:r>
                </w:p>
              </w:tc>
              <w:tc>
                <w:tcPr/>
                <w:p>
                  <w:pPr>
                    <w:pStyle w:val="Compact"/>
                    <w:jc w:val="right"/>
                    <w:jc w:val="center"/>
                  </w:pPr>
                  <w:r>
                    <w:t xml:space="preserve">0.378</w:t>
                  </w:r>
                </w:p>
              </w:tc>
              <w:tc>
                <w:tcPr/>
                <w:p>
                  <w:pPr>
                    <w:pStyle w:val="Compact"/>
                    <w:jc w:val="right"/>
                    <w:jc w:val="center"/>
                  </w:pPr>
                  <w:r>
                    <w:t xml:space="preserve">0.847</w:t>
                  </w:r>
                </w:p>
              </w:tc>
              <w:tc>
                <w:tcPr/>
                <w:p>
                  <w:pPr>
                    <w:pStyle w:val="Compact"/>
                    <w:jc w:val="right"/>
                    <w:jc w:val="center"/>
                  </w:pPr>
                  <w:r>
                    <w:t xml:space="preserve">0.446</w:t>
                  </w:r>
                </w:p>
              </w:tc>
              <w:tc>
                <w:tcPr/>
                <w:p>
                  <w:pPr>
                    <w:pStyle w:val="Compact"/>
                    <w:jc w:val="right"/>
                    <w:jc w:val="center"/>
                  </w:pPr>
                  <w:r>
                    <w:t xml:space="preserve">0.663</w:t>
                  </w:r>
                </w:p>
              </w:tc>
              <w:tc>
                <w:tcPr/>
                <w:p>
                  <w:pPr>
                    <w:pStyle w:val="Compact"/>
                  </w:pPr>
                </w:p>
              </w:tc>
            </w:tr>
            <w:tr>
              <w:tc>
                <w:tcPr/>
                <w:p>
                  <w:pPr>
                    <w:pStyle w:val="Compact"/>
                    <w:jc w:val="left"/>
                    <w:jc w:val="center"/>
                  </w:pPr>
                  <w:r>
                    <w:t xml:space="preserve">E²</w:t>
                  </w:r>
                </w:p>
              </w:tc>
              <w:tc>
                <w:tcPr/>
                <w:p>
                  <w:pPr>
                    <w:pStyle w:val="Compact"/>
                    <w:jc w:val="right"/>
                    <w:jc w:val="center"/>
                  </w:pPr>
                  <w:r>
                    <w:t xml:space="preserve">0.937</w:t>
                  </w:r>
                </w:p>
              </w:tc>
              <w:tc>
                <w:tcPr/>
                <w:p>
                  <w:pPr>
                    <w:pStyle w:val="Compact"/>
                    <w:jc w:val="right"/>
                    <w:jc w:val="center"/>
                  </w:pPr>
                  <w:r>
                    <w:t xml:space="preserve">0.847</w:t>
                  </w:r>
                </w:p>
              </w:tc>
              <w:tc>
                <w:tcPr/>
                <w:p>
                  <w:pPr>
                    <w:pStyle w:val="Compact"/>
                    <w:jc w:val="right"/>
                    <w:jc w:val="center"/>
                  </w:pPr>
                  <w:r>
                    <w:t xml:space="preserve">1.11</w:t>
                  </w:r>
                </w:p>
              </w:tc>
              <w:tc>
                <w:tcPr/>
                <w:p>
                  <w:pPr>
                    <w:pStyle w:val="Compact"/>
                    <w:jc w:val="right"/>
                    <w:jc w:val="center"/>
                  </w:pPr>
                  <w:r>
                    <w:t xml:space="preserve">0.289</w:t>
                  </w:r>
                </w:p>
              </w:tc>
              <w:tc>
                <w:tcPr/>
                <w:p>
                  <w:pPr>
                    <w:pStyle w:val="Compact"/>
                  </w:pPr>
                </w:p>
              </w:tc>
            </w:tr>
            <w:tr>
              <w:tc>
                <w:tcPr/>
                <w:p>
                  <w:pPr>
                    <w:pStyle w:val="Compact"/>
                    <w:jc w:val="left"/>
                    <w:jc w:val="center"/>
                  </w:pPr>
                  <w:r>
                    <w:t xml:space="preserve">C²</w:t>
                  </w:r>
                </w:p>
              </w:tc>
              <w:tc>
                <w:tcPr/>
                <w:p>
                  <w:pPr>
                    <w:pStyle w:val="Compact"/>
                    <w:jc w:val="right"/>
                    <w:jc w:val="center"/>
                  </w:pPr>
                  <w:r>
                    <w:t xml:space="preserve">-0.373</w:t>
                  </w:r>
                </w:p>
              </w:tc>
              <w:tc>
                <w:tcPr/>
                <w:p>
                  <w:pPr>
                    <w:pStyle w:val="Compact"/>
                    <w:jc w:val="right"/>
                    <w:jc w:val="center"/>
                  </w:pPr>
                  <w:r>
                    <w:t xml:space="preserve">0.847</w:t>
                  </w:r>
                </w:p>
              </w:tc>
              <w:tc>
                <w:tcPr/>
                <w:p>
                  <w:pPr>
                    <w:pStyle w:val="Compact"/>
                    <w:jc w:val="right"/>
                    <w:jc w:val="center"/>
                  </w:pPr>
                  <w:r>
                    <w:t xml:space="preserve">-0.441</w:t>
                  </w:r>
                </w:p>
              </w:tc>
              <w:tc>
                <w:tcPr/>
                <w:p>
                  <w:pPr>
                    <w:pStyle w:val="Compact"/>
                    <w:jc w:val="right"/>
                    <w:jc w:val="center"/>
                  </w:pPr>
                  <w:r>
                    <w:t xml:space="preserve">0.667</w:t>
                  </w:r>
                </w:p>
              </w:tc>
              <w:tc>
                <w:tcPr/>
                <w:p>
                  <w:pPr>
                    <w:pStyle w:val="Compact"/>
                  </w:pPr>
                </w:p>
              </w:tc>
            </w:tr>
          </w:tbl>
          <w:bookmarkEnd w:id="59"/>
          <w:p/>
        </w:tc>
      </w:tr>
    </w:tbl>
    <w:p>
      <w:pPr>
        <w:pStyle w:val="BodyText"/>
      </w:pPr>
      <w:r>
        <w:t xml:space="preserve">High mannose behaves differently from galactosylation. 4 terms are significant,</w:t>
      </w:r>
      <w:r>
        <w:t xml:space="preserve"> </w:t>
      </w:r>
      <w:r>
        <w:t xml:space="preserve">and culture pH dominates them at +1.09 percentage</w:t>
      </w:r>
      <w:r>
        <w:t xml:space="preserve"> </w:t>
      </w:r>
      <w:r>
        <w:t xml:space="preserve">points per coded unit (p = 2.4e-07). Culture</w:t>
      </w:r>
      <w:r>
        <w:t xml:space="preserve"> </w:t>
      </w:r>
      <w:r>
        <w:t xml:space="preserve">temperature is the only other significant main effect, at</w:t>
      </w:r>
      <w:r>
        <w:t xml:space="preserve"> </w:t>
      </w:r>
      <w:r>
        <w:t xml:space="preserve">-0.42. Because the attribute of highest criticality depends on the two parameters under continuous closed-loop control, the control burden it places on the step is correspondingly light.</w:t>
      </w:r>
    </w:p>
    <w:tbl>
      <w:tblPr>
        <w:tblStyle w:val="Table"/>
        <w:tblW w:type="pct" w:w="5000"/>
        <w:tblLayout w:type="fixed"/>
        <w:tblLook w:firstRow="0" w:lastRow="0" w:firstColumn="0" w:lastColumn="0" w:noHBand="0" w:noVBand="0" w:val="0000"/>
      </w:tblPr>
      <w:tblGrid>
        <w:gridCol w:w="7920"/>
      </w:tblGrid>
      <w:tr>
        <w:tc>
          <w:tcPr/>
          <w:bookmarkStart w:id="60" w:name="tbl-coef-hm"/>
          <w:p>
            <w:pPr>
              <w:jc w:val="center"/>
            </w:pPr>
            <w:pPr>
              <w:jc w:val="left"/>
              <w:spacing w:before="200"/>
              <w:pStyle w:val="ImageCaption"/>
            </w:pPr>
            <w:r>
              <w:t xml:space="preserve">Table 19: Response-surface coefficients for high mannose.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5.89</w:t>
                  </w:r>
                </w:p>
              </w:tc>
              <w:tc>
                <w:tcPr/>
                <w:p>
                  <w:pPr>
                    <w:pStyle w:val="Compact"/>
                    <w:jc w:val="right"/>
                    <w:jc w:val="center"/>
                  </w:pPr>
                  <w:r>
                    <w:t xml:space="preserve">0.163</w:t>
                  </w:r>
                </w:p>
              </w:tc>
              <w:tc>
                <w:tcPr/>
                <w:p>
                  <w:pPr>
                    <w:pStyle w:val="Compact"/>
                    <w:jc w:val="right"/>
                    <w:jc w:val="center"/>
                  </w:pPr>
                  <w:r>
                    <w:t xml:space="preserve">36</w:t>
                  </w:r>
                </w:p>
              </w:tc>
              <w:tc>
                <w:tcPr/>
                <w:p>
                  <w:pPr>
                    <w:pStyle w:val="Compact"/>
                    <w:jc w:val="right"/>
                    <w:jc w:val="center"/>
                  </w:pPr>
                  <w:r>
                    <w:t xml:space="preserve">2.06e-14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1.09</w:t>
                  </w:r>
                </w:p>
              </w:tc>
              <w:tc>
                <w:tcPr/>
                <w:p>
                  <w:pPr>
                    <w:pStyle w:val="Compact"/>
                    <w:jc w:val="right"/>
                    <w:jc w:val="center"/>
                  </w:pPr>
                  <w:r>
                    <w:t xml:space="preserve">0.111</w:t>
                  </w:r>
                </w:p>
              </w:tc>
              <w:tc>
                <w:tcPr/>
                <w:p>
                  <w:pPr>
                    <w:pStyle w:val="Compact"/>
                    <w:jc w:val="right"/>
                    <w:jc w:val="center"/>
                  </w:pPr>
                  <w:r>
                    <w:t xml:space="preserve">9.77</w:t>
                  </w:r>
                </w:p>
              </w:tc>
              <w:tc>
                <w:tcPr/>
                <w:p>
                  <w:pPr>
                    <w:pStyle w:val="Compact"/>
                    <w:jc w:val="right"/>
                    <w:jc w:val="center"/>
                  </w:pPr>
                  <w:r>
                    <w:t xml:space="preserve">2.36e-07</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-0.421</w:t>
                  </w:r>
                </w:p>
              </w:tc>
              <w:tc>
                <w:tcPr/>
                <w:p>
                  <w:pPr>
                    <w:pStyle w:val="Compact"/>
                    <w:jc w:val="right"/>
                    <w:jc w:val="center"/>
                  </w:pPr>
                  <w:r>
                    <w:t xml:space="preserve">0.111</w:t>
                  </w:r>
                </w:p>
              </w:tc>
              <w:tc>
                <w:tcPr/>
                <w:p>
                  <w:pPr>
                    <w:pStyle w:val="Compact"/>
                    <w:jc w:val="right"/>
                    <w:jc w:val="center"/>
                  </w:pPr>
                  <w:r>
                    <w:t xml:space="preserve">-3.78</w:t>
                  </w:r>
                </w:p>
              </w:tc>
              <w:tc>
                <w:tcPr/>
                <w:p>
                  <w:pPr>
                    <w:pStyle w:val="Compact"/>
                    <w:jc w:val="right"/>
                    <w:jc w:val="center"/>
                  </w:pPr>
                  <w:r>
                    <w:t xml:space="preserve">0.00227</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-0.188</w:t>
                  </w:r>
                </w:p>
              </w:tc>
              <w:tc>
                <w:tcPr/>
                <w:p>
                  <w:pPr>
                    <w:pStyle w:val="Compact"/>
                    <w:jc w:val="right"/>
                    <w:jc w:val="center"/>
                  </w:pPr>
                  <w:r>
                    <w:t xml:space="preserve">0.111</w:t>
                  </w:r>
                </w:p>
              </w:tc>
              <w:tc>
                <w:tcPr/>
                <w:p>
                  <w:pPr>
                    <w:pStyle w:val="Compact"/>
                    <w:jc w:val="right"/>
                    <w:jc w:val="center"/>
                  </w:pPr>
                  <w:r>
                    <w:t xml:space="preserve">-1.69</w:t>
                  </w:r>
                </w:p>
              </w:tc>
              <w:tc>
                <w:tcPr/>
                <w:p>
                  <w:pPr>
                    <w:pStyle w:val="Compact"/>
                    <w:jc w:val="right"/>
                    <w:jc w:val="center"/>
                  </w:pPr>
                  <w:r>
                    <w:t xml:space="preserve">0.115</w:t>
                  </w:r>
                </w:p>
              </w:tc>
              <w:tc>
                <w:tcPr/>
                <w:p>
                  <w:pPr>
                    <w:pStyle w:val="Compact"/>
                  </w:pPr>
                </w:p>
              </w:tc>
            </w:tr>
            <w:tr>
              <w:tc>
                <w:tcPr/>
                <w:p>
                  <w:pPr>
                    <w:pStyle w:val="Compact"/>
                    <w:jc w:val="left"/>
                    <w:jc w:val="center"/>
                  </w:pPr>
                  <w:r>
                    <w:t xml:space="preserve">C</w:t>
                  </w:r>
                </w:p>
              </w:tc>
              <w:tc>
                <w:tcPr/>
                <w:p>
                  <w:pPr>
                    <w:pStyle w:val="Compact"/>
                    <w:jc w:val="right"/>
                    <w:jc w:val="center"/>
                  </w:pPr>
                  <w:r>
                    <w:t xml:space="preserve">0.212</w:t>
                  </w:r>
                </w:p>
              </w:tc>
              <w:tc>
                <w:tcPr/>
                <w:p>
                  <w:pPr>
                    <w:pStyle w:val="Compact"/>
                    <w:jc w:val="right"/>
                    <w:jc w:val="center"/>
                  </w:pPr>
                  <w:r>
                    <w:t xml:space="preserve">0.111</w:t>
                  </w:r>
                </w:p>
              </w:tc>
              <w:tc>
                <w:tcPr/>
                <w:p>
                  <w:pPr>
                    <w:pStyle w:val="Compact"/>
                    <w:jc w:val="right"/>
                    <w:jc w:val="center"/>
                  </w:pPr>
                  <w:r>
                    <w:t xml:space="preserve">1.91</w:t>
                  </w:r>
                </w:p>
              </w:tc>
              <w:tc>
                <w:tcPr/>
                <w:p>
                  <w:pPr>
                    <w:pStyle w:val="Compact"/>
                    <w:jc w:val="right"/>
                    <w:jc w:val="center"/>
                  </w:pPr>
                  <w:r>
                    <w:t xml:space="preserve">0.0788</w:t>
                  </w:r>
                </w:p>
              </w:tc>
              <w:tc>
                <w:tcPr/>
                <w:p>
                  <w:pPr>
                    <w:pStyle w:val="Compact"/>
                  </w:pPr>
                </w:p>
              </w:tc>
            </w:tr>
            <w:tr>
              <w:tc>
                <w:tcPr/>
                <w:p>
                  <w:pPr>
                    <w:pStyle w:val="Compact"/>
                    <w:jc w:val="left"/>
                    <w:jc w:val="center"/>
                  </w:pPr>
                  <w:r>
                    <w:t xml:space="preserve">AB</w:t>
                  </w:r>
                </w:p>
              </w:tc>
              <w:tc>
                <w:tcPr/>
                <w:p>
                  <w:pPr>
                    <w:pStyle w:val="Compact"/>
                    <w:jc w:val="right"/>
                    <w:jc w:val="center"/>
                  </w:pPr>
                  <w:r>
                    <w:t xml:space="preserve">0.148</w:t>
                  </w:r>
                </w:p>
              </w:tc>
              <w:tc>
                <w:tcPr/>
                <w:p>
                  <w:pPr>
                    <w:pStyle w:val="Compact"/>
                    <w:jc w:val="right"/>
                    <w:jc w:val="center"/>
                  </w:pPr>
                  <w:r>
                    <w:t xml:space="preserve">0.118</w:t>
                  </w:r>
                </w:p>
              </w:tc>
              <w:tc>
                <w:tcPr/>
                <w:p>
                  <w:pPr>
                    <w:pStyle w:val="Compact"/>
                    <w:jc w:val="right"/>
                    <w:jc w:val="center"/>
                  </w:pPr>
                  <w:r>
                    <w:t xml:space="preserve">1.26</w:t>
                  </w:r>
                </w:p>
              </w:tc>
              <w:tc>
                <w:tcPr/>
                <w:p>
                  <w:pPr>
                    <w:pStyle w:val="Compact"/>
                    <w:jc w:val="right"/>
                    <w:jc w:val="center"/>
                  </w:pPr>
                  <w:r>
                    <w:t xml:space="preserve">0.231</w:t>
                  </w:r>
                </w:p>
              </w:tc>
              <w:tc>
                <w:tcPr/>
                <w:p>
                  <w:pPr>
                    <w:pStyle w:val="Compact"/>
                  </w:pPr>
                </w:p>
              </w:tc>
            </w:tr>
            <w:tr>
              <w:tc>
                <w:tcPr/>
                <w:p>
                  <w:pPr>
                    <w:pStyle w:val="Compact"/>
                    <w:jc w:val="left"/>
                    <w:jc w:val="center"/>
                  </w:pPr>
                  <w:r>
                    <w:t xml:space="preserve">AE</w:t>
                  </w:r>
                </w:p>
              </w:tc>
              <w:tc>
                <w:tcPr/>
                <w:p>
                  <w:pPr>
                    <w:pStyle w:val="Compact"/>
                    <w:jc w:val="right"/>
                    <w:jc w:val="center"/>
                  </w:pPr>
                  <w:r>
                    <w:t xml:space="preserve">-0.29</w:t>
                  </w:r>
                </w:p>
              </w:tc>
              <w:tc>
                <w:tcPr/>
                <w:p>
                  <w:pPr>
                    <w:pStyle w:val="Compact"/>
                    <w:jc w:val="right"/>
                    <w:jc w:val="center"/>
                  </w:pPr>
                  <w:r>
                    <w:t xml:space="preserve">0.118</w:t>
                  </w:r>
                </w:p>
              </w:tc>
              <w:tc>
                <w:tcPr/>
                <w:p>
                  <w:pPr>
                    <w:pStyle w:val="Compact"/>
                    <w:jc w:val="right"/>
                    <w:jc w:val="center"/>
                  </w:pPr>
                  <w:r>
                    <w:t xml:space="preserve">-2.46</w:t>
                  </w:r>
                </w:p>
              </w:tc>
              <w:tc>
                <w:tcPr/>
                <w:p>
                  <w:pPr>
                    <w:pStyle w:val="Compact"/>
                    <w:jc w:val="right"/>
                    <w:jc w:val="center"/>
                  </w:pPr>
                  <w:r>
                    <w:t xml:space="preserve">0.0289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0.293</w:t>
                  </w:r>
                </w:p>
              </w:tc>
              <w:tc>
                <w:tcPr/>
                <w:p>
                  <w:pPr>
                    <w:pStyle w:val="Compact"/>
                    <w:jc w:val="right"/>
                    <w:jc w:val="center"/>
                  </w:pPr>
                  <w:r>
                    <w:t xml:space="preserve">0.118</w:t>
                  </w:r>
                </w:p>
              </w:tc>
              <w:tc>
                <w:tcPr/>
                <w:p>
                  <w:pPr>
                    <w:pStyle w:val="Compact"/>
                    <w:jc w:val="right"/>
                    <w:jc w:val="center"/>
                  </w:pPr>
                  <w:r>
                    <w:t xml:space="preserve">2.48</w:t>
                  </w:r>
                </w:p>
              </w:tc>
              <w:tc>
                <w:tcPr/>
                <w:p>
                  <w:pPr>
                    <w:pStyle w:val="Compact"/>
                    <w:jc w:val="right"/>
                    <w:jc w:val="center"/>
                  </w:pPr>
                  <w:r>
                    <w:t xml:space="preserve">0.0276</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0.0874</w:t>
                  </w:r>
                </w:p>
              </w:tc>
              <w:tc>
                <w:tcPr/>
                <w:p>
                  <w:pPr>
                    <w:pStyle w:val="Compact"/>
                    <w:jc w:val="right"/>
                    <w:jc w:val="center"/>
                  </w:pPr>
                  <w:r>
                    <w:t xml:space="preserve">0.118</w:t>
                  </w:r>
                </w:p>
              </w:tc>
              <w:tc>
                <w:tcPr/>
                <w:p>
                  <w:pPr>
                    <w:pStyle w:val="Compact"/>
                    <w:jc w:val="right"/>
                    <w:jc w:val="center"/>
                  </w:pPr>
                  <w:r>
                    <w:t xml:space="preserve">0.74</w:t>
                  </w:r>
                </w:p>
              </w:tc>
              <w:tc>
                <w:tcPr/>
                <w:p>
                  <w:pPr>
                    <w:pStyle w:val="Compact"/>
                    <w:jc w:val="right"/>
                    <w:jc w:val="center"/>
                  </w:pPr>
                  <w:r>
                    <w:t xml:space="preserve">0.472</w:t>
                  </w:r>
                </w:p>
              </w:tc>
              <w:tc>
                <w:tcPr/>
                <w:p>
                  <w:pPr>
                    <w:pStyle w:val="Compact"/>
                  </w:pPr>
                </w:p>
              </w:tc>
            </w:tr>
            <w:tr>
              <w:tc>
                <w:tcPr/>
                <w:p>
                  <w:pPr>
                    <w:pStyle w:val="Compact"/>
                    <w:jc w:val="left"/>
                    <w:jc w:val="center"/>
                  </w:pPr>
                  <w:r>
                    <w:t xml:space="preserve">BC</w:t>
                  </w:r>
                </w:p>
              </w:tc>
              <w:tc>
                <w:tcPr/>
                <w:p>
                  <w:pPr>
                    <w:pStyle w:val="Compact"/>
                    <w:jc w:val="right"/>
                    <w:jc w:val="center"/>
                  </w:pPr>
                  <w:r>
                    <w:t xml:space="preserve">-0.118</w:t>
                  </w:r>
                </w:p>
              </w:tc>
              <w:tc>
                <w:tcPr/>
                <w:p>
                  <w:pPr>
                    <w:pStyle w:val="Compact"/>
                    <w:jc w:val="right"/>
                    <w:jc w:val="center"/>
                  </w:pPr>
                  <w:r>
                    <w:t xml:space="preserve">0.118</w:t>
                  </w:r>
                </w:p>
              </w:tc>
              <w:tc>
                <w:tcPr/>
                <w:p>
                  <w:pPr>
                    <w:pStyle w:val="Compact"/>
                    <w:jc w:val="right"/>
                    <w:jc w:val="center"/>
                  </w:pPr>
                  <w:r>
                    <w:t xml:space="preserve">-0.996</w:t>
                  </w:r>
                </w:p>
              </w:tc>
              <w:tc>
                <w:tcPr/>
                <w:p>
                  <w:pPr>
                    <w:pStyle w:val="Compact"/>
                    <w:jc w:val="right"/>
                    <w:jc w:val="center"/>
                  </w:pPr>
                  <w:r>
                    <w:t xml:space="preserve">0.337</w:t>
                  </w:r>
                </w:p>
              </w:tc>
              <w:tc>
                <w:tcPr/>
                <w:p>
                  <w:pPr>
                    <w:pStyle w:val="Compact"/>
                  </w:pPr>
                </w:p>
              </w:tc>
            </w:tr>
            <w:tr>
              <w:tc>
                <w:tcPr/>
                <w:p>
                  <w:pPr>
                    <w:pStyle w:val="Compact"/>
                    <w:jc w:val="left"/>
                    <w:jc w:val="center"/>
                  </w:pPr>
                  <w:r>
                    <w:t xml:space="preserve">EC</w:t>
                  </w:r>
                </w:p>
              </w:tc>
              <w:tc>
                <w:tcPr/>
                <w:p>
                  <w:pPr>
                    <w:pStyle w:val="Compact"/>
                    <w:jc w:val="right"/>
                    <w:jc w:val="center"/>
                  </w:pPr>
                  <w:r>
                    <w:t xml:space="preserve">-0.0402</w:t>
                  </w:r>
                </w:p>
              </w:tc>
              <w:tc>
                <w:tcPr/>
                <w:p>
                  <w:pPr>
                    <w:pStyle w:val="Compact"/>
                    <w:jc w:val="right"/>
                    <w:jc w:val="center"/>
                  </w:pPr>
                  <w:r>
                    <w:t xml:space="preserve">0.118</w:t>
                  </w:r>
                </w:p>
              </w:tc>
              <w:tc>
                <w:tcPr/>
                <w:p>
                  <w:pPr>
                    <w:pStyle w:val="Compact"/>
                    <w:jc w:val="right"/>
                    <w:jc w:val="center"/>
                  </w:pPr>
                  <w:r>
                    <w:t xml:space="preserve">-0.341</w:t>
                  </w:r>
                </w:p>
              </w:tc>
              <w:tc>
                <w:tcPr/>
                <w:p>
                  <w:pPr>
                    <w:pStyle w:val="Compact"/>
                    <w:jc w:val="right"/>
                    <w:jc w:val="center"/>
                  </w:pPr>
                  <w:r>
                    <w:t xml:space="preserve">0.739</w:t>
                  </w:r>
                </w:p>
              </w:tc>
              <w:tc>
                <w:tcPr/>
                <w:p>
                  <w:pPr>
                    <w:pStyle w:val="Compact"/>
                  </w:pPr>
                </w:p>
              </w:tc>
            </w:tr>
            <w:tr>
              <w:tc>
                <w:tcPr/>
                <w:p>
                  <w:pPr>
                    <w:pStyle w:val="Compact"/>
                    <w:jc w:val="left"/>
                    <w:jc w:val="center"/>
                  </w:pPr>
                  <w:r>
                    <w:t xml:space="preserve">A²</w:t>
                  </w:r>
                </w:p>
              </w:tc>
              <w:tc>
                <w:tcPr/>
                <w:p>
                  <w:pPr>
                    <w:pStyle w:val="Compact"/>
                    <w:jc w:val="right"/>
                    <w:jc w:val="center"/>
                  </w:pPr>
                  <w:r>
                    <w:t xml:space="preserve">0.116</w:t>
                  </w:r>
                </w:p>
              </w:tc>
              <w:tc>
                <w:tcPr/>
                <w:p>
                  <w:pPr>
                    <w:pStyle w:val="Compact"/>
                    <w:jc w:val="right"/>
                    <w:jc w:val="center"/>
                  </w:pPr>
                  <w:r>
                    <w:t xml:space="preserve">0.294</w:t>
                  </w:r>
                </w:p>
              </w:tc>
              <w:tc>
                <w:tcPr/>
                <w:p>
                  <w:pPr>
                    <w:pStyle w:val="Compact"/>
                    <w:jc w:val="right"/>
                    <w:jc w:val="center"/>
                  </w:pPr>
                  <w:r>
                    <w:t xml:space="preserve">0.393</w:t>
                  </w:r>
                </w:p>
              </w:tc>
              <w:tc>
                <w:tcPr/>
                <w:p>
                  <w:pPr>
                    <w:pStyle w:val="Compact"/>
                    <w:jc w:val="right"/>
                    <w:jc w:val="center"/>
                  </w:pPr>
                  <w:r>
                    <w:t xml:space="preserve">0.701</w:t>
                  </w:r>
                </w:p>
              </w:tc>
              <w:tc>
                <w:tcPr/>
                <w:p>
                  <w:pPr>
                    <w:pStyle w:val="Compact"/>
                  </w:pPr>
                </w:p>
              </w:tc>
            </w:tr>
            <w:tr>
              <w:tc>
                <w:tcPr/>
                <w:p>
                  <w:pPr>
                    <w:pStyle w:val="Compact"/>
                    <w:jc w:val="left"/>
                    <w:jc w:val="center"/>
                  </w:pPr>
                  <w:r>
                    <w:t xml:space="preserve">B²</w:t>
                  </w:r>
                </w:p>
              </w:tc>
              <w:tc>
                <w:tcPr/>
                <w:p>
                  <w:pPr>
                    <w:pStyle w:val="Compact"/>
                    <w:jc w:val="right"/>
                    <w:jc w:val="center"/>
                  </w:pPr>
                  <w:r>
                    <w:t xml:space="preserve">0.094</w:t>
                  </w:r>
                </w:p>
              </w:tc>
              <w:tc>
                <w:tcPr/>
                <w:p>
                  <w:pPr>
                    <w:pStyle w:val="Compact"/>
                    <w:jc w:val="right"/>
                    <w:jc w:val="center"/>
                  </w:pPr>
                  <w:r>
                    <w:t xml:space="preserve">0.294</w:t>
                  </w:r>
                </w:p>
              </w:tc>
              <w:tc>
                <w:tcPr/>
                <w:p>
                  <w:pPr>
                    <w:pStyle w:val="Compact"/>
                    <w:jc w:val="right"/>
                    <w:jc w:val="center"/>
                  </w:pPr>
                  <w:r>
                    <w:t xml:space="preserve">0.32</w:t>
                  </w:r>
                </w:p>
              </w:tc>
              <w:tc>
                <w:tcPr/>
                <w:p>
                  <w:pPr>
                    <w:pStyle w:val="Compact"/>
                    <w:jc w:val="right"/>
                    <w:jc w:val="center"/>
                  </w:pPr>
                  <w:r>
                    <w:t xml:space="preserve">0.754</w:t>
                  </w:r>
                </w:p>
              </w:tc>
              <w:tc>
                <w:tcPr/>
                <w:p>
                  <w:pPr>
                    <w:pStyle w:val="Compact"/>
                  </w:pPr>
                </w:p>
              </w:tc>
            </w:tr>
            <w:tr>
              <w:tc>
                <w:tcPr/>
                <w:p>
                  <w:pPr>
                    <w:pStyle w:val="Compact"/>
                    <w:jc w:val="left"/>
                    <w:jc w:val="center"/>
                  </w:pPr>
                  <w:r>
                    <w:t xml:space="preserve">E²</w:t>
                  </w:r>
                </w:p>
              </w:tc>
              <w:tc>
                <w:tcPr/>
                <w:p>
                  <w:pPr>
                    <w:pStyle w:val="Compact"/>
                    <w:jc w:val="right"/>
                    <w:jc w:val="center"/>
                  </w:pPr>
                  <w:r>
                    <w:t xml:space="preserve">-0.215</w:t>
                  </w:r>
                </w:p>
              </w:tc>
              <w:tc>
                <w:tcPr/>
                <w:p>
                  <w:pPr>
                    <w:pStyle w:val="Compact"/>
                    <w:jc w:val="right"/>
                    <w:jc w:val="center"/>
                  </w:pPr>
                  <w:r>
                    <w:t xml:space="preserve">0.294</w:t>
                  </w:r>
                </w:p>
              </w:tc>
              <w:tc>
                <w:tcPr/>
                <w:p>
                  <w:pPr>
                    <w:pStyle w:val="Compact"/>
                    <w:jc w:val="right"/>
                    <w:jc w:val="center"/>
                  </w:pPr>
                  <w:r>
                    <w:t xml:space="preserve">-0.731</w:t>
                  </w:r>
                </w:p>
              </w:tc>
              <w:tc>
                <w:tcPr/>
                <w:p>
                  <w:pPr>
                    <w:pStyle w:val="Compact"/>
                    <w:jc w:val="right"/>
                    <w:jc w:val="center"/>
                  </w:pPr>
                  <w:r>
                    <w:t xml:space="preserve">0.478</w:t>
                  </w:r>
                </w:p>
              </w:tc>
              <w:tc>
                <w:tcPr/>
                <w:p>
                  <w:pPr>
                    <w:pStyle w:val="Compact"/>
                  </w:pPr>
                </w:p>
              </w:tc>
            </w:tr>
            <w:tr>
              <w:tc>
                <w:tcPr/>
                <w:p>
                  <w:pPr>
                    <w:pStyle w:val="Compact"/>
                    <w:jc w:val="left"/>
                    <w:jc w:val="center"/>
                  </w:pPr>
                  <w:r>
                    <w:t xml:space="preserve">C²</w:t>
                  </w:r>
                </w:p>
              </w:tc>
              <w:tc>
                <w:tcPr/>
                <w:p>
                  <w:pPr>
                    <w:pStyle w:val="Compact"/>
                    <w:jc w:val="right"/>
                    <w:jc w:val="center"/>
                  </w:pPr>
                  <w:r>
                    <w:t xml:space="preserve">0.126</w:t>
                  </w:r>
                </w:p>
              </w:tc>
              <w:tc>
                <w:tcPr/>
                <w:p>
                  <w:pPr>
                    <w:pStyle w:val="Compact"/>
                    <w:jc w:val="right"/>
                    <w:jc w:val="center"/>
                  </w:pPr>
                  <w:r>
                    <w:t xml:space="preserve">0.294</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bl>
          <w:bookmarkEnd w:id="60"/>
          <w:p/>
        </w:tc>
      </w:tr>
    </w:tbl>
    <w:p>
      <w:pPr>
        <w:pStyle w:val="BodyText"/>
      </w:pPr>
      <w:r>
        <w:t xml:space="preserve">Among the five responses, afucosylation is the only one on which a quadratic term was resolved. That quadratic term reaches -1.37 per coded unit</w:t>
      </w:r>
      <w:r>
        <w:t xml:space="preserve"> </w:t>
      </w:r>
      <w:r>
        <w:t xml:space="preserve">(p = 0.002), acting together with a pH by</w:t>
      </w:r>
      <w:r>
        <w:t xml:space="preserve"> </w:t>
      </w:r>
      <w:r>
        <w:t xml:space="preserve">duration interaction of</w:t>
      </w:r>
      <w:r>
        <w:t xml:space="preserve"> </w:t>
      </w:r>
      <w:r>
        <w:t xml:space="preserve">+1.32 to give a ridged surface whose maximum sits away from the corners of the design and inside the characterized region. By comparison, the simplest surface of the five was fitted for aggregate, on two significant main effects, culture pH at</w:t>
      </w:r>
      <w:r>
        <w:t xml:space="preserve"> </w:t>
      </w:r>
      <w:r>
        <w:t xml:space="preserve">+0.37 and culture duration at</w:t>
      </w:r>
      <w:r>
        <w:t xml:space="preserve"> </w:t>
      </w:r>
      <w:r>
        <w:t xml:space="preserve">+0.28, alongside a small duration square</w:t>
      </w:r>
      <w:r>
        <w:t xml:space="preserve"> </w:t>
      </w:r>
      <w:r>
        <w:t xml:space="preserve">(Appendix C).</w:t>
      </w:r>
    </w:p>
    <w:p>
      <w:pPr>
        <w:pStyle w:val="BodyText"/>
      </w:pPr>
      <w:r>
        <w:t xml:space="preserve">The fitted surfaces over culture pH and culture duration are shown in</w:t>
      </w:r>
      <w:r>
        <w:t xml:space="preserve"> </w:t>
      </w:r>
      <w:hyperlink w:anchor="fig-contours-phdur">
        <w:r>
          <w:rPr>
            <w:rStyle w:val="Hyperlink"/>
          </w:rPr>
          <w:t xml:space="preserve">Figure 3</w:t>
        </w:r>
      </w:hyperlink>
      <w:r>
        <w:t xml:space="preserve">, with culture temperature and dissolved CO2 held at their set-points. The same five responses are shown over culture temperature and dissolved CO2 in</w:t>
      </w:r>
      <w:r>
        <w:t xml:space="preserve"> </w:t>
      </w:r>
      <w:hyperlink w:anchor="fig-contours-tco2">
        <w:r>
          <w:rPr>
            <w:rStyle w:val="Hyperlink"/>
          </w:rPr>
          <w:t xml:space="preserve">Figure 4</w:t>
        </w:r>
      </w:hyperlink>
      <w:r>
        <w:t xml:space="preserve">, with the remaining two factors held at the same values. Read together, the two panels show</w:t>
      </w:r>
      <w:r>
        <w:t xml:space="preserve"> </w:t>
      </w:r>
      <w:r>
        <w:t xml:space="preserve">that no single plane contains the operating problem: high mannose and aggregate are steepest</w:t>
      </w:r>
      <w:r>
        <w:t xml:space="preserve"> </w:t>
      </w:r>
      <w:r>
        <w:t xml:space="preserve">along pH, whereas galactosylation and acidic variants are steepest along duration and dissolved</w:t>
      </w:r>
      <w:r>
        <w:t xml:space="preserve"> </w:t>
      </w:r>
      <w:r>
        <w:t xml:space="preserve">CO2.</w:t>
      </w:r>
    </w:p>
    <w:tbl>
      <w:tblPr>
        <w:tblStyle w:val="Table"/>
        <w:tblW w:type="pct" w:w="5000"/>
        <w:tblLayout w:type="fixed"/>
        <w:tblLook w:firstRow="0" w:lastRow="0" w:firstColumn="0" w:lastColumn="0" w:noHBand="0" w:noVBand="0" w:val="0000"/>
      </w:tblPr>
      <w:tblGrid>
        <w:gridCol w:w="7920"/>
      </w:tblGrid>
      <w:tr>
        <w:tc>
          <w:tcPr/>
          <w:bookmarkStart w:id="64" w:name="fig-contours-phdur"/>
          <w:p>
            <w:pPr>
              <w:pStyle w:val="Compact"/>
              <w:jc w:val="center"/>
            </w:pPr>
            <w:r>
              <w:drawing>
                <wp:inline>
                  <wp:extent cx="5334000" cy="3196308"/>
                  <wp:effectExtent b="0" l="0" r="0" t="0"/>
                  <wp:docPr descr="" title="" id="62" name="Picture"/>
                  <a:graphic>
                    <a:graphicData uri="http://schemas.openxmlformats.org/drawingml/2006/picture">
                      <pic:pic>
                        <pic:nvPicPr>
                          <pic:cNvPr descr="PCR-003_bioreactor.DRAFT_files/figure-docx/fig-contours-phdur-output-1.png" id="63" name="Picture"/>
                          <pic:cNvPicPr>
                            <a:picLocks noChangeArrowheads="1" noChangeAspect="1"/>
                          </pic:cNvPicPr>
                        </pic:nvPicPr>
                        <pic:blipFill>
                          <a:blip r:embed="rId61"/>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Response-surface predictions over culture pH and culture duration, with culture temperature and dissolved CO2 at their set-points.</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contours-tco2"/>
          <w:p>
            <w:pPr>
              <w:pStyle w:val="Compact"/>
              <w:jc w:val="center"/>
            </w:pPr>
            <w:r>
              <w:drawing>
                <wp:inline>
                  <wp:extent cx="5334000" cy="3196308"/>
                  <wp:effectExtent b="0" l="0" r="0" t="0"/>
                  <wp:docPr descr="" title="" id="66" name="Picture"/>
                  <a:graphic>
                    <a:graphicData uri="http://schemas.openxmlformats.org/drawingml/2006/picture">
                      <pic:pic>
                        <pic:nvPicPr>
                          <pic:cNvPr descr="PCR-003_bioreactor.DRAFT_files/figure-docx/fig-contours-tco2-output-1.png" id="67" name="Picture"/>
                          <pic:cNvPicPr>
                            <a:picLocks noChangeArrowheads="1" noChangeAspect="1"/>
                          </pic:cNvPicPr>
                        </pic:nvPicPr>
                        <pic:blipFill>
                          <a:blip r:embed="rId65"/>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Response-surface predictions over culture temperature and dissolved CO2, with culture pH and culture duration at their set-points.</w:t>
            </w:r>
          </w:p>
          <w:bookmarkEnd w:id="68"/>
        </w:tc>
      </w:tr>
    </w:tbl>
    <w:p>
      <w:pPr>
        <w:pStyle w:val="BodyText"/>
      </w:pPr>
      <w:r>
        <w:t xml:space="preserve">Model diagnostics for three of those responses are given in</w:t>
      </w:r>
      <w:r>
        <w:t xml:space="preserve"> </w:t>
      </w:r>
      <w:hyperlink w:anchor="fig-diag-gal">
        <w:r>
          <w:rPr>
            <w:rStyle w:val="Hyperlink"/>
          </w:rPr>
          <w:t xml:space="preserve">Figure 5</w:t>
        </w:r>
      </w:hyperlink>
      <w:r>
        <w:t xml:space="preserve">,</w:t>
      </w:r>
      <w:r>
        <w:t xml:space="preserve"> </w:t>
      </w:r>
      <w:hyperlink w:anchor="fig-diag-hm">
        <w:r>
          <w:rPr>
            <w:rStyle w:val="Hyperlink"/>
          </w:rPr>
          <w:t xml:space="preserve">Figure 6</w:t>
        </w:r>
      </w:hyperlink>
      <w:r>
        <w:t xml:space="preserve"> </w:t>
      </w:r>
      <w:r>
        <w:t xml:space="preserve">and</w:t>
      </w:r>
      <w:r>
        <w:t xml:space="preserve"> </w:t>
      </w:r>
      <w:hyperlink w:anchor="fig-diag-ac">
        <w:r>
          <w:rPr>
            <w:rStyle w:val="Hyperlink"/>
          </w:rPr>
          <w:t xml:space="preserve">Figure 7</w:t>
        </w:r>
      </w:hyperlink>
      <w:r>
        <w:t xml:space="preserve">. The standardized residuals show no structure against the predicted value, the</w:t>
      </w:r>
      <w:r>
        <w:t xml:space="preserve"> </w:t>
      </w:r>
      <w:r>
        <w:t xml:space="preserve">normal quantile plots are close to linear and the actual against predicted plots sit on the identity line. Furthermore, diagnostics for the remaining two responses were reviewed to the same standard and show the same behaviour.</w:t>
      </w:r>
    </w:p>
    <w:tbl>
      <w:tblPr>
        <w:tblStyle w:val="Table"/>
        <w:tblW w:type="pct" w:w="5000"/>
        <w:tblLayout w:type="fixed"/>
        <w:tblLook w:firstRow="0" w:lastRow="0" w:firstColumn="0" w:lastColumn="0" w:noHBand="0" w:noVBand="0" w:val="0000"/>
      </w:tblPr>
      <w:tblGrid>
        <w:gridCol w:w="7920"/>
      </w:tblGrid>
      <w:tr>
        <w:tc>
          <w:tcPr/>
          <w:bookmarkStart w:id="72" w:name="fig-diag-gal"/>
          <w:p>
            <w:pPr>
              <w:pStyle w:val="Compact"/>
              <w:jc w:val="center"/>
            </w:pPr>
            <w:r>
              <w:drawing>
                <wp:inline>
                  <wp:extent cx="5334000" cy="1671388"/>
                  <wp:effectExtent b="0" l="0" r="0" t="0"/>
                  <wp:docPr descr="" title="" id="70" name="Picture"/>
                  <a:graphic>
                    <a:graphicData uri="http://schemas.openxmlformats.org/drawingml/2006/picture">
                      <pic:pic>
                        <pic:nvPicPr>
                          <pic:cNvPr descr="PCR-003_bioreactor.DRAFT_files/figure-docx/fig-diag-gal-output-1.png" id="71" name="Picture"/>
                          <pic:cNvPicPr>
                            <a:picLocks noChangeArrowheads="1" noChangeAspect="1"/>
                          </pic:cNvPicPr>
                        </pic:nvPicPr>
                        <pic:blipFill>
                          <a:blip r:embed="rId6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Model diagnostics for galactosylation: standardized residuals against predicted value, normal quantile plot, and actual against predicted.</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diag-hm"/>
          <w:p>
            <w:pPr>
              <w:pStyle w:val="Compact"/>
              <w:jc w:val="center"/>
            </w:pPr>
            <w:r>
              <w:drawing>
                <wp:inline>
                  <wp:extent cx="5334000" cy="1671388"/>
                  <wp:effectExtent b="0" l="0" r="0" t="0"/>
                  <wp:docPr descr="" title="" id="74" name="Picture"/>
                  <a:graphic>
                    <a:graphicData uri="http://schemas.openxmlformats.org/drawingml/2006/picture">
                      <pic:pic>
                        <pic:nvPicPr>
                          <pic:cNvPr descr="PCR-003_bioreactor.DRAFT_files/figure-docx/fig-diag-hm-output-1.png" id="75" name="Picture"/>
                          <pic:cNvPicPr>
                            <a:picLocks noChangeArrowheads="1" noChangeAspect="1"/>
                          </pic:cNvPicPr>
                        </pic:nvPicPr>
                        <pic:blipFill>
                          <a:blip r:embed="rId73"/>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Model diagnostics for high mannose.</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diag-ac"/>
          <w:p>
            <w:pPr>
              <w:pStyle w:val="Compact"/>
              <w:jc w:val="center"/>
            </w:pPr>
            <w:r>
              <w:drawing>
                <wp:inline>
                  <wp:extent cx="5334000" cy="1652214"/>
                  <wp:effectExtent b="0" l="0" r="0" t="0"/>
                  <wp:docPr descr="" title="" id="78" name="Picture"/>
                  <a:graphic>
                    <a:graphicData uri="http://schemas.openxmlformats.org/drawingml/2006/picture">
                      <pic:pic>
                        <pic:nvPicPr>
                          <pic:cNvPr descr="PCR-003_bioreactor.DRAFT_files/figure-docx/fig-diag-ac-output-1.png" id="79" name="Picture"/>
                          <pic:cNvPicPr>
                            <a:picLocks noChangeArrowheads="1" noChangeAspect="1"/>
                          </pic:cNvPicPr>
                        </pic:nvPicPr>
                        <pic:blipFill>
                          <a:blip r:embed="rId77"/>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Model diagnostics for acidic variants.</w:t>
            </w:r>
          </w:p>
          <w:bookmarkEnd w:id="80"/>
        </w:tc>
      </w:tr>
    </w:tbl>
    <w:bookmarkEnd w:id="81"/>
    <w:bookmarkStart w:id="82" w:name="mechanistic-interpretation"/>
    <w:p>
      <w:pPr>
        <w:pStyle w:val="Heading2"/>
      </w:pPr>
      <w:r>
        <w:t xml:space="preserve">5.4 Mechanistic interpretation</w:t>
      </w:r>
    </w:p>
    <w:p>
      <w:pPr>
        <w:pStyle w:val="FirstParagraph"/>
      </w:pPr>
      <w:r>
        <w:t xml:space="preserve">On four of the five responses measured, the fitted surfaces follow the mechanisms set out in §2.1.</w:t>
      </w:r>
      <w:r>
        <w:t xml:space="preserve"> </w:t>
      </w:r>
      <w:r>
        <w:t xml:space="preserve">Galactosylation falls as the culture lengthens, which is what a declining galactosyltransferase</w:t>
      </w:r>
      <w:r>
        <w:t xml:space="preserve"> </w:t>
      </w:r>
      <w:r>
        <w:t xml:space="preserve">activity and a depleting nucleotide sugar pool together predict. Dissolved CO2 acts in the same</w:t>
      </w:r>
      <w:r>
        <w:t xml:space="preserve"> </w:t>
      </w:r>
      <w:r>
        <w:t xml:space="preserve">direction, consistent with the acidification of the Golgi lumen that accompanies a rising</w:t>
      </w:r>
      <w:r>
        <w:t xml:space="preserve"> </w:t>
      </w:r>
      <w:r>
        <w:t xml:space="preserve">carbonate load in the culture. Afucosylation also falls with culture duration, at</w:t>
      </w:r>
      <w:r>
        <w:t xml:space="preserve"> </w:t>
      </w:r>
      <w:r>
        <w:t xml:space="preserve">-1.30 percentage points per coded unit, which</w:t>
      </w:r>
      <w:r>
        <w:t xml:space="preserve"> </w:t>
      </w:r>
      <w:r>
        <w:t xml:space="preserve">matches the platform observation that longer cultures give lower afucosylation. In the same cultures, aggregate rises with both culture pH and culture duration, as expected for a species that accumulates while</w:t>
      </w:r>
      <w:r>
        <w:t xml:space="preserve"> </w:t>
      </w:r>
      <w:r>
        <w:t xml:space="preserve">secreted antibody sits in an ageing broth.</w:t>
      </w:r>
    </w:p>
    <w:p>
      <w:pPr>
        <w:pStyle w:val="BodyText"/>
      </w:pPr>
      <w:r>
        <w:t xml:space="preserve">Of the five, high mannose confirms the mechanistic expectation of §2.1 more directly than any other response. The attribute rises with</w:t>
      </w:r>
      <w:r>
        <w:t xml:space="preserve"> </w:t>
      </w:r>
      <w:r>
        <w:t xml:space="preserve">culture pH and falls with culture temperature, which is the signature of incomplete mannosidase</w:t>
      </w:r>
      <w:r>
        <w:t xml:space="preserve"> </w:t>
      </w:r>
      <w:r>
        <w:t xml:space="preserve">trimming, because a higher lumenal pH and a lower temperature both slow the trimming enzymes and</w:t>
      </w:r>
      <w:r>
        <w:t xml:space="preserve"> </w:t>
      </w:r>
      <w:r>
        <w:t xml:space="preserve">leave more of the high-mannose precursor intact at secretion. Neither dissolved CO2 nor culture duration is significant on this response in either design, a null result that localizes the control of the attribute of highest criticality onto two of the nine parameters characterized.</w:t>
      </w:r>
    </w:p>
    <w:p>
      <w:pPr>
        <w:pStyle w:val="BodyText"/>
      </w:pPr>
      <w:r>
        <w:t xml:space="preserve">Acidic variants are the exception to that pattern. Dissolved CO2 dominates the response as expected, at</w:t>
      </w:r>
      <w:r>
        <w:t xml:space="preserve"> </w:t>
      </w:r>
      <w:r>
        <w:t xml:space="preserve">-4.09 percentage points per coded unit, but the</w:t>
      </w:r>
      <w:r>
        <w:t xml:space="preserve"> </w:t>
      </w:r>
      <w:r>
        <w:t xml:space="preserve">sign of the culture pH term runs against a simple base-catalysed deamidation argument. Raising</w:t>
      </w:r>
      <w:r>
        <w:t xml:space="preserve"> </w:t>
      </w:r>
      <w:r>
        <w:t xml:space="preserve">culture pH lowers acidic variants by</w:t>
      </w:r>
      <w:r>
        <w:t xml:space="preserve"> </w:t>
      </w:r>
      <w:r>
        <w:t xml:space="preserve">2.01 percentage points per coded unit.</w:t>
      </w:r>
      <w:r>
        <w:t xml:space="preserve"> </w:t>
      </w:r>
      <w:r>
        <w:t xml:space="preserve">However, the attribute is of very low criticality, at a Tool #1 score of</w:t>
      </w:r>
      <w:r>
        <w:t xml:space="preserve"> </w:t>
      </w:r>
      <w:r>
        <w:t xml:space="preserve">4, with an acceptance criterion applied as an upper</w:t>
      </w:r>
      <w:r>
        <w:t xml:space="preserve"> </w:t>
      </w:r>
      <w:r>
        <w:t xml:space="preserve">limit of 40 %. The highest value any response surface</w:t>
      </w:r>
      <w:r>
        <w:t xml:space="preserve"> </w:t>
      </w:r>
      <w:r>
        <w:t xml:space="preserve">run reached was 30.3 %. That observation is recorded as an empirical result of the study and is not used to support a mechanism.</w:t>
      </w:r>
    </w:p>
    <w:p>
      <w:pPr>
        <w:pStyle w:val="BodyText"/>
      </w:pPr>
      <w:r>
        <w:t xml:space="preserve">Read together, the significant interactions of the model carry the same message as the main effects do. The pH by duration term is significant on afucosylation and on galactosylation, at a magnitude that is large in both. What it means</w:t>
      </w:r>
      <w:r>
        <w:t xml:space="preserve"> </w:t>
      </w:r>
      <w:r>
        <w:t xml:space="preserve">physically is that the consequence of harvesting a day later depends on the pH the culture was</w:t>
      </w:r>
      <w:r>
        <w:t xml:space="preserve"> </w:t>
      </w:r>
      <w:r>
        <w:t xml:space="preserve">held at, because pH sets both the enzyme environment and the growth trajectory that determines</w:t>
      </w:r>
      <w:r>
        <w:t xml:space="preserve"> </w:t>
      </w:r>
      <w:r>
        <w:t xml:space="preserve">how much antibody is made late in the culture. An operating region assembled from independent</w:t>
      </w:r>
      <w:r>
        <w:t xml:space="preserve"> </w:t>
      </w:r>
      <w:r>
        <w:t xml:space="preserve">one-dimensional ranges would miss that dependence entirely, which is why §6 defines a</w:t>
      </w:r>
      <w:r>
        <w:t xml:space="preserve"> </w:t>
      </w:r>
      <w:r>
        <w:t xml:space="preserve">multivariate region instead.</w:t>
      </w:r>
    </w:p>
    <w:bookmarkEnd w:id="82"/>
    <w:bookmarkEnd w:id="83"/>
    <w:bookmarkStart w:id="89" w:name="design-space"/>
    <w:p>
      <w:pPr>
        <w:pStyle w:val="Heading1"/>
      </w:pPr>
      <w:r>
        <w:t xml:space="preserve">6. Design space</w:t>
      </w:r>
    </w:p>
    <w:p>
      <w:pPr>
        <w:pStyle w:val="FirstParagraph"/>
      </w:pPr>
      <w:r>
        <w:t xml:space="preserve">The design space of the step is defined as the multivariate region of the characterized space over which every attribute the step governs stays inside its in-process limit. That region is defined in the 4 well-controlled parameters carried into the response surface design:</w:t>
      </w:r>
      <w:r>
        <w:t xml:space="preserve"> </w:t>
      </w:r>
      <w:r>
        <w:t xml:space="preserve">culture pH, culture temperature, culture duration and dissolved CO2. The principal planes of the region are drawn as culture pH against culture duration (</w:t>
      </w:r>
      <w:hyperlink w:anchor="fig-contours-phdur">
        <w:r>
          <w:rPr>
            <w:rStyle w:val="Hyperlink"/>
          </w:rPr>
          <w:t xml:space="preserve">Figure 3</w:t>
        </w:r>
      </w:hyperlink>
      <w:r>
        <w:t xml:space="preserve">) and culture temperature against dissolved CO2 (</w:t>
      </w:r>
      <w:hyperlink w:anchor="fig-contours-tco2">
        <w:r>
          <w:rPr>
            <w:rStyle w:val="Hyperlink"/>
          </w:rPr>
          <w:t xml:space="preserve">Figure 4</w:t>
        </w:r>
      </w:hyperlink>
      <w:r>
        <w:t xml:space="preserve">),</w:t>
      </w:r>
      <w:r>
        <w:t xml:space="preserve"> </w:t>
      </w:r>
      <w:r>
        <w:t xml:space="preserve">because those two pairs carry the significant interactions found in §5.3.</w:t>
      </w:r>
    </w:p>
    <w:p>
      <w:pPr>
        <w:pStyle w:val="BodyText"/>
      </w:pPr>
      <w:r>
        <w:t xml:space="preserve">Evaluated on a grid of 14,641 points across the coded cube,</w:t>
      </w:r>
      <w:r>
        <w:t xml:space="preserve"> </w:t>
      </w:r>
      <w:r>
        <w:t xml:space="preserve">57.3 % of the characterized region meets every criterion</w:t>
      </w:r>
      <w:r>
        <w:t xml:space="preserve"> </w:t>
      </w:r>
      <w:r>
        <w:t xml:space="preserve">simultaneously. The region is bound most tightly by galactosylation, which alone rejects 14.3 % of the grid, while the least binding of the five is high mannose at 5.3 %. Since no single attribute rejects more than a sixth of the characterized region while the five of them together reject over two fifths of it, the constraints must act in different directions, which is the interaction argument of §5.4 expressed as a volume.</w:t>
      </w:r>
    </w:p>
    <w:p>
      <w:pPr>
        <w:pStyle w:val="BodyText"/>
      </w:pPr>
      <w:r>
        <w:t xml:space="preserve">Geometrically, the corners of the characterized cube are the worst case the region has to survive. All 16 of those corners are evaluated against the in-process limits in</w:t>
      </w:r>
      <w:r>
        <w:t xml:space="preserve"> </w:t>
      </w:r>
      <w:hyperlink w:anchor="tbl-corners">
        <w:r>
          <w:rPr>
            <w:rStyle w:val="Hyperlink"/>
          </w:rPr>
          <w:t xml:space="preserve">Table 20</w:t>
        </w:r>
      </w:hyperlink>
      <w:r>
        <w:t xml:space="preserve">.</w:t>
      </w:r>
      <w:r>
        <w:t xml:space="preserve"> </w:t>
      </w:r>
      <w:r>
        <w:t xml:space="preserve">3 of them meet every in-process limit at once. The worst of those corners sits at culture pH 6.6, culture temperature 34 °C, culture duration 15 days and dissolved CO2 40 mmHg, where 3 limits are breached at once:</w:t>
      </w:r>
      <w:r>
        <w:t xml:space="preserve"> </w:t>
      </w:r>
      <w:r>
        <w:t xml:space="preserve">afucosylation, galactosylation and acidic variants. At that corner galactosylation is predicted at</w:t>
      </w:r>
      <w:r>
        <w:t xml:space="preserve"> </w:t>
      </w:r>
      <w:r>
        <w:t xml:space="preserve">39.2 % against an in-process limit of</w:t>
      </w:r>
      <w:r>
        <w:t xml:space="preserve"> </w:t>
      </w:r>
      <w:r>
        <w:t xml:space="preserve">30.1 %.</w:t>
      </w:r>
    </w:p>
    <w:tbl>
      <w:tblPr>
        <w:tblStyle w:val="Table"/>
        <w:tblW w:type="pct" w:w="5000"/>
        <w:tblLayout w:type="fixed"/>
        <w:tblLook w:firstRow="0" w:lastRow="0" w:firstColumn="0" w:lastColumn="0" w:noHBand="0" w:noVBand="0" w:val="0000"/>
      </w:tblPr>
      <w:tblGrid>
        <w:gridCol w:w="7920"/>
      </w:tblGrid>
      <w:tr>
        <w:tc>
          <w:tcPr/>
          <w:bookmarkStart w:id="84" w:name="tbl-corners"/>
          <w:p>
            <w:pPr>
              <w:jc w:val="center"/>
            </w:pPr>
            <w:pPr>
              <w:jc w:val="left"/>
              <w:spacing w:before="200"/>
              <w:pStyle w:val="ImageCaption"/>
            </w:pPr>
            <w:r>
              <w:t xml:space="preserve">Table 20: Predicted performance at the 16 corners of the characterized region, against the in-process limits of §7.</w:t>
            </w:r>
          </w:p>
          <w:tbl>
            <w:tblPr>
              <w:tblStyle w:val="Table"/>
              <w:tblW w:type="pct" w:w="5000"/>
              <w:tblLayout w:type="fixed"/>
              <w:tblLook w:firstRow="1" w:lastRow="0" w:firstColumn="0" w:lastColumn="0" w:noHBand="0" w:noVBand="0" w:val="0020"/>
            </w:tblPr>
            <w:tblGrid>
              <w:gridCol w:w="676"/>
              <w:gridCol w:w="1352"/>
              <w:gridCol w:w="1303"/>
              <w:gridCol w:w="1159"/>
              <w:gridCol w:w="917"/>
              <w:gridCol w:w="2511"/>
            </w:tblGrid>
            <w:tr>
              <w:trPr>
                <w:tblHeader w:val="on"/>
              </w:trPr>
              <w:tc>
                <w:tcPr/>
                <w:p>
                  <w:pPr>
                    <w:pStyle w:val="Compact"/>
                    <w:jc w:val="right"/>
                    <w:jc w:val="center"/>
                  </w:pPr>
                  <w:r>
                    <w:t xml:space="preserve">Culture pH</w:t>
                  </w:r>
                </w:p>
              </w:tc>
              <w:tc>
                <w:tcPr/>
                <w:p>
                  <w:pPr>
                    <w:pStyle w:val="Compact"/>
                    <w:jc w:val="right"/>
                    <w:jc w:val="center"/>
                  </w:pPr>
                  <w:r>
                    <w:t xml:space="preserve">Culture temperature (°C)</w:t>
                  </w:r>
                </w:p>
              </w:tc>
              <w:tc>
                <w:tcPr/>
                <w:p>
                  <w:pPr>
                    <w:pStyle w:val="Compact"/>
                    <w:jc w:val="right"/>
                    <w:jc w:val="center"/>
                  </w:pPr>
                  <w:r>
                    <w:t xml:space="preserve">Culture duration (days)</w:t>
                  </w:r>
                </w:p>
              </w:tc>
              <w:tc>
                <w:tcPr/>
                <w:p>
                  <w:pPr>
                    <w:pStyle w:val="Compact"/>
                    <w:jc w:val="right"/>
                    <w:jc w:val="center"/>
                  </w:pPr>
                  <w:r>
                    <w:t xml:space="preserve">Dissolved CO2 (mmHg)</w:t>
                  </w:r>
                </w:p>
              </w:tc>
              <w:tc>
                <w:tcPr/>
                <w:p>
                  <w:pPr>
                    <w:pStyle w:val="Compact"/>
                    <w:jc w:val="right"/>
                    <w:jc w:val="center"/>
                  </w:pPr>
                  <w:r>
                    <w:t xml:space="preserve">Limits breached</w:t>
                  </w:r>
                </w:p>
              </w:tc>
              <w:tc>
                <w:tcPr/>
                <w:p>
                  <w:pPr>
                    <w:pStyle w:val="Compact"/>
                    <w:jc w:val="left"/>
                    <w:jc w:val="center"/>
                  </w:pPr>
                  <w:r>
                    <w:t xml:space="preserve">Attribute</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3</w:t>
                  </w:r>
                </w:p>
              </w:tc>
              <w:tc>
                <w:tcPr/>
                <w:p>
                  <w:pPr>
                    <w:pStyle w:val="Compact"/>
                    <w:jc w:val="left"/>
                    <w:jc w:val="center"/>
                  </w:pPr>
                  <w:r>
                    <w:t xml:space="preserve">Afucosylation, Galactosylation and Acidic variants</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Afucosylation</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Acidic variants</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0</w:t>
                  </w:r>
                </w:p>
              </w:tc>
              <w:tc>
                <w:tcPr/>
                <w:p>
                  <w:pPr>
                    <w:pStyle w:val="Compact"/>
                    <w:jc w:val="left"/>
                    <w:jc w:val="center"/>
                  </w:pPr>
                  <w:r>
                    <w:t xml:space="preserve">none</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3</w:t>
                  </w:r>
                </w:p>
              </w:tc>
              <w:tc>
                <w:tcPr/>
                <w:p>
                  <w:pPr>
                    <w:pStyle w:val="Compact"/>
                    <w:jc w:val="left"/>
                    <w:jc w:val="center"/>
                  </w:pPr>
                  <w:r>
                    <w:t xml:space="preserve">Afucosylation, Galactosylation and Acidic variants</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2</w:t>
                  </w:r>
                </w:p>
              </w:tc>
              <w:tc>
                <w:tcPr/>
                <w:p>
                  <w:pPr>
                    <w:pStyle w:val="Compact"/>
                    <w:jc w:val="left"/>
                    <w:jc w:val="center"/>
                  </w:pPr>
                  <w:r>
                    <w:t xml:space="preserve">Afucosylation and Galactosylation</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Acidic variants</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0</w:t>
                  </w:r>
                </w:p>
              </w:tc>
              <w:tc>
                <w:tcPr/>
                <w:p>
                  <w:pPr>
                    <w:pStyle w:val="Compact"/>
                    <w:jc w:val="left"/>
                    <w:jc w:val="center"/>
                  </w:pPr>
                  <w:r>
                    <w:t xml:space="preserve">none</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0</w:t>
                  </w:r>
                </w:p>
              </w:tc>
              <w:tc>
                <w:tcPr/>
                <w:p>
                  <w:pPr>
                    <w:pStyle w:val="Compact"/>
                    <w:jc w:val="left"/>
                    <w:jc w:val="center"/>
                  </w:pPr>
                  <w:r>
                    <w:t xml:space="preserve">none</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High mannose</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Aggregates</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2</w:t>
                  </w:r>
                </w:p>
              </w:tc>
              <w:tc>
                <w:tcPr/>
                <w:p>
                  <w:pPr>
                    <w:pStyle w:val="Compact"/>
                    <w:jc w:val="left"/>
                    <w:jc w:val="center"/>
                  </w:pPr>
                  <w:r>
                    <w:t xml:space="preserve">High mannose and Aggregates</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Acidic variants</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High mannose</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2</w:t>
                  </w:r>
                </w:p>
              </w:tc>
              <w:tc>
                <w:tcPr/>
                <w:p>
                  <w:pPr>
                    <w:pStyle w:val="Compact"/>
                    <w:jc w:val="left"/>
                    <w:jc w:val="center"/>
                  </w:pPr>
                  <w:r>
                    <w:t xml:space="preserve">Acidic variants and Aggregates</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Aggregates</w:t>
                  </w:r>
                </w:p>
              </w:tc>
            </w:tr>
          </w:tbl>
          <w:bookmarkEnd w:id="84"/>
          <w:p/>
        </w:tc>
      </w:tr>
    </w:tbl>
    <w:p>
      <w:pPr>
        <w:pStyle w:val="BodyText"/>
      </w:pPr>
      <w:r>
        <w:t xml:space="preserve">Against the drug substance specifications those corners fare much better. Only 1 corner of the cube fails that criterion. At culture pH 6.6, culture temperature 36 °C, culture duration 15 days and dissolved CO2 40 mmHg,</w:t>
      </w:r>
      <w:r>
        <w:t xml:space="preserve"> </w:t>
      </w:r>
      <w:r>
        <w:t xml:space="preserve">galactosylation is predicted at</w:t>
      </w:r>
      <w:r>
        <w:t xml:space="preserve"> </w:t>
      </w:r>
      <w:r>
        <w:t xml:space="preserve">40.3 % against a specification of</w:t>
      </w:r>
      <w:r>
        <w:t xml:space="preserve"> </w:t>
      </w:r>
      <w:r>
        <w:t xml:space="preserve">10 to 40 %. That corner marks the edge of failure of the knowledge space. It lies well outside the operating region defined here.</w:t>
      </w:r>
    </w:p>
    <w:p>
      <w:pPr>
        <w:pStyle w:val="BodyText"/>
      </w:pPr>
      <w:r>
        <w:t xml:space="preserve">The region is shown in the culture pH against culture duration plane in</w:t>
      </w:r>
      <w:r>
        <w:t xml:space="preserve"> </w:t>
      </w:r>
      <w:hyperlink w:anchor="fig-ds">
        <w:r>
          <w:rPr>
            <w:rStyle w:val="Hyperlink"/>
          </w:rPr>
          <w:t xml:space="preserve">Figure 8</w:t>
        </w:r>
      </w:hyperlink>
      <w:r>
        <w:t xml:space="preserve">, with the drug substance acceptance boundaries drawn and the normal operating range marked. In that plane the normal operating range sits inside the characterized region, which in turn sits inside the knowledge space bounded by</w:t>
      </w:r>
      <w:r>
        <w:t xml:space="preserve"> </w:t>
      </w:r>
      <w:hyperlink w:anchor="tbl-params">
        <w:r>
          <w:rPr>
            <w:rStyle w:val="Hyperlink"/>
          </w:rPr>
          <w:t xml:space="preserve">Table 6</w:t>
        </w:r>
      </w:hyperlink>
      <w:r>
        <w:t xml:space="preserve">. As stated in ICH Q8, working within the design space is not</w:t>
      </w:r>
      <w:r>
        <w:t xml:space="preserve"> </w:t>
      </w:r>
      <w:r>
        <w:t xml:space="preserve">considered a change from a regulatory filing perspective, although every planned move is still</w:t>
      </w:r>
      <w:r>
        <w:t xml:space="preserve"> </w:t>
      </w:r>
      <w:r>
        <w:t xml:space="preserve">assessed prospectively under the pharmaceutical quality system before it is made</w:t>
      </w:r>
      <w:r>
        <w:t xml:space="preserve"> </w:t>
      </w:r>
      <w:r>
        <w:t xml:space="preserve">(International Council for Harmonisation 2009, 2008)</w:t>
      </w:r>
      <w:r>
        <w:t xml:space="preserve">. Movement outside that region is handled under change control, with supporting data and a prospective assessment of the effect on each governed attribute.</w:t>
      </w:r>
    </w:p>
    <w:tbl>
      <w:tblPr>
        <w:tblStyle w:val="Table"/>
        <w:tblW w:type="pct" w:w="5000"/>
        <w:tblLayout w:type="fixed"/>
        <w:tblLook w:firstRow="0" w:lastRow="0" w:firstColumn="0" w:lastColumn="0" w:noHBand="0" w:noVBand="0" w:val="0000"/>
      </w:tblPr>
      <w:tblGrid>
        <w:gridCol w:w="7920"/>
      </w:tblGrid>
      <w:tr>
        <w:tc>
          <w:tcPr/>
          <w:bookmarkStart w:id="88" w:name="fig-ds"/>
          <w:p>
            <w:pPr>
              <w:pStyle w:val="Compact"/>
              <w:jc w:val="center"/>
            </w:pPr>
            <w:r>
              <w:drawing>
                <wp:inline>
                  <wp:extent cx="5334000" cy="4339149"/>
                  <wp:effectExtent b="0" l="0" r="0" t="0"/>
                  <wp:docPr descr="" title="" id="86" name="Picture"/>
                  <a:graphic>
                    <a:graphicData uri="http://schemas.openxmlformats.org/drawingml/2006/picture">
                      <pic:pic>
                        <pic:nvPicPr>
                          <pic:cNvPr descr="../outputs/figures/fig_bioreactor_designspace.png" id="87" name="Picture"/>
                          <pic:cNvPicPr>
                            <a:picLocks noChangeArrowheads="1" noChangeAspect="1"/>
                          </pic:cNvPicPr>
                        </pic:nvPicPr>
                        <pic:blipFill>
                          <a:blip r:embed="rId85"/>
                          <a:stretch>
                            <a:fillRect/>
                          </a:stretch>
                        </pic:blipFill>
                        <pic:spPr bwMode="auto">
                          <a:xfrm>
                            <a:off x="0" y="0"/>
                            <a:ext cx="5334000" cy="433914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Production-bioreactor operating region in the culture pH and culture duration plane. The shaded region meets every drug substance criterion, dashed lines are the acceptance boundaries and the dotted rectangle is the normal operating range.</w:t>
            </w:r>
          </w:p>
          <w:bookmarkEnd w:id="88"/>
        </w:tc>
      </w:tr>
    </w:tbl>
    <w:p>
      <w:pPr>
        <w:pStyle w:val="BodyText"/>
      </w:pPr>
      <w:r>
        <w:t xml:space="preserve">Three bounds are attached to the design space claim made above. The region is defined only over the characterized ranges of</w:t>
      </w:r>
      <w:r>
        <w:t xml:space="preserve"> </w:t>
      </w:r>
      <w:hyperlink w:anchor="tbl-params">
        <w:r>
          <w:rPr>
            <w:rStyle w:val="Hyperlink"/>
          </w:rPr>
          <w:t xml:space="preserve">Table 6</w:t>
        </w:r>
      </w:hyperlink>
      <w:r>
        <w:t xml:space="preserve">. Nothing at all is claimed beyond those ranges. The models behind it were fitted as mean-response models on 28 runs, which makes the reliability at the edge of the shaded region lower than at its centre. Routine operation at the centre of that region is accordingly supported by the capability statement of §8 instead of by the boundary itself. Beyond those two bounds, the whole region rests on the qualified scale-down model of §3.1. Design spaces of this kind are not confirmed at commercial scale at the edges of the ranges.</w:t>
      </w:r>
    </w:p>
    <w:bookmarkEnd w:id="89"/>
    <w:bookmarkStart w:id="111" w:name="proven-acceptable-ranges"/>
    <w:p>
      <w:pPr>
        <w:pStyle w:val="Heading1"/>
      </w:pPr>
      <w:r>
        <w:t xml:space="preserve">7. Proven acceptable ranges</w:t>
      </w:r>
    </w:p>
    <w:p>
      <w:pPr>
        <w:pStyle w:val="FirstParagraph"/>
      </w:pPr>
      <w:r>
        <w:t xml:space="preserve">The proven acceptable ranges are reported alongside the multivariate region, as a view taken one attribute and one parameter at a time. Each range was measured against the in-process limit of the step</w:t>
      </w:r>
      <w:r>
        <w:t xml:space="preserve"> </w:t>
      </w:r>
      <w:r>
        <w:t xml:space="preserve">instead of the drug substance specification, because an intermediate has to be judged against a</w:t>
      </w:r>
      <w:r>
        <w:t xml:space="preserve"> </w:t>
      </w:r>
      <w:r>
        <w:t xml:space="preserve">criterion that applies to it. For 4 of the 5 responses</w:t>
      </w:r>
      <w:r>
        <w:t xml:space="preserve"> </w:t>
      </w:r>
      <w:r>
        <w:t xml:space="preserve">the in-process limit is derived from the demonstrated commercial-scale capability, as an alert</w:t>
      </w:r>
      <w:r>
        <w:t xml:space="preserve"> </w:t>
      </w:r>
      <w:r>
        <w:t xml:space="preserve">limit 2.5 standard deviations from the simulated mean (§8). For</w:t>
      </w:r>
      <w:r>
        <w:t xml:space="preserve"> </w:t>
      </w:r>
      <w:r>
        <w:t xml:space="preserve">aggregates the limit is carried back instead from the drug substance criterion,</w:t>
      </w:r>
      <w:r>
        <w:t xml:space="preserve"> </w:t>
      </w:r>
      <w:r>
        <w:t xml:space="preserve">through the clearance the downstream train delivers, then divided by an assurance margin of</w:t>
      </w:r>
      <w:r>
        <w:t xml:space="preserve"> </w:t>
      </w:r>
      <w:r>
        <w:t xml:space="preserve">6.8. The resulting limits appear in the Criterion column of</w:t>
      </w:r>
      <w:r>
        <w:t xml:space="preserve"> </w:t>
      </w:r>
      <w:hyperlink w:anchor="tbl-par">
        <w:r>
          <w:rPr>
            <w:rStyle w:val="Hyperlink"/>
          </w:rPr>
          <w:t xml:space="preserve">Table 21</w:t>
        </w:r>
      </w:hyperlink>
      <w:r>
        <w:t xml:space="preserve">, against which both proven acceptable range columns were computed.</w:t>
      </w:r>
    </w:p>
    <w:p>
      <w:pPr>
        <w:pStyle w:val="BodyText"/>
      </w:pPr>
      <w:r>
        <w:t xml:space="preserve">Two analyses were run against those limits, one for each combination of governed attribute and response surface factor. In the first of those analyses the other factors are held at their set-points, while the parameter of interest is scanned across its characterization range on the fitted response surface model. In the second analysis the other factors are varied within their normal operating ranges by Monte-Carlo of the same model. The proven acceptable range is then taken as the span over which the 95 % predictive interval stays inside the criterion. The second analysis serves as the reproducible default of this package. By construction it bounds the parameter more tightly than the first.</w:t>
      </w:r>
    </w:p>
    <w:tbl>
      <w:tblPr>
        <w:tblStyle w:val="Table"/>
        <w:tblW w:type="pct" w:w="5000"/>
        <w:tblLayout w:type="fixed"/>
        <w:tblLook w:firstRow="0" w:lastRow="0" w:firstColumn="0" w:lastColumn="0" w:noHBand="0" w:noVBand="0" w:val="0000"/>
      </w:tblPr>
      <w:tblGrid>
        <w:gridCol w:w="7920"/>
      </w:tblGrid>
      <w:tr>
        <w:tc>
          <w:tcPr/>
          <w:bookmarkStart w:id="90" w:name="tbl-par"/>
          <w:p>
            <w:pPr>
              <w:jc w:val="center"/>
            </w:pPr>
            <w:pPr>
              <w:jc w:val="left"/>
              <w:spacing w:before="200"/>
              <w:pStyle w:val="ImageCaption"/>
            </w:pPr>
            <w:r>
              <w:t xml:space="preserve">Table 21: Proven acceptable ranges per governed attribute and response-surface factor, at set-point and under normal operating range variation.</w:t>
            </w:r>
          </w:p>
          <w:tbl>
            <w:tblPr>
              <w:tblStyle w:val="Table"/>
              <w:tblW w:type="pct" w:w="5000"/>
              <w:tblLayout w:type="fixed"/>
              <w:tblLook w:firstRow="1" w:lastRow="0" w:firstColumn="0" w:lastColumn="0" w:noHBand="0" w:noVBand="0" w:val="0020"/>
            </w:tblPr>
            <w:tblGrid>
              <w:gridCol w:w="1320"/>
              <w:gridCol w:w="1613"/>
              <w:gridCol w:w="1100"/>
              <w:gridCol w:w="586"/>
              <w:gridCol w:w="953"/>
              <w:gridCol w:w="1393"/>
              <w:gridCol w:w="953"/>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Afucosylation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9.43</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Afucosylation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9.43</w:t>
                  </w:r>
                </w:p>
              </w:tc>
              <w:tc>
                <w:tcPr/>
                <w:p>
                  <w:pPr>
                    <w:pStyle w:val="Compact"/>
                    <w:jc w:val="left"/>
                    <w:jc w:val="center"/>
                  </w:pPr>
                  <w:r>
                    <w:t xml:space="preserve">34–36</w:t>
                  </w:r>
                </w:p>
              </w:tc>
              <w:tc>
                <w:tcPr/>
                <w:p>
                  <w:pPr>
                    <w:pStyle w:val="Compact"/>
                    <w:jc w:val="left"/>
                    <w:jc w:val="center"/>
                  </w:pPr>
                  <w:r>
                    <w:t xml:space="preserve">34.7–36</w:t>
                  </w:r>
                </w:p>
              </w:tc>
            </w:tr>
            <w:tr>
              <w:tc>
                <w:tcPr/>
                <w:p>
                  <w:pPr>
                    <w:pStyle w:val="Compact"/>
                    <w:jc w:val="left"/>
                    <w:jc w:val="center"/>
                  </w:pPr>
                  <w:r>
                    <w:t xml:space="preserve">Afucosylation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9.43</w:t>
                  </w:r>
                </w:p>
              </w:tc>
              <w:tc>
                <w:tcPr/>
                <w:p>
                  <w:pPr>
                    <w:pStyle w:val="Compact"/>
                    <w:jc w:val="left"/>
                    <w:jc w:val="center"/>
                  </w:pPr>
                  <w:r>
                    <w:t xml:space="preserve">15.2–19</w:t>
                  </w:r>
                </w:p>
              </w:tc>
              <w:tc>
                <w:tcPr/>
                <w:p>
                  <w:pPr>
                    <w:pStyle w:val="Compact"/>
                    <w:jc w:val="left"/>
                    <w:jc w:val="center"/>
                  </w:pPr>
                  <w:r>
                    <w:t xml:space="preserve">16.8–19</w:t>
                  </w:r>
                </w:p>
              </w:tc>
            </w:tr>
            <w:tr>
              <w:tc>
                <w:tcPr/>
                <w:p>
                  <w:pPr>
                    <w:pStyle w:val="Compact"/>
                    <w:jc w:val="left"/>
                    <w:jc w:val="center"/>
                  </w:pPr>
                  <w:r>
                    <w:t xml:space="preserve">Afucosylation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9.43</w:t>
                  </w:r>
                </w:p>
              </w:tc>
              <w:tc>
                <w:tcPr/>
                <w:p>
                  <w:pPr>
                    <w:pStyle w:val="Compact"/>
                    <w:jc w:val="left"/>
                    <w:jc w:val="center"/>
                  </w:pPr>
                  <w:r>
                    <w:t xml:space="preserve">40–160</w:t>
                  </w:r>
                </w:p>
              </w:tc>
              <w:tc>
                <w:tcPr/>
                <w:p>
                  <w:pPr>
                    <w:pStyle w:val="Compact"/>
                    <w:jc w:val="left"/>
                    <w:jc w:val="center"/>
                  </w:pPr>
                  <w:r>
                    <w:t xml:space="preserve">82–160</w:t>
                  </w:r>
                </w:p>
              </w:tc>
            </w:tr>
            <w:tr>
              <w:tc>
                <w:tcPr/>
                <w:p>
                  <w:pPr>
                    <w:pStyle w:val="Compact"/>
                    <w:jc w:val="left"/>
                    <w:jc w:val="center"/>
                  </w:pPr>
                  <w:r>
                    <w:t xml:space="preserve">Galactosylation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30.1</w:t>
                  </w:r>
                </w:p>
              </w:tc>
              <w:tc>
                <w:tcPr/>
                <w:p>
                  <w:pPr>
                    <w:pStyle w:val="Compact"/>
                    <w:jc w:val="left"/>
                    <w:jc w:val="center"/>
                  </w:pPr>
                  <w:r>
                    <w:t xml:space="preserve">6.6–7.1</w:t>
                  </w:r>
                </w:p>
              </w:tc>
              <w:tc>
                <w:tcPr/>
                <w:p>
                  <w:pPr>
                    <w:pStyle w:val="Compact"/>
                    <w:jc w:val="left"/>
                    <w:jc w:val="center"/>
                  </w:pPr>
                  <w:r>
                    <w:t xml:space="preserve">6.74–7.1</w:t>
                  </w:r>
                </w:p>
              </w:tc>
            </w:tr>
            <w:tr>
              <w:tc>
                <w:tcPr/>
                <w:p>
                  <w:pPr>
                    <w:pStyle w:val="Compact"/>
                    <w:jc w:val="left"/>
                    <w:jc w:val="center"/>
                  </w:pPr>
                  <w:r>
                    <w:t xml:space="preserve">Galactosylation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30.1</w:t>
                  </w:r>
                </w:p>
              </w:tc>
              <w:tc>
                <w:tcPr/>
                <w:p>
                  <w:pPr>
                    <w:pStyle w:val="Compact"/>
                    <w:jc w:val="left"/>
                    <w:jc w:val="center"/>
                  </w:pPr>
                  <w:r>
                    <w:t xml:space="preserve">34–36</w:t>
                  </w:r>
                </w:p>
              </w:tc>
              <w:tc>
                <w:tcPr/>
                <w:p>
                  <w:pPr>
                    <w:pStyle w:val="Compact"/>
                    <w:jc w:val="left"/>
                    <w:jc w:val="center"/>
                  </w:pPr>
                  <w:r>
                    <w:t xml:space="preserve">34–35.5</w:t>
                  </w:r>
                </w:p>
              </w:tc>
            </w:tr>
            <w:tr>
              <w:tc>
                <w:tcPr/>
                <w:p>
                  <w:pPr>
                    <w:pStyle w:val="Compact"/>
                    <w:jc w:val="left"/>
                    <w:jc w:val="center"/>
                  </w:pPr>
                  <w:r>
                    <w:t xml:space="preserve">Galactosylation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30.1</w:t>
                  </w:r>
                </w:p>
              </w:tc>
              <w:tc>
                <w:tcPr/>
                <w:p>
                  <w:pPr>
                    <w:pStyle w:val="Compact"/>
                    <w:jc w:val="left"/>
                    <w:jc w:val="center"/>
                  </w:pPr>
                  <w:r>
                    <w:t xml:space="preserve">15.2–19</w:t>
                  </w:r>
                </w:p>
              </w:tc>
              <w:tc>
                <w:tcPr/>
                <w:p>
                  <w:pPr>
                    <w:pStyle w:val="Compact"/>
                    <w:jc w:val="left"/>
                    <w:jc w:val="center"/>
                  </w:pPr>
                  <w:r>
                    <w:t xml:space="preserve">16.4–19</w:t>
                  </w:r>
                </w:p>
              </w:tc>
            </w:tr>
            <w:tr>
              <w:tc>
                <w:tcPr/>
                <w:p>
                  <w:pPr>
                    <w:pStyle w:val="Compact"/>
                    <w:jc w:val="left"/>
                    <w:jc w:val="center"/>
                  </w:pPr>
                  <w:r>
                    <w:t xml:space="preserve">Galactosylation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30.1</w:t>
                  </w:r>
                </w:p>
              </w:tc>
              <w:tc>
                <w:tcPr/>
                <w:p>
                  <w:pPr>
                    <w:pStyle w:val="Compact"/>
                    <w:jc w:val="left"/>
                    <w:jc w:val="center"/>
                  </w:pPr>
                  <w:r>
                    <w:t xml:space="preserve">40–160</w:t>
                  </w:r>
                </w:p>
              </w:tc>
              <w:tc>
                <w:tcPr/>
                <w:p>
                  <w:pPr>
                    <w:pStyle w:val="Compact"/>
                    <w:jc w:val="left"/>
                    <w:jc w:val="center"/>
                  </w:pPr>
                  <w:r>
                    <w:t xml:space="preserve">74.5–160</w:t>
                  </w:r>
                </w:p>
              </w:tc>
            </w:tr>
            <w:tr>
              <w:tc>
                <w:tcPr/>
                <w:p>
                  <w:pPr>
                    <w:pStyle w:val="Compact"/>
                    <w:jc w:val="left"/>
                    <w:jc w:val="center"/>
                  </w:pPr>
                  <w:r>
                    <w:t xml:space="preserve">High mannose</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7.28</w:t>
                  </w:r>
                </w:p>
              </w:tc>
              <w:tc>
                <w:tcPr/>
                <w:p>
                  <w:pPr>
                    <w:pStyle w:val="Compact"/>
                    <w:jc w:val="left"/>
                    <w:jc w:val="center"/>
                  </w:pPr>
                  <w:r>
                    <w:t xml:space="preserve">6.6–7.1</w:t>
                  </w:r>
                </w:p>
              </w:tc>
              <w:tc>
                <w:tcPr/>
                <w:p>
                  <w:pPr>
                    <w:pStyle w:val="Compact"/>
                    <w:jc w:val="left"/>
                    <w:jc w:val="center"/>
                  </w:pPr>
                  <w:r>
                    <w:t xml:space="preserve">6.6–6.94</w:t>
                  </w:r>
                </w:p>
              </w:tc>
            </w:tr>
            <w:tr>
              <w:tc>
                <w:tcPr/>
                <w:p>
                  <w:pPr>
                    <w:pStyle w:val="Compact"/>
                    <w:jc w:val="left"/>
                    <w:jc w:val="center"/>
                  </w:pPr>
                  <w:r>
                    <w:t xml:space="preserve">High mannose</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7.28</w:t>
                  </w:r>
                </w:p>
              </w:tc>
              <w:tc>
                <w:tcPr/>
                <w:p>
                  <w:pPr>
                    <w:pStyle w:val="Compact"/>
                    <w:jc w:val="left"/>
                    <w:jc w:val="center"/>
                  </w:pPr>
                  <w:r>
                    <w:t xml:space="preserve">34–36</w:t>
                  </w:r>
                </w:p>
              </w:tc>
              <w:tc>
                <w:tcPr/>
                <w:p>
                  <w:pPr>
                    <w:pStyle w:val="Compact"/>
                    <w:jc w:val="left"/>
                    <w:jc w:val="center"/>
                  </w:pPr>
                  <w:r>
                    <w:t xml:space="preserve">34.1–36</w:t>
                  </w:r>
                </w:p>
              </w:tc>
            </w:tr>
            <w:tr>
              <w:tc>
                <w:tcPr/>
                <w:p>
                  <w:pPr>
                    <w:pStyle w:val="Compact"/>
                    <w:jc w:val="left"/>
                    <w:jc w:val="center"/>
                  </w:pPr>
                  <w:r>
                    <w:t xml:space="preserve">High mannose</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7.28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High mannose</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7.28</w:t>
                  </w:r>
                </w:p>
              </w:tc>
              <w:tc>
                <w:tcPr/>
                <w:p>
                  <w:pPr>
                    <w:pStyle w:val="Compact"/>
                    <w:jc w:val="left"/>
                    <w:jc w:val="center"/>
                  </w:pPr>
                  <w:r>
                    <w:t xml:space="preserve">40–160</w:t>
                  </w:r>
                </w:p>
              </w:tc>
              <w:tc>
                <w:tcPr/>
                <w:p>
                  <w:pPr>
                    <w:pStyle w:val="Compact"/>
                    <w:jc w:val="left"/>
                    <w:jc w:val="center"/>
                  </w:pPr>
                  <w:r>
                    <w:t xml:space="preserve">40–156</w:t>
                  </w:r>
                </w:p>
              </w:tc>
            </w:tr>
            <w:tr>
              <w:tc>
                <w:tcPr/>
                <w:p>
                  <w:pPr>
                    <w:pStyle w:val="Compact"/>
                    <w:jc w:val="left"/>
                    <w:jc w:val="center"/>
                  </w:pPr>
                  <w:r>
                    <w:t xml:space="preserve">Acidic variants</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25.8</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Acidic variants</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25.8</w:t>
                  </w:r>
                </w:p>
              </w:tc>
              <w:tc>
                <w:tcPr/>
                <w:p>
                  <w:pPr>
                    <w:pStyle w:val="Compact"/>
                    <w:jc w:val="left"/>
                    <w:jc w:val="center"/>
                  </w:pPr>
                  <w:r>
                    <w:t xml:space="preserve">34–36</w:t>
                  </w:r>
                </w:p>
              </w:tc>
              <w:tc>
                <w:tcPr/>
                <w:p>
                  <w:pPr>
                    <w:pStyle w:val="Compact"/>
                    <w:jc w:val="left"/>
                    <w:jc w:val="center"/>
                  </w:pPr>
                  <w:r>
                    <w:t xml:space="preserve">34–35.2</w:t>
                  </w:r>
                </w:p>
              </w:tc>
            </w:tr>
            <w:tr>
              <w:tc>
                <w:tcPr/>
                <w:p>
                  <w:pPr>
                    <w:pStyle w:val="Compact"/>
                    <w:jc w:val="left"/>
                    <w:jc w:val="center"/>
                  </w:pPr>
                  <w:r>
                    <w:t xml:space="preserve">Acidic variants</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25.8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Acidic variants</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25.8</w:t>
                  </w:r>
                </w:p>
              </w:tc>
              <w:tc>
                <w:tcPr/>
                <w:p>
                  <w:pPr>
                    <w:pStyle w:val="Compact"/>
                    <w:jc w:val="left"/>
                    <w:jc w:val="center"/>
                  </w:pPr>
                  <w:r>
                    <w:t xml:space="preserve">46.6–160</w:t>
                  </w:r>
                </w:p>
              </w:tc>
              <w:tc>
                <w:tcPr/>
                <w:p>
                  <w:pPr>
                    <w:pStyle w:val="Compact"/>
                    <w:jc w:val="left"/>
                    <w:jc w:val="center"/>
                  </w:pPr>
                  <w:r>
                    <w:t xml:space="preserve">92.5–160</w:t>
                  </w:r>
                </w:p>
              </w:tc>
            </w:tr>
            <w:tr>
              <w:tc>
                <w:tcPr/>
                <w:p>
                  <w:pPr>
                    <w:pStyle w:val="Compact"/>
                    <w:jc w:val="left"/>
                    <w:jc w:val="center"/>
                  </w:pPr>
                  <w:r>
                    <w:t xml:space="preserve">Aggregates (HMW)</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1.86</w:t>
                  </w:r>
                </w:p>
              </w:tc>
              <w:tc>
                <w:tcPr/>
                <w:p>
                  <w:pPr>
                    <w:pStyle w:val="Compact"/>
                    <w:jc w:val="left"/>
                    <w:jc w:val="center"/>
                  </w:pPr>
                  <w:r>
                    <w:t xml:space="preserve">6.6–7.1</w:t>
                  </w:r>
                </w:p>
              </w:tc>
              <w:tc>
                <w:tcPr/>
                <w:p>
                  <w:pPr>
                    <w:pStyle w:val="Compact"/>
                    <w:jc w:val="left"/>
                    <w:jc w:val="center"/>
                  </w:pPr>
                  <w:r>
                    <w:t xml:space="preserve">6.6–6.93</w:t>
                  </w:r>
                </w:p>
              </w:tc>
            </w:tr>
            <w:tr>
              <w:tc>
                <w:tcPr/>
                <w:p>
                  <w:pPr>
                    <w:pStyle w:val="Compact"/>
                    <w:jc w:val="left"/>
                    <w:jc w:val="center"/>
                  </w:pPr>
                  <w:r>
                    <w:t xml:space="preserve">Aggregates (HMW)</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1.86</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Aggregates (HMW)</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1.86</w:t>
                  </w:r>
                </w:p>
              </w:tc>
              <w:tc>
                <w:tcPr/>
                <w:p>
                  <w:pPr>
                    <w:pStyle w:val="Compact"/>
                    <w:jc w:val="left"/>
                    <w:jc w:val="center"/>
                  </w:pPr>
                  <w:r>
                    <w:t xml:space="preserve">15–18.7</w:t>
                  </w:r>
                </w:p>
              </w:tc>
              <w:tc>
                <w:tcPr/>
                <w:p>
                  <w:pPr>
                    <w:pStyle w:val="Compact"/>
                    <w:jc w:val="left"/>
                    <w:jc w:val="center"/>
                  </w:pPr>
                  <w:r>
                    <w:t xml:space="preserve">15–17.7</w:t>
                  </w:r>
                </w:p>
              </w:tc>
            </w:tr>
            <w:tr>
              <w:tc>
                <w:tcPr/>
                <w:p>
                  <w:pPr>
                    <w:pStyle w:val="Compact"/>
                    <w:jc w:val="left"/>
                    <w:jc w:val="center"/>
                  </w:pPr>
                  <w:r>
                    <w:t xml:space="preserve">Aggregates (HMW)</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1.86</w:t>
                  </w:r>
                </w:p>
              </w:tc>
              <w:tc>
                <w:tcPr/>
                <w:p>
                  <w:pPr>
                    <w:pStyle w:val="Compact"/>
                    <w:jc w:val="left"/>
                    <w:jc w:val="center"/>
                  </w:pPr>
                  <w:r>
                    <w:t xml:space="preserve">40–160</w:t>
                  </w:r>
                </w:p>
              </w:tc>
              <w:tc>
                <w:tcPr/>
                <w:p>
                  <w:pPr>
                    <w:pStyle w:val="Compact"/>
                    <w:jc w:val="left"/>
                    <w:jc w:val="center"/>
                  </w:pPr>
                  <w:r>
                    <w:t xml:space="preserve">40–160</w:t>
                  </w:r>
                </w:p>
              </w:tc>
            </w:tr>
          </w:tbl>
          <w:bookmarkEnd w:id="90"/>
          <w:p/>
        </w:tc>
      </w:tr>
    </w:tbl>
    <w:p>
      <w:pPr>
        <w:pStyle w:val="BodyText"/>
      </w:pPr>
      <w:r>
        <w:t xml:space="preserve">At set-point, 16 of the 20 attribute and parameter combinations stay acceptable across the whole characterization range, whereas under normal</w:t>
      </w:r>
      <w:r>
        <w:t xml:space="preserve"> </w:t>
      </w:r>
      <w:r>
        <w:t xml:space="preserve">operating range variation that count falls to 4. Under that propagation, the narrowest of those combinations is formed by afucosylation against culture pH. It retains 55 % of the characterized range, running from 6.82 to 7.10 under variation of the other three factors. Four rows are left unaffected by the propagation: high mannose and acidic variants against culture</w:t>
      </w:r>
      <w:r>
        <w:t xml:space="preserve"> </w:t>
      </w:r>
      <w:r>
        <w:t xml:space="preserve">duration, and aggregate against culture temperature and dissolved CO2.</w:t>
      </w:r>
    </w:p>
    <w:p>
      <w:pPr>
        <w:pStyle w:val="BodyText"/>
      </w:pPr>
      <w:r>
        <w:t xml:space="preserve">For the operating region, the rows that matter most in that table are the ones that pull in opposite directions. On culture pH the proven acceptable range is bounded below by afucosylation at</w:t>
      </w:r>
      <w:r>
        <w:t xml:space="preserve"> </w:t>
      </w:r>
      <w:r>
        <w:t xml:space="preserve">6.82 and bounded above by aggregates at</w:t>
      </w:r>
      <w:r>
        <w:t xml:space="preserve"> </w:t>
      </w:r>
      <w:r>
        <w:t xml:space="preserve">6.93. Because the two bounds come from different attributes, the intersection of the univariate ranges on pH is narrower than any one of them taken alone. The same two-sided squeeze holds on culture duration, where the lower bound comes from</w:t>
      </w:r>
      <w:r>
        <w:t xml:space="preserve"> </w:t>
      </w:r>
      <w:r>
        <w:t xml:space="preserve">afucosylation at 16.8 days while</w:t>
      </w:r>
      <w:r>
        <w:t xml:space="preserve"> </w:t>
      </w:r>
      <w:r>
        <w:t xml:space="preserve">the upper bound comes from aggregates at</w:t>
      </w:r>
      <w:r>
        <w:t xml:space="preserve"> </w:t>
      </w:r>
      <w:r>
        <w:t xml:space="preserve">17.7 days.</w:t>
      </w:r>
    </w:p>
    <w:p>
      <w:pPr>
        <w:pStyle w:val="BodyText"/>
      </w:pPr>
      <w:r>
        <w:t xml:space="preserve">That intersection is narrower than the normal operating range itself on every one of the 4 response surface factors. 3 of the 16 corners of the normal operating range box are predicted to exceed an in-process limit on the mean response. The attributes involved in those corners are afucosylation and galactosylation. That finding is bounded by three considerations. The limits concerned act as alert limits, set 2.5 standard deviations from the demonstrated commercial-scale mean, which means a small fraction of normal operation is expected</w:t>
      </w:r>
      <w:r>
        <w:t xml:space="preserve"> </w:t>
      </w:r>
      <w:r>
        <w:t xml:space="preserve">to reach them by construction. On top of that construction, the Monte-Carlo analysis requires a 95 % predictive interval to sit wholly inside the alert limit, compounding the conservatism a second time. Measured against the drug substance specifications instead, 16 of the 16 corners of the normal operating range box meet every criterion. Those corners are also covered by the capability indices of §8, which carry the margins reported there.</w:t>
      </w:r>
    </w:p>
    <w:p>
      <w:pPr>
        <w:pStyle w:val="BodyText"/>
      </w:pPr>
      <w:r>
        <w:t xml:space="preserve">A representative plot is given for each governed attribute, taken against the parameter with the largest response surface main effect on it. In each of those figures the acceptance limit is drawn, the acceptable region is shaded green and the set-point and normal operating range are marked. In every figure the left panel carries the at set-point analysis and the right panel carries the Monte-Carlo analysis.</w:t>
      </w:r>
    </w:p>
    <w:tbl>
      <w:tblPr>
        <w:tblStyle w:val="Table"/>
        <w:tblW w:type="pct" w:w="5000"/>
        <w:tblLayout w:type="fixed"/>
        <w:tblLook w:firstRow="0" w:lastRow="0" w:firstColumn="0" w:lastColumn="0" w:noHBand="0" w:noVBand="0" w:val="0000"/>
      </w:tblPr>
      <w:tblGrid>
        <w:gridCol w:w="7920"/>
      </w:tblGrid>
      <w:tr>
        <w:tc>
          <w:tcPr/>
          <w:bookmarkStart w:id="94" w:name="fig-par-afu"/>
          <w:p>
            <w:pPr>
              <w:pStyle w:val="Compact"/>
              <w:jc w:val="center"/>
            </w:pPr>
            <w:r>
              <w:drawing>
                <wp:inline>
                  <wp:extent cx="5334000" cy="1845992"/>
                  <wp:effectExtent b="0" l="0" r="0" t="0"/>
                  <wp:docPr descr="" title="" id="92" name="Picture"/>
                  <a:graphic>
                    <a:graphicData uri="http://schemas.openxmlformats.org/drawingml/2006/picture">
                      <pic:pic>
                        <pic:nvPicPr>
                          <pic:cNvPr descr="PCR-003_bioreactor.DRAFT_files/figure-docx/fig-par-afu-output-1.png" id="93" name="Picture"/>
                          <pic:cNvPicPr>
                            <a:picLocks noChangeArrowheads="1" noChangeAspect="1"/>
                          </pic:cNvPicPr>
                        </pic:nvPicPr>
                        <pic:blipFill>
                          <a:blip r:embed="rId9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Proven acceptable range for afucosylation against its governing parameter.</w:t>
            </w:r>
          </w:p>
          <w:bookmarkEnd w:id="94"/>
        </w:tc>
      </w:tr>
    </w:tbl>
    <w:tbl>
      <w:tblPr>
        <w:tblStyle w:val="Table"/>
        <w:tblW w:type="pct" w:w="5000"/>
        <w:tblLayout w:type="fixed"/>
        <w:tblLook w:firstRow="0" w:lastRow="0" w:firstColumn="0" w:lastColumn="0" w:noHBand="0" w:noVBand="0" w:val="0000"/>
      </w:tblPr>
      <w:tblGrid>
        <w:gridCol w:w="7920"/>
      </w:tblGrid>
      <w:tr>
        <w:tc>
          <w:tcPr/>
          <w:bookmarkStart w:id="98" w:name="fig-par-gal"/>
          <w:p>
            <w:pPr>
              <w:pStyle w:val="Compact"/>
              <w:jc w:val="center"/>
            </w:pPr>
            <w:r>
              <w:drawing>
                <wp:inline>
                  <wp:extent cx="5334000" cy="1845992"/>
                  <wp:effectExtent b="0" l="0" r="0" t="0"/>
                  <wp:docPr descr="" title="" id="96" name="Picture"/>
                  <a:graphic>
                    <a:graphicData uri="http://schemas.openxmlformats.org/drawingml/2006/picture">
                      <pic:pic>
                        <pic:nvPicPr>
                          <pic:cNvPr descr="PCR-003_bioreactor.DRAFT_files/figure-docx/fig-par-gal-output-1.png" id="97" name="Picture"/>
                          <pic:cNvPicPr>
                            <a:picLocks noChangeArrowheads="1" noChangeAspect="1"/>
                          </pic:cNvPicPr>
                        </pic:nvPicPr>
                        <pic:blipFill>
                          <a:blip r:embed="rId9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Proven acceptable range for galactosylation against its governing parameter.</w:t>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par-hm"/>
          <w:p>
            <w:pPr>
              <w:pStyle w:val="Compact"/>
              <w:jc w:val="center"/>
            </w:pPr>
            <w:r>
              <w:drawing>
                <wp:inline>
                  <wp:extent cx="5334000" cy="1845992"/>
                  <wp:effectExtent b="0" l="0" r="0" t="0"/>
                  <wp:docPr descr="" title="" id="100" name="Picture"/>
                  <a:graphic>
                    <a:graphicData uri="http://schemas.openxmlformats.org/drawingml/2006/picture">
                      <pic:pic>
                        <pic:nvPicPr>
                          <pic:cNvPr descr="PCR-003_bioreactor.DRAFT_files/figure-docx/fig-par-hm-output-1.png" id="101" name="Picture"/>
                          <pic:cNvPicPr>
                            <a:picLocks noChangeArrowheads="1" noChangeAspect="1"/>
                          </pic:cNvPicPr>
                        </pic:nvPicPr>
                        <pic:blipFill>
                          <a:blip r:embed="rId9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Proven acceptable range for high mannose against its governing parameter.</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fig-par-ac"/>
          <w:p>
            <w:pPr>
              <w:pStyle w:val="Compact"/>
              <w:jc w:val="center"/>
            </w:pPr>
            <w:r>
              <w:drawing>
                <wp:inline>
                  <wp:extent cx="5334000" cy="1825054"/>
                  <wp:effectExtent b="0" l="0" r="0" t="0"/>
                  <wp:docPr descr="" title="" id="104" name="Picture"/>
                  <a:graphic>
                    <a:graphicData uri="http://schemas.openxmlformats.org/drawingml/2006/picture">
                      <pic:pic>
                        <pic:nvPicPr>
                          <pic:cNvPr descr="PCR-003_bioreactor.DRAFT_files/figure-docx/fig-par-ac-output-1.png" id="105" name="Picture"/>
                          <pic:cNvPicPr>
                            <a:picLocks noChangeArrowheads="1" noChangeAspect="1"/>
                          </pic:cNvPicPr>
                        </pic:nvPicPr>
                        <pic:blipFill>
                          <a:blip r:embed="rId103"/>
                          <a:stretch>
                            <a:fillRect/>
                          </a:stretch>
                        </pic:blipFill>
                        <pic:spPr bwMode="auto">
                          <a:xfrm>
                            <a:off x="0" y="0"/>
                            <a:ext cx="5334000" cy="18250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Proven acceptable range for acidic variants against its governing parameter.</w:t>
            </w:r>
          </w:p>
          <w:bookmarkEnd w:id="106"/>
        </w:tc>
      </w:tr>
    </w:tbl>
    <w:tbl>
      <w:tblPr>
        <w:tblStyle w:val="Table"/>
        <w:tblW w:type="pct" w:w="5000"/>
        <w:tblLayout w:type="fixed"/>
        <w:tblLook w:firstRow="0" w:lastRow="0" w:firstColumn="0" w:lastColumn="0" w:noHBand="0" w:noVBand="0" w:val="0000"/>
      </w:tblPr>
      <w:tblGrid>
        <w:gridCol w:w="7920"/>
      </w:tblGrid>
      <w:tr>
        <w:tc>
          <w:tcPr/>
          <w:bookmarkStart w:id="110" w:name="fig-par-agg"/>
          <w:p>
            <w:pPr>
              <w:pStyle w:val="Compact"/>
              <w:jc w:val="center"/>
            </w:pPr>
            <w:r>
              <w:drawing>
                <wp:inline>
                  <wp:extent cx="5334000" cy="1845992"/>
                  <wp:effectExtent b="0" l="0" r="0" t="0"/>
                  <wp:docPr descr="" title="" id="108" name="Picture"/>
                  <a:graphic>
                    <a:graphicData uri="http://schemas.openxmlformats.org/drawingml/2006/picture">
                      <pic:pic>
                        <pic:nvPicPr>
                          <pic:cNvPr descr="PCR-003_bioreactor.DRAFT_files/figure-docx/fig-par-agg-output-1.png" id="109" name="Picture"/>
                          <pic:cNvPicPr>
                            <a:picLocks noChangeArrowheads="1" noChangeAspect="1"/>
                          </pic:cNvPicPr>
                        </pic:nvPicPr>
                        <pic:blipFill>
                          <a:blip r:embed="rId10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Proven acceptable range for aggregates (HMW) against its governing parameter.</w:t>
            </w:r>
          </w:p>
          <w:bookmarkEnd w:id="110"/>
        </w:tc>
      </w:tr>
    </w:tbl>
    <w:p>
      <w:pPr>
        <w:pStyle w:val="BodyText"/>
      </w:pPr>
      <w:r>
        <w:t xml:space="preserve">The relationship between these ranges and the region of §6 runs as follows. A proven acceptable range is univariate. It therefore holds only under the conditions of the analysis that produced it. The design space covers the multivariate region instead. Where a whole characterization range is proven acceptable, the binding constraint on operation falls at a multivariate corner instead of on any univariate range. Every range in</w:t>
      </w:r>
      <w:r>
        <w:t xml:space="preserve"> </w:t>
      </w:r>
      <w:hyperlink w:anchor="tbl-par">
        <w:r>
          <w:rPr>
            <w:rStyle w:val="Hyperlink"/>
          </w:rPr>
          <w:t xml:space="preserve">Table 21</w:t>
        </w:r>
      </w:hyperlink>
      <w:r>
        <w:t xml:space="preserve"> </w:t>
      </w:r>
      <w:r>
        <w:t xml:space="preserve">is bounded by the characterization ranges of</w:t>
      </w:r>
      <w:r>
        <w:t xml:space="preserve"> </w:t>
      </w:r>
      <w:hyperlink w:anchor="tbl-params">
        <w:r>
          <w:rPr>
            <w:rStyle w:val="Hyperlink"/>
          </w:rPr>
          <w:t xml:space="preserve">Table 6</w:t>
        </w:r>
      </w:hyperlink>
      <w:r>
        <w:t xml:space="preserve"> </w:t>
      </w:r>
      <w:r>
        <w:t xml:space="preserve">and by the fitted response surface models. None of them is claimed outside those bounds.</w:t>
      </w:r>
    </w:p>
    <w:bookmarkEnd w:id="111"/>
    <w:bookmarkStart w:id="113" w:name="process-capability-and-robustness"/>
    <w:p>
      <w:pPr>
        <w:pStyle w:val="Heading1"/>
      </w:pPr>
      <w:r>
        <w:t xml:space="preserve">8. Process capability and robustness</w:t>
      </w:r>
    </w:p>
    <w:p>
      <w:pPr>
        <w:pStyle w:val="FirstParagraph"/>
      </w:pPr>
      <w:r>
        <w:t xml:space="preserve">Commercial-scale capability was estimated from 2,000 simulated batches, with every process parameter drawn from within its normal operating range. The capability outcome for the 7 attributes the step sets is given in</w:t>
      </w:r>
      <w:r>
        <w:t xml:space="preserve"> </w:t>
      </w:r>
      <w:hyperlink w:anchor="tbl-cap">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tbl-cap"/>
          <w:p>
            <w:pPr>
              <w:jc w:val="center"/>
            </w:pPr>
            <w:pPr>
              <w:jc w:val="left"/>
              <w:spacing w:before="200"/>
              <w:pStyle w:val="ImageCaption"/>
            </w:pPr>
            <w:r>
              <w:t xml:space="preserve">Table 22: Commercial-scale capability for the attributes formed at the production bioreactor, from 2,000 simulated batches.</w:t>
            </w:r>
          </w:p>
          <w:tbl>
            <w:tblPr>
              <w:tblStyle w:val="Table"/>
              <w:tblW w:type="pct" w:w="5000"/>
              <w:tblLayout w:type="fixed"/>
              <w:tblLook w:firstRow="1" w:lastRow="0" w:firstColumn="0" w:lastColumn="0" w:noHBand="0" w:noVBand="0" w:val="0020"/>
            </w:tblPr>
            <w:tblGrid>
              <w:gridCol w:w="3201"/>
              <w:gridCol w:w="758"/>
              <w:gridCol w:w="926"/>
              <w:gridCol w:w="1179"/>
              <w:gridCol w:w="1263"/>
              <w:gridCol w:w="589"/>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Afucosylation</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2–13</w:t>
                  </w:r>
                </w:p>
              </w:tc>
              <w:tc>
                <w:tcPr/>
                <w:p>
                  <w:pPr>
                    <w:pStyle w:val="Compact"/>
                    <w:jc w:val="left"/>
                    <w:jc w:val="center"/>
                  </w:pPr>
                  <w:r>
                    <w:t xml:space="preserve">7.98 ± 0.58</w:t>
                  </w:r>
                </w:p>
              </w:tc>
              <w:tc>
                <w:tcPr/>
                <w:p>
                  <w:pPr>
                    <w:pStyle w:val="Compact"/>
                    <w:jc w:val="right"/>
                    <w:jc w:val="center"/>
                  </w:pPr>
                  <w:r>
                    <w:t xml:space="preserve">2.89</w:t>
                  </w:r>
                </w:p>
              </w:tc>
            </w:tr>
            <w:tr>
              <w:tc>
                <w:tcPr/>
                <w:p>
                  <w:pPr>
                    <w:pStyle w:val="Compact"/>
                    <w:jc w:val="left"/>
                    <w:jc w:val="center"/>
                  </w:pPr>
                  <w:r>
                    <w:t xml:space="preserve">Galactosylation (total %Gal)</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10–40</w:t>
                  </w:r>
                </w:p>
              </w:tc>
              <w:tc>
                <w:tcPr/>
                <w:p>
                  <w:pPr>
                    <w:pStyle w:val="Compact"/>
                    <w:jc w:val="left"/>
                    <w:jc w:val="center"/>
                  </w:pPr>
                  <w:r>
                    <w:t xml:space="preserve">26 ± 1.6</w:t>
                  </w:r>
                </w:p>
              </w:tc>
              <w:tc>
                <w:tcPr/>
                <w:p>
                  <w:pPr>
                    <w:pStyle w:val="Compact"/>
                    <w:jc w:val="right"/>
                    <w:jc w:val="center"/>
                  </w:pPr>
                  <w:r>
                    <w:t xml:space="preserve">2.86</w:t>
                  </w:r>
                </w:p>
              </w:tc>
            </w:tr>
            <w:tr>
              <w:tc>
                <w:tcPr/>
                <w:p>
                  <w:pPr>
                    <w:pStyle w:val="Compact"/>
                    <w:jc w:val="left"/>
                    <w:jc w:val="center"/>
                  </w:pPr>
                  <w:r>
                    <w:t xml:space="preserve">High Mannose</w:t>
                  </w:r>
                </w:p>
              </w:tc>
              <w:tc>
                <w:tcPr/>
                <w:p>
                  <w:pPr>
                    <w:pStyle w:val="Compact"/>
                    <w:jc w:val="left"/>
                    <w:jc w:val="center"/>
                  </w:pPr>
                  <w:r>
                    <w:t xml:space="preserve">VH</w:t>
                  </w:r>
                </w:p>
              </w:tc>
              <w:tc>
                <w:tcPr/>
                <w:p>
                  <w:pPr>
                    <w:pStyle w:val="Compact"/>
                    <w:jc w:val="left"/>
                    <w:jc w:val="center"/>
                  </w:pPr>
                  <w:r>
                    <w:t xml:space="preserve">two_sided</w:t>
                  </w:r>
                </w:p>
              </w:tc>
              <w:tc>
                <w:tcPr/>
                <w:p>
                  <w:pPr>
                    <w:pStyle w:val="Compact"/>
                    <w:jc w:val="left"/>
                    <w:jc w:val="center"/>
                  </w:pPr>
                  <w:r>
                    <w:t xml:space="preserve">3–10</w:t>
                  </w:r>
                </w:p>
              </w:tc>
              <w:tc>
                <w:tcPr/>
                <w:p>
                  <w:pPr>
                    <w:pStyle w:val="Compact"/>
                    <w:jc w:val="left"/>
                    <w:jc w:val="center"/>
                  </w:pPr>
                  <w:r>
                    <w:t xml:space="preserve">5.99 ± 0.51</w:t>
                  </w:r>
                </w:p>
              </w:tc>
              <w:tc>
                <w:tcPr/>
                <w:p>
                  <w:pPr>
                    <w:pStyle w:val="Compact"/>
                    <w:jc w:val="right"/>
                    <w:jc w:val="center"/>
                  </w:pPr>
                  <w:r>
                    <w:t xml:space="preserve">1.94</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Acidic charge variants (deamidation)</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18–40</w:t>
                  </w:r>
                </w:p>
              </w:tc>
              <w:tc>
                <w:tcPr/>
                <w:p>
                  <w:pPr>
                    <w:pStyle w:val="Compact"/>
                    <w:jc w:val="left"/>
                    <w:jc w:val="center"/>
                  </w:pPr>
                  <w:r>
                    <w:t xml:space="preserve">22.3 ± 1.4</w:t>
                  </w:r>
                </w:p>
              </w:tc>
              <w:tc>
                <w:tcPr/>
                <w:p>
                  <w:pPr>
                    <w:pStyle w:val="Compact"/>
                    <w:jc w:val="right"/>
                    <w:jc w:val="center"/>
                  </w:pPr>
                  <w:r>
                    <w:t xml:space="preserve">4.26</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bl>
          <w:bookmarkEnd w:id="112"/>
          <w:p/>
        </w:tc>
      </w:tr>
    </w:tbl>
    <w:p>
      <w:pPr>
        <w:pStyle w:val="BodyText"/>
      </w:pPr>
      <w:r>
        <w:t xml:space="preserve">The tightest capability among those seven attributes belongs to High Mannose, at 1.94. The simulated mean of that attribute sits at 5.99 %</w:t>
      </w:r>
      <w:r>
        <w:t xml:space="preserve"> </w:t>
      </w:r>
      <w:r>
        <w:t xml:space="preserve">against a specification of 3 to</w:t>
      </w:r>
      <w:r>
        <w:t xml:space="preserve"> </w:t>
      </w:r>
      <w:r>
        <w:t xml:space="preserve">10 %, leaving a margin of</w:t>
      </w:r>
      <w:r>
        <w:t xml:space="preserve"> </w:t>
      </w:r>
      <w:r>
        <w:t xml:space="preserve">2.99 percentage points to the nearer limit on a standard</w:t>
      </w:r>
      <w:r>
        <w:t xml:space="preserve"> </w:t>
      </w:r>
      <w:r>
        <w:t xml:space="preserve">deviation of 0.51. The binding side of that specification is the lower limit, which follows directly from §5.4: the parameters that lower high mannose are the ones the step holds most closely, which settles the distribution nearer the floor than the ceiling.</w:t>
      </w:r>
    </w:p>
    <w:p>
      <w:pPr>
        <w:pStyle w:val="BodyText"/>
      </w:pPr>
      <w:r>
        <w:t xml:space="preserve">The second tightest capability belongs to Galactosylation (total %Gal), at 2.86. By contrast, the remaining attributes sit far from their limits. Their capability indices therefore show only</w:t>
      </w:r>
      <w:r>
        <w:t xml:space="preserve"> </w:t>
      </w:r>
      <w:r>
        <w:t xml:space="preserve">that none of them constrains the process. The furthest of those attributes from a limit is Aggregates (HMW), at 16.1. The capability index of that attribute is reported in</w:t>
      </w:r>
      <w:r>
        <w:t xml:space="preserve"> </w:t>
      </w:r>
      <w:hyperlink w:anchor="tbl-cap">
        <w:r>
          <w:rPr>
            <w:rStyle w:val="Hyperlink"/>
          </w:rPr>
          <w:t xml:space="preserve">Table 22</w:t>
        </w:r>
      </w:hyperlink>
      <w:r>
        <w:t xml:space="preserve"> </w:t>
      </w:r>
      <w:r>
        <w:t xml:space="preserve">for completeness.</w:t>
      </w:r>
    </w:p>
    <w:p>
      <w:pPr>
        <w:pStyle w:val="BodyText"/>
      </w:pPr>
      <w:r>
        <w:t xml:space="preserve">Host cell protein and residual DNA are listed in</w:t>
      </w:r>
      <w:r>
        <w:t xml:space="preserve"> </w:t>
      </w:r>
      <w:hyperlink w:anchor="tbl-cap">
        <w:r>
          <w:rPr>
            <w:rStyle w:val="Hyperlink"/>
          </w:rPr>
          <w:t xml:space="preserve">Table 22</w:t>
        </w:r>
      </w:hyperlink>
      <w:r>
        <w:t xml:space="preserve"> </w:t>
      </w:r>
      <w:r>
        <w:t xml:space="preserve">with indices of 6.1 and 10.8. Neither of those two figures records an achievement of the production bioreactor alone. Both attributes leave the bioreactor far above the drug substance criterion. The clearance that brings both attributes down is credited to Protein A capture (PCR-005), cation exchange (PCR-007) and anion exchange (PCR-008). The contribution of the production bioreactor amounts to the input burden it hands on, which is the quantity those three steps were characterized against.</w:t>
      </w:r>
    </w:p>
    <w:p>
      <w:pPr>
        <w:pStyle w:val="BodyText"/>
      </w:pPr>
      <w:r>
        <w:t xml:space="preserve">Two bounds are attached to the capability statement made above. The simulation behind it draws parameters from within the normal operating range, which makes it a description of routine operation instead of the edges</w:t>
      </w:r>
      <w:r>
        <w:t xml:space="preserve"> </w:t>
      </w:r>
      <w:r>
        <w:t xml:space="preserve">of the design space. The models it propagates were fitted on the qualified scale-down model of §3.1. Confirmation of the figures at commercial scale is delivered by the process performance qualification batches of Stage 2.</w:t>
      </w:r>
    </w:p>
    <w:bookmarkEnd w:id="113"/>
    <w:bookmarkStart w:id="114" w:name="parameter-classification"/>
    <w:p>
      <w:pPr>
        <w:pStyle w:val="Heading1"/>
      </w:pPr>
      <w:r>
        <w:t xml:space="preserve">9. Parameter classification</w:t>
      </w:r>
    </w:p>
    <w:p>
      <w:pPr>
        <w:pStyle w:val="FirstParagraph"/>
      </w:pPr>
      <w:r>
        <w:t xml:space="preserve">Every parameter characterized was given a classification, whether or not a significant effect was found for it.</w:t>
      </w:r>
      <w:r>
        <w:t xml:space="preserve"> </w:t>
      </w:r>
      <w:r>
        <w:t xml:space="preserve">The classifications appear in</w:t>
      </w:r>
      <w:r>
        <w:t xml:space="preserve"> </w:t>
      </w:r>
      <w:hyperlink w:anchor="tbl-params">
        <w:r>
          <w:rPr>
            <w:rStyle w:val="Hyperlink"/>
          </w:rPr>
          <w:t xml:space="preserve">Table 6</w:t>
        </w:r>
      </w:hyperlink>
      <w:r>
        <w:t xml:space="preserve"> </w:t>
      </w:r>
      <w:r>
        <w:t xml:space="preserve">and the rationale for each is given below. The classification convention is taken from SOP-4001 and from the decision logic of the case study</w:t>
      </w:r>
      <w:r>
        <w:t xml:space="preserve"> </w:t>
      </w:r>
      <w:r>
        <w:t xml:space="preserve">(CMC Biotech Working Group 2009)</w:t>
      </w:r>
      <w:r>
        <w:t xml:space="preserve">. A parameter whose variability affects a critical quality attribute becomes a CPP or a WC-CPP, and what separates the two classes is the risk of falling outside the design space instead of the size of the effect.</w:t>
      </w:r>
    </w:p>
    <w:p>
      <w:pPr>
        <w:pStyle w:val="Compact"/>
        <w:numPr>
          <w:ilvl w:val="0"/>
          <w:numId w:val="1002"/>
        </w:numPr>
      </w:pPr>
      <w:r>
        <w:t xml:space="preserve">Culture pH was classified WC-CPP in</w:t>
      </w:r>
      <w:r>
        <w:t xml:space="preserve"> </w:t>
      </w:r>
      <w:hyperlink w:anchor="tbl-params">
        <w:r>
          <w:rPr>
            <w:rStyle w:val="Hyperlink"/>
          </w:rPr>
          <w:t xml:space="preserve">Table 6</w:t>
        </w:r>
      </w:hyperlink>
      <w:r>
        <w:t xml:space="preserve">. It carries a significant response surface main effect on</w:t>
      </w:r>
      <w:r>
        <w:t xml:space="preserve"> </w:t>
      </w:r>
      <w:r>
        <w:t xml:space="preserve">5 of the 5 responses, including the attribute of</w:t>
      </w:r>
      <w:r>
        <w:t xml:space="preserve"> </w:t>
      </w:r>
      <w:r>
        <w:t xml:space="preserve">highest criticality. Because the parameter is measured continuously and controlled to well within its normal operating range (6.75–6.95), the risk of leaving the design space is low.</w:t>
      </w:r>
    </w:p>
    <w:p>
      <w:pPr>
        <w:pStyle w:val="Compact"/>
        <w:numPr>
          <w:ilvl w:val="0"/>
          <w:numId w:val="1002"/>
        </w:numPr>
      </w:pPr>
      <w:r>
        <w:t xml:space="preserve">Culture temperature was classified WC-CPP on the same control argument, together with a significant response surface effect on 4 responses. The culture is held by jacket control well inside the normal operating range of 34.5–35.5 °C.</w:t>
      </w:r>
    </w:p>
    <w:p>
      <w:pPr>
        <w:pStyle w:val="Compact"/>
        <w:numPr>
          <w:ilvl w:val="0"/>
          <w:numId w:val="1002"/>
        </w:numPr>
      </w:pPr>
      <w:r>
        <w:t xml:space="preserve">Culture duration was classified WC-CPP. The largest single coefficient anywhere in the study belongs to the duration term on galactosylation, at -3.82 percentage points per coded unit (</w:t>
      </w:r>
      <w:hyperlink w:anchor="tbl-coef-gal">
        <w:r>
          <w:rPr>
            <w:rStyle w:val="Hyperlink"/>
          </w:rPr>
          <w:t xml:space="preserve">Table 18</w:t>
        </w:r>
      </w:hyperlink>
      <w:r>
        <w:t xml:space="preserve">). Harvest day remains a scheduled decision instead of a controlled variable, which makes the operating risk procedural and places it under the batch record.</w:t>
      </w:r>
    </w:p>
    <w:p>
      <w:pPr>
        <w:pStyle w:val="Compact"/>
        <w:numPr>
          <w:ilvl w:val="0"/>
          <w:numId w:val="1002"/>
        </w:numPr>
      </w:pPr>
      <w:r>
        <w:t xml:space="preserve">Dissolved CO2 was classified WC-CPP. It governs acidic variants and carries significant terms on galactosylation as well (</w:t>
      </w:r>
      <w:hyperlink w:anchor="tbl-coef-gal">
        <w:r>
          <w:rPr>
            <w:rStyle w:val="Hyperlink"/>
          </w:rPr>
          <w:t xml:space="preserve">Table 18</w:t>
        </w:r>
      </w:hyperlink>
      <w:r>
        <w:t xml:space="preserve">). The range needed to hold that parameter runs wide (70–130 mmHg). The parameter is measured in line against an offline reference, which is the control that detected DEV-003-01 in §12.</w:t>
      </w:r>
    </w:p>
    <w:p>
      <w:pPr>
        <w:pStyle w:val="Compact"/>
        <w:numPr>
          <w:ilvl w:val="0"/>
          <w:numId w:val="1002"/>
        </w:numPr>
      </w:pPr>
      <w:r>
        <w:t xml:space="preserve">Osmolality was classified WC-CPP on screening evidence alone, which makes it the only parameter in the register classified that way. It reached significance on</w:t>
      </w:r>
      <w:r>
        <w:t xml:space="preserve"> </w:t>
      </w:r>
      <w:r>
        <w:t xml:space="preserve">2 responses in screening, with a largest effect of</w:t>
      </w:r>
      <w:r>
        <w:t xml:space="preserve"> </w:t>
      </w:r>
      <w:r>
        <w:t xml:space="preserve">2.55 percentage points, the smallest of the 5 factors.</w:t>
      </w:r>
      <w:r>
        <w:t xml:space="preserve"> </w:t>
      </w:r>
      <w:r>
        <w:t xml:space="preserve">Because the response surface model does not carry it, the classification rests on the</w:t>
      </w:r>
      <w:r>
        <w:t xml:space="preserve"> </w:t>
      </w:r>
      <w:r>
        <w:t xml:space="preserve">screening estimate and on the conservative default RA-001 applies to an attribute-linked</w:t>
      </w:r>
      <w:r>
        <w:t xml:space="preserve"> </w:t>
      </w:r>
      <w:r>
        <w:t xml:space="preserve">parameter.</w:t>
      </w:r>
    </w:p>
    <w:p>
      <w:pPr>
        <w:pStyle w:val="Compact"/>
        <w:numPr>
          <w:ilvl w:val="0"/>
          <w:numId w:val="1002"/>
        </w:numPr>
      </w:pPr>
      <w:r>
        <w:t xml:space="preserve">Dissolved oxygen was classified KPP. No effect on any quality attribute was found across</w:t>
      </w:r>
      <w:r>
        <w:t xml:space="preserve"> </w:t>
      </w:r>
      <w:r>
        <w:t xml:space="preserve">30–70 % of air saturation. Because the parameter governs cell growth and titer, it is controlled and monitored for process consistency.</w:t>
      </w:r>
    </w:p>
    <w:p>
      <w:pPr>
        <w:pStyle w:val="Compact"/>
        <w:numPr>
          <w:ilvl w:val="0"/>
          <w:numId w:val="1002"/>
        </w:numPr>
      </w:pPr>
      <w:r>
        <w:t xml:space="preserve">Initial viable cell concentration was classified KPP on the same basis. It sets the growth trajectory of the culture and with it the productivity of the run, without moving a quality attribute across</w:t>
      </w:r>
      <w:r>
        <w:t xml:space="preserve"> </w:t>
      </w:r>
      <w:r>
        <w:t xml:space="preserve">0.5–1.5 × 10⁶ cells/mL.</w:t>
      </w:r>
    </w:p>
    <w:p>
      <w:pPr>
        <w:pStyle w:val="Compact"/>
        <w:numPr>
          <w:ilvl w:val="0"/>
          <w:numId w:val="1002"/>
        </w:numPr>
      </w:pPr>
      <w:r>
        <w:t xml:space="preserve">Nutrient feed-1 volume was classified KPP. The delivered volume drives titer and the late-culture nutrient environment, without moving any quality attribute across the characterized range of 9–15 % of working volume.</w:t>
      </w:r>
    </w:p>
    <w:p>
      <w:pPr>
        <w:pStyle w:val="Compact"/>
        <w:numPr>
          <w:ilvl w:val="0"/>
          <w:numId w:val="1002"/>
        </w:numPr>
      </w:pPr>
      <w:r>
        <w:t xml:space="preserve">Basal medium concentration was classified GPP. Nothing was detected on any quality attribute or on</w:t>
      </w:r>
      <w:r>
        <w:t xml:space="preserve"> </w:t>
      </w:r>
      <w:r>
        <w:t xml:space="preserve">process performance across 0.8–1.6 X, which allows the parameter to</w:t>
      </w:r>
      <w:r>
        <w:t xml:space="preserve"> </w:t>
      </w:r>
      <w:r>
        <w:t xml:space="preserve">be held to the platform specification without process monitoring.</w:t>
      </w:r>
    </w:p>
    <w:p>
      <w:pPr>
        <w:pStyle w:val="FirstParagraph"/>
      </w:pPr>
      <w:r>
        <w:t xml:space="preserve">Finally, no parameter at this step was classified as a CPP. Every quality-linked parameter here is held</w:t>
      </w:r>
      <w:r>
        <w:t xml:space="preserve"> </w:t>
      </w:r>
      <w:r>
        <w:t xml:space="preserve">by instrumented control within a band that is a small fraction of the characterized space, which keeps the risk of an excursion outside the design space low in each of the five cases considered. The null results of those parameters are retained in the knowledge space, because a parameter shown to be inactive over a wide range is</w:t>
      </w:r>
      <w:r>
        <w:t xml:space="preserve"> </w:t>
      </w:r>
      <w:r>
        <w:t xml:space="preserve">evidence of robustness in exactly the way §3.5 describes.</w:t>
      </w:r>
    </w:p>
    <w:bookmarkEnd w:id="114"/>
    <w:bookmarkStart w:id="115" w:name="contribution-to-the-control-strategy"/>
    <w:p>
      <w:pPr>
        <w:pStyle w:val="Heading1"/>
      </w:pPr>
      <w:r>
        <w:t xml:space="preserve">10. Contribution to the control strategy</w:t>
      </w:r>
    </w:p>
    <w:p>
      <w:pPr>
        <w:pStyle w:val="FirstParagraph"/>
      </w:pPr>
      <w:r>
        <w:t xml:space="preserve">Four elements are contributed by the step to the control strategy of the drug substance. The first element is the set of parameter ranges in</w:t>
      </w:r>
      <w:r>
        <w:t xml:space="preserve"> </w:t>
      </w:r>
      <w:hyperlink w:anchor="tbl-params">
        <w:r>
          <w:rPr>
            <w:rStyle w:val="Hyperlink"/>
          </w:rPr>
          <w:t xml:space="preserve">Table 6</w:t>
        </w:r>
      </w:hyperlink>
      <w:r>
        <w:t xml:space="preserve">, in which the 5 WC-CPPs are controlled</w:t>
      </w:r>
      <w:r>
        <w:t xml:space="preserve"> </w:t>
      </w:r>
      <w:r>
        <w:t xml:space="preserve">to normal operating ranges lying inside the design space of §6, while the 3 KPPs are controlled for process consistency rather than for a quality outcome. The second element is in-process monitoring, since culture pH,</w:t>
      </w:r>
      <w:r>
        <w:t xml:space="preserve"> </w:t>
      </w:r>
      <w:r>
        <w:t xml:space="preserve">temperature, dissolved oxygen and dissolved CO2 are recorded continuously, while the in-process limits of §7 give the alert levels against which the performance of a running culture is judged in real time.</w:t>
      </w:r>
    </w:p>
    <w:p>
      <w:pPr>
        <w:pStyle w:val="BodyText"/>
      </w:pPr>
      <w:r>
        <w:t xml:space="preserve">The third element the step contributes is analytical control of the harvest material. The five attributes of</w:t>
      </w:r>
      <w:r>
        <w:t xml:space="preserve"> </w:t>
      </w:r>
      <w:hyperlink w:anchor="tbl-cv">
        <w:r>
          <w:rPr>
            <w:rStyle w:val="Hyperlink"/>
          </w:rPr>
          <w:t xml:space="preserve">Table 8</w:t>
        </w:r>
      </w:hyperlink>
      <w:r>
        <w:t xml:space="preserve"> </w:t>
      </w:r>
      <w:r>
        <w:t xml:space="preserve">are measured on the harvest material of every batch by the validated methods of</w:t>
      </w:r>
      <w:r>
        <w:t xml:space="preserve"> </w:t>
      </w:r>
      <w:hyperlink w:anchor="tbl-amv">
        <w:r>
          <w:rPr>
            <w:rStyle w:val="Hyperlink"/>
          </w:rPr>
          <w:t xml:space="preserve">Table 5</w:t>
        </w:r>
      </w:hyperlink>
      <w:r>
        <w:t xml:space="preserve">, which links the</w:t>
      </w:r>
      <w:r>
        <w:t xml:space="preserve"> </w:t>
      </w:r>
      <w:r>
        <w:t xml:space="preserve">operating record to the attribute outcome batch by batch. The fourth element is the input control arising from DEV-003-02, under which nutrient feed-1 delivery is verified by mass reconciliation</w:t>
      </w:r>
      <w:r>
        <w:t xml:space="preserve"> </w:t>
      </w:r>
      <w:r>
        <w:t xml:space="preserve">after execution and the feed pump calibration interval has been shortened (§12).</w:t>
      </w:r>
    </w:p>
    <w:p>
      <w:pPr>
        <w:pStyle w:val="BodyText"/>
      </w:pPr>
      <w:r>
        <w:t xml:space="preserve">Cross-step credit is owed for three of the seven attributes the step sets. Aggregate formed in the bioreactor is polished principally at cation exchange, which is characterized in PCR-007. Host cell protein and residual DNA are cleared across</w:t>
      </w:r>
      <w:r>
        <w:t xml:space="preserve"> </w:t>
      </w:r>
      <w:r>
        <w:t xml:space="preserve">Protein A capture (PCR-005), cation exchange and anion exchange (PCR-008). The bioreactor controls the burden handed to those steps, without delivering the drug substance figures of</w:t>
      </w:r>
      <w:r>
        <w:t xml:space="preserve"> </w:t>
      </w:r>
      <w:hyperlink w:anchor="tbl-cap">
        <w:r>
          <w:rPr>
            <w:rStyle w:val="Hyperlink"/>
          </w:rPr>
          <w:t xml:space="preserve">Table 22</w:t>
        </w:r>
      </w:hyperlink>
      <w:r>
        <w:t xml:space="preserve"> </w:t>
      </w:r>
      <w:r>
        <w:t xml:space="preserve">by itself. The glycan and charge variant attributes remain the ones for which this step is solely responsible, because no downstream step modifies them.</w:t>
      </w:r>
    </w:p>
    <w:p>
      <w:pPr>
        <w:pStyle w:val="BodyText"/>
      </w:pPr>
      <w:r>
        <w:t xml:space="preserve">What the step does not control matters equally to the control strategy. It contributes nothing to the viral safety</w:t>
      </w:r>
      <w:r>
        <w:t xml:space="preserve"> </w:t>
      </w:r>
      <w:r>
        <w:t xml:space="preserve">claim, which rests on low-pH viral inactivation (PCR-006), anion exchange (PCR-008) and small</w:t>
      </w:r>
      <w:r>
        <w:t xml:space="preserve"> </w:t>
      </w:r>
      <w:r>
        <w:t xml:space="preserve">virus retentive filtration (PCR-009), and which is consolidated in PCMR-001. It does not set the</w:t>
      </w:r>
      <w:r>
        <w:t xml:space="preserve"> </w:t>
      </w:r>
      <w:r>
        <w:t xml:space="preserve">drug substance concentration, which is delivered at ultrafiltration and diafiltration (PCR-010).</w:t>
      </w:r>
      <w:r>
        <w:t xml:space="preserve"> </w:t>
      </w:r>
      <w:r>
        <w:t xml:space="preserve">Every control element above holds only while the culture is operated within the ranges characterized here, on the cell bank and the medium formulation held constant throughout this</w:t>
      </w:r>
      <w:r>
        <w:t xml:space="preserve"> </w:t>
      </w:r>
      <w:r>
        <w:t xml:space="preserve">study.</w:t>
      </w:r>
    </w:p>
    <w:bookmarkEnd w:id="115"/>
    <w:bookmarkStart w:id="116" w:name="discussion"/>
    <w:p>
      <w:pPr>
        <w:pStyle w:val="Heading1"/>
      </w:pPr>
      <w:r>
        <w:t xml:space="preserve">11. Discussion</w:t>
      </w:r>
    </w:p>
    <w:p>
      <w:pPr>
        <w:pStyle w:val="FirstParagraph"/>
      </w:pPr>
      <w:r>
        <w:t xml:space="preserve">The bioreactor step is now understood well enough to support the Stage 2 ranges. The 5 factors of that step were ranked in a screening design. The four factors retained from screening are modelled by a response surface design: culture pH, culture temperature, culture duration and dissolved CO2. Across the five responses those models explain between</w:t>
      </w:r>
      <w:r>
        <w:t xml:space="preserve"> </w:t>
      </w:r>
      <w:r>
        <w:t xml:space="preserve">91 % and 97 % of the observed variation,</w:t>
      </w:r>
      <w:r>
        <w:t xml:space="preserve"> </w:t>
      </w:r>
      <w:r>
        <w:t xml:space="preserve">while the operating region they define covers 57 % of the</w:t>
      </w:r>
      <w:r>
        <w:t xml:space="preserve"> </w:t>
      </w:r>
      <w:r>
        <w:t xml:space="preserve">characterized space (§6). Overall, what the study adds to platform knowledge is the size of each effect for this molecule and the geometry of the acceptable region, neither of which the three prior products could supply.</w:t>
      </w:r>
    </w:p>
    <w:p>
      <w:pPr>
        <w:pStyle w:val="BodyText"/>
      </w:pPr>
      <w:r>
        <w:t xml:space="preserve">Confidence in the scale-down model behind those figures rests on the qualification of §3.1 and on the centre-point behaviour of §5.1. The centre points were run across the campaign, at a largest coefficient of variation of 9.9 % on high mannose.</w:t>
      </w:r>
      <w:r>
        <w:t xml:space="preserve"> </w:t>
      </w:r>
      <w:r>
        <w:t xml:space="preserve">Because that figure carries culture variation as well as assay variation, it is the natural</w:t>
      </w:r>
      <w:r>
        <w:t xml:space="preserve"> </w:t>
      </w:r>
      <w:r>
        <w:t xml:space="preserve">yardstick for the lack of fit tests, all of which the models passed (</w:t>
      </w:r>
      <w:hyperlink w:anchor="tbl-lof">
        <w:r>
          <w:rPr>
            <w:rStyle w:val="Hyperlink"/>
          </w:rPr>
          <w:t xml:space="preserve">Table 16</w:t>
        </w:r>
      </w:hyperlink>
      <w:r>
        <w:t xml:space="preserve">).</w:t>
      </w:r>
    </w:p>
    <w:p>
      <w:pPr>
        <w:pStyle w:val="BodyText"/>
      </w:pPr>
      <w:r>
        <w:t xml:space="preserve">The conclusions drawn above are bounded by three limitations. The first limitation is the response surface factor set, which carries 4 of the 5 screened factors, leaving the temperature by osmolality interaction that screening resolved on galactosylation (</w:t>
      </w:r>
      <w:hyperlink w:anchor="tbl-eff-gal">
        <w:r>
          <w:rPr>
            <w:rStyle w:val="Hyperlink"/>
          </w:rPr>
          <w:t xml:space="preserve">Table 10</w:t>
        </w:r>
      </w:hyperlink>
      <w:r>
        <w:t xml:space="preserve">) represented in this report by the screening estimate alone, as stated in §4.3. The second limitation is predictive strength at the edge of the region, where predicted R² is weakest for acidic variants at 0.598, which leaves a prediction made for that response near the boundary with correspondingly less assurance behind it than one made near the centre. The third limitation is scale, since every claim in this report is made on a qualified scale-down model and the design space is not confirmed at commercial scale at the edges of the ranges.</w:t>
      </w:r>
    </w:p>
    <w:p>
      <w:pPr>
        <w:pStyle w:val="BodyText"/>
      </w:pPr>
      <w:r>
        <w:t xml:space="preserve">The lack of fit tests rest on 4 centre-point replicates. Therefore a</w:t>
      </w:r>
      <w:r>
        <w:t xml:space="preserve"> </w:t>
      </w:r>
      <w:r>
        <w:t xml:space="preserve">non-significant result bounds the evidence for the model form without establishing it. For this</w:t>
      </w:r>
      <w:r>
        <w:t xml:space="preserve"> </w:t>
      </w:r>
      <w:r>
        <w:t xml:space="preserve">reason the weakest case to watch at scale is acidic variants</w:t>
      </w:r>
      <w:r>
        <w:t xml:space="preserve"> </w:t>
      </w:r>
      <w:r>
        <w:t xml:space="preserve">(p = 0.15).</w:t>
      </w:r>
    </w:p>
    <w:p>
      <w:pPr>
        <w:pStyle w:val="BodyText"/>
      </w:pPr>
      <w:r>
        <w:t xml:space="preserve">Two deviations from the plan were recorded during execution and both of them were retained. Neither of them changed a fitted effect, a</w:t>
      </w:r>
      <w:r>
        <w:t xml:space="preserve"> </w:t>
      </w:r>
      <w:r>
        <w:t xml:space="preserve">proven acceptable range or a classification, for the reasons set out in §12. The one deviation that reaches the control strategy is DEV-003-02, whose corrective action added the feed verification step described in §10.</w:t>
      </w:r>
    </w:p>
    <w:p>
      <w:pPr>
        <w:pStyle w:val="BodyText"/>
      </w:pPr>
      <w:r>
        <w:t xml:space="preserve">No parameter at this step required the most stringent classification available under SOP-4001. Every quality-linked</w:t>
      </w:r>
      <w:r>
        <w:t xml:space="preserve"> </w:t>
      </w:r>
      <w:r>
        <w:t xml:space="preserve">parameter was classified WC-CPP instead of CPP, because each of them is held by instrumented</w:t>
      </w:r>
      <w:r>
        <w:t xml:space="preserve"> </w:t>
      </w:r>
      <w:r>
        <w:t xml:space="preserve">control well inside the characterized space. Should the control capability at the receiving site</w:t>
      </w:r>
      <w:r>
        <w:t xml:space="preserve"> </w:t>
      </w:r>
      <w:r>
        <w:t xml:space="preserve">prove looser than the capability assumed here, culture pH is the parameter to re-examine first,</w:t>
      </w:r>
      <w:r>
        <w:t xml:space="preserve"> </w:t>
      </w:r>
      <w:r>
        <w:t xml:space="preserve">since it carries significant terms on more responses than any other.</w:t>
      </w:r>
    </w:p>
    <w:bookmarkEnd w:id="116"/>
    <w:bookmarkStart w:id="117" w:name="conclusions"/>
    <w:p>
      <w:pPr>
        <w:pStyle w:val="Heading1"/>
      </w:pPr>
      <w:r>
        <w:t xml:space="preserve">12. Conclusions</w:t>
      </w:r>
    </w:p>
    <w:p>
      <w:pPr>
        <w:pStyle w:val="FirstParagraph"/>
      </w:pPr>
      <w:r>
        <w:t xml:space="preserve">The production bioreactor is well characterized and robust over the ranges studied. A multivariate operating region for that step is defined in culture pH, culture temperature, culture duration and dissolved CO2, covering</w:t>
      </w:r>
      <w:r>
        <w:t xml:space="preserve"> </w:t>
      </w:r>
      <w:r>
        <w:t xml:space="preserve">57 % of the characterized space. Proven acceptable ranges are</w:t>
      </w:r>
      <w:r>
        <w:t xml:space="preserve"> </w:t>
      </w:r>
      <w:r>
        <w:t xml:space="preserve">established for every governed attribute against every response surface factor, at set-point and</w:t>
      </w:r>
      <w:r>
        <w:t xml:space="preserve"> </w:t>
      </w:r>
      <w:r>
        <w:t xml:space="preserve">under normal operating range variation (</w:t>
      </w:r>
      <w:hyperlink w:anchor="tbl-par">
        <w:r>
          <w:rPr>
            <w:rStyle w:val="Hyperlink"/>
          </w:rPr>
          <w:t xml:space="preserve">Table 21</w:t>
        </w:r>
      </w:hyperlink>
      <w:r>
        <w:t xml:space="preserve">).</w:t>
      </w:r>
    </w:p>
    <w:p>
      <w:pPr>
        <w:pStyle w:val="BodyText"/>
      </w:pPr>
      <w:r>
        <w:t xml:space="preserve">All 7 attributes formed at the step meet the drug substance acceptance criteria at commercial scale. The tightest of those capabilities reaches 1.94 for</w:t>
      </w:r>
      <w:r>
        <w:t xml:space="preserve"> </w:t>
      </w:r>
      <w:r>
        <w:t xml:space="preserve">High Mannose, with a margin of 2.99</w:t>
      </w:r>
      <w:r>
        <w:t xml:space="preserve"> </w:t>
      </w:r>
      <w:r>
        <w:t xml:space="preserve">percentage points to the nearer limit. Of the 9 parameters classified, 5 are WC-CPP, 3 are KPP and 1 is GPP, while none is a CPP. The two</w:t>
      </w:r>
      <w:r>
        <w:t xml:space="preserve"> </w:t>
      </w:r>
      <w:r>
        <w:t xml:space="preserve">deviations recorded during execution were resolved without impact on the region, on the ranges</w:t>
      </w:r>
      <w:r>
        <w:t xml:space="preserve"> </w:t>
      </w:r>
      <w:r>
        <w:t xml:space="preserve">or on the classifications.</w:t>
      </w:r>
    </w:p>
    <w:p>
      <w:pPr>
        <w:pStyle w:val="BodyText"/>
      </w:pPr>
      <w:r>
        <w:t xml:space="preserve">The claims above hold over the characterized ranges of</w:t>
      </w:r>
      <w:r>
        <w:t xml:space="preserve"> </w:t>
      </w:r>
      <w:hyperlink w:anchor="tbl-params">
        <w:r>
          <w:rPr>
            <w:rStyle w:val="Hyperlink"/>
          </w:rPr>
          <w:t xml:space="preserve">Table 6</w:t>
        </w:r>
      </w:hyperlink>
      <w:r>
        <w:t xml:space="preserve">, on the qualified scale-down</w:t>
      </w:r>
      <w:r>
        <w:t xml:space="preserve"> </w:t>
      </w:r>
      <w:r>
        <w:t xml:space="preserve">model of §3.1, and for the cell bank and medium formulation used throughout this study. The step does not deliver the drug substance host cell protein and residual DNA outcomes on its own. It makes no viral clearance claim of any kind. Confirmation at commercial scale is the work of</w:t>
      </w:r>
      <w:r>
        <w:t xml:space="preserve"> </w:t>
      </w:r>
      <w:r>
        <w:t xml:space="preserve">Stage 2. On completion of that work, this report rolls up into PCMR-001.</w:t>
      </w:r>
    </w:p>
    <w:bookmarkEnd w:id="117"/>
    <w:bookmarkStart w:id="121" w:name="deviations-from-the-plan"/>
    <w:p>
      <w:pPr>
        <w:pStyle w:val="Heading1"/>
      </w:pPr>
      <w:r>
        <w:t xml:space="preserve">13. Deviations from the plan</w:t>
      </w:r>
    </w:p>
    <w:p>
      <w:pPr>
        <w:pStyle w:val="FirstParagraph"/>
      </w:pPr>
      <w:r>
        <w:t xml:space="preserve">Two deviations from PCP-003 were recorded during execution. Each of them was investigated, root caused, impact assessed and dispositioned before the data were analysed. Both of them were retained, which means the affected runs stayed in the reported analysis.</w:t>
      </w:r>
      <w:r>
        <w:t xml:space="preserve"> </w:t>
      </w:r>
      <w:hyperlink w:anchor="tbl-dev">
        <w:r>
          <w:rPr>
            <w:rStyle w:val="Hyperlink"/>
          </w:rPr>
          <w:t xml:space="preserve">Table 23</w:t>
        </w:r>
      </w:hyperlink>
      <w:r>
        <w:t xml:space="preserve"> </w:t>
      </w:r>
      <w:r>
        <w:t xml:space="preserve">holds the register of those two events.</w:t>
      </w:r>
    </w:p>
    <w:tbl>
      <w:tblPr>
        <w:tblStyle w:val="Table"/>
        <w:tblW w:type="pct" w:w="5000"/>
        <w:tblLayout w:type="fixed"/>
        <w:tblLook w:firstRow="0" w:lastRow="0" w:firstColumn="0" w:lastColumn="0" w:noHBand="0" w:noVBand="0" w:val="0000"/>
      </w:tblPr>
      <w:tblGrid>
        <w:gridCol w:w="7920"/>
      </w:tblGrid>
      <w:tr>
        <w:tc>
          <w:tcPr/>
          <w:bookmarkStart w:id="118" w:name="tbl-dev"/>
          <w:p>
            <w:pPr>
              <w:jc w:val="center"/>
            </w:pPr>
            <w:pPr>
              <w:jc w:val="left"/>
              <w:spacing w:before="200"/>
              <w:pStyle w:val="ImageCaption"/>
            </w:pPr>
            <w:r>
              <w:t xml:space="preserve">Table 23: Deviation register for the production-bioreactor characterization.</w:t>
            </w:r>
          </w:p>
          <w:tbl>
            <w:tblPr>
              <w:tblStyle w:val="Table"/>
              <w:tblW w:type="pct" w:w="5000"/>
              <w:tblLayout w:type="fixed"/>
              <w:tblLook w:firstRow="1" w:lastRow="0" w:firstColumn="0" w:lastColumn="0" w:noHBand="0" w:noVBand="0" w:val="0020"/>
            </w:tblPr>
            <w:tblGrid>
              <w:gridCol w:w="804"/>
              <w:gridCol w:w="3465"/>
              <w:gridCol w:w="2722"/>
              <w:gridCol w:w="928"/>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DEV-003-01</w:t>
                  </w:r>
                </w:p>
              </w:tc>
              <w:tc>
                <w:tcPr/>
                <w:p>
                  <w:pPr>
                    <w:pStyle w:val="Compact"/>
                    <w:jc w:val="left"/>
                    <w:jc w:val="center"/>
                  </w:pPr>
                  <w:r>
                    <w:t xml:space="preserve">Dissolved-CO2 probe drift during screening run 4</w:t>
                  </w:r>
                </w:p>
              </w:tc>
              <w:tc>
                <w:tcPr/>
                <w:p>
                  <w:pPr>
                    <w:pStyle w:val="Compact"/>
                    <w:jc w:val="left"/>
                    <w:jc w:val="center"/>
                  </w:pPr>
                  <w:r>
                    <w:t xml:space="preserve">in-process monitoring vs offline reference</w:t>
                  </w:r>
                </w:p>
              </w:tc>
              <w:tc>
                <w:tcPr/>
                <w:p>
                  <w:pPr>
                    <w:pStyle w:val="Compact"/>
                    <w:jc w:val="left"/>
                    <w:jc w:val="center"/>
                  </w:pPr>
                  <w:r>
                    <w:t xml:space="preserve">retained</w:t>
                  </w:r>
                </w:p>
              </w:tc>
            </w:tr>
            <w:tr>
              <w:tc>
                <w:tcPr/>
                <w:p>
                  <w:pPr>
                    <w:pStyle w:val="Compact"/>
                    <w:jc w:val="left"/>
                    <w:jc w:val="center"/>
                  </w:pPr>
                  <w:r>
                    <w:t xml:space="preserve">DEV-003-02</w:t>
                  </w:r>
                </w:p>
              </w:tc>
              <w:tc>
                <w:tcPr/>
                <w:p>
                  <w:pPr>
                    <w:pStyle w:val="Compact"/>
                    <w:jc w:val="left"/>
                    <w:jc w:val="center"/>
                  </w:pPr>
                  <w:r>
                    <w:t xml:space="preserve">Nutrient feed-1 under-delivery on a centre-point batch</w:t>
                  </w:r>
                </w:p>
              </w:tc>
              <w:tc>
                <w:tcPr/>
                <w:p>
                  <w:pPr>
                    <w:pStyle w:val="Compact"/>
                    <w:jc w:val="left"/>
                    <w:jc w:val="center"/>
                  </w:pPr>
                  <w:r>
                    <w:t xml:space="preserve">post-execution mass reconciliation</w:t>
                  </w:r>
                </w:p>
              </w:tc>
              <w:tc>
                <w:tcPr/>
                <w:p>
                  <w:pPr>
                    <w:pStyle w:val="Compact"/>
                    <w:jc w:val="left"/>
                    <w:jc w:val="center"/>
                  </w:pPr>
                  <w:r>
                    <w:t xml:space="preserve">retained</w:t>
                  </w:r>
                </w:p>
              </w:tc>
            </w:tr>
          </w:tbl>
          <w:bookmarkEnd w:id="118"/>
          <w:p/>
        </w:tc>
      </w:tr>
    </w:tbl>
    <w:bookmarkStart w:id="119" w:name="dev-003-01-dissolved-co2-probe-drift"/>
    <w:p>
      <w:pPr>
        <w:pStyle w:val="Heading2"/>
      </w:pPr>
      <w:r>
        <w:t xml:space="preserve">13.1 DEV-003-01 — dissolved CO2 probe drift</w:t>
      </w:r>
    </w:p>
    <w:p>
      <w:pPr>
        <w:pStyle w:val="FirstParagraph"/>
      </w:pPr>
      <w:r>
        <w:t xml:space="preserve">The first of those events began when the in-line dissolved CO2 probe on the scale-down bioreactor read</w:t>
      </w:r>
      <w:r>
        <w:t xml:space="preserve"> </w:t>
      </w:r>
      <w:r>
        <w:t xml:space="preserve">6.5 mmHg away from the offline reference during screening</w:t>
      </w:r>
      <w:r>
        <w:t xml:space="preserve"> </w:t>
      </w:r>
      <w:r>
        <w:t xml:space="preserve">run 4. That discrepancy was found by the routine comparison of the in-line reading against the offline blood-gas measurement, by which time the run had already completed. Because the control</w:t>
      </w:r>
      <w:r>
        <w:t xml:space="preserve"> </w:t>
      </w:r>
      <w:r>
        <w:t xml:space="preserve">loop held the culture to the in-line reading, the culture experienced a dissolved CO2 level</w:t>
      </w:r>
      <w:r>
        <w:t xml:space="preserve"> </w:t>
      </w:r>
      <w:r>
        <w:t xml:space="preserve">differing from the design level of that run by the same amount.</w:t>
      </w:r>
    </w:p>
    <w:p>
      <w:pPr>
        <w:pStyle w:val="BodyText"/>
      </w:pPr>
      <w:r>
        <w:t xml:space="preserve">That discrepancy was attributed by the investigation to drift of probe EQ-BRX-205 between scheduled calibrations. The equipment record confirms that the probe was inside its calibration interval at execution. The probe was recalibrated and re-verified against the offline reference before the response surface design was executed. In addition, the calibration interval for that probe class was shortened as a</w:t>
      </w:r>
      <w:r>
        <w:t xml:space="preserve"> </w:t>
      </w:r>
      <w:r>
        <w:t xml:space="preserve">corrective action.</w:t>
      </w:r>
    </w:p>
    <w:p>
      <w:pPr>
        <w:pStyle w:val="BodyText"/>
      </w:pPr>
      <w:r>
        <w:t xml:space="preserve">The impact of the drift is bounded by the size of the offset relative to the design. Since the</w:t>
      </w:r>
      <w:r>
        <w:t xml:space="preserve"> </w:t>
      </w:r>
      <w:r>
        <w:t xml:space="preserve">characterization range of dissolved CO2 spans 40–160 mmHg, an offset of</w:t>
      </w:r>
      <w:r>
        <w:t xml:space="preserve"> </w:t>
      </w:r>
      <w:r>
        <w:t xml:space="preserve">6.5 mmHg is 0.11 of a coded unit</w:t>
      </w:r>
      <w:r>
        <w:t xml:space="preserve"> </w:t>
      </w:r>
      <w:r>
        <w:t xml:space="preserve">on one of 16 factorial runs. The screening estimates are used to rank factors and never to predict. A perturbation of that size on a single run does not change the ranking from which the response surface factors were selected. The response surface design was executed</w:t>
      </w:r>
      <w:r>
        <w:t xml:space="preserve"> </w:t>
      </w:r>
      <w:r>
        <w:t xml:space="preserve">after recalibration and estimates the dissolved CO2 terms on 28 runs at three</w:t>
      </w:r>
      <w:r>
        <w:t xml:space="preserve"> </w:t>
      </w:r>
      <w:r>
        <w:t xml:space="preserve">levels, which leaves the predictive model of §5.3 and every proven acceptable range derived from it unaffected by this deviation.</w:t>
      </w:r>
      <w:r>
        <w:t xml:space="preserve"> </w:t>
      </w:r>
      <w:r>
        <w:t xml:space="preserve">The deviation was therefore retained.</w:t>
      </w:r>
    </w:p>
    <w:bookmarkEnd w:id="119"/>
    <w:bookmarkStart w:id="120" w:name="X8329f0e14a364443d536ee8baedd522fa6982ab"/>
    <w:p>
      <w:pPr>
        <w:pStyle w:val="Heading2"/>
      </w:pPr>
      <w:r>
        <w:t xml:space="preserve">13.2 DEV-003-02 — nutrient feed-1 under-delivery</w:t>
      </w:r>
    </w:p>
    <w:p>
      <w:pPr>
        <w:pStyle w:val="FirstParagraph"/>
      </w:pPr>
      <w:r>
        <w:t xml:space="preserve">The second event was found when post-execution mass reconciliation showed that one centre-point batch of the screening design had received 4.2 % less nutrient feed-1 than the batch</w:t>
      </w:r>
      <w:r>
        <w:t xml:space="preserve"> </w:t>
      </w:r>
      <w:r>
        <w:t xml:space="preserve">record specified, from lot LOT-FED-3120. That shortfall stayed invisible during the run itself, because the feed was delivered on schedule and only the cumulative mass fell short.</w:t>
      </w:r>
    </w:p>
    <w:p>
      <w:pPr>
        <w:pStyle w:val="BodyText"/>
      </w:pPr>
      <w:r>
        <w:t xml:space="preserve">The root cause of the shortfall was traced to a calibration offset on the feed pump, confirmed against the pump verification record. The pump was recalibrated and the verification frequency was increased, as described in §10. Moreover, the reconciliation step that detected the shortfall is now performed before the analytical results are released.</w:t>
      </w:r>
    </w:p>
    <w:p>
      <w:pPr>
        <w:pStyle w:val="BodyText"/>
      </w:pPr>
      <w:r>
        <w:t xml:space="preserve">The delivered feed volume reached 11.5 % of working volume against a set-point</w:t>
      </w:r>
      <w:r>
        <w:t xml:space="preserve"> </w:t>
      </w:r>
      <w:r>
        <w:t xml:space="preserve">of 12 %, which places it inside the normal operating</w:t>
      </w:r>
      <w:r>
        <w:t xml:space="preserve"> </w:t>
      </w:r>
      <w:r>
        <w:t xml:space="preserve">range of 10–14 % assessed univariately in §4.4. The glycan results for that batch were verified against 3 further</w:t>
      </w:r>
      <w:r>
        <w:t xml:space="preserve"> </w:t>
      </w:r>
      <w:r>
        <w:t xml:space="preserve">determinations by AMV-3010. However, the 95 % confidence half-width of that verification set is</w:t>
      </w:r>
      <w:r>
        <w:t xml:space="preserve"> </w:t>
      </w:r>
      <w:r>
        <w:t xml:space="preserve">6.21 % of the reported value, which is wider than the shift a 4.2 % feed deficit could produce. No shift attributable to the deviation was resolvable against it. Because the affected batch is a centre point, the consequence of retaining it is a small addition to the pure error term instead of a change to any effect estimate. As a result the lack of fit tests of §5.3 are made more conservative by retaining the batch than they would be by excluding it. The second deviation was retained on that basis.</w:t>
      </w:r>
    </w:p>
    <w:bookmarkEnd w:id="120"/>
    <w:bookmarkEnd w:id="121"/>
    <w:bookmarkStart w:id="140" w:name="appendices-a-d"/>
    <w:p>
      <w:pPr>
        <w:pStyle w:val="Heading1"/>
      </w:pPr>
      <w:r>
        <w:t xml:space="preserve">14. Appendices A-D</w:t>
      </w:r>
    </w:p>
    <w:p>
      <w:pPr>
        <w:pStyle w:val="FirstParagraph"/>
      </w:pPr>
      <w:r>
        <w:t xml:space="preserve">The complete design matrices, the full effect and coefficient tables and the analytical method summary are collected in the appendices below. They carry the data behind §5 and §7, without adding any claim that is not already made in the body of this report.</w:t>
      </w:r>
    </w:p>
    <w:bookmarkStart w:id="124" w:name="X77c0ef24ce4de9c1b8c35876c233736670b0bf3"/>
    <w:p>
      <w:pPr>
        <w:pStyle w:val="Heading2"/>
      </w:pPr>
      <w:r>
        <w:t xml:space="preserve">14.1 Appendix A — Screening design matrix and responses</w:t>
      </w:r>
    </w:p>
    <w:p>
      <w:pPr>
        <w:pStyle w:val="FirstParagraph"/>
      </w:pPr>
      <w:hyperlink w:anchor="tbl-appa-set">
        <w:r>
          <w:rPr>
            <w:rStyle w:val="Hyperlink"/>
          </w:rPr>
          <w:t xml:space="preserve">Table 24</w:t>
        </w:r>
      </w:hyperlink>
      <w:r>
        <w:t xml:space="preserve"> </w:t>
      </w:r>
      <w:r>
        <w:t xml:space="preserve">gives the coded settings of the screening design and</w:t>
      </w:r>
      <w:r>
        <w:t xml:space="preserve"> </w:t>
      </w:r>
      <w:hyperlink w:anchor="tbl-appa-resp">
        <w:r>
          <w:rPr>
            <w:rStyle w:val="Hyperlink"/>
          </w:rPr>
          <w:t xml:space="preserve">Table 25</w:t>
        </w:r>
      </w:hyperlink>
      <w:r>
        <w:t xml:space="preserve"> </w:t>
      </w:r>
      <w:r>
        <w:t xml:space="preserve">the measured</w:t>
      </w:r>
      <w:r>
        <w:t xml:space="preserve"> </w:t>
      </w:r>
      <w:r>
        <w:t xml:space="preserve">responses, both by run number.</w:t>
      </w:r>
    </w:p>
    <w:tbl>
      <w:tblPr>
        <w:tblStyle w:val="Table"/>
        <w:tblW w:type="pct" w:w="5000"/>
        <w:tblLayout w:type="fixed"/>
        <w:tblLook w:firstRow="0" w:lastRow="0" w:firstColumn="0" w:lastColumn="0" w:noHBand="0" w:noVBand="0" w:val="0000"/>
      </w:tblPr>
      <w:tblGrid>
        <w:gridCol w:w="7920"/>
      </w:tblGrid>
      <w:tr>
        <w:tc>
          <w:tcPr/>
          <w:bookmarkStart w:id="122" w:name="tbl-appa-set"/>
          <w:p>
            <w:pPr>
              <w:jc w:val="center"/>
            </w:pPr>
            <w:pPr>
              <w:jc w:val="left"/>
              <w:spacing w:before="200"/>
              <w:pStyle w:val="ImageCaption"/>
            </w:pPr>
            <w:r>
              <w:t xml:space="preserve">Table 24: Screening design, coded factor settings by run.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E</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2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tbl-appa-resp"/>
          <w:p>
            <w:pPr>
              <w:jc w:val="center"/>
            </w:pPr>
            <w:pPr>
              <w:jc w:val="left"/>
              <w:spacing w:before="200"/>
              <w:pStyle w:val="ImageCaption"/>
            </w:pPr>
            <w:r>
              <w:t xml:space="preserve">Table 25: Screening design, measured responses by run.</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5.18</w:t>
                  </w:r>
                </w:p>
              </w:tc>
              <w:tc>
                <w:tcPr/>
                <w:p>
                  <w:pPr>
                    <w:pStyle w:val="Compact"/>
                    <w:jc w:val="right"/>
                    <w:jc w:val="center"/>
                  </w:pPr>
                  <w:r>
                    <w:t xml:space="preserve">27.9</w:t>
                  </w:r>
                </w:p>
              </w:tc>
              <w:tc>
                <w:tcPr/>
                <w:p>
                  <w:pPr>
                    <w:pStyle w:val="Compact"/>
                    <w:jc w:val="right"/>
                    <w:jc w:val="center"/>
                  </w:pPr>
                  <w:r>
                    <w:t xml:space="preserve">6.61</w:t>
                  </w:r>
                </w:p>
              </w:tc>
              <w:tc>
                <w:tcPr/>
                <w:p>
                  <w:pPr>
                    <w:pStyle w:val="Compact"/>
                    <w:jc w:val="right"/>
                    <w:jc w:val="center"/>
                  </w:pPr>
                  <w:r>
                    <w:t xml:space="preserve">26.4</w:t>
                  </w:r>
                </w:p>
              </w:tc>
              <w:tc>
                <w:tcPr/>
                <w:p>
                  <w:pPr>
                    <w:pStyle w:val="Compact"/>
                    <w:jc w:val="right"/>
                    <w:jc w:val="center"/>
                  </w:pPr>
                  <w:r>
                    <w:t xml:space="preserve">1.3</w:t>
                  </w:r>
                </w:p>
              </w:tc>
            </w:tr>
            <w:tr>
              <w:tc>
                <w:tcPr/>
                <w:p>
                  <w:pPr>
                    <w:pStyle w:val="Compact"/>
                    <w:jc w:val="right"/>
                    <w:jc w:val="center"/>
                  </w:pPr>
                  <w:r>
                    <w:t xml:space="preserve">2</w:t>
                  </w:r>
                </w:p>
              </w:tc>
              <w:tc>
                <w:tcPr/>
                <w:p>
                  <w:pPr>
                    <w:pStyle w:val="Compact"/>
                    <w:jc w:val="right"/>
                    <w:jc w:val="center"/>
                  </w:pPr>
                  <w:r>
                    <w:t xml:space="preserve">8.93</w:t>
                  </w:r>
                </w:p>
              </w:tc>
              <w:tc>
                <w:tcPr/>
                <w:p>
                  <w:pPr>
                    <w:pStyle w:val="Compact"/>
                    <w:jc w:val="right"/>
                    <w:jc w:val="center"/>
                  </w:pPr>
                  <w:r>
                    <w:t xml:space="preserve">36.1</w:t>
                  </w:r>
                </w:p>
              </w:tc>
              <w:tc>
                <w:tcPr/>
                <w:p>
                  <w:pPr>
                    <w:pStyle w:val="Compact"/>
                    <w:jc w:val="right"/>
                    <w:jc w:val="center"/>
                  </w:pPr>
                  <w:r>
                    <w:t xml:space="preserve">6.44</w:t>
                  </w:r>
                </w:p>
              </w:tc>
              <w:tc>
                <w:tcPr/>
                <w:p>
                  <w:pPr>
                    <w:pStyle w:val="Compact"/>
                    <w:jc w:val="right"/>
                    <w:jc w:val="center"/>
                  </w:pPr>
                  <w:r>
                    <w:t xml:space="preserve">26.5</w:t>
                  </w:r>
                </w:p>
              </w:tc>
              <w:tc>
                <w:tcPr/>
                <w:p>
                  <w:pPr>
                    <w:pStyle w:val="Compact"/>
                    <w:jc w:val="right"/>
                    <w:jc w:val="center"/>
                  </w:pPr>
                  <w:r>
                    <w:t xml:space="preserve">0.783</w:t>
                  </w:r>
                </w:p>
              </w:tc>
            </w:tr>
            <w:tr>
              <w:tc>
                <w:tcPr/>
                <w:p>
                  <w:pPr>
                    <w:pStyle w:val="Compact"/>
                    <w:jc w:val="right"/>
                    <w:jc w:val="center"/>
                  </w:pPr>
                  <w:r>
                    <w:t xml:space="preserve">3</w:t>
                  </w:r>
                </w:p>
              </w:tc>
              <w:tc>
                <w:tcPr/>
                <w:p>
                  <w:pPr>
                    <w:pStyle w:val="Compact"/>
                    <w:jc w:val="right"/>
                    <w:jc w:val="center"/>
                  </w:pPr>
                  <w:r>
                    <w:t xml:space="preserve">11.8</w:t>
                  </w:r>
                </w:p>
              </w:tc>
              <w:tc>
                <w:tcPr/>
                <w:p>
                  <w:pPr>
                    <w:pStyle w:val="Compact"/>
                    <w:jc w:val="right"/>
                    <w:jc w:val="center"/>
                  </w:pPr>
                  <w:r>
                    <w:t xml:space="preserve">34.6</w:t>
                  </w:r>
                </w:p>
              </w:tc>
              <w:tc>
                <w:tcPr/>
                <w:p>
                  <w:pPr>
                    <w:pStyle w:val="Compact"/>
                    <w:jc w:val="right"/>
                    <w:jc w:val="center"/>
                  </w:pPr>
                  <w:r>
                    <w:t xml:space="preserve">5.63</w:t>
                  </w:r>
                </w:p>
              </w:tc>
              <w:tc>
                <w:tcPr/>
                <w:p>
                  <w:pPr>
                    <w:pStyle w:val="Compact"/>
                    <w:jc w:val="right"/>
                    <w:jc w:val="center"/>
                  </w:pPr>
                  <w:r>
                    <w:t xml:space="preserve">22.3</w:t>
                  </w:r>
                </w:p>
              </w:tc>
              <w:tc>
                <w:tcPr/>
                <w:p>
                  <w:pPr>
                    <w:pStyle w:val="Compact"/>
                    <w:jc w:val="right"/>
                    <w:jc w:val="center"/>
                  </w:pPr>
                  <w:r>
                    <w:t xml:space="preserve">0.785</w:t>
                  </w:r>
                </w:p>
              </w:tc>
            </w:tr>
            <w:tr>
              <w:tc>
                <w:tcPr/>
                <w:p>
                  <w:pPr>
                    <w:pStyle w:val="Compact"/>
                    <w:jc w:val="right"/>
                    <w:jc w:val="center"/>
                  </w:pPr>
                  <w:r>
                    <w:t xml:space="preserve">4</w:t>
                  </w:r>
                </w:p>
              </w:tc>
              <w:tc>
                <w:tcPr/>
                <w:p>
                  <w:pPr>
                    <w:pStyle w:val="Compact"/>
                    <w:jc w:val="right"/>
                    <w:jc w:val="center"/>
                  </w:pPr>
                  <w:r>
                    <w:t xml:space="preserve">4.83</w:t>
                  </w:r>
                </w:p>
              </w:tc>
              <w:tc>
                <w:tcPr/>
                <w:p>
                  <w:pPr>
                    <w:pStyle w:val="Compact"/>
                    <w:jc w:val="right"/>
                    <w:jc w:val="center"/>
                  </w:pPr>
                  <w:r>
                    <w:t xml:space="preserve">14.7</w:t>
                  </w:r>
                </w:p>
              </w:tc>
              <w:tc>
                <w:tcPr/>
                <w:p>
                  <w:pPr>
                    <w:pStyle w:val="Compact"/>
                    <w:jc w:val="right"/>
                    <w:jc w:val="center"/>
                  </w:pPr>
                  <w:r>
                    <w:t xml:space="preserve">5.46</w:t>
                  </w:r>
                </w:p>
              </w:tc>
              <w:tc>
                <w:tcPr/>
                <w:p>
                  <w:pPr>
                    <w:pStyle w:val="Compact"/>
                    <w:jc w:val="right"/>
                    <w:jc w:val="center"/>
                  </w:pPr>
                  <w:r>
                    <w:t xml:space="preserve">17.9</w:t>
                  </w:r>
                </w:p>
              </w:tc>
              <w:tc>
                <w:tcPr/>
                <w:p>
                  <w:pPr>
                    <w:pStyle w:val="Compact"/>
                    <w:jc w:val="right"/>
                    <w:jc w:val="center"/>
                  </w:pPr>
                  <w:r>
                    <w:t xml:space="preserve">1.48</w:t>
                  </w:r>
                </w:p>
              </w:tc>
            </w:tr>
            <w:tr>
              <w:tc>
                <w:tcPr/>
                <w:p>
                  <w:pPr>
                    <w:pStyle w:val="Compact"/>
                    <w:jc w:val="right"/>
                    <w:jc w:val="center"/>
                  </w:pPr>
                  <w:r>
                    <w:t xml:space="preserve">5</w:t>
                  </w:r>
                </w:p>
              </w:tc>
              <w:tc>
                <w:tcPr/>
                <w:p>
                  <w:pPr>
                    <w:pStyle w:val="Compact"/>
                    <w:jc w:val="right"/>
                    <w:jc w:val="center"/>
                  </w:pPr>
                  <w:r>
                    <w:t xml:space="preserve">9.72</w:t>
                  </w:r>
                </w:p>
              </w:tc>
              <w:tc>
                <w:tcPr/>
                <w:p>
                  <w:pPr>
                    <w:pStyle w:val="Compact"/>
                    <w:jc w:val="right"/>
                    <w:jc w:val="center"/>
                  </w:pPr>
                  <w:r>
                    <w:t xml:space="preserve">41.4</w:t>
                  </w:r>
                </w:p>
              </w:tc>
              <w:tc>
                <w:tcPr/>
                <w:p>
                  <w:pPr>
                    <w:pStyle w:val="Compact"/>
                    <w:jc w:val="right"/>
                    <w:jc w:val="center"/>
                  </w:pPr>
                  <w:r>
                    <w:t xml:space="preserve">4.61</w:t>
                  </w:r>
                </w:p>
              </w:tc>
              <w:tc>
                <w:tcPr/>
                <w:p>
                  <w:pPr>
                    <w:pStyle w:val="Compact"/>
                    <w:jc w:val="right"/>
                    <w:jc w:val="center"/>
                  </w:pPr>
                  <w:r>
                    <w:t xml:space="preserve">27</w:t>
                  </w:r>
                </w:p>
              </w:tc>
              <w:tc>
                <w:tcPr/>
                <w:p>
                  <w:pPr>
                    <w:pStyle w:val="Compact"/>
                    <w:jc w:val="right"/>
                    <w:jc w:val="center"/>
                  </w:pPr>
                  <w:r>
                    <w:t xml:space="preserve">0.859</w:t>
                  </w:r>
                </w:p>
              </w:tc>
            </w:tr>
            <w:tr>
              <w:tc>
                <w:tcPr/>
                <w:p>
                  <w:pPr>
                    <w:pStyle w:val="Compact"/>
                    <w:jc w:val="right"/>
                    <w:jc w:val="center"/>
                  </w:pPr>
                  <w:r>
                    <w:t xml:space="preserve">6</w:t>
                  </w:r>
                </w:p>
              </w:tc>
              <w:tc>
                <w:tcPr/>
                <w:p>
                  <w:pPr>
                    <w:pStyle w:val="Compact"/>
                    <w:jc w:val="right"/>
                    <w:jc w:val="center"/>
                  </w:pPr>
                  <w:r>
                    <w:t xml:space="preserve">4.68</w:t>
                  </w:r>
                </w:p>
              </w:tc>
              <w:tc>
                <w:tcPr/>
                <w:p>
                  <w:pPr>
                    <w:pStyle w:val="Compact"/>
                    <w:jc w:val="right"/>
                    <w:jc w:val="center"/>
                  </w:pPr>
                  <w:r>
                    <w:t xml:space="preserve">27.3</w:t>
                  </w:r>
                </w:p>
              </w:tc>
              <w:tc>
                <w:tcPr/>
                <w:p>
                  <w:pPr>
                    <w:pStyle w:val="Compact"/>
                    <w:jc w:val="right"/>
                    <w:jc w:val="center"/>
                  </w:pPr>
                  <w:r>
                    <w:t xml:space="preserve">4.68</w:t>
                  </w:r>
                </w:p>
              </w:tc>
              <w:tc>
                <w:tcPr/>
                <w:p>
                  <w:pPr>
                    <w:pStyle w:val="Compact"/>
                    <w:jc w:val="right"/>
                    <w:jc w:val="center"/>
                  </w:pPr>
                  <w:r>
                    <w:t xml:space="preserve">27.6</w:t>
                  </w:r>
                </w:p>
              </w:tc>
              <w:tc>
                <w:tcPr/>
                <w:p>
                  <w:pPr>
                    <w:pStyle w:val="Compact"/>
                    <w:jc w:val="right"/>
                    <w:jc w:val="center"/>
                  </w:pPr>
                  <w:r>
                    <w:t xml:space="preserve">1.26</w:t>
                  </w:r>
                </w:p>
              </w:tc>
            </w:tr>
            <w:tr>
              <w:tc>
                <w:tcPr/>
                <w:p>
                  <w:pPr>
                    <w:pStyle w:val="Compact"/>
                    <w:jc w:val="right"/>
                    <w:jc w:val="center"/>
                  </w:pPr>
                  <w:r>
                    <w:t xml:space="preserve">7</w:t>
                  </w:r>
                </w:p>
              </w:tc>
              <w:tc>
                <w:tcPr/>
                <w:p>
                  <w:pPr>
                    <w:pStyle w:val="Compact"/>
                    <w:jc w:val="right"/>
                    <w:jc w:val="center"/>
                  </w:pPr>
                  <w:r>
                    <w:t xml:space="preserve">6.22</w:t>
                  </w:r>
                </w:p>
              </w:tc>
              <w:tc>
                <w:tcPr/>
                <w:p>
                  <w:pPr>
                    <w:pStyle w:val="Compact"/>
                    <w:jc w:val="right"/>
                    <w:jc w:val="center"/>
                  </w:pPr>
                  <w:r>
                    <w:t xml:space="preserve">14.5</w:t>
                  </w:r>
                </w:p>
              </w:tc>
              <w:tc>
                <w:tcPr/>
                <w:p>
                  <w:pPr>
                    <w:pStyle w:val="Compact"/>
                    <w:jc w:val="right"/>
                    <w:jc w:val="center"/>
                  </w:pPr>
                  <w:r>
                    <w:t xml:space="preserve">4.65</w:t>
                  </w:r>
                </w:p>
              </w:tc>
              <w:tc>
                <w:tcPr/>
                <w:p>
                  <w:pPr>
                    <w:pStyle w:val="Compact"/>
                    <w:jc w:val="right"/>
                    <w:jc w:val="center"/>
                  </w:pPr>
                  <w:r>
                    <w:t xml:space="preserve">23.1</w:t>
                  </w:r>
                </w:p>
              </w:tc>
              <w:tc>
                <w:tcPr/>
                <w:p>
                  <w:pPr>
                    <w:pStyle w:val="Compact"/>
                    <w:jc w:val="right"/>
                    <w:jc w:val="center"/>
                  </w:pPr>
                  <w:r>
                    <w:t xml:space="preserve">1.48</w:t>
                  </w:r>
                </w:p>
              </w:tc>
            </w:tr>
            <w:tr>
              <w:tc>
                <w:tcPr/>
                <w:p>
                  <w:pPr>
                    <w:pStyle w:val="Compact"/>
                    <w:jc w:val="right"/>
                    <w:jc w:val="center"/>
                  </w:pPr>
                  <w:r>
                    <w:t xml:space="preserve">8</w:t>
                  </w:r>
                </w:p>
              </w:tc>
              <w:tc>
                <w:tcPr/>
                <w:p>
                  <w:pPr>
                    <w:pStyle w:val="Compact"/>
                    <w:jc w:val="right"/>
                    <w:jc w:val="center"/>
                  </w:pPr>
                  <w:r>
                    <w:t xml:space="preserve">9.83</w:t>
                  </w:r>
                </w:p>
              </w:tc>
              <w:tc>
                <w:tcPr/>
                <w:p>
                  <w:pPr>
                    <w:pStyle w:val="Compact"/>
                    <w:jc w:val="right"/>
                    <w:jc w:val="center"/>
                  </w:pPr>
                  <w:r>
                    <w:t xml:space="preserve">31.2</w:t>
                  </w:r>
                </w:p>
              </w:tc>
              <w:tc>
                <w:tcPr/>
                <w:p>
                  <w:pPr>
                    <w:pStyle w:val="Compact"/>
                    <w:jc w:val="right"/>
                    <w:jc w:val="center"/>
                  </w:pPr>
                  <w:r>
                    <w:t xml:space="preserve">4.45</w:t>
                  </w:r>
                </w:p>
              </w:tc>
              <w:tc>
                <w:tcPr/>
                <w:p>
                  <w:pPr>
                    <w:pStyle w:val="Compact"/>
                    <w:jc w:val="right"/>
                    <w:jc w:val="center"/>
                  </w:pPr>
                  <w:r>
                    <w:t xml:space="preserve">19.3</w:t>
                  </w:r>
                </w:p>
              </w:tc>
              <w:tc>
                <w:tcPr/>
                <w:p>
                  <w:pPr>
                    <w:pStyle w:val="Compact"/>
                    <w:jc w:val="right"/>
                    <w:jc w:val="center"/>
                  </w:pPr>
                  <w:r>
                    <w:t xml:space="preserve">0.948</w:t>
                  </w:r>
                </w:p>
              </w:tc>
            </w:tr>
            <w:tr>
              <w:tc>
                <w:tcPr/>
                <w:p>
                  <w:pPr>
                    <w:pStyle w:val="Compact"/>
                    <w:jc w:val="right"/>
                    <w:jc w:val="center"/>
                  </w:pPr>
                  <w:r>
                    <w:t xml:space="preserve">9</w:t>
                  </w:r>
                </w:p>
              </w:tc>
              <w:tc>
                <w:tcPr/>
                <w:p>
                  <w:pPr>
                    <w:pStyle w:val="Compact"/>
                    <w:jc w:val="right"/>
                    <w:jc w:val="center"/>
                  </w:pPr>
                  <w:r>
                    <w:t xml:space="preserve">9.61</w:t>
                  </w:r>
                </w:p>
              </w:tc>
              <w:tc>
                <w:tcPr/>
                <w:p>
                  <w:pPr>
                    <w:pStyle w:val="Compact"/>
                    <w:jc w:val="right"/>
                    <w:jc w:val="center"/>
                  </w:pPr>
                  <w:r>
                    <w:t xml:space="preserve">28</w:t>
                  </w:r>
                </w:p>
              </w:tc>
              <w:tc>
                <w:tcPr/>
                <w:p>
                  <w:pPr>
                    <w:pStyle w:val="Compact"/>
                    <w:jc w:val="right"/>
                    <w:jc w:val="center"/>
                  </w:pPr>
                  <w:r>
                    <w:t xml:space="preserve">7.77</w:t>
                  </w:r>
                </w:p>
              </w:tc>
              <w:tc>
                <w:tcPr/>
                <w:p>
                  <w:pPr>
                    <w:pStyle w:val="Compact"/>
                    <w:jc w:val="right"/>
                    <w:jc w:val="center"/>
                  </w:pPr>
                  <w:r>
                    <w:t xml:space="preserve">24.1</w:t>
                  </w:r>
                </w:p>
              </w:tc>
              <w:tc>
                <w:tcPr/>
                <w:p>
                  <w:pPr>
                    <w:pStyle w:val="Compact"/>
                    <w:jc w:val="right"/>
                    <w:jc w:val="center"/>
                  </w:pPr>
                  <w:r>
                    <w:t xml:space="preserve">1.51</w:t>
                  </w:r>
                </w:p>
              </w:tc>
            </w:tr>
            <w:tr>
              <w:tc>
                <w:tcPr/>
                <w:p>
                  <w:pPr>
                    <w:pStyle w:val="Compact"/>
                    <w:jc w:val="right"/>
                    <w:jc w:val="center"/>
                  </w:pPr>
                  <w:r>
                    <w:t xml:space="preserve">10</w:t>
                  </w:r>
                </w:p>
              </w:tc>
              <w:tc>
                <w:tcPr/>
                <w:p>
                  <w:pPr>
                    <w:pStyle w:val="Compact"/>
                    <w:jc w:val="right"/>
                    <w:jc w:val="center"/>
                  </w:pPr>
                  <w:r>
                    <w:t xml:space="preserve">7.51</w:t>
                  </w:r>
                </w:p>
              </w:tc>
              <w:tc>
                <w:tcPr/>
                <w:p>
                  <w:pPr>
                    <w:pStyle w:val="Compact"/>
                    <w:jc w:val="right"/>
                    <w:jc w:val="center"/>
                  </w:pPr>
                  <w:r>
                    <w:t xml:space="preserve">17</w:t>
                  </w:r>
                </w:p>
              </w:tc>
              <w:tc>
                <w:tcPr/>
                <w:p>
                  <w:pPr>
                    <w:pStyle w:val="Compact"/>
                    <w:jc w:val="right"/>
                    <w:jc w:val="center"/>
                  </w:pPr>
                  <w:r>
                    <w:t xml:space="preserve">7.89</w:t>
                  </w:r>
                </w:p>
              </w:tc>
              <w:tc>
                <w:tcPr/>
                <w:p>
                  <w:pPr>
                    <w:pStyle w:val="Compact"/>
                    <w:jc w:val="right"/>
                    <w:jc w:val="center"/>
                  </w:pPr>
                  <w:r>
                    <w:t xml:space="preserve">20.4</w:t>
                  </w:r>
                </w:p>
              </w:tc>
              <w:tc>
                <w:tcPr/>
                <w:p>
                  <w:pPr>
                    <w:pStyle w:val="Compact"/>
                    <w:jc w:val="right"/>
                    <w:jc w:val="center"/>
                  </w:pPr>
                  <w:r>
                    <w:t xml:space="preserve">2.26</w:t>
                  </w:r>
                </w:p>
              </w:tc>
            </w:tr>
            <w:tr>
              <w:tc>
                <w:tcPr/>
                <w:p>
                  <w:pPr>
                    <w:pStyle w:val="Compact"/>
                    <w:jc w:val="right"/>
                    <w:jc w:val="center"/>
                  </w:pPr>
                  <w:r>
                    <w:t xml:space="preserve">11</w:t>
                  </w:r>
                </w:p>
              </w:tc>
              <w:tc>
                <w:tcPr/>
                <w:p>
                  <w:pPr>
                    <w:pStyle w:val="Compact"/>
                    <w:jc w:val="right"/>
                    <w:jc w:val="center"/>
                  </w:pPr>
                  <w:r>
                    <w:t xml:space="preserve">7.13</w:t>
                  </w:r>
                </w:p>
              </w:tc>
              <w:tc>
                <w:tcPr/>
                <w:p>
                  <w:pPr>
                    <w:pStyle w:val="Compact"/>
                    <w:jc w:val="right"/>
                    <w:jc w:val="center"/>
                  </w:pPr>
                  <w:r>
                    <w:t xml:space="preserve">19.5</w:t>
                  </w:r>
                </w:p>
              </w:tc>
              <w:tc>
                <w:tcPr/>
                <w:p>
                  <w:pPr>
                    <w:pStyle w:val="Compact"/>
                    <w:jc w:val="right"/>
                    <w:jc w:val="center"/>
                  </w:pPr>
                  <w:r>
                    <w:t xml:space="preserve">7.34</w:t>
                  </w:r>
                </w:p>
              </w:tc>
              <w:tc>
                <w:tcPr/>
                <w:p>
                  <w:pPr>
                    <w:pStyle w:val="Compact"/>
                    <w:jc w:val="right"/>
                    <w:jc w:val="center"/>
                  </w:pPr>
                  <w:r>
                    <w:t xml:space="preserve">12.6</w:t>
                  </w:r>
                </w:p>
              </w:tc>
              <w:tc>
                <w:tcPr/>
                <w:p>
                  <w:pPr>
                    <w:pStyle w:val="Compact"/>
                    <w:jc w:val="right"/>
                    <w:jc w:val="center"/>
                  </w:pPr>
                  <w:r>
                    <w:t xml:space="preserve">2.53</w:t>
                  </w:r>
                </w:p>
              </w:tc>
            </w:tr>
            <w:tr>
              <w:tc>
                <w:tcPr/>
                <w:p>
                  <w:pPr>
                    <w:pStyle w:val="Compact"/>
                    <w:jc w:val="right"/>
                    <w:jc w:val="center"/>
                  </w:pPr>
                  <w:r>
                    <w:t xml:space="preserve">12</w:t>
                  </w:r>
                </w:p>
              </w:tc>
              <w:tc>
                <w:tcPr/>
                <w:p>
                  <w:pPr>
                    <w:pStyle w:val="Compact"/>
                    <w:jc w:val="right"/>
                    <w:jc w:val="center"/>
                  </w:pPr>
                  <w:r>
                    <w:t xml:space="preserve">5.29</w:t>
                  </w:r>
                </w:p>
              </w:tc>
              <w:tc>
                <w:tcPr/>
                <w:p>
                  <w:pPr>
                    <w:pStyle w:val="Compact"/>
                    <w:jc w:val="right"/>
                    <w:jc w:val="center"/>
                  </w:pPr>
                  <w:r>
                    <w:t xml:space="preserve">17.6</w:t>
                  </w:r>
                </w:p>
              </w:tc>
              <w:tc>
                <w:tcPr/>
                <w:p>
                  <w:pPr>
                    <w:pStyle w:val="Compact"/>
                    <w:jc w:val="right"/>
                    <w:jc w:val="center"/>
                  </w:pPr>
                  <w:r>
                    <w:t xml:space="preserve">7.01</w:t>
                  </w:r>
                </w:p>
              </w:tc>
              <w:tc>
                <w:tcPr/>
                <w:p>
                  <w:pPr>
                    <w:pStyle w:val="Compact"/>
                    <w:jc w:val="right"/>
                    <w:jc w:val="center"/>
                  </w:pPr>
                  <w:r>
                    <w:t xml:space="preserve">11.3</w:t>
                  </w:r>
                </w:p>
              </w:tc>
              <w:tc>
                <w:tcPr/>
                <w:p>
                  <w:pPr>
                    <w:pStyle w:val="Compact"/>
                    <w:jc w:val="right"/>
                    <w:jc w:val="center"/>
                  </w:pPr>
                  <w:r>
                    <w:t xml:space="preserve">1.61</w:t>
                  </w:r>
                </w:p>
              </w:tc>
            </w:tr>
            <w:tr>
              <w:tc>
                <w:tcPr/>
                <w:p>
                  <w:pPr>
                    <w:pStyle w:val="Compact"/>
                    <w:jc w:val="right"/>
                    <w:jc w:val="center"/>
                  </w:pPr>
                  <w:r>
                    <w:t xml:space="preserve">13</w:t>
                  </w:r>
                </w:p>
              </w:tc>
              <w:tc>
                <w:tcPr/>
                <w:p>
                  <w:pPr>
                    <w:pStyle w:val="Compact"/>
                    <w:jc w:val="right"/>
                    <w:jc w:val="center"/>
                  </w:pPr>
                  <w:r>
                    <w:t xml:space="preserve">6.74</w:t>
                  </w:r>
                </w:p>
              </w:tc>
              <w:tc>
                <w:tcPr/>
                <w:p>
                  <w:pPr>
                    <w:pStyle w:val="Compact"/>
                    <w:jc w:val="right"/>
                    <w:jc w:val="center"/>
                  </w:pPr>
                  <w:r>
                    <w:t xml:space="preserve">28.3</w:t>
                  </w:r>
                </w:p>
              </w:tc>
              <w:tc>
                <w:tcPr/>
                <w:p>
                  <w:pPr>
                    <w:pStyle w:val="Compact"/>
                    <w:jc w:val="right"/>
                    <w:jc w:val="center"/>
                  </w:pPr>
                  <w:r>
                    <w:t xml:space="preserve">6.43</w:t>
                  </w:r>
                </w:p>
              </w:tc>
              <w:tc>
                <w:tcPr/>
                <w:p>
                  <w:pPr>
                    <w:pStyle w:val="Compact"/>
                    <w:jc w:val="right"/>
                    <w:jc w:val="center"/>
                  </w:pPr>
                  <w:r>
                    <w:t xml:space="preserve">29.6</w:t>
                  </w:r>
                </w:p>
              </w:tc>
              <w:tc>
                <w:tcPr/>
                <w:p>
                  <w:pPr>
                    <w:pStyle w:val="Compact"/>
                    <w:jc w:val="right"/>
                    <w:jc w:val="center"/>
                  </w:pPr>
                  <w:r>
                    <w:t xml:space="preserve">2.18</w:t>
                  </w:r>
                </w:p>
              </w:tc>
            </w:tr>
            <w:tr>
              <w:tc>
                <w:tcPr/>
                <w:p>
                  <w:pPr>
                    <w:pStyle w:val="Compact"/>
                    <w:jc w:val="right"/>
                    <w:jc w:val="center"/>
                  </w:pPr>
                  <w:r>
                    <w:t xml:space="preserve">14</w:t>
                  </w:r>
                </w:p>
              </w:tc>
              <w:tc>
                <w:tcPr/>
                <w:p>
                  <w:pPr>
                    <w:pStyle w:val="Compact"/>
                    <w:jc w:val="right"/>
                    <w:jc w:val="center"/>
                  </w:pPr>
                  <w:r>
                    <w:t xml:space="preserve">5.4</w:t>
                  </w:r>
                </w:p>
              </w:tc>
              <w:tc>
                <w:tcPr/>
                <w:p>
                  <w:pPr>
                    <w:pStyle w:val="Compact"/>
                    <w:jc w:val="right"/>
                    <w:jc w:val="center"/>
                  </w:pPr>
                  <w:r>
                    <w:t xml:space="preserve">26.7</w:t>
                  </w:r>
                </w:p>
              </w:tc>
              <w:tc>
                <w:tcPr/>
                <w:p>
                  <w:pPr>
                    <w:pStyle w:val="Compact"/>
                    <w:jc w:val="right"/>
                    <w:jc w:val="center"/>
                  </w:pPr>
                  <w:r>
                    <w:t xml:space="preserve">5.94</w:t>
                  </w:r>
                </w:p>
              </w:tc>
              <w:tc>
                <w:tcPr/>
                <w:p>
                  <w:pPr>
                    <w:pStyle w:val="Compact"/>
                    <w:jc w:val="right"/>
                    <w:jc w:val="center"/>
                  </w:pPr>
                  <w:r>
                    <w:t xml:space="preserve">24.4</w:t>
                  </w:r>
                </w:p>
              </w:tc>
              <w:tc>
                <w:tcPr/>
                <w:p>
                  <w:pPr>
                    <w:pStyle w:val="Compact"/>
                    <w:jc w:val="right"/>
                    <w:jc w:val="center"/>
                  </w:pPr>
                  <w:r>
                    <w:t xml:space="preserve">1.62</w:t>
                  </w:r>
                </w:p>
              </w:tc>
            </w:tr>
            <w:tr>
              <w:tc>
                <w:tcPr/>
                <w:p>
                  <w:pPr>
                    <w:pStyle w:val="Compact"/>
                    <w:jc w:val="right"/>
                    <w:jc w:val="center"/>
                  </w:pPr>
                  <w:r>
                    <w:t xml:space="preserve">15</w:t>
                  </w:r>
                </w:p>
              </w:tc>
              <w:tc>
                <w:tcPr/>
                <w:p>
                  <w:pPr>
                    <w:pStyle w:val="Compact"/>
                    <w:jc w:val="right"/>
                    <w:jc w:val="center"/>
                  </w:pPr>
                  <w:r>
                    <w:t xml:space="preserve">3.82</w:t>
                  </w:r>
                </w:p>
              </w:tc>
              <w:tc>
                <w:tcPr/>
                <w:p>
                  <w:pPr>
                    <w:pStyle w:val="Compact"/>
                    <w:jc w:val="right"/>
                    <w:jc w:val="center"/>
                  </w:pPr>
                  <w:r>
                    <w:t xml:space="preserve">25.2</w:t>
                  </w:r>
                </w:p>
              </w:tc>
              <w:tc>
                <w:tcPr/>
                <w:p>
                  <w:pPr>
                    <w:pStyle w:val="Compact"/>
                    <w:jc w:val="right"/>
                    <w:jc w:val="center"/>
                  </w:pPr>
                  <w:r>
                    <w:t xml:space="preserve">6.1</w:t>
                  </w:r>
                </w:p>
              </w:tc>
              <w:tc>
                <w:tcPr/>
                <w:p>
                  <w:pPr>
                    <w:pStyle w:val="Compact"/>
                    <w:jc w:val="right"/>
                    <w:jc w:val="center"/>
                  </w:pPr>
                  <w:r>
                    <w:t xml:space="preserve">18.4</w:t>
                  </w:r>
                </w:p>
              </w:tc>
              <w:tc>
                <w:tcPr/>
                <w:p>
                  <w:pPr>
                    <w:pStyle w:val="Compact"/>
                    <w:jc w:val="right"/>
                    <w:jc w:val="center"/>
                  </w:pPr>
                  <w:r>
                    <w:t xml:space="preserve">1.8</w:t>
                  </w:r>
                </w:p>
              </w:tc>
            </w:tr>
            <w:tr>
              <w:tc>
                <w:tcPr/>
                <w:p>
                  <w:pPr>
                    <w:pStyle w:val="Compact"/>
                    <w:jc w:val="right"/>
                    <w:jc w:val="center"/>
                  </w:pPr>
                  <w:r>
                    <w:t xml:space="preserve">16</w:t>
                  </w:r>
                </w:p>
              </w:tc>
              <w:tc>
                <w:tcPr/>
                <w:p>
                  <w:pPr>
                    <w:pStyle w:val="Compact"/>
                    <w:jc w:val="right"/>
                    <w:jc w:val="center"/>
                  </w:pPr>
                  <w:r>
                    <w:t xml:space="preserve">3.08</w:t>
                  </w:r>
                </w:p>
              </w:tc>
              <w:tc>
                <w:tcPr/>
                <w:p>
                  <w:pPr>
                    <w:pStyle w:val="Compact"/>
                    <w:jc w:val="right"/>
                    <w:jc w:val="center"/>
                  </w:pPr>
                  <w:r>
                    <w:t xml:space="preserve">29.1</w:t>
                  </w:r>
                </w:p>
              </w:tc>
              <w:tc>
                <w:tcPr/>
                <w:p>
                  <w:pPr>
                    <w:pStyle w:val="Compact"/>
                    <w:jc w:val="right"/>
                    <w:jc w:val="center"/>
                  </w:pPr>
                  <w:r>
                    <w:t xml:space="preserve">6.15</w:t>
                  </w:r>
                </w:p>
              </w:tc>
              <w:tc>
                <w:tcPr/>
                <w:p>
                  <w:pPr>
                    <w:pStyle w:val="Compact"/>
                    <w:jc w:val="right"/>
                    <w:jc w:val="center"/>
                  </w:pPr>
                  <w:r>
                    <w:t xml:space="preserve">15.8</w:t>
                  </w:r>
                </w:p>
              </w:tc>
              <w:tc>
                <w:tcPr/>
                <w:p>
                  <w:pPr>
                    <w:pStyle w:val="Compact"/>
                    <w:jc w:val="right"/>
                    <w:jc w:val="center"/>
                  </w:pPr>
                  <w:r>
                    <w:t xml:space="preserve">2.05</w:t>
                  </w:r>
                </w:p>
              </w:tc>
            </w:tr>
            <w:tr>
              <w:tc>
                <w:tcPr/>
                <w:p>
                  <w:pPr>
                    <w:pStyle w:val="Compact"/>
                    <w:jc w:val="right"/>
                    <w:jc w:val="center"/>
                  </w:pPr>
                  <w:r>
                    <w:t xml:space="preserve">17</w:t>
                  </w:r>
                </w:p>
              </w:tc>
              <w:tc>
                <w:tcPr/>
                <w:p>
                  <w:pPr>
                    <w:pStyle w:val="Compact"/>
                    <w:jc w:val="right"/>
                    <w:jc w:val="center"/>
                  </w:pPr>
                  <w:r>
                    <w:t xml:space="preserve">7.8</w:t>
                  </w:r>
                </w:p>
              </w:tc>
              <w:tc>
                <w:tcPr/>
                <w:p>
                  <w:pPr>
                    <w:pStyle w:val="Compact"/>
                    <w:jc w:val="right"/>
                    <w:jc w:val="center"/>
                  </w:pPr>
                  <w:r>
                    <w:t xml:space="preserve">26.4</w:t>
                  </w:r>
                </w:p>
              </w:tc>
              <w:tc>
                <w:tcPr/>
                <w:p>
                  <w:pPr>
                    <w:pStyle w:val="Compact"/>
                    <w:jc w:val="right"/>
                    <w:jc w:val="center"/>
                  </w:pPr>
                  <w:r>
                    <w:t xml:space="preserve">5.88</w:t>
                  </w:r>
                </w:p>
              </w:tc>
              <w:tc>
                <w:tcPr/>
                <w:p>
                  <w:pPr>
                    <w:pStyle w:val="Compact"/>
                    <w:jc w:val="right"/>
                    <w:jc w:val="center"/>
                  </w:pPr>
                  <w:r>
                    <w:t xml:space="preserve">21.9</w:t>
                  </w:r>
                </w:p>
              </w:tc>
              <w:tc>
                <w:tcPr/>
                <w:p>
                  <w:pPr>
                    <w:pStyle w:val="Compact"/>
                    <w:jc w:val="right"/>
                    <w:jc w:val="center"/>
                  </w:pPr>
                  <w:r>
                    <w:t xml:space="preserve">1.64</w:t>
                  </w:r>
                </w:p>
              </w:tc>
            </w:tr>
            <w:tr>
              <w:tc>
                <w:tcPr/>
                <w:p>
                  <w:pPr>
                    <w:pStyle w:val="Compact"/>
                    <w:jc w:val="right"/>
                    <w:jc w:val="center"/>
                  </w:pPr>
                  <w:r>
                    <w:t xml:space="preserve">18</w:t>
                  </w:r>
                </w:p>
              </w:tc>
              <w:tc>
                <w:tcPr/>
                <w:p>
                  <w:pPr>
                    <w:pStyle w:val="Compact"/>
                    <w:jc w:val="right"/>
                    <w:jc w:val="center"/>
                  </w:pPr>
                  <w:r>
                    <w:t xml:space="preserve">7.51</w:t>
                  </w:r>
                </w:p>
              </w:tc>
              <w:tc>
                <w:tcPr/>
                <w:p>
                  <w:pPr>
                    <w:pStyle w:val="Compact"/>
                    <w:jc w:val="right"/>
                    <w:jc w:val="center"/>
                  </w:pPr>
                  <w:r>
                    <w:t xml:space="preserve">27.4</w:t>
                  </w:r>
                </w:p>
              </w:tc>
              <w:tc>
                <w:tcPr/>
                <w:p>
                  <w:pPr>
                    <w:pStyle w:val="Compact"/>
                    <w:jc w:val="right"/>
                    <w:jc w:val="center"/>
                  </w:pPr>
                  <w:r>
                    <w:t xml:space="preserve">5.84</w:t>
                  </w:r>
                </w:p>
              </w:tc>
              <w:tc>
                <w:tcPr/>
                <w:p>
                  <w:pPr>
                    <w:pStyle w:val="Compact"/>
                    <w:jc w:val="right"/>
                    <w:jc w:val="center"/>
                  </w:pPr>
                  <w:r>
                    <w:t xml:space="preserve">20</w:t>
                  </w:r>
                </w:p>
              </w:tc>
              <w:tc>
                <w:tcPr/>
                <w:p>
                  <w:pPr>
                    <w:pStyle w:val="Compact"/>
                    <w:jc w:val="right"/>
                    <w:jc w:val="center"/>
                  </w:pPr>
                  <w:r>
                    <w:t xml:space="preserve">1.63</w:t>
                  </w:r>
                </w:p>
              </w:tc>
            </w:tr>
            <w:tr>
              <w:tc>
                <w:tcPr/>
                <w:p>
                  <w:pPr>
                    <w:pStyle w:val="Compact"/>
                    <w:jc w:val="right"/>
                    <w:jc w:val="center"/>
                  </w:pPr>
                  <w:r>
                    <w:t xml:space="preserve">19</w:t>
                  </w:r>
                </w:p>
              </w:tc>
              <w:tc>
                <w:tcPr/>
                <w:p>
                  <w:pPr>
                    <w:pStyle w:val="Compact"/>
                    <w:jc w:val="right"/>
                    <w:jc w:val="center"/>
                  </w:pPr>
                  <w:r>
                    <w:t xml:space="preserve">8.48</w:t>
                  </w:r>
                </w:p>
              </w:tc>
              <w:tc>
                <w:tcPr/>
                <w:p>
                  <w:pPr>
                    <w:pStyle w:val="Compact"/>
                    <w:jc w:val="right"/>
                    <w:jc w:val="center"/>
                  </w:pPr>
                  <w:r>
                    <w:t xml:space="preserve">27</w:t>
                  </w:r>
                </w:p>
              </w:tc>
              <w:tc>
                <w:tcPr/>
                <w:p>
                  <w:pPr>
                    <w:pStyle w:val="Compact"/>
                    <w:jc w:val="right"/>
                    <w:jc w:val="center"/>
                  </w:pPr>
                  <w:r>
                    <w:t xml:space="preserve">7.11</w:t>
                  </w:r>
                </w:p>
              </w:tc>
              <w:tc>
                <w:tcPr/>
                <w:p>
                  <w:pPr>
                    <w:pStyle w:val="Compact"/>
                    <w:jc w:val="right"/>
                    <w:jc w:val="center"/>
                  </w:pPr>
                  <w:r>
                    <w:t xml:space="preserve">21.8</w:t>
                  </w:r>
                </w:p>
              </w:tc>
              <w:tc>
                <w:tcPr/>
                <w:p>
                  <w:pPr>
                    <w:pStyle w:val="Compact"/>
                    <w:jc w:val="right"/>
                    <w:jc w:val="center"/>
                  </w:pPr>
                  <w:r>
                    <w:t xml:space="preserve">1.5</w:t>
                  </w:r>
                </w:p>
              </w:tc>
            </w:tr>
          </w:tbl>
          <w:bookmarkEnd w:id="123"/>
          <w:p/>
        </w:tc>
      </w:tr>
    </w:tbl>
    <w:bookmarkEnd w:id="124"/>
    <w:bookmarkStart w:id="127" w:name="Xc987739a58e5854fe31352d470a2bebef9123c1"/>
    <w:p>
      <w:pPr>
        <w:pStyle w:val="Heading2"/>
      </w:pPr>
      <w:r>
        <w:t xml:space="preserve">14.2 Appendix B — Response-surface design matrix and responses</w:t>
      </w:r>
    </w:p>
    <w:p>
      <w:pPr>
        <w:pStyle w:val="FirstParagraph"/>
      </w:pPr>
      <w:hyperlink w:anchor="tbl-appb-set">
        <w:r>
          <w:rPr>
            <w:rStyle w:val="Hyperlink"/>
          </w:rPr>
          <w:t xml:space="preserve">Table 26</w:t>
        </w:r>
      </w:hyperlink>
      <w:r>
        <w:t xml:space="preserve"> </w:t>
      </w:r>
      <w:r>
        <w:t xml:space="preserve">gives the coded settings of the face centred central composite design and</w:t>
      </w:r>
      <w:r>
        <w:t xml:space="preserve"> </w:t>
      </w:r>
      <w:hyperlink w:anchor="tbl-appb-resp">
        <w:r>
          <w:rPr>
            <w:rStyle w:val="Hyperlink"/>
          </w:rPr>
          <w:t xml:space="preserve">Table 27</w:t>
        </w:r>
      </w:hyperlink>
      <w:r>
        <w:t xml:space="preserve"> </w:t>
      </w:r>
      <w:r>
        <w:t xml:space="preserve">the measured responses.</w:t>
      </w:r>
    </w:p>
    <w:tbl>
      <w:tblPr>
        <w:tblStyle w:val="Table"/>
        <w:tblW w:type="pct" w:w="5000"/>
        <w:tblLayout w:type="fixed"/>
        <w:tblLook w:firstRow="0" w:lastRow="0" w:firstColumn="0" w:lastColumn="0" w:noHBand="0" w:noVBand="0" w:val="0000"/>
      </w:tblPr>
      <w:tblGrid>
        <w:gridCol w:w="7920"/>
      </w:tblGrid>
      <w:tr>
        <w:tc>
          <w:tcPr/>
          <w:bookmarkStart w:id="125" w:name="tbl-appb-set"/>
          <w:p>
            <w:pPr>
              <w:jc w:val="center"/>
            </w:pPr>
            <w:pPr>
              <w:jc w:val="left"/>
              <w:spacing w:before="200"/>
              <w:pStyle w:val="ImageCaption"/>
            </w:pPr>
            <w:r>
              <w:t xml:space="preserve">Table 26: Response-surface design, coded factor settings by run.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E</w:t>
                  </w:r>
                </w:p>
              </w:tc>
              <w:tc>
                <w:tcPr/>
                <w:p>
                  <w:pPr>
                    <w:pStyle w:val="Compact"/>
                    <w:jc w:val="right"/>
                    <w:jc w:val="center"/>
                  </w:pPr>
                  <w:r>
                    <w:t xml:space="preserve">C</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tbl-appb-resp"/>
          <w:p>
            <w:pPr>
              <w:jc w:val="center"/>
            </w:pPr>
            <w:pPr>
              <w:jc w:val="left"/>
              <w:spacing w:before="200"/>
              <w:pStyle w:val="ImageCaption"/>
            </w:pPr>
            <w:r>
              <w:t xml:space="preserve">Table 27: Response-surface design, measured responses by run.</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9.43</w:t>
                  </w:r>
                </w:p>
              </w:tc>
              <w:tc>
                <w:tcPr/>
                <w:p>
                  <w:pPr>
                    <w:pStyle w:val="Compact"/>
                    <w:jc w:val="right"/>
                    <w:jc w:val="center"/>
                  </w:pPr>
                  <w:r>
                    <w:t xml:space="preserve">38.8</w:t>
                  </w:r>
                </w:p>
              </w:tc>
              <w:tc>
                <w:tcPr/>
                <w:p>
                  <w:pPr>
                    <w:pStyle w:val="Compact"/>
                    <w:jc w:val="right"/>
                    <w:jc w:val="center"/>
                  </w:pPr>
                  <w:r>
                    <w:t xml:space="preserve">5.44</w:t>
                  </w:r>
                </w:p>
              </w:tc>
              <w:tc>
                <w:tcPr/>
                <w:p>
                  <w:pPr>
                    <w:pStyle w:val="Compact"/>
                    <w:jc w:val="right"/>
                    <w:jc w:val="center"/>
                  </w:pPr>
                  <w:r>
                    <w:t xml:space="preserve">29.8</w:t>
                  </w:r>
                </w:p>
              </w:tc>
              <w:tc>
                <w:tcPr/>
                <w:p>
                  <w:pPr>
                    <w:pStyle w:val="Compact"/>
                    <w:jc w:val="right"/>
                    <w:jc w:val="center"/>
                  </w:pPr>
                  <w:r>
                    <w:t xml:space="preserve">0.827</w:t>
                  </w:r>
                </w:p>
              </w:tc>
            </w:tr>
            <w:tr>
              <w:tc>
                <w:tcPr/>
                <w:p>
                  <w:pPr>
                    <w:pStyle w:val="Compact"/>
                    <w:jc w:val="right"/>
                    <w:jc w:val="center"/>
                  </w:pPr>
                  <w:r>
                    <w:t xml:space="preserve">2</w:t>
                  </w:r>
                </w:p>
              </w:tc>
              <w:tc>
                <w:tcPr/>
                <w:p>
                  <w:pPr>
                    <w:pStyle w:val="Compact"/>
                    <w:jc w:val="right"/>
                    <w:jc w:val="center"/>
                  </w:pPr>
                  <w:r>
                    <w:t xml:space="preserve">11.8</w:t>
                  </w:r>
                </w:p>
              </w:tc>
              <w:tc>
                <w:tcPr/>
                <w:p>
                  <w:pPr>
                    <w:pStyle w:val="Compact"/>
                    <w:jc w:val="right"/>
                    <w:jc w:val="center"/>
                  </w:pPr>
                  <w:r>
                    <w:t xml:space="preserve">29</w:t>
                  </w:r>
                </w:p>
              </w:tc>
              <w:tc>
                <w:tcPr/>
                <w:p>
                  <w:pPr>
                    <w:pStyle w:val="Compact"/>
                    <w:jc w:val="right"/>
                    <w:jc w:val="center"/>
                  </w:pPr>
                  <w:r>
                    <w:t xml:space="preserve">5.55</w:t>
                  </w:r>
                </w:p>
              </w:tc>
              <w:tc>
                <w:tcPr/>
                <w:p>
                  <w:pPr>
                    <w:pStyle w:val="Compact"/>
                    <w:jc w:val="right"/>
                    <w:jc w:val="center"/>
                  </w:pPr>
                  <w:r>
                    <w:t xml:space="preserve">17.6</w:t>
                  </w:r>
                </w:p>
              </w:tc>
              <w:tc>
                <w:tcPr/>
                <w:p>
                  <w:pPr>
                    <w:pStyle w:val="Compact"/>
                    <w:jc w:val="right"/>
                    <w:jc w:val="center"/>
                  </w:pPr>
                  <w:r>
                    <w:t xml:space="preserve">0.791</w:t>
                  </w:r>
                </w:p>
              </w:tc>
            </w:tr>
            <w:tr>
              <w:tc>
                <w:tcPr/>
                <w:p>
                  <w:pPr>
                    <w:pStyle w:val="Compact"/>
                    <w:jc w:val="right"/>
                    <w:jc w:val="center"/>
                  </w:pPr>
                  <w:r>
                    <w:t xml:space="preserve">3</w:t>
                  </w:r>
                </w:p>
              </w:tc>
              <w:tc>
                <w:tcPr/>
                <w:p>
                  <w:pPr>
                    <w:pStyle w:val="Compact"/>
                    <w:jc w:val="right"/>
                    <w:jc w:val="center"/>
                  </w:pPr>
                  <w:r>
                    <w:t xml:space="preserve">4.5</w:t>
                  </w:r>
                </w:p>
              </w:tc>
              <w:tc>
                <w:tcPr/>
                <w:p>
                  <w:pPr>
                    <w:pStyle w:val="Compact"/>
                    <w:jc w:val="right"/>
                    <w:jc w:val="center"/>
                  </w:pPr>
                  <w:r>
                    <w:t xml:space="preserve">25.9</w:t>
                  </w:r>
                </w:p>
              </w:tc>
              <w:tc>
                <w:tcPr/>
                <w:p>
                  <w:pPr>
                    <w:pStyle w:val="Compact"/>
                    <w:jc w:val="right"/>
                    <w:jc w:val="center"/>
                  </w:pPr>
                  <w:r>
                    <w:t xml:space="preserve">5.65</w:t>
                  </w:r>
                </w:p>
              </w:tc>
              <w:tc>
                <w:tcPr/>
                <w:p>
                  <w:pPr>
                    <w:pStyle w:val="Compact"/>
                    <w:jc w:val="right"/>
                    <w:jc w:val="center"/>
                  </w:pPr>
                  <w:r>
                    <w:t xml:space="preserve">25.1</w:t>
                  </w:r>
                </w:p>
              </w:tc>
              <w:tc>
                <w:tcPr/>
                <w:p>
                  <w:pPr>
                    <w:pStyle w:val="Compact"/>
                    <w:jc w:val="right"/>
                    <w:jc w:val="center"/>
                  </w:pPr>
                  <w:r>
                    <w:t xml:space="preserve">1.33</w:t>
                  </w:r>
                </w:p>
              </w:tc>
            </w:tr>
            <w:tr>
              <w:tc>
                <w:tcPr/>
                <w:p>
                  <w:pPr>
                    <w:pStyle w:val="Compact"/>
                    <w:jc w:val="right"/>
                    <w:jc w:val="center"/>
                  </w:pPr>
                  <w:r>
                    <w:t xml:space="preserve">4</w:t>
                  </w:r>
                </w:p>
              </w:tc>
              <w:tc>
                <w:tcPr/>
                <w:p>
                  <w:pPr>
                    <w:pStyle w:val="Compact"/>
                    <w:jc w:val="right"/>
                    <w:jc w:val="center"/>
                  </w:pPr>
                  <w:r>
                    <w:t xml:space="preserve">5.38</w:t>
                  </w:r>
                </w:p>
              </w:tc>
              <w:tc>
                <w:tcPr/>
                <w:p>
                  <w:pPr>
                    <w:pStyle w:val="Compact"/>
                    <w:jc w:val="right"/>
                    <w:jc w:val="center"/>
                  </w:pPr>
                  <w:r>
                    <w:t xml:space="preserve">16.6</w:t>
                  </w:r>
                </w:p>
              </w:tc>
              <w:tc>
                <w:tcPr/>
                <w:p>
                  <w:pPr>
                    <w:pStyle w:val="Compact"/>
                    <w:jc w:val="right"/>
                    <w:jc w:val="center"/>
                  </w:pPr>
                  <w:r>
                    <w:t xml:space="preserve">5.38</w:t>
                  </w:r>
                </w:p>
              </w:tc>
              <w:tc>
                <w:tcPr/>
                <w:p>
                  <w:pPr>
                    <w:pStyle w:val="Compact"/>
                    <w:jc w:val="right"/>
                    <w:jc w:val="center"/>
                  </w:pPr>
                  <w:r>
                    <w:t xml:space="preserve">20</w:t>
                  </w:r>
                </w:p>
              </w:tc>
              <w:tc>
                <w:tcPr/>
                <w:p>
                  <w:pPr>
                    <w:pStyle w:val="Compact"/>
                    <w:jc w:val="right"/>
                    <w:jc w:val="center"/>
                  </w:pPr>
                  <w:r>
                    <w:t xml:space="preserve">1.37</w:t>
                  </w:r>
                </w:p>
              </w:tc>
            </w:tr>
            <w:tr>
              <w:tc>
                <w:tcPr/>
                <w:p>
                  <w:pPr>
                    <w:pStyle w:val="Compact"/>
                    <w:jc w:val="right"/>
                    <w:jc w:val="center"/>
                  </w:pPr>
                  <w:r>
                    <w:t xml:space="preserve">5</w:t>
                  </w:r>
                </w:p>
              </w:tc>
              <w:tc>
                <w:tcPr/>
                <w:p>
                  <w:pPr>
                    <w:pStyle w:val="Compact"/>
                    <w:jc w:val="right"/>
                    <w:jc w:val="center"/>
                  </w:pPr>
                  <w:r>
                    <w:t xml:space="preserve">10.4</w:t>
                  </w:r>
                </w:p>
              </w:tc>
              <w:tc>
                <w:tcPr/>
                <w:p>
                  <w:pPr>
                    <w:pStyle w:val="Compact"/>
                    <w:jc w:val="right"/>
                    <w:jc w:val="center"/>
                  </w:pPr>
                  <w:r>
                    <w:t xml:space="preserve">40.5</w:t>
                  </w:r>
                </w:p>
              </w:tc>
              <w:tc>
                <w:tcPr/>
                <w:p>
                  <w:pPr>
                    <w:pStyle w:val="Compact"/>
                    <w:jc w:val="right"/>
                    <w:jc w:val="center"/>
                  </w:pPr>
                  <w:r>
                    <w:t xml:space="preserve">4.23</w:t>
                  </w:r>
                </w:p>
              </w:tc>
              <w:tc>
                <w:tcPr/>
                <w:p>
                  <w:pPr>
                    <w:pStyle w:val="Compact"/>
                    <w:jc w:val="right"/>
                    <w:jc w:val="center"/>
                  </w:pPr>
                  <w:r>
                    <w:t xml:space="preserve">25.6</w:t>
                  </w:r>
                </w:p>
              </w:tc>
              <w:tc>
                <w:tcPr/>
                <w:p>
                  <w:pPr>
                    <w:pStyle w:val="Compact"/>
                    <w:jc w:val="right"/>
                    <w:jc w:val="center"/>
                  </w:pPr>
                  <w:r>
                    <w:t xml:space="preserve">0.803</w:t>
                  </w:r>
                </w:p>
              </w:tc>
            </w:tr>
            <w:tr>
              <w:tc>
                <w:tcPr/>
                <w:p>
                  <w:pPr>
                    <w:pStyle w:val="Compact"/>
                    <w:jc w:val="right"/>
                    <w:jc w:val="center"/>
                  </w:pPr>
                  <w:r>
                    <w:t xml:space="preserve">6</w:t>
                  </w:r>
                </w:p>
              </w:tc>
              <w:tc>
                <w:tcPr/>
                <w:p>
                  <w:pPr>
                    <w:pStyle w:val="Compact"/>
                    <w:jc w:val="right"/>
                    <w:jc w:val="center"/>
                  </w:pPr>
                  <w:r>
                    <w:t xml:space="preserve">10.1</w:t>
                  </w:r>
                </w:p>
              </w:tc>
              <w:tc>
                <w:tcPr/>
                <w:p>
                  <w:pPr>
                    <w:pStyle w:val="Compact"/>
                    <w:jc w:val="right"/>
                    <w:jc w:val="center"/>
                  </w:pPr>
                  <w:r>
                    <w:t xml:space="preserve">30.7</w:t>
                  </w:r>
                </w:p>
              </w:tc>
              <w:tc>
                <w:tcPr/>
                <w:p>
                  <w:pPr>
                    <w:pStyle w:val="Compact"/>
                    <w:jc w:val="right"/>
                    <w:jc w:val="center"/>
                  </w:pPr>
                  <w:r>
                    <w:t xml:space="preserve">4.17</w:t>
                  </w:r>
                </w:p>
              </w:tc>
              <w:tc>
                <w:tcPr/>
                <w:p>
                  <w:pPr>
                    <w:pStyle w:val="Compact"/>
                    <w:jc w:val="right"/>
                    <w:jc w:val="center"/>
                  </w:pPr>
                  <w:r>
                    <w:t xml:space="preserve">19.8</w:t>
                  </w:r>
                </w:p>
              </w:tc>
              <w:tc>
                <w:tcPr/>
                <w:p>
                  <w:pPr>
                    <w:pStyle w:val="Compact"/>
                    <w:jc w:val="right"/>
                    <w:jc w:val="center"/>
                  </w:pPr>
                  <w:r>
                    <w:t xml:space="preserve">0.707</w:t>
                  </w:r>
                </w:p>
              </w:tc>
            </w:tr>
            <w:tr>
              <w:tc>
                <w:tcPr/>
                <w:p>
                  <w:pPr>
                    <w:pStyle w:val="Compact"/>
                    <w:jc w:val="right"/>
                    <w:jc w:val="center"/>
                  </w:pPr>
                  <w:r>
                    <w:t xml:space="preserve">7</w:t>
                  </w:r>
                </w:p>
              </w:tc>
              <w:tc>
                <w:tcPr/>
                <w:p>
                  <w:pPr>
                    <w:pStyle w:val="Compact"/>
                    <w:jc w:val="right"/>
                    <w:jc w:val="center"/>
                  </w:pPr>
                  <w:r>
                    <w:t xml:space="preserve">5.12</w:t>
                  </w:r>
                </w:p>
              </w:tc>
              <w:tc>
                <w:tcPr/>
                <w:p>
                  <w:pPr>
                    <w:pStyle w:val="Compact"/>
                    <w:jc w:val="right"/>
                    <w:jc w:val="center"/>
                  </w:pPr>
                  <w:r>
                    <w:t xml:space="preserve">27.1</w:t>
                  </w:r>
                </w:p>
              </w:tc>
              <w:tc>
                <w:tcPr/>
                <w:p>
                  <w:pPr>
                    <w:pStyle w:val="Compact"/>
                    <w:jc w:val="right"/>
                    <w:jc w:val="center"/>
                  </w:pPr>
                  <w:r>
                    <w:t xml:space="preserve">4.63</w:t>
                  </w:r>
                </w:p>
              </w:tc>
              <w:tc>
                <w:tcPr/>
                <w:p>
                  <w:pPr>
                    <w:pStyle w:val="Compact"/>
                    <w:jc w:val="right"/>
                    <w:jc w:val="center"/>
                  </w:pPr>
                  <w:r>
                    <w:t xml:space="preserve">30.3</w:t>
                  </w:r>
                </w:p>
              </w:tc>
              <w:tc>
                <w:tcPr/>
                <w:p>
                  <w:pPr>
                    <w:pStyle w:val="Compact"/>
                    <w:jc w:val="right"/>
                    <w:jc w:val="center"/>
                  </w:pPr>
                  <w:r>
                    <w:t xml:space="preserve">1.24</w:t>
                  </w:r>
                </w:p>
              </w:tc>
            </w:tr>
            <w:tr>
              <w:tc>
                <w:tcPr/>
                <w:p>
                  <w:pPr>
                    <w:pStyle w:val="Compact"/>
                    <w:jc w:val="right"/>
                    <w:jc w:val="center"/>
                  </w:pPr>
                  <w:r>
                    <w:t xml:space="preserve">8</w:t>
                  </w:r>
                </w:p>
              </w:tc>
              <w:tc>
                <w:tcPr/>
                <w:p>
                  <w:pPr>
                    <w:pStyle w:val="Compact"/>
                    <w:jc w:val="right"/>
                    <w:jc w:val="center"/>
                  </w:pPr>
                  <w:r>
                    <w:t xml:space="preserve">6.13</w:t>
                  </w:r>
                </w:p>
              </w:tc>
              <w:tc>
                <w:tcPr/>
                <w:p>
                  <w:pPr>
                    <w:pStyle w:val="Compact"/>
                    <w:jc w:val="right"/>
                    <w:jc w:val="center"/>
                  </w:pPr>
                  <w:r>
                    <w:t xml:space="preserve">17.4</w:t>
                  </w:r>
                </w:p>
              </w:tc>
              <w:tc>
                <w:tcPr/>
                <w:p>
                  <w:pPr>
                    <w:pStyle w:val="Compact"/>
                    <w:jc w:val="right"/>
                    <w:jc w:val="center"/>
                  </w:pPr>
                  <w:r>
                    <w:t xml:space="preserve">4.64</w:t>
                  </w:r>
                </w:p>
              </w:tc>
              <w:tc>
                <w:tcPr/>
                <w:p>
                  <w:pPr>
                    <w:pStyle w:val="Compact"/>
                    <w:jc w:val="right"/>
                    <w:jc w:val="center"/>
                  </w:pPr>
                  <w:r>
                    <w:t xml:space="preserve">21.8</w:t>
                  </w:r>
                </w:p>
              </w:tc>
              <w:tc>
                <w:tcPr/>
                <w:p>
                  <w:pPr>
                    <w:pStyle w:val="Compact"/>
                    <w:jc w:val="right"/>
                    <w:jc w:val="center"/>
                  </w:pPr>
                  <w:r>
                    <w:t xml:space="preserve">1.41</w:t>
                  </w:r>
                </w:p>
              </w:tc>
            </w:tr>
            <w:tr>
              <w:tc>
                <w:tcPr/>
                <w:p>
                  <w:pPr>
                    <w:pStyle w:val="Compact"/>
                    <w:jc w:val="right"/>
                    <w:jc w:val="center"/>
                  </w:pPr>
                  <w:r>
                    <w:t xml:space="preserve">9</w:t>
                  </w:r>
                </w:p>
              </w:tc>
              <w:tc>
                <w:tcPr/>
                <w:p>
                  <w:pPr>
                    <w:pStyle w:val="Compact"/>
                    <w:jc w:val="right"/>
                    <w:jc w:val="center"/>
                  </w:pPr>
                  <w:r>
                    <w:t xml:space="preserve">8.92</w:t>
                  </w:r>
                </w:p>
              </w:tc>
              <w:tc>
                <w:tcPr/>
                <w:p>
                  <w:pPr>
                    <w:pStyle w:val="Compact"/>
                    <w:jc w:val="right"/>
                    <w:jc w:val="center"/>
                  </w:pPr>
                  <w:r>
                    <w:t xml:space="preserve">22</w:t>
                  </w:r>
                </w:p>
              </w:tc>
              <w:tc>
                <w:tcPr/>
                <w:p>
                  <w:pPr>
                    <w:pStyle w:val="Compact"/>
                    <w:jc w:val="right"/>
                    <w:jc w:val="center"/>
                  </w:pPr>
                  <w:r>
                    <w:t xml:space="preserve">6.79</w:t>
                  </w:r>
                </w:p>
              </w:tc>
              <w:tc>
                <w:tcPr/>
                <w:p>
                  <w:pPr>
                    <w:pStyle w:val="Compact"/>
                    <w:jc w:val="right"/>
                    <w:jc w:val="center"/>
                  </w:pPr>
                  <w:r>
                    <w:t xml:space="preserve">22.9</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right"/>
                    <w:jc w:val="center"/>
                  </w:pPr>
                  <w:r>
                    <w:t xml:space="preserve">5.89</w:t>
                  </w:r>
                </w:p>
              </w:tc>
              <w:tc>
                <w:tcPr/>
                <w:p>
                  <w:pPr>
                    <w:pStyle w:val="Compact"/>
                    <w:jc w:val="right"/>
                    <w:jc w:val="center"/>
                  </w:pPr>
                  <w:r>
                    <w:t xml:space="preserve">18.7</w:t>
                  </w:r>
                </w:p>
              </w:tc>
              <w:tc>
                <w:tcPr/>
                <w:p>
                  <w:pPr>
                    <w:pStyle w:val="Compact"/>
                    <w:jc w:val="right"/>
                    <w:jc w:val="center"/>
                  </w:pPr>
                  <w:r>
                    <w:t xml:space="preserve">8.81</w:t>
                  </w:r>
                </w:p>
              </w:tc>
              <w:tc>
                <w:tcPr/>
                <w:p>
                  <w:pPr>
                    <w:pStyle w:val="Compact"/>
                    <w:jc w:val="right"/>
                    <w:jc w:val="center"/>
                  </w:pPr>
                  <w:r>
                    <w:t xml:space="preserve">13.6</w:t>
                  </w:r>
                </w:p>
              </w:tc>
              <w:tc>
                <w:tcPr/>
                <w:p>
                  <w:pPr>
                    <w:pStyle w:val="Compact"/>
                    <w:jc w:val="right"/>
                    <w:jc w:val="center"/>
                  </w:pPr>
                  <w:r>
                    <w:t xml:space="preserve">1.53</w:t>
                  </w:r>
                </w:p>
              </w:tc>
            </w:tr>
            <w:tr>
              <w:tc>
                <w:tcPr/>
                <w:p>
                  <w:pPr>
                    <w:pStyle w:val="Compact"/>
                    <w:jc w:val="right"/>
                    <w:jc w:val="center"/>
                  </w:pPr>
                  <w:r>
                    <w:t xml:space="preserve">11</w:t>
                  </w:r>
                </w:p>
              </w:tc>
              <w:tc>
                <w:tcPr/>
                <w:p>
                  <w:pPr>
                    <w:pStyle w:val="Compact"/>
                    <w:jc w:val="right"/>
                    <w:jc w:val="center"/>
                  </w:pPr>
                  <w:r>
                    <w:t xml:space="preserve">8.05</w:t>
                  </w:r>
                </w:p>
              </w:tc>
              <w:tc>
                <w:tcPr/>
                <w:p>
                  <w:pPr>
                    <w:pStyle w:val="Compact"/>
                    <w:jc w:val="right"/>
                    <w:jc w:val="center"/>
                  </w:pPr>
                  <w:r>
                    <w:t xml:space="preserve">18.7</w:t>
                  </w:r>
                </w:p>
              </w:tc>
              <w:tc>
                <w:tcPr/>
                <w:p>
                  <w:pPr>
                    <w:pStyle w:val="Compact"/>
                    <w:jc w:val="right"/>
                    <w:jc w:val="center"/>
                  </w:pPr>
                  <w:r>
                    <w:t xml:space="preserve">6.11</w:t>
                  </w:r>
                </w:p>
              </w:tc>
              <w:tc>
                <w:tcPr/>
                <w:p>
                  <w:pPr>
                    <w:pStyle w:val="Compact"/>
                    <w:jc w:val="right"/>
                    <w:jc w:val="center"/>
                  </w:pPr>
                  <w:r>
                    <w:t xml:space="preserve">19.3</w:t>
                  </w:r>
                </w:p>
              </w:tc>
              <w:tc>
                <w:tcPr/>
                <w:p>
                  <w:pPr>
                    <w:pStyle w:val="Compact"/>
                    <w:jc w:val="right"/>
                    <w:jc w:val="center"/>
                  </w:pPr>
                  <w:r>
                    <w:t xml:space="preserve">1.99</w:t>
                  </w:r>
                </w:p>
              </w:tc>
            </w:tr>
            <w:tr>
              <w:tc>
                <w:tcPr/>
                <w:p>
                  <w:pPr>
                    <w:pStyle w:val="Compact"/>
                    <w:jc w:val="right"/>
                    <w:jc w:val="center"/>
                  </w:pPr>
                  <w:r>
                    <w:t xml:space="preserve">12</w:t>
                  </w:r>
                </w:p>
              </w:tc>
              <w:tc>
                <w:tcPr/>
                <w:p>
                  <w:pPr>
                    <w:pStyle w:val="Compact"/>
                    <w:jc w:val="right"/>
                    <w:jc w:val="center"/>
                  </w:pPr>
                  <w:r>
                    <w:t xml:space="preserve">5.17</w:t>
                  </w:r>
                </w:p>
              </w:tc>
              <w:tc>
                <w:tcPr/>
                <w:p>
                  <w:pPr>
                    <w:pStyle w:val="Compact"/>
                    <w:jc w:val="right"/>
                    <w:jc w:val="center"/>
                  </w:pPr>
                  <w:r>
                    <w:t xml:space="preserve">18.7</w:t>
                  </w:r>
                </w:p>
              </w:tc>
              <w:tc>
                <w:tcPr/>
                <w:p>
                  <w:pPr>
                    <w:pStyle w:val="Compact"/>
                    <w:jc w:val="right"/>
                    <w:jc w:val="center"/>
                  </w:pPr>
                  <w:r>
                    <w:t xml:space="preserve">7.34</w:t>
                  </w:r>
                </w:p>
              </w:tc>
              <w:tc>
                <w:tcPr/>
                <w:p>
                  <w:pPr>
                    <w:pStyle w:val="Compact"/>
                    <w:jc w:val="right"/>
                    <w:jc w:val="center"/>
                  </w:pPr>
                  <w:r>
                    <w:t xml:space="preserve">12.3</w:t>
                  </w:r>
                </w:p>
              </w:tc>
              <w:tc>
                <w:tcPr/>
                <w:p>
                  <w:pPr>
                    <w:pStyle w:val="Compact"/>
                    <w:jc w:val="right"/>
                    <w:jc w:val="center"/>
                  </w:pPr>
                  <w:r>
                    <w:t xml:space="preserve">2.15</w:t>
                  </w:r>
                </w:p>
              </w:tc>
            </w:tr>
            <w:tr>
              <w:tc>
                <w:tcPr/>
                <w:p>
                  <w:pPr>
                    <w:pStyle w:val="Compact"/>
                    <w:jc w:val="right"/>
                    <w:jc w:val="center"/>
                  </w:pPr>
                  <w:r>
                    <w:t xml:space="preserve">13</w:t>
                  </w:r>
                </w:p>
              </w:tc>
              <w:tc>
                <w:tcPr/>
                <w:p>
                  <w:pPr>
                    <w:pStyle w:val="Compact"/>
                    <w:jc w:val="right"/>
                    <w:jc w:val="center"/>
                  </w:pPr>
                  <w:r>
                    <w:t xml:space="preserve">5.41</w:t>
                  </w:r>
                </w:p>
              </w:tc>
              <w:tc>
                <w:tcPr/>
                <w:p>
                  <w:pPr>
                    <w:pStyle w:val="Compact"/>
                    <w:jc w:val="right"/>
                    <w:jc w:val="center"/>
                  </w:pPr>
                  <w:r>
                    <w:t xml:space="preserve">28.7</w:t>
                  </w:r>
                </w:p>
              </w:tc>
              <w:tc>
                <w:tcPr/>
                <w:p>
                  <w:pPr>
                    <w:pStyle w:val="Compact"/>
                    <w:jc w:val="right"/>
                    <w:jc w:val="center"/>
                  </w:pPr>
                  <w:r>
                    <w:t xml:space="preserve">6.97</w:t>
                  </w:r>
                </w:p>
              </w:tc>
              <w:tc>
                <w:tcPr/>
                <w:p>
                  <w:pPr>
                    <w:pStyle w:val="Compact"/>
                    <w:jc w:val="right"/>
                    <w:jc w:val="center"/>
                  </w:pPr>
                  <w:r>
                    <w:t xml:space="preserve">28.5</w:t>
                  </w:r>
                </w:p>
              </w:tc>
              <w:tc>
                <w:tcPr/>
                <w:p>
                  <w:pPr>
                    <w:pStyle w:val="Compact"/>
                    <w:jc w:val="right"/>
                    <w:jc w:val="center"/>
                  </w:pPr>
                  <w:r>
                    <w:t xml:space="preserve">1.45</w:t>
                  </w:r>
                </w:p>
              </w:tc>
            </w:tr>
            <w:tr>
              <w:tc>
                <w:tcPr/>
                <w:p>
                  <w:pPr>
                    <w:pStyle w:val="Compact"/>
                    <w:jc w:val="right"/>
                    <w:jc w:val="center"/>
                  </w:pPr>
                  <w:r>
                    <w:t xml:space="preserve">14</w:t>
                  </w:r>
                </w:p>
              </w:tc>
              <w:tc>
                <w:tcPr/>
                <w:p>
                  <w:pPr>
                    <w:pStyle w:val="Compact"/>
                    <w:jc w:val="right"/>
                    <w:jc w:val="center"/>
                  </w:pPr>
                  <w:r>
                    <w:t xml:space="preserve">2.84</w:t>
                  </w:r>
                </w:p>
              </w:tc>
              <w:tc>
                <w:tcPr/>
                <w:p>
                  <w:pPr>
                    <w:pStyle w:val="Compact"/>
                    <w:jc w:val="right"/>
                    <w:jc w:val="center"/>
                  </w:pPr>
                  <w:r>
                    <w:t xml:space="preserve">29.1</w:t>
                  </w:r>
                </w:p>
              </w:tc>
              <w:tc>
                <w:tcPr/>
                <w:p>
                  <w:pPr>
                    <w:pStyle w:val="Compact"/>
                    <w:jc w:val="right"/>
                    <w:jc w:val="center"/>
                  </w:pPr>
                  <w:r>
                    <w:t xml:space="preserve">7.36</w:t>
                  </w:r>
                </w:p>
              </w:tc>
              <w:tc>
                <w:tcPr/>
                <w:p>
                  <w:pPr>
                    <w:pStyle w:val="Compact"/>
                    <w:jc w:val="right"/>
                    <w:jc w:val="center"/>
                  </w:pPr>
                  <w:r>
                    <w:t xml:space="preserve">18.5</w:t>
                  </w:r>
                </w:p>
              </w:tc>
              <w:tc>
                <w:tcPr/>
                <w:p>
                  <w:pPr>
                    <w:pStyle w:val="Compact"/>
                    <w:jc w:val="right"/>
                    <w:jc w:val="center"/>
                  </w:pPr>
                  <w:r>
                    <w:t xml:space="preserve">1.7</w:t>
                  </w:r>
                </w:p>
              </w:tc>
            </w:tr>
            <w:tr>
              <w:tc>
                <w:tcPr/>
                <w:p>
                  <w:pPr>
                    <w:pStyle w:val="Compact"/>
                    <w:jc w:val="right"/>
                    <w:jc w:val="center"/>
                  </w:pPr>
                  <w:r>
                    <w:t xml:space="preserve">15</w:t>
                  </w:r>
                </w:p>
              </w:tc>
              <w:tc>
                <w:tcPr/>
                <w:p>
                  <w:pPr>
                    <w:pStyle w:val="Compact"/>
                    <w:jc w:val="right"/>
                    <w:jc w:val="center"/>
                  </w:pPr>
                  <w:r>
                    <w:t xml:space="preserve">6.2</w:t>
                  </w:r>
                </w:p>
              </w:tc>
              <w:tc>
                <w:tcPr/>
                <w:p>
                  <w:pPr>
                    <w:pStyle w:val="Compact"/>
                    <w:jc w:val="right"/>
                    <w:jc w:val="center"/>
                  </w:pPr>
                  <w:r>
                    <w:t xml:space="preserve">25.4</w:t>
                  </w:r>
                </w:p>
              </w:tc>
              <w:tc>
                <w:tcPr/>
                <w:p>
                  <w:pPr>
                    <w:pStyle w:val="Compact"/>
                    <w:jc w:val="right"/>
                    <w:jc w:val="center"/>
                  </w:pPr>
                  <w:r>
                    <w:t xml:space="preserve">5.95</w:t>
                  </w:r>
                </w:p>
              </w:tc>
              <w:tc>
                <w:tcPr/>
                <w:p>
                  <w:pPr>
                    <w:pStyle w:val="Compact"/>
                    <w:jc w:val="right"/>
                    <w:jc w:val="center"/>
                  </w:pPr>
                  <w:r>
                    <w:t xml:space="preserve">26.5</w:t>
                  </w:r>
                </w:p>
              </w:tc>
              <w:tc>
                <w:tcPr/>
                <w:p>
                  <w:pPr>
                    <w:pStyle w:val="Compact"/>
                    <w:jc w:val="right"/>
                    <w:jc w:val="center"/>
                  </w:pPr>
                  <w:r>
                    <w:t xml:space="preserve">2.08</w:t>
                  </w:r>
                </w:p>
              </w:tc>
            </w:tr>
            <w:tr>
              <w:tc>
                <w:tcPr/>
                <w:p>
                  <w:pPr>
                    <w:pStyle w:val="Compact"/>
                    <w:jc w:val="right"/>
                    <w:jc w:val="center"/>
                  </w:pPr>
                  <w:r>
                    <w:t xml:space="preserve">16</w:t>
                  </w:r>
                </w:p>
              </w:tc>
              <w:tc>
                <w:tcPr/>
                <w:p>
                  <w:pPr>
                    <w:pStyle w:val="Compact"/>
                    <w:jc w:val="right"/>
                    <w:jc w:val="center"/>
                  </w:pPr>
                  <w:r>
                    <w:t xml:space="preserve">4.19</w:t>
                  </w:r>
                </w:p>
              </w:tc>
              <w:tc>
                <w:tcPr/>
                <w:p>
                  <w:pPr>
                    <w:pStyle w:val="Compact"/>
                    <w:jc w:val="right"/>
                    <w:jc w:val="center"/>
                  </w:pPr>
                  <w:r>
                    <w:t xml:space="preserve">27.2</w:t>
                  </w:r>
                </w:p>
              </w:tc>
              <w:tc>
                <w:tcPr/>
                <w:p>
                  <w:pPr>
                    <w:pStyle w:val="Compact"/>
                    <w:jc w:val="right"/>
                    <w:jc w:val="center"/>
                  </w:pPr>
                  <w:r>
                    <w:t xml:space="preserve">6.8</w:t>
                  </w:r>
                </w:p>
              </w:tc>
              <w:tc>
                <w:tcPr/>
                <w:p>
                  <w:pPr>
                    <w:pStyle w:val="Compact"/>
                    <w:jc w:val="right"/>
                    <w:jc w:val="center"/>
                  </w:pPr>
                  <w:r>
                    <w:t xml:space="preserve">17.2</w:t>
                  </w:r>
                </w:p>
              </w:tc>
              <w:tc>
                <w:tcPr/>
                <w:p>
                  <w:pPr>
                    <w:pStyle w:val="Compact"/>
                    <w:jc w:val="right"/>
                    <w:jc w:val="center"/>
                  </w:pPr>
                  <w:r>
                    <w:t xml:space="preserve">2.01</w:t>
                  </w:r>
                </w:p>
              </w:tc>
            </w:tr>
            <w:tr>
              <w:tc>
                <w:tcPr/>
                <w:p>
                  <w:pPr>
                    <w:pStyle w:val="Compact"/>
                    <w:jc w:val="right"/>
                    <w:jc w:val="center"/>
                  </w:pPr>
                  <w:r>
                    <w:t xml:space="preserve">17</w:t>
                  </w:r>
                </w:p>
              </w:tc>
              <w:tc>
                <w:tcPr/>
                <w:p>
                  <w:pPr>
                    <w:pStyle w:val="Compact"/>
                    <w:jc w:val="right"/>
                    <w:jc w:val="center"/>
                  </w:pPr>
                  <w:r>
                    <w:t xml:space="preserve">7.82</w:t>
                  </w:r>
                </w:p>
              </w:tc>
              <w:tc>
                <w:tcPr/>
                <w:p>
                  <w:pPr>
                    <w:pStyle w:val="Compact"/>
                    <w:jc w:val="right"/>
                    <w:jc w:val="center"/>
                  </w:pPr>
                  <w:r>
                    <w:t xml:space="preserve">26.1</w:t>
                  </w:r>
                </w:p>
              </w:tc>
              <w:tc>
                <w:tcPr/>
                <w:p>
                  <w:pPr>
                    <w:pStyle w:val="Compact"/>
                    <w:jc w:val="right"/>
                    <w:jc w:val="center"/>
                  </w:pPr>
                  <w:r>
                    <w:t xml:space="preserve">4.59</w:t>
                  </w:r>
                </w:p>
              </w:tc>
              <w:tc>
                <w:tcPr/>
                <w:p>
                  <w:pPr>
                    <w:pStyle w:val="Compact"/>
                    <w:jc w:val="right"/>
                    <w:jc w:val="center"/>
                  </w:pPr>
                  <w:r>
                    <w:t xml:space="preserve">24.2</w:t>
                  </w:r>
                </w:p>
              </w:tc>
              <w:tc>
                <w:tcPr/>
                <w:p>
                  <w:pPr>
                    <w:pStyle w:val="Compact"/>
                    <w:jc w:val="right"/>
                    <w:jc w:val="center"/>
                  </w:pPr>
                  <w:r>
                    <w:t xml:space="preserve">1.15</w:t>
                  </w:r>
                </w:p>
              </w:tc>
            </w:tr>
            <w:tr>
              <w:tc>
                <w:tcPr/>
                <w:p>
                  <w:pPr>
                    <w:pStyle w:val="Compact"/>
                    <w:jc w:val="right"/>
                    <w:jc w:val="center"/>
                  </w:pPr>
                  <w:r>
                    <w:t xml:space="preserve">18</w:t>
                  </w:r>
                </w:p>
              </w:tc>
              <w:tc>
                <w:tcPr/>
                <w:p>
                  <w:pPr>
                    <w:pStyle w:val="Compact"/>
                    <w:jc w:val="right"/>
                    <w:jc w:val="center"/>
                  </w:pPr>
                  <w:r>
                    <w:t xml:space="preserve">6.07</w:t>
                  </w:r>
                </w:p>
              </w:tc>
              <w:tc>
                <w:tcPr/>
                <w:p>
                  <w:pPr>
                    <w:pStyle w:val="Compact"/>
                    <w:jc w:val="right"/>
                    <w:jc w:val="center"/>
                  </w:pPr>
                  <w:r>
                    <w:t xml:space="preserve">23.7</w:t>
                  </w:r>
                </w:p>
              </w:tc>
              <w:tc>
                <w:tcPr/>
                <w:p>
                  <w:pPr>
                    <w:pStyle w:val="Compact"/>
                    <w:jc w:val="right"/>
                    <w:jc w:val="center"/>
                  </w:pPr>
                  <w:r>
                    <w:t xml:space="preserve">7.72</w:t>
                  </w:r>
                </w:p>
              </w:tc>
              <w:tc>
                <w:tcPr/>
                <w:p>
                  <w:pPr>
                    <w:pStyle w:val="Compact"/>
                    <w:jc w:val="right"/>
                    <w:jc w:val="center"/>
                  </w:pPr>
                  <w:r>
                    <w:t xml:space="preserve">19.3</w:t>
                  </w:r>
                </w:p>
              </w:tc>
              <w:tc>
                <w:tcPr/>
                <w:p>
                  <w:pPr>
                    <w:pStyle w:val="Compact"/>
                    <w:jc w:val="right"/>
                    <w:jc w:val="center"/>
                  </w:pPr>
                  <w:r>
                    <w:t xml:space="preserve">1.82</w:t>
                  </w:r>
                </w:p>
              </w:tc>
            </w:tr>
            <w:tr>
              <w:tc>
                <w:tcPr/>
                <w:p>
                  <w:pPr>
                    <w:pStyle w:val="Compact"/>
                    <w:jc w:val="right"/>
                    <w:jc w:val="center"/>
                  </w:pPr>
                  <w:r>
                    <w:t xml:space="preserve">19</w:t>
                  </w:r>
                </w:p>
              </w:tc>
              <w:tc>
                <w:tcPr/>
                <w:p>
                  <w:pPr>
                    <w:pStyle w:val="Compact"/>
                    <w:jc w:val="right"/>
                    <w:jc w:val="center"/>
                  </w:pPr>
                  <w:r>
                    <w:t xml:space="preserve">8.77</w:t>
                  </w:r>
                </w:p>
              </w:tc>
              <w:tc>
                <w:tcPr/>
                <w:p>
                  <w:pPr>
                    <w:pStyle w:val="Compact"/>
                    <w:jc w:val="right"/>
                    <w:jc w:val="center"/>
                  </w:pPr>
                  <w:r>
                    <w:t xml:space="preserve">24.3</w:t>
                  </w:r>
                </w:p>
              </w:tc>
              <w:tc>
                <w:tcPr/>
                <w:p>
                  <w:pPr>
                    <w:pStyle w:val="Compact"/>
                    <w:jc w:val="right"/>
                    <w:jc w:val="center"/>
                  </w:pPr>
                  <w:r>
                    <w:t xml:space="preserve">6.75</w:t>
                  </w:r>
                </w:p>
              </w:tc>
              <w:tc>
                <w:tcPr/>
                <w:p>
                  <w:pPr>
                    <w:pStyle w:val="Compact"/>
                    <w:jc w:val="right"/>
                    <w:jc w:val="center"/>
                  </w:pPr>
                  <w:r>
                    <w:t xml:space="preserve">19.9</w:t>
                  </w:r>
                </w:p>
              </w:tc>
              <w:tc>
                <w:tcPr/>
                <w:p>
                  <w:pPr>
                    <w:pStyle w:val="Compact"/>
                    <w:jc w:val="right"/>
                    <w:jc w:val="center"/>
                  </w:pPr>
                  <w:r>
                    <w:t xml:space="preserve">1.51</w:t>
                  </w:r>
                </w:p>
              </w:tc>
            </w:tr>
            <w:tr>
              <w:tc>
                <w:tcPr/>
                <w:p>
                  <w:pPr>
                    <w:pStyle w:val="Compact"/>
                    <w:jc w:val="right"/>
                    <w:jc w:val="center"/>
                  </w:pPr>
                  <w:r>
                    <w:t xml:space="preserve">20</w:t>
                  </w:r>
                </w:p>
              </w:tc>
              <w:tc>
                <w:tcPr/>
                <w:p>
                  <w:pPr>
                    <w:pStyle w:val="Compact"/>
                    <w:jc w:val="right"/>
                    <w:jc w:val="center"/>
                  </w:pPr>
                  <w:r>
                    <w:t xml:space="preserve">7.55</w:t>
                  </w:r>
                </w:p>
              </w:tc>
              <w:tc>
                <w:tcPr/>
                <w:p>
                  <w:pPr>
                    <w:pStyle w:val="Compact"/>
                    <w:jc w:val="right"/>
                    <w:jc w:val="center"/>
                  </w:pPr>
                  <w:r>
                    <w:t xml:space="preserve">27.9</w:t>
                  </w:r>
                </w:p>
              </w:tc>
              <w:tc>
                <w:tcPr/>
                <w:p>
                  <w:pPr>
                    <w:pStyle w:val="Compact"/>
                    <w:jc w:val="right"/>
                    <w:jc w:val="center"/>
                  </w:pPr>
                  <w:r>
                    <w:t xml:space="preserve">5.51</w:t>
                  </w:r>
                </w:p>
              </w:tc>
              <w:tc>
                <w:tcPr/>
                <w:p>
                  <w:pPr>
                    <w:pStyle w:val="Compact"/>
                    <w:jc w:val="right"/>
                    <w:jc w:val="center"/>
                  </w:pPr>
                  <w:r>
                    <w:t xml:space="preserve">26.8</w:t>
                  </w:r>
                </w:p>
              </w:tc>
              <w:tc>
                <w:tcPr/>
                <w:p>
                  <w:pPr>
                    <w:pStyle w:val="Compact"/>
                    <w:jc w:val="right"/>
                    <w:jc w:val="center"/>
                  </w:pPr>
                  <w:r>
                    <w:t xml:space="preserve">1.32</w:t>
                  </w:r>
                </w:p>
              </w:tc>
            </w:tr>
            <w:tr>
              <w:tc>
                <w:tcPr/>
                <w:p>
                  <w:pPr>
                    <w:pStyle w:val="Compact"/>
                    <w:jc w:val="right"/>
                    <w:jc w:val="center"/>
                  </w:pPr>
                  <w:r>
                    <w:t xml:space="preserve">21</w:t>
                  </w:r>
                </w:p>
              </w:tc>
              <w:tc>
                <w:tcPr/>
                <w:p>
                  <w:pPr>
                    <w:pStyle w:val="Compact"/>
                    <w:jc w:val="right"/>
                    <w:jc w:val="center"/>
                  </w:pPr>
                  <w:r>
                    <w:t xml:space="preserve">10.3</w:t>
                  </w:r>
                </w:p>
              </w:tc>
              <w:tc>
                <w:tcPr/>
                <w:p>
                  <w:pPr>
                    <w:pStyle w:val="Compact"/>
                    <w:jc w:val="right"/>
                    <w:jc w:val="center"/>
                  </w:pPr>
                  <w:r>
                    <w:t xml:space="preserve">30.8</w:t>
                  </w:r>
                </w:p>
              </w:tc>
              <w:tc>
                <w:tcPr/>
                <w:p>
                  <w:pPr>
                    <w:pStyle w:val="Compact"/>
                    <w:jc w:val="right"/>
                    <w:jc w:val="center"/>
                  </w:pPr>
                  <w:r>
                    <w:t xml:space="preserve">6.11</w:t>
                  </w:r>
                </w:p>
              </w:tc>
              <w:tc>
                <w:tcPr/>
                <w:p>
                  <w:pPr>
                    <w:pStyle w:val="Compact"/>
                    <w:jc w:val="right"/>
                    <w:jc w:val="center"/>
                  </w:pPr>
                  <w:r>
                    <w:t xml:space="preserve">20.8</w:t>
                  </w:r>
                </w:p>
              </w:tc>
              <w:tc>
                <w:tcPr/>
                <w:p>
                  <w:pPr>
                    <w:pStyle w:val="Compact"/>
                    <w:jc w:val="right"/>
                    <w:jc w:val="center"/>
                  </w:pPr>
                  <w:r>
                    <w:t xml:space="preserve">1.3</w:t>
                  </w:r>
                </w:p>
              </w:tc>
            </w:tr>
            <w:tr>
              <w:tc>
                <w:tcPr/>
                <w:p>
                  <w:pPr>
                    <w:pStyle w:val="Compact"/>
                    <w:jc w:val="right"/>
                    <w:jc w:val="center"/>
                  </w:pPr>
                  <w:r>
                    <w:t xml:space="preserve">22</w:t>
                  </w:r>
                </w:p>
              </w:tc>
              <w:tc>
                <w:tcPr/>
                <w:p>
                  <w:pPr>
                    <w:pStyle w:val="Compact"/>
                    <w:jc w:val="right"/>
                    <w:jc w:val="center"/>
                  </w:pPr>
                  <w:r>
                    <w:t xml:space="preserve">6.89</w:t>
                  </w:r>
                </w:p>
              </w:tc>
              <w:tc>
                <w:tcPr/>
                <w:p>
                  <w:pPr>
                    <w:pStyle w:val="Compact"/>
                    <w:jc w:val="right"/>
                    <w:jc w:val="center"/>
                  </w:pPr>
                  <w:r>
                    <w:t xml:space="preserve">22.5</w:t>
                  </w:r>
                </w:p>
              </w:tc>
              <w:tc>
                <w:tcPr/>
                <w:p>
                  <w:pPr>
                    <w:pStyle w:val="Compact"/>
                    <w:jc w:val="right"/>
                    <w:jc w:val="center"/>
                  </w:pPr>
                  <w:r>
                    <w:t xml:space="preserve">5.54</w:t>
                  </w:r>
                </w:p>
              </w:tc>
              <w:tc>
                <w:tcPr/>
                <w:p>
                  <w:pPr>
                    <w:pStyle w:val="Compact"/>
                    <w:jc w:val="right"/>
                    <w:jc w:val="center"/>
                  </w:pPr>
                  <w:r>
                    <w:t xml:space="preserve">22.4</w:t>
                  </w:r>
                </w:p>
              </w:tc>
              <w:tc>
                <w:tcPr/>
                <w:p>
                  <w:pPr>
                    <w:pStyle w:val="Compact"/>
                    <w:jc w:val="right"/>
                    <w:jc w:val="center"/>
                  </w:pPr>
                  <w:r>
                    <w:t xml:space="preserve">2.06</w:t>
                  </w:r>
                </w:p>
              </w:tc>
            </w:tr>
            <w:tr>
              <w:tc>
                <w:tcPr/>
                <w:p>
                  <w:pPr>
                    <w:pStyle w:val="Compact"/>
                    <w:jc w:val="right"/>
                    <w:jc w:val="center"/>
                  </w:pPr>
                  <w:r>
                    <w:t xml:space="preserve">23</w:t>
                  </w:r>
                </w:p>
              </w:tc>
              <w:tc>
                <w:tcPr/>
                <w:p>
                  <w:pPr>
                    <w:pStyle w:val="Compact"/>
                    <w:jc w:val="right"/>
                    <w:jc w:val="center"/>
                  </w:pPr>
                  <w:r>
                    <w:t xml:space="preserve">8.48</w:t>
                  </w:r>
                </w:p>
              </w:tc>
              <w:tc>
                <w:tcPr/>
                <w:p>
                  <w:pPr>
                    <w:pStyle w:val="Compact"/>
                    <w:jc w:val="right"/>
                    <w:jc w:val="center"/>
                  </w:pPr>
                  <w:r>
                    <w:t xml:space="preserve">27.1</w:t>
                  </w:r>
                </w:p>
              </w:tc>
              <w:tc>
                <w:tcPr/>
                <w:p>
                  <w:pPr>
                    <w:pStyle w:val="Compact"/>
                    <w:jc w:val="right"/>
                    <w:jc w:val="center"/>
                  </w:pPr>
                  <w:r>
                    <w:t xml:space="preserve">6.39</w:t>
                  </w:r>
                </w:p>
              </w:tc>
              <w:tc>
                <w:tcPr/>
                <w:p>
                  <w:pPr>
                    <w:pStyle w:val="Compact"/>
                    <w:jc w:val="right"/>
                    <w:jc w:val="center"/>
                  </w:pPr>
                  <w:r>
                    <w:t xml:space="preserve">25.7</w:t>
                  </w:r>
                </w:p>
              </w:tc>
              <w:tc>
                <w:tcPr/>
                <w:p>
                  <w:pPr>
                    <w:pStyle w:val="Compact"/>
                    <w:jc w:val="right"/>
                    <w:jc w:val="center"/>
                  </w:pPr>
                  <w:r>
                    <w:t xml:space="preserve">1.5</w:t>
                  </w:r>
                </w:p>
              </w:tc>
            </w:tr>
            <w:tr>
              <w:tc>
                <w:tcPr/>
                <w:p>
                  <w:pPr>
                    <w:pStyle w:val="Compact"/>
                    <w:jc w:val="right"/>
                    <w:jc w:val="center"/>
                  </w:pPr>
                  <w:r>
                    <w:t xml:space="preserve">24</w:t>
                  </w:r>
                </w:p>
              </w:tc>
              <w:tc>
                <w:tcPr/>
                <w:p>
                  <w:pPr>
                    <w:pStyle w:val="Compact"/>
                    <w:jc w:val="right"/>
                    <w:jc w:val="center"/>
                  </w:pPr>
                  <w:r>
                    <w:t xml:space="preserve">8.39</w:t>
                  </w:r>
                </w:p>
              </w:tc>
              <w:tc>
                <w:tcPr/>
                <w:p>
                  <w:pPr>
                    <w:pStyle w:val="Compact"/>
                    <w:jc w:val="right"/>
                    <w:jc w:val="center"/>
                  </w:pPr>
                  <w:r>
                    <w:t xml:space="preserve">23.5</w:t>
                  </w:r>
                </w:p>
              </w:tc>
              <w:tc>
                <w:tcPr/>
                <w:p>
                  <w:pPr>
                    <w:pStyle w:val="Compact"/>
                    <w:jc w:val="right"/>
                    <w:jc w:val="center"/>
                  </w:pPr>
                  <w:r>
                    <w:t xml:space="preserve">5.94</w:t>
                  </w:r>
                </w:p>
              </w:tc>
              <w:tc>
                <w:tcPr/>
                <w:p>
                  <w:pPr>
                    <w:pStyle w:val="Compact"/>
                    <w:jc w:val="right"/>
                    <w:jc w:val="center"/>
                  </w:pPr>
                  <w:r>
                    <w:t xml:space="preserve">19.2</w:t>
                  </w:r>
                </w:p>
              </w:tc>
              <w:tc>
                <w:tcPr/>
                <w:p>
                  <w:pPr>
                    <w:pStyle w:val="Compact"/>
                    <w:jc w:val="right"/>
                    <w:jc w:val="center"/>
                  </w:pPr>
                  <w:r>
                    <w:t xml:space="preserve">1.45</w:t>
                  </w:r>
                </w:p>
              </w:tc>
            </w:tr>
            <w:tr>
              <w:tc>
                <w:tcPr/>
                <w:p>
                  <w:pPr>
                    <w:pStyle w:val="Compact"/>
                    <w:jc w:val="right"/>
                    <w:jc w:val="center"/>
                  </w:pPr>
                  <w:r>
                    <w:t xml:space="preserve">25</w:t>
                  </w:r>
                </w:p>
              </w:tc>
              <w:tc>
                <w:tcPr/>
                <w:p>
                  <w:pPr>
                    <w:pStyle w:val="Compact"/>
                    <w:jc w:val="right"/>
                    <w:jc w:val="center"/>
                  </w:pPr>
                  <w:r>
                    <w:t xml:space="preserve">7.88</w:t>
                  </w:r>
                </w:p>
              </w:tc>
              <w:tc>
                <w:tcPr/>
                <w:p>
                  <w:pPr>
                    <w:pStyle w:val="Compact"/>
                    <w:jc w:val="right"/>
                    <w:jc w:val="center"/>
                  </w:pPr>
                  <w:r>
                    <w:t xml:space="preserve">23</w:t>
                  </w:r>
                </w:p>
              </w:tc>
              <w:tc>
                <w:tcPr/>
                <w:p>
                  <w:pPr>
                    <w:pStyle w:val="Compact"/>
                    <w:jc w:val="right"/>
                    <w:jc w:val="center"/>
                  </w:pPr>
                  <w:r>
                    <w:t xml:space="preserve">5.75</w:t>
                  </w:r>
                </w:p>
              </w:tc>
              <w:tc>
                <w:tcPr/>
                <w:p>
                  <w:pPr>
                    <w:pStyle w:val="Compact"/>
                    <w:jc w:val="right"/>
                    <w:jc w:val="center"/>
                  </w:pPr>
                  <w:r>
                    <w:t xml:space="preserve">20.5</w:t>
                  </w:r>
                </w:p>
              </w:tc>
              <w:tc>
                <w:tcPr/>
                <w:p>
                  <w:pPr>
                    <w:pStyle w:val="Compact"/>
                    <w:jc w:val="right"/>
                    <w:jc w:val="center"/>
                  </w:pPr>
                  <w:r>
                    <w:t xml:space="preserve">1.52</w:t>
                  </w:r>
                </w:p>
              </w:tc>
            </w:tr>
            <w:tr>
              <w:tc>
                <w:tcPr/>
                <w:p>
                  <w:pPr>
                    <w:pStyle w:val="Compact"/>
                    <w:jc w:val="right"/>
                    <w:jc w:val="center"/>
                  </w:pPr>
                  <w:r>
                    <w:t xml:space="preserve">26</w:t>
                  </w:r>
                </w:p>
              </w:tc>
              <w:tc>
                <w:tcPr/>
                <w:p>
                  <w:pPr>
                    <w:pStyle w:val="Compact"/>
                    <w:jc w:val="right"/>
                    <w:jc w:val="center"/>
                  </w:pPr>
                  <w:r>
                    <w:t xml:space="preserve">7.95</w:t>
                  </w:r>
                </w:p>
              </w:tc>
              <w:tc>
                <w:tcPr/>
                <w:p>
                  <w:pPr>
                    <w:pStyle w:val="Compact"/>
                    <w:jc w:val="right"/>
                    <w:jc w:val="center"/>
                  </w:pPr>
                  <w:r>
                    <w:t xml:space="preserve">27.3</w:t>
                  </w:r>
                </w:p>
              </w:tc>
              <w:tc>
                <w:tcPr/>
                <w:p>
                  <w:pPr>
                    <w:pStyle w:val="Compact"/>
                    <w:jc w:val="right"/>
                    <w:jc w:val="center"/>
                  </w:pPr>
                  <w:r>
                    <w:t xml:space="preserve">6.32</w:t>
                  </w:r>
                </w:p>
              </w:tc>
              <w:tc>
                <w:tcPr/>
                <w:p>
                  <w:pPr>
                    <w:pStyle w:val="Compact"/>
                    <w:jc w:val="right"/>
                    <w:jc w:val="center"/>
                  </w:pPr>
                  <w:r>
                    <w:t xml:space="preserve">22</w:t>
                  </w:r>
                </w:p>
              </w:tc>
              <w:tc>
                <w:tcPr/>
                <w:p>
                  <w:pPr>
                    <w:pStyle w:val="Compact"/>
                    <w:jc w:val="right"/>
                    <w:jc w:val="center"/>
                  </w:pPr>
                  <w:r>
                    <w:t xml:space="preserve">1.6</w:t>
                  </w:r>
                </w:p>
              </w:tc>
            </w:tr>
            <w:tr>
              <w:tc>
                <w:tcPr/>
                <w:p>
                  <w:pPr>
                    <w:pStyle w:val="Compact"/>
                    <w:jc w:val="right"/>
                    <w:jc w:val="center"/>
                  </w:pPr>
                  <w:r>
                    <w:t xml:space="preserve">27</w:t>
                  </w:r>
                </w:p>
              </w:tc>
              <w:tc>
                <w:tcPr/>
                <w:p>
                  <w:pPr>
                    <w:pStyle w:val="Compact"/>
                    <w:jc w:val="right"/>
                    <w:jc w:val="center"/>
                  </w:pPr>
                  <w:r>
                    <w:t xml:space="preserve">7.35</w:t>
                  </w:r>
                </w:p>
              </w:tc>
              <w:tc>
                <w:tcPr/>
                <w:p>
                  <w:pPr>
                    <w:pStyle w:val="Compact"/>
                    <w:jc w:val="right"/>
                    <w:jc w:val="center"/>
                  </w:pPr>
                  <w:r>
                    <w:t xml:space="preserve">25</w:t>
                  </w:r>
                </w:p>
              </w:tc>
              <w:tc>
                <w:tcPr/>
                <w:p>
                  <w:pPr>
                    <w:pStyle w:val="Compact"/>
                    <w:jc w:val="right"/>
                    <w:jc w:val="center"/>
                  </w:pPr>
                  <w:r>
                    <w:t xml:space="preserve">5.6</w:t>
                  </w:r>
                </w:p>
              </w:tc>
              <w:tc>
                <w:tcPr/>
                <w:p>
                  <w:pPr>
                    <w:pStyle w:val="Compact"/>
                    <w:jc w:val="right"/>
                    <w:jc w:val="center"/>
                  </w:pPr>
                  <w:r>
                    <w:t xml:space="preserve">22.4</w:t>
                  </w:r>
                </w:p>
              </w:tc>
              <w:tc>
                <w:tcPr/>
                <w:p>
                  <w:pPr>
                    <w:pStyle w:val="Compact"/>
                    <w:jc w:val="right"/>
                    <w:jc w:val="center"/>
                  </w:pPr>
                  <w:r>
                    <w:t xml:space="preserve">1.55</w:t>
                  </w:r>
                </w:p>
              </w:tc>
            </w:tr>
            <w:tr>
              <w:tc>
                <w:tcPr/>
                <w:p>
                  <w:pPr>
                    <w:pStyle w:val="Compact"/>
                    <w:jc w:val="right"/>
                    <w:jc w:val="center"/>
                  </w:pPr>
                  <w:r>
                    <w:t xml:space="preserve">28</w:t>
                  </w:r>
                </w:p>
              </w:tc>
              <w:tc>
                <w:tcPr/>
                <w:p>
                  <w:pPr>
                    <w:pStyle w:val="Compact"/>
                    <w:jc w:val="right"/>
                    <w:jc w:val="center"/>
                  </w:pPr>
                  <w:r>
                    <w:t xml:space="preserve">7.27</w:t>
                  </w:r>
                </w:p>
              </w:tc>
              <w:tc>
                <w:tcPr/>
                <w:p>
                  <w:pPr>
                    <w:pStyle w:val="Compact"/>
                    <w:jc w:val="right"/>
                    <w:jc w:val="center"/>
                  </w:pPr>
                  <w:r>
                    <w:t xml:space="preserve">28.2</w:t>
                  </w:r>
                </w:p>
              </w:tc>
              <w:tc>
                <w:tcPr/>
                <w:p>
                  <w:pPr>
                    <w:pStyle w:val="Compact"/>
                    <w:jc w:val="right"/>
                    <w:jc w:val="center"/>
                  </w:pPr>
                  <w:r>
                    <w:t xml:space="preserve">4.96</w:t>
                  </w:r>
                </w:p>
              </w:tc>
              <w:tc>
                <w:tcPr/>
                <w:p>
                  <w:pPr>
                    <w:pStyle w:val="Compact"/>
                    <w:jc w:val="right"/>
                    <w:jc w:val="center"/>
                  </w:pPr>
                  <w:r>
                    <w:t xml:space="preserve">21.1</w:t>
                  </w:r>
                </w:p>
              </w:tc>
              <w:tc>
                <w:tcPr/>
                <w:p>
                  <w:pPr>
                    <w:pStyle w:val="Compact"/>
                    <w:jc w:val="right"/>
                    <w:jc w:val="center"/>
                  </w:pPr>
                  <w:r>
                    <w:t xml:space="preserve">1.37</w:t>
                  </w:r>
                </w:p>
              </w:tc>
            </w:tr>
          </w:tbl>
          <w:bookmarkEnd w:id="126"/>
          <w:p/>
        </w:tc>
      </w:tr>
    </w:tbl>
    <w:bookmarkEnd w:id="127"/>
    <w:bookmarkStart w:id="136" w:name="Xa2fac5041b4173f7385fa99ae36b1e5b6f06fdd"/>
    <w:p>
      <w:pPr>
        <w:pStyle w:val="Heading2"/>
      </w:pPr>
      <w:r>
        <w:t xml:space="preserve">14.3 Appendix C — Full effect and coefficient tables</w:t>
      </w:r>
    </w:p>
    <w:p>
      <w:pPr>
        <w:pStyle w:val="FirstParagraph"/>
      </w:pPr>
      <w:r>
        <w:t xml:space="preserve">The complete screening effect tables for all five responses follow, then the response-surface</w:t>
      </w:r>
      <w:r>
        <w:t xml:space="preserve"> </w:t>
      </w:r>
      <w:r>
        <w:t xml:space="preserve">coefficient tables for the three responses not shown in §5.3.</w:t>
      </w:r>
    </w:p>
    <w:tbl>
      <w:tblPr>
        <w:tblStyle w:val="Table"/>
        <w:tblW w:type="pct" w:w="5000"/>
        <w:tblLayout w:type="fixed"/>
        <w:tblLook w:firstRow="0" w:lastRow="0" w:firstColumn="0" w:lastColumn="0" w:noHBand="0" w:noVBand="0" w:val="0000"/>
      </w:tblPr>
      <w:tblGrid>
        <w:gridCol w:w="7920"/>
      </w:tblGrid>
      <w:tr>
        <w:tc>
          <w:tcPr/>
          <w:bookmarkStart w:id="128" w:name="tbl-appc-scr-afucosylation"/>
          <w:p>
            <w:pPr>
              <w:jc w:val="center"/>
            </w:pPr>
            <w:pPr>
              <w:jc w:val="left"/>
              <w:spacing w:before="200"/>
              <w:pStyle w:val="ImageCaption"/>
            </w:pPr>
            <w:r>
              <w:t xml:space="preserve">Table 28: Complete screening effect table for afucosylation.</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0.266</w:t>
                  </w:r>
                </w:p>
              </w:tc>
              <w:tc>
                <w:tcPr/>
                <w:p>
                  <w:pPr>
                    <w:pStyle w:val="Compact"/>
                    <w:jc w:val="right"/>
                    <w:jc w:val="center"/>
                  </w:pPr>
                  <w:r>
                    <w:t xml:space="preserve">4.62</w:t>
                  </w:r>
                </w:p>
              </w:tc>
              <w:tc>
                <w:tcPr/>
                <w:p>
                  <w:pPr>
                    <w:pStyle w:val="Compact"/>
                    <w:jc w:val="right"/>
                    <w:jc w:val="center"/>
                  </w:pPr>
                  <w:r>
                    <w:t xml:space="preserve">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-2.37</w:t>
                  </w:r>
                </w:p>
              </w:tc>
              <w:tc>
                <w:tcPr/>
                <w:p>
                  <w:pPr>
                    <w:pStyle w:val="Compact"/>
                    <w:jc w:val="right"/>
                    <w:jc w:val="center"/>
                  </w:pPr>
                  <w:r>
                    <w:t xml:space="preserve">-1.19</w:t>
                  </w:r>
                </w:p>
              </w:tc>
              <w:tc>
                <w:tcPr/>
                <w:p>
                  <w:pPr>
                    <w:pStyle w:val="Compact"/>
                    <w:jc w:val="right"/>
                    <w:jc w:val="center"/>
                  </w:pPr>
                  <w:r>
                    <w:t xml:space="preserve">0.266</w:t>
                  </w:r>
                </w:p>
              </w:tc>
              <w:tc>
                <w:tcPr/>
                <w:p>
                  <w:pPr>
                    <w:pStyle w:val="Compact"/>
                    <w:jc w:val="right"/>
                    <w:jc w:val="center"/>
                  </w:pPr>
                  <w:r>
                    <w:t xml:space="preserve">-4.46</w:t>
                  </w:r>
                </w:p>
              </w:tc>
              <w:tc>
                <w:tcPr/>
                <w:p>
                  <w:pPr>
                    <w:pStyle w:val="Compact"/>
                    <w:jc w:val="right"/>
                    <w:jc w:val="center"/>
                  </w:pPr>
                  <w:r>
                    <w:t xml:space="preserve">0.0209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w:t>
                  </w:r>
                </w:p>
              </w:tc>
              <w:tc>
                <w:tcPr/>
                <w:p>
                  <w:pPr>
                    <w:pStyle w:val="Compact"/>
                    <w:jc w:val="right"/>
                    <w:jc w:val="center"/>
                  </w:pPr>
                  <w:r>
                    <w:t xml:space="preserve">-0.88</w:t>
                  </w:r>
                </w:p>
              </w:tc>
              <w:tc>
                <w:tcPr/>
                <w:p>
                  <w:pPr>
                    <w:pStyle w:val="Compact"/>
                    <w:jc w:val="right"/>
                    <w:jc w:val="center"/>
                  </w:pPr>
                  <w:r>
                    <w:t xml:space="preserve">0.266</w:t>
                  </w:r>
                </w:p>
              </w:tc>
              <w:tc>
                <w:tcPr/>
                <w:p>
                  <w:pPr>
                    <w:pStyle w:val="Compact"/>
                    <w:jc w:val="right"/>
                    <w:jc w:val="center"/>
                  </w:pPr>
                  <w:r>
                    <w:t xml:space="preserve">-3.31</w:t>
                  </w:r>
                </w:p>
              </w:tc>
              <w:tc>
                <w:tcPr/>
                <w:p>
                  <w:pPr>
                    <w:pStyle w:val="Compact"/>
                    <w:jc w:val="right"/>
                    <w:jc w:val="center"/>
                  </w:pPr>
                  <w:r>
                    <w:t xml:space="preserve">0.0455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w:t>
                  </w:r>
                </w:p>
              </w:tc>
              <w:tc>
                <w:tcPr/>
                <w:p>
                  <w:pPr>
                    <w:pStyle w:val="Compact"/>
                    <w:jc w:val="right"/>
                    <w:jc w:val="center"/>
                  </w:pPr>
                  <w:r>
                    <w:t xml:space="preserve">-0.785</w:t>
                  </w:r>
                </w:p>
              </w:tc>
              <w:tc>
                <w:tcPr/>
                <w:p>
                  <w:pPr>
                    <w:pStyle w:val="Compact"/>
                    <w:jc w:val="right"/>
                    <w:jc w:val="center"/>
                  </w:pPr>
                  <w:r>
                    <w:t xml:space="preserve">0.266</w:t>
                  </w:r>
                </w:p>
              </w:tc>
              <w:tc>
                <w:tcPr/>
                <w:p>
                  <w:pPr>
                    <w:pStyle w:val="Compact"/>
                    <w:jc w:val="right"/>
                    <w:jc w:val="center"/>
                  </w:pPr>
                  <w:r>
                    <w:t xml:space="preserve">-2.95</w:t>
                  </w:r>
                </w:p>
              </w:tc>
              <w:tc>
                <w:tcPr/>
                <w:p>
                  <w:pPr>
                    <w:pStyle w:val="Compact"/>
                    <w:jc w:val="right"/>
                    <w:jc w:val="center"/>
                  </w:pPr>
                  <w:r>
                    <w:t xml:space="preserve">0.06</w:t>
                  </w:r>
                </w:p>
              </w:tc>
              <w:tc>
                <w:tcPr/>
                <w:p>
                  <w:pPr>
                    <w:pStyle w:val="Compact"/>
                  </w:pPr>
                </w:p>
              </w:tc>
            </w:tr>
            <w:tr>
              <w:tc>
                <w:tcPr/>
                <w:p>
                  <w:pPr>
                    <w:pStyle w:val="Compact"/>
                    <w:jc w:val="left"/>
                    <w:jc w:val="center"/>
                  </w:pPr>
                  <w:r>
                    <w:t xml:space="preserve">B</w:t>
                  </w:r>
                </w:p>
              </w:tc>
              <w:tc>
                <w:tcPr/>
                <w:p>
                  <w:pPr>
                    <w:pStyle w:val="Compact"/>
                    <w:jc w:val="right"/>
                    <w:jc w:val="center"/>
                  </w:pPr>
                  <w:r>
                    <w:t xml:space="preserve">-1.34</w:t>
                  </w:r>
                </w:p>
              </w:tc>
              <w:tc>
                <w:tcPr/>
                <w:p>
                  <w:pPr>
                    <w:pStyle w:val="Compact"/>
                    <w:jc w:val="right"/>
                    <w:jc w:val="center"/>
                  </w:pPr>
                  <w:r>
                    <w:t xml:space="preserve">-0.671</w:t>
                  </w:r>
                </w:p>
              </w:tc>
              <w:tc>
                <w:tcPr/>
                <w:p>
                  <w:pPr>
                    <w:pStyle w:val="Compact"/>
                    <w:jc w:val="right"/>
                    <w:jc w:val="center"/>
                  </w:pPr>
                  <w:r>
                    <w:t xml:space="preserve">0.266</w:t>
                  </w:r>
                </w:p>
              </w:tc>
              <w:tc>
                <w:tcPr/>
                <w:p>
                  <w:pPr>
                    <w:pStyle w:val="Compact"/>
                    <w:jc w:val="right"/>
                    <w:jc w:val="center"/>
                  </w:pPr>
                  <w:r>
                    <w:t xml:space="preserve">-2.53</w:t>
                  </w:r>
                </w:p>
              </w:tc>
              <w:tc>
                <w:tcPr/>
                <w:p>
                  <w:pPr>
                    <w:pStyle w:val="Compact"/>
                    <w:jc w:val="right"/>
                    <w:jc w:val="center"/>
                  </w:pPr>
                  <w:r>
                    <w:t xml:space="preserve">0.0858</w:t>
                  </w:r>
                </w:p>
              </w:tc>
              <w:tc>
                <w:tcPr/>
                <w:p>
                  <w:pPr>
                    <w:pStyle w:val="Compact"/>
                  </w:pPr>
                </w:p>
              </w:tc>
            </w:tr>
            <w:tr>
              <w:tc>
                <w:tcPr/>
                <w:p>
                  <w:pPr>
                    <w:pStyle w:val="Compact"/>
                    <w:jc w:val="left"/>
                    <w:jc w:val="center"/>
                  </w:pPr>
                  <w:r>
                    <w:t xml:space="preserve">D</w:t>
                  </w:r>
                </w:p>
              </w:tc>
              <w:tc>
                <w:tcPr/>
                <w:p>
                  <w:pPr>
                    <w:pStyle w:val="Compact"/>
                    <w:jc w:val="right"/>
                    <w:jc w:val="center"/>
                  </w:pPr>
                  <w:r>
                    <w:t xml:space="preserve">-1.33</w:t>
                  </w:r>
                </w:p>
              </w:tc>
              <w:tc>
                <w:tcPr/>
                <w:p>
                  <w:pPr>
                    <w:pStyle w:val="Compact"/>
                    <w:jc w:val="right"/>
                    <w:jc w:val="center"/>
                  </w:pPr>
                  <w:r>
                    <w:t xml:space="preserve">-0.664</w:t>
                  </w:r>
                </w:p>
              </w:tc>
              <w:tc>
                <w:tcPr/>
                <w:p>
                  <w:pPr>
                    <w:pStyle w:val="Compact"/>
                    <w:jc w:val="right"/>
                    <w:jc w:val="center"/>
                  </w:pPr>
                  <w:r>
                    <w:t xml:space="preserve">0.266</w:t>
                  </w:r>
                </w:p>
              </w:tc>
              <w:tc>
                <w:tcPr/>
                <w:p>
                  <w:pPr>
                    <w:pStyle w:val="Compact"/>
                    <w:jc w:val="right"/>
                    <w:jc w:val="center"/>
                  </w:pPr>
                  <w:r>
                    <w:t xml:space="preserve">-2.5</w:t>
                  </w:r>
                </w:p>
              </w:tc>
              <w:tc>
                <w:tcPr/>
                <w:p>
                  <w:pPr>
                    <w:pStyle w:val="Compact"/>
                    <w:jc w:val="right"/>
                    <w:jc w:val="center"/>
                  </w:pPr>
                  <w:r>
                    <w:t xml:space="preserve">0.0878</w:t>
                  </w:r>
                </w:p>
              </w:tc>
              <w:tc>
                <w:tcPr/>
                <w:p>
                  <w:pPr>
                    <w:pStyle w:val="Compact"/>
                  </w:pPr>
                </w:p>
              </w:tc>
            </w:tr>
            <w:tr>
              <w:tc>
                <w:tcPr/>
                <w:p>
                  <w:pPr>
                    <w:pStyle w:val="Compact"/>
                    <w:jc w:val="left"/>
                    <w:jc w:val="center"/>
                  </w:pPr>
                  <w:r>
                    <w:t xml:space="preserve">AB</w:t>
                  </w:r>
                </w:p>
              </w:tc>
              <w:tc>
                <w:tcPr/>
                <w:p>
                  <w:pPr>
                    <w:pStyle w:val="Compact"/>
                    <w:jc w:val="right"/>
                    <w:jc w:val="center"/>
                  </w:pPr>
                  <w:r>
                    <w:t xml:space="preserve">-1.28</w:t>
                  </w:r>
                </w:p>
              </w:tc>
              <w:tc>
                <w:tcPr/>
                <w:p>
                  <w:pPr>
                    <w:pStyle w:val="Compact"/>
                    <w:jc w:val="right"/>
                    <w:jc w:val="center"/>
                  </w:pPr>
                  <w:r>
                    <w:t xml:space="preserve">-0.64</w:t>
                  </w:r>
                </w:p>
              </w:tc>
              <w:tc>
                <w:tcPr/>
                <w:p>
                  <w:pPr>
                    <w:pStyle w:val="Compact"/>
                    <w:jc w:val="right"/>
                    <w:jc w:val="center"/>
                  </w:pPr>
                  <w:r>
                    <w:t xml:space="preserve">0.266</w:t>
                  </w:r>
                </w:p>
              </w:tc>
              <w:tc>
                <w:tcPr/>
                <w:p>
                  <w:pPr>
                    <w:pStyle w:val="Compact"/>
                    <w:jc w:val="right"/>
                    <w:jc w:val="center"/>
                  </w:pPr>
                  <w:r>
                    <w:t xml:space="preserve">-2.41</w:t>
                  </w:r>
                </w:p>
              </w:tc>
              <w:tc>
                <w:tcPr/>
                <w:p>
                  <w:pPr>
                    <w:pStyle w:val="Compact"/>
                    <w:jc w:val="right"/>
                    <w:jc w:val="center"/>
                  </w:pPr>
                  <w:r>
                    <w:t xml:space="preserve">0.0952</w:t>
                  </w:r>
                </w:p>
              </w:tc>
              <w:tc>
                <w:tcPr/>
                <w:p>
                  <w:pPr>
                    <w:pStyle w:val="Compact"/>
                  </w:pPr>
                </w:p>
              </w:tc>
            </w:tr>
            <w:tr>
              <w:tc>
                <w:tcPr/>
                <w:p>
                  <w:pPr>
                    <w:pStyle w:val="Compact"/>
                    <w:jc w:val="left"/>
                    <w:jc w:val="center"/>
                  </w:pPr>
                  <w:r>
                    <w:t xml:space="preserve">C</w:t>
                  </w:r>
                </w:p>
              </w:tc>
              <w:tc>
                <w:tcPr/>
                <w:p>
                  <w:pPr>
                    <w:pStyle w:val="Compact"/>
                    <w:jc w:val="right"/>
                    <w:jc w:val="center"/>
                  </w:pPr>
                  <w:r>
                    <w:t xml:space="preserve">-0.73</w:t>
                  </w:r>
                </w:p>
              </w:tc>
              <w:tc>
                <w:tcPr/>
                <w:p>
                  <w:pPr>
                    <w:pStyle w:val="Compact"/>
                    <w:jc w:val="right"/>
                    <w:jc w:val="center"/>
                  </w:pPr>
                  <w:r>
                    <w:t xml:space="preserve">-0.365</w:t>
                  </w:r>
                </w:p>
              </w:tc>
              <w:tc>
                <w:tcPr/>
                <w:p>
                  <w:pPr>
                    <w:pStyle w:val="Compact"/>
                    <w:jc w:val="right"/>
                    <w:jc w:val="center"/>
                  </w:pPr>
                  <w:r>
                    <w:t xml:space="preserve">0.266</w:t>
                  </w:r>
                </w:p>
              </w:tc>
              <w:tc>
                <w:tcPr/>
                <w:p>
                  <w:pPr>
                    <w:pStyle w:val="Compact"/>
                    <w:jc w:val="right"/>
                    <w:jc w:val="center"/>
                  </w:pPr>
                  <w:r>
                    <w:t xml:space="preserve">-1.37</w:t>
                  </w:r>
                </w:p>
              </w:tc>
              <w:tc>
                <w:tcPr/>
                <w:p>
                  <w:pPr>
                    <w:pStyle w:val="Compact"/>
                    <w:jc w:val="right"/>
                    <w:jc w:val="center"/>
                  </w:pPr>
                  <w:r>
                    <w:t xml:space="preserve">0.264</w:t>
                  </w:r>
                </w:p>
              </w:tc>
              <w:tc>
                <w:tcPr/>
                <w:p>
                  <w:pPr>
                    <w:pStyle w:val="Compact"/>
                  </w:pPr>
                </w:p>
              </w:tc>
            </w:tr>
            <w:tr>
              <w:tc>
                <w:tcPr/>
                <w:p>
                  <w:pPr>
                    <w:pStyle w:val="Compact"/>
                    <w:jc w:val="left"/>
                    <w:jc w:val="center"/>
                  </w:pPr>
                  <w:r>
                    <w:t xml:space="preserve">BD</w:t>
                  </w:r>
                </w:p>
              </w:tc>
              <w:tc>
                <w:tcPr/>
                <w:p>
                  <w:pPr>
                    <w:pStyle w:val="Compact"/>
                    <w:jc w:val="right"/>
                    <w:jc w:val="center"/>
                  </w:pPr>
                  <w:r>
                    <w:t xml:space="preserve">0.452</w:t>
                  </w:r>
                </w:p>
              </w:tc>
              <w:tc>
                <w:tcPr/>
                <w:p>
                  <w:pPr>
                    <w:pStyle w:val="Compact"/>
                    <w:jc w:val="right"/>
                    <w:jc w:val="center"/>
                  </w:pPr>
                  <w:r>
                    <w:t xml:space="preserve">0.226</w:t>
                  </w:r>
                </w:p>
              </w:tc>
              <w:tc>
                <w:tcPr/>
                <w:p>
                  <w:pPr>
                    <w:pStyle w:val="Compact"/>
                    <w:jc w:val="right"/>
                    <w:jc w:val="center"/>
                  </w:pPr>
                  <w:r>
                    <w:t xml:space="preserve">0.266</w:t>
                  </w:r>
                </w:p>
              </w:tc>
              <w:tc>
                <w:tcPr/>
                <w:p>
                  <w:pPr>
                    <w:pStyle w:val="Compact"/>
                    <w:jc w:val="right"/>
                    <w:jc w:val="center"/>
                  </w:pPr>
                  <w:r>
                    <w:t xml:space="preserve">0.85</w:t>
                  </w:r>
                </w:p>
              </w:tc>
              <w:tc>
                <w:tcPr/>
                <w:p>
                  <w:pPr>
                    <w:pStyle w:val="Compact"/>
                    <w:jc w:val="right"/>
                    <w:jc w:val="center"/>
                  </w:pPr>
                  <w:r>
                    <w:t xml:space="preserve">0.458</w:t>
                  </w:r>
                </w:p>
              </w:tc>
              <w:tc>
                <w:tcPr/>
                <w:p>
                  <w:pPr>
                    <w:pStyle w:val="Compact"/>
                  </w:pP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0.181</w:t>
                  </w:r>
                </w:p>
              </w:tc>
              <w:tc>
                <w:tcPr/>
                <w:p>
                  <w:pPr>
                    <w:pStyle w:val="Compact"/>
                    <w:jc w:val="right"/>
                    <w:jc w:val="center"/>
                  </w:pPr>
                  <w:r>
                    <w:t xml:space="preserve">0.266</w:t>
                  </w:r>
                </w:p>
              </w:tc>
              <w:tc>
                <w:tcPr/>
                <w:p>
                  <w:pPr>
                    <w:pStyle w:val="Compact"/>
                    <w:jc w:val="right"/>
                    <w:jc w:val="center"/>
                  </w:pPr>
                  <w:r>
                    <w:t xml:space="preserve">0.681</w:t>
                  </w:r>
                </w:p>
              </w:tc>
              <w:tc>
                <w:tcPr/>
                <w:p>
                  <w:pPr>
                    <w:pStyle w:val="Compact"/>
                    <w:jc w:val="right"/>
                    <w:jc w:val="center"/>
                  </w:pPr>
                  <w:r>
                    <w:t xml:space="preserve">0.545</w:t>
                  </w:r>
                </w:p>
              </w:tc>
              <w:tc>
                <w:tcPr/>
                <w:p>
                  <w:pPr>
                    <w:pStyle w:val="Compact"/>
                  </w:pPr>
                </w:p>
              </w:tc>
            </w:tr>
            <w:tr>
              <w:tc>
                <w:tcPr/>
                <w:p>
                  <w:pPr>
                    <w:pStyle w:val="Compact"/>
                    <w:jc w:val="left"/>
                    <w:jc w:val="center"/>
                  </w:pPr>
                  <w:r>
                    <w:t xml:space="preserve">AD</w:t>
                  </w:r>
                </w:p>
              </w:tc>
              <w:tc>
                <w:tcPr/>
                <w:p>
                  <w:pPr>
                    <w:pStyle w:val="Compact"/>
                    <w:jc w:val="right"/>
                    <w:jc w:val="center"/>
                  </w:pPr>
                  <w:r>
                    <w:t xml:space="preserve">-0.175</w:t>
                  </w:r>
                </w:p>
              </w:tc>
              <w:tc>
                <w:tcPr/>
                <w:p>
                  <w:pPr>
                    <w:pStyle w:val="Compact"/>
                    <w:jc w:val="right"/>
                    <w:jc w:val="center"/>
                  </w:pPr>
                  <w:r>
                    <w:t xml:space="preserve">-0.0876</w:t>
                  </w:r>
                </w:p>
              </w:tc>
              <w:tc>
                <w:tcPr/>
                <w:p>
                  <w:pPr>
                    <w:pStyle w:val="Compact"/>
                    <w:jc w:val="right"/>
                    <w:jc w:val="center"/>
                  </w:pPr>
                  <w:r>
                    <w:t xml:space="preserve">0.266</w:t>
                  </w:r>
                </w:p>
              </w:tc>
              <w:tc>
                <w:tcPr/>
                <w:p>
                  <w:pPr>
                    <w:pStyle w:val="Compact"/>
                    <w:jc w:val="right"/>
                    <w:jc w:val="center"/>
                  </w:pPr>
                  <w:r>
                    <w:t xml:space="preserve">-0.329</w:t>
                  </w:r>
                </w:p>
              </w:tc>
              <w:tc>
                <w:tcPr/>
                <w:p>
                  <w:pPr>
                    <w:pStyle w:val="Compact"/>
                    <w:jc w:val="right"/>
                    <w:jc w:val="center"/>
                  </w:pPr>
                  <w:r>
                    <w:t xml:space="preserve">0.764</w:t>
                  </w:r>
                </w:p>
              </w:tc>
              <w:tc>
                <w:tcPr/>
                <w:p>
                  <w:pPr>
                    <w:pStyle w:val="Compact"/>
                  </w:pPr>
                </w:p>
              </w:tc>
            </w:tr>
            <w:tr>
              <w:tc>
                <w:tcPr/>
                <w:p>
                  <w:pPr>
                    <w:pStyle w:val="Compact"/>
                    <w:jc w:val="left"/>
                    <w:jc w:val="center"/>
                  </w:pPr>
                  <w:r>
                    <w:t xml:space="preserve">BC</w:t>
                  </w:r>
                </w:p>
              </w:tc>
              <w:tc>
                <w:tcPr/>
                <w:p>
                  <w:pPr>
                    <w:pStyle w:val="Compact"/>
                    <w:jc w:val="right"/>
                    <w:jc w:val="center"/>
                  </w:pPr>
                  <w:r>
                    <w:t xml:space="preserve">-0.171</w:t>
                  </w:r>
                </w:p>
              </w:tc>
              <w:tc>
                <w:tcPr/>
                <w:p>
                  <w:pPr>
                    <w:pStyle w:val="Compact"/>
                    <w:jc w:val="right"/>
                    <w:jc w:val="center"/>
                  </w:pPr>
                  <w:r>
                    <w:t xml:space="preserve">-0.0856</w:t>
                  </w:r>
                </w:p>
              </w:tc>
              <w:tc>
                <w:tcPr/>
                <w:p>
                  <w:pPr>
                    <w:pStyle w:val="Compact"/>
                    <w:jc w:val="right"/>
                    <w:jc w:val="center"/>
                  </w:pPr>
                  <w:r>
                    <w:t xml:space="preserve">0.266</w:t>
                  </w:r>
                </w:p>
              </w:tc>
              <w:tc>
                <w:tcPr/>
                <w:p>
                  <w:pPr>
                    <w:pStyle w:val="Compact"/>
                    <w:jc w:val="right"/>
                    <w:jc w:val="center"/>
                  </w:pPr>
                  <w:r>
                    <w:t xml:space="preserve">-0.322</w:t>
                  </w:r>
                </w:p>
              </w:tc>
              <w:tc>
                <w:tcPr/>
                <w:p>
                  <w:pPr>
                    <w:pStyle w:val="Compact"/>
                    <w:jc w:val="right"/>
                    <w:jc w:val="center"/>
                  </w:pPr>
                  <w:r>
                    <w:t xml:space="preserve">0.769</w:t>
                  </w:r>
                </w:p>
              </w:tc>
              <w:tc>
                <w:tcPr/>
                <w:p>
                  <w:pPr>
                    <w:pStyle w:val="Compact"/>
                  </w:pPr>
                </w:p>
              </w:tc>
            </w:tr>
            <w:tr>
              <w:tc>
                <w:tcPr/>
                <w:p>
                  <w:pPr>
                    <w:pStyle w:val="Compact"/>
                    <w:jc w:val="left"/>
                    <w:jc w:val="center"/>
                  </w:pPr>
                  <w:r>
                    <w:t xml:space="preserve">CD</w:t>
                  </w:r>
                </w:p>
              </w:tc>
              <w:tc>
                <w:tcPr/>
                <w:p>
                  <w:pPr>
                    <w:pStyle w:val="Compact"/>
                    <w:jc w:val="right"/>
                    <w:jc w:val="center"/>
                  </w:pPr>
                  <w:r>
                    <w:t xml:space="preserve">-0.147</w:t>
                  </w:r>
                </w:p>
              </w:tc>
              <w:tc>
                <w:tcPr/>
                <w:p>
                  <w:pPr>
                    <w:pStyle w:val="Compact"/>
                    <w:jc w:val="right"/>
                    <w:jc w:val="center"/>
                  </w:pPr>
                  <w:r>
                    <w:t xml:space="preserve">-0.0736</w:t>
                  </w:r>
                </w:p>
              </w:tc>
              <w:tc>
                <w:tcPr/>
                <w:p>
                  <w:pPr>
                    <w:pStyle w:val="Compact"/>
                    <w:jc w:val="right"/>
                    <w:jc w:val="center"/>
                  </w:pPr>
                  <w:r>
                    <w:t xml:space="preserve">0.266</w:t>
                  </w:r>
                </w:p>
              </w:tc>
              <w:tc>
                <w:tcPr/>
                <w:p>
                  <w:pPr>
                    <w:pStyle w:val="Compact"/>
                    <w:jc w:val="right"/>
                    <w:jc w:val="center"/>
                  </w:pPr>
                  <w:r>
                    <w:t xml:space="preserve">-0.277</w:t>
                  </w:r>
                </w:p>
              </w:tc>
              <w:tc>
                <w:tcPr/>
                <w:p>
                  <w:pPr>
                    <w:pStyle w:val="Compact"/>
                    <w:jc w:val="right"/>
                    <w:jc w:val="center"/>
                  </w:pPr>
                  <w:r>
                    <w:t xml:space="preserve">0.8</w:t>
                  </w:r>
                </w:p>
              </w:tc>
              <w:tc>
                <w:tcPr/>
                <w:p>
                  <w:pPr>
                    <w:pStyle w:val="Compact"/>
                  </w:pPr>
                </w:p>
              </w:tc>
            </w:tr>
            <w:tr>
              <w:tc>
                <w:tcPr/>
                <w:p>
                  <w:pPr>
                    <w:pStyle w:val="Compact"/>
                    <w:jc w:val="left"/>
                    <w:jc w:val="center"/>
                  </w:pPr>
                  <w:r>
                    <w:t xml:space="preserve">DE</w:t>
                  </w:r>
                </w:p>
              </w:tc>
              <w:tc>
                <w:tcPr/>
                <w:p>
                  <w:pPr>
                    <w:pStyle w:val="Compact"/>
                    <w:jc w:val="right"/>
                    <w:jc w:val="center"/>
                  </w:pPr>
                  <w:r>
                    <w:t xml:space="preserve">0.0358</w:t>
                  </w:r>
                </w:p>
              </w:tc>
              <w:tc>
                <w:tcPr/>
                <w:p>
                  <w:pPr>
                    <w:pStyle w:val="Compact"/>
                    <w:jc w:val="right"/>
                    <w:jc w:val="center"/>
                  </w:pPr>
                  <w:r>
                    <w:t xml:space="preserve">0.0179</w:t>
                  </w:r>
                </w:p>
              </w:tc>
              <w:tc>
                <w:tcPr/>
                <w:p>
                  <w:pPr>
                    <w:pStyle w:val="Compact"/>
                    <w:jc w:val="right"/>
                    <w:jc w:val="center"/>
                  </w:pPr>
                  <w:r>
                    <w:t xml:space="preserve">0.266</w:t>
                  </w:r>
                </w:p>
              </w:tc>
              <w:tc>
                <w:tcPr/>
                <w:p>
                  <w:pPr>
                    <w:pStyle w:val="Compact"/>
                    <w:jc w:val="right"/>
                    <w:jc w:val="center"/>
                  </w:pPr>
                  <w:r>
                    <w:t xml:space="preserve">0.0674</w:t>
                  </w:r>
                </w:p>
              </w:tc>
              <w:tc>
                <w:tcPr/>
                <w:p>
                  <w:pPr>
                    <w:pStyle w:val="Compact"/>
                    <w:jc w:val="right"/>
                    <w:jc w:val="center"/>
                  </w:pPr>
                  <w:r>
                    <w:t xml:space="preserve">0.951</w:t>
                  </w:r>
                </w:p>
              </w:tc>
              <w:tc>
                <w:tcPr/>
                <w:p>
                  <w:pPr>
                    <w:pStyle w:val="Compact"/>
                  </w:pPr>
                </w:p>
              </w:tc>
            </w:tr>
            <w:tr>
              <w:tc>
                <w:tcPr/>
                <w:p>
                  <w:pPr>
                    <w:pStyle w:val="Compact"/>
                    <w:jc w:val="left"/>
                    <w:jc w:val="center"/>
                  </w:pPr>
                  <w:r>
                    <w:t xml:space="preserve">CE</w:t>
                  </w:r>
                </w:p>
              </w:tc>
              <w:tc>
                <w:tcPr/>
                <w:p>
                  <w:pPr>
                    <w:pStyle w:val="Compact"/>
                    <w:jc w:val="right"/>
                    <w:jc w:val="center"/>
                  </w:pPr>
                  <w:r>
                    <w:t xml:space="preserve">0.0118</w:t>
                  </w:r>
                </w:p>
              </w:tc>
              <w:tc>
                <w:tcPr/>
                <w:p>
                  <w:pPr>
                    <w:pStyle w:val="Compact"/>
                    <w:jc w:val="right"/>
                    <w:jc w:val="center"/>
                  </w:pPr>
                  <w:r>
                    <w:t xml:space="preserve">0.00591</w:t>
                  </w:r>
                </w:p>
              </w:tc>
              <w:tc>
                <w:tcPr/>
                <w:p>
                  <w:pPr>
                    <w:pStyle w:val="Compact"/>
                    <w:jc w:val="right"/>
                    <w:jc w:val="center"/>
                  </w:pPr>
                  <w:r>
                    <w:t xml:space="preserve">0.266</w:t>
                  </w:r>
                </w:p>
              </w:tc>
              <w:tc>
                <w:tcPr/>
                <w:p>
                  <w:pPr>
                    <w:pStyle w:val="Compact"/>
                    <w:jc w:val="right"/>
                    <w:jc w:val="center"/>
                  </w:pPr>
                  <w:r>
                    <w:t xml:space="preserve">0.0222</w:t>
                  </w:r>
                </w:p>
              </w:tc>
              <w:tc>
                <w:tcPr/>
                <w:p>
                  <w:pPr>
                    <w:pStyle w:val="Compact"/>
                    <w:jc w:val="right"/>
                    <w:jc w:val="center"/>
                  </w:pPr>
                  <w:r>
                    <w:t xml:space="preserve">0.984</w:t>
                  </w:r>
                </w:p>
              </w:tc>
              <w:tc>
                <w:tcPr/>
                <w:p>
                  <w:pPr>
                    <w:pStyle w:val="Compact"/>
                  </w:pPr>
                </w:p>
              </w:tc>
            </w:tr>
          </w:tbl>
          <w:bookmarkEnd w:id="1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tbl-appc-scr-galactosylation"/>
          <w:p>
            <w:pPr>
              <w:jc w:val="center"/>
            </w:pPr>
            <w:pPr>
              <w:jc w:val="left"/>
              <w:spacing w:before="200"/>
              <w:pStyle w:val="ImageCaption"/>
            </w:pPr>
            <w:r>
              <w:t xml:space="preserve">Table 29: Complete screening effect table for galactosylation.</w:t>
            </w:r>
          </w:p>
          <w:tbl>
            <w:tblPr>
              <w:tblStyle w:val="Table"/>
              <w:tblW w:type="pct" w:w="5000"/>
              <w:tblLayout w:type="fixed"/>
              <w:tblLook w:firstRow="1" w:lastRow="0" w:firstColumn="0" w:lastColumn="0" w:noHBand="0" w:noVBand="0" w:val="0020"/>
            </w:tblPr>
            <w:tblGrid>
              <w:gridCol w:w="931"/>
              <w:gridCol w:w="1164"/>
              <w:gridCol w:w="1048"/>
              <w:gridCol w:w="1514"/>
              <w:gridCol w:w="1048"/>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-7.82</w:t>
                  </w:r>
                </w:p>
              </w:tc>
              <w:tc>
                <w:tcPr/>
                <w:p>
                  <w:pPr>
                    <w:pStyle w:val="Compact"/>
                    <w:jc w:val="right"/>
                    <w:jc w:val="center"/>
                  </w:pPr>
                  <w:r>
                    <w:t xml:space="preserve">-3.91</w:t>
                  </w:r>
                </w:p>
              </w:tc>
              <w:tc>
                <w:tcPr/>
                <w:p>
                  <w:pPr>
                    <w:pStyle w:val="Compact"/>
                    <w:jc w:val="right"/>
                    <w:jc w:val="center"/>
                  </w:pPr>
                  <w:r>
                    <w:t xml:space="preserve">0.193</w:t>
                  </w:r>
                </w:p>
              </w:tc>
              <w:tc>
                <w:tcPr/>
                <w:p>
                  <w:pPr>
                    <w:pStyle w:val="Compact"/>
                    <w:jc w:val="right"/>
                    <w:jc w:val="center"/>
                  </w:pPr>
                  <w:r>
                    <w:t xml:space="preserve">-20.2</w:t>
                  </w:r>
                </w:p>
              </w:tc>
              <w:tc>
                <w:tcPr/>
                <w:p>
                  <w:pPr>
                    <w:pStyle w:val="Compact"/>
                    <w:jc w:val="right"/>
                    <w:jc w:val="center"/>
                  </w:pPr>
                  <w:r>
                    <w:t xml:space="preserve">0.000264</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w:t>
                  </w:r>
                </w:p>
              </w:tc>
              <w:tc>
                <w:tcPr/>
                <w:p>
                  <w:pPr>
                    <w:pStyle w:val="Compact"/>
                    <w:jc w:val="right"/>
                    <w:jc w:val="center"/>
                  </w:pPr>
                  <w:r>
                    <w:t xml:space="preserve">3.45</w:t>
                  </w:r>
                </w:p>
              </w:tc>
              <w:tc>
                <w:tcPr/>
                <w:p>
                  <w:pPr>
                    <w:pStyle w:val="Compact"/>
                    <w:jc w:val="right"/>
                    <w:jc w:val="center"/>
                  </w:pPr>
                  <w:r>
                    <w:t xml:space="preserve">0.193</w:t>
                  </w:r>
                </w:p>
              </w:tc>
              <w:tc>
                <w:tcPr/>
                <w:p>
                  <w:pPr>
                    <w:pStyle w:val="Compact"/>
                    <w:jc w:val="right"/>
                    <w:jc w:val="center"/>
                  </w:pPr>
                  <w:r>
                    <w:t xml:space="preserve">17.9</w:t>
                  </w:r>
                </w:p>
              </w:tc>
              <w:tc>
                <w:tcPr/>
                <w:p>
                  <w:pPr>
                    <w:pStyle w:val="Compact"/>
                    <w:jc w:val="right"/>
                    <w:jc w:val="center"/>
                  </w:pPr>
                  <w:r>
                    <w:t xml:space="preserve">0.000382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-5.79</w:t>
                  </w:r>
                </w:p>
              </w:tc>
              <w:tc>
                <w:tcPr/>
                <w:p>
                  <w:pPr>
                    <w:pStyle w:val="Compact"/>
                    <w:jc w:val="right"/>
                    <w:jc w:val="center"/>
                  </w:pPr>
                  <w:r>
                    <w:t xml:space="preserve">-2.9</w:t>
                  </w:r>
                </w:p>
              </w:tc>
              <w:tc>
                <w:tcPr/>
                <w:p>
                  <w:pPr>
                    <w:pStyle w:val="Compact"/>
                    <w:jc w:val="right"/>
                    <w:jc w:val="center"/>
                  </w:pPr>
                  <w:r>
                    <w:t xml:space="preserve">0.193</w:t>
                  </w:r>
                </w:p>
              </w:tc>
              <w:tc>
                <w:tcPr/>
                <w:p>
                  <w:pPr>
                    <w:pStyle w:val="Compact"/>
                    <w:jc w:val="right"/>
                    <w:jc w:val="center"/>
                  </w:pPr>
                  <w:r>
                    <w:t xml:space="preserve">-15</w:t>
                  </w:r>
                </w:p>
              </w:tc>
              <w:tc>
                <w:tcPr/>
                <w:p>
                  <w:pPr>
                    <w:pStyle w:val="Compact"/>
                    <w:jc w:val="right"/>
                    <w:jc w:val="center"/>
                  </w:pPr>
                  <w:r>
                    <w:t xml:space="preserve">0.000644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-4.56</w:t>
                  </w:r>
                </w:p>
              </w:tc>
              <w:tc>
                <w:tcPr/>
                <w:p>
                  <w:pPr>
                    <w:pStyle w:val="Compact"/>
                    <w:jc w:val="right"/>
                    <w:jc w:val="center"/>
                  </w:pPr>
                  <w:r>
                    <w:t xml:space="preserve">-2.28</w:t>
                  </w:r>
                </w:p>
              </w:tc>
              <w:tc>
                <w:tcPr/>
                <w:p>
                  <w:pPr>
                    <w:pStyle w:val="Compact"/>
                    <w:jc w:val="right"/>
                    <w:jc w:val="center"/>
                  </w:pPr>
                  <w:r>
                    <w:t xml:space="preserve">0.193</w:t>
                  </w:r>
                </w:p>
              </w:tc>
              <w:tc>
                <w:tcPr/>
                <w:p>
                  <w:pPr>
                    <w:pStyle w:val="Compact"/>
                    <w:jc w:val="right"/>
                    <w:jc w:val="center"/>
                  </w:pPr>
                  <w:r>
                    <w:t xml:space="preserve">-11.8</w:t>
                  </w:r>
                </w:p>
              </w:tc>
              <w:tc>
                <w:tcPr/>
                <w:p>
                  <w:pPr>
                    <w:pStyle w:val="Compact"/>
                    <w:jc w:val="right"/>
                    <w:jc w:val="center"/>
                  </w:pPr>
                  <w:r>
                    <w:t xml:space="preserve">0.00131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w:t>
                  </w:r>
                </w:p>
              </w:tc>
              <w:tc>
                <w:tcPr/>
                <w:p>
                  <w:pPr>
                    <w:pStyle w:val="Compact"/>
                    <w:jc w:val="right"/>
                    <w:jc w:val="center"/>
                  </w:pPr>
                  <w:r>
                    <w:t xml:space="preserve">1.85</w:t>
                  </w:r>
                </w:p>
              </w:tc>
              <w:tc>
                <w:tcPr/>
                <w:p>
                  <w:pPr>
                    <w:pStyle w:val="Compact"/>
                    <w:jc w:val="right"/>
                    <w:jc w:val="center"/>
                  </w:pPr>
                  <w:r>
                    <w:t xml:space="preserve">0.193</w:t>
                  </w:r>
                </w:p>
              </w:tc>
              <w:tc>
                <w:tcPr/>
                <w:p>
                  <w:pPr>
                    <w:pStyle w:val="Compact"/>
                    <w:jc w:val="right"/>
                    <w:jc w:val="center"/>
                  </w:pPr>
                  <w:r>
                    <w:t xml:space="preserve">9.57</w:t>
                  </w:r>
                </w:p>
              </w:tc>
              <w:tc>
                <w:tcPr/>
                <w:p>
                  <w:pPr>
                    <w:pStyle w:val="Compact"/>
                    <w:jc w:val="right"/>
                    <w:jc w:val="center"/>
                  </w:pPr>
                  <w:r>
                    <w:t xml:space="preserve">0.00242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w:t>
                  </w:r>
                </w:p>
              </w:tc>
              <w:tc>
                <w:tcPr/>
                <w:p>
                  <w:pPr>
                    <w:pStyle w:val="Compact"/>
                    <w:jc w:val="right"/>
                    <w:jc w:val="center"/>
                  </w:pPr>
                  <w:r>
                    <w:t xml:space="preserve">1.8</w:t>
                  </w:r>
                </w:p>
              </w:tc>
              <w:tc>
                <w:tcPr/>
                <w:p>
                  <w:pPr>
                    <w:pStyle w:val="Compact"/>
                    <w:jc w:val="right"/>
                    <w:jc w:val="center"/>
                  </w:pPr>
                  <w:r>
                    <w:t xml:space="preserve">0.193</w:t>
                  </w:r>
                </w:p>
              </w:tc>
              <w:tc>
                <w:tcPr/>
                <w:p>
                  <w:pPr>
                    <w:pStyle w:val="Compact"/>
                    <w:jc w:val="right"/>
                    <w:jc w:val="center"/>
                  </w:pPr>
                  <w:r>
                    <w:t xml:space="preserve">9.32</w:t>
                  </w:r>
                </w:p>
              </w:tc>
              <w:tc>
                <w:tcPr/>
                <w:p>
                  <w:pPr>
                    <w:pStyle w:val="Compact"/>
                    <w:jc w:val="right"/>
                    <w:jc w:val="center"/>
                  </w:pPr>
                  <w:r>
                    <w:t xml:space="preserve">0.00261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3.54</w:t>
                  </w:r>
                </w:p>
              </w:tc>
              <w:tc>
                <w:tcPr/>
                <w:p>
                  <w:pPr>
                    <w:pStyle w:val="Compact"/>
                    <w:jc w:val="right"/>
                    <w:jc w:val="center"/>
                  </w:pPr>
                  <w:r>
                    <w:t xml:space="preserve">1.77</w:t>
                  </w:r>
                </w:p>
              </w:tc>
              <w:tc>
                <w:tcPr/>
                <w:p>
                  <w:pPr>
                    <w:pStyle w:val="Compact"/>
                    <w:jc w:val="right"/>
                    <w:jc w:val="center"/>
                  </w:pPr>
                  <w:r>
                    <w:t xml:space="preserve">0.193</w:t>
                  </w:r>
                </w:p>
              </w:tc>
              <w:tc>
                <w:tcPr/>
                <w:p>
                  <w:pPr>
                    <w:pStyle w:val="Compact"/>
                    <w:jc w:val="right"/>
                    <w:jc w:val="center"/>
                  </w:pPr>
                  <w:r>
                    <w:t xml:space="preserve">9.17</w:t>
                  </w:r>
                </w:p>
              </w:tc>
              <w:tc>
                <w:tcPr/>
                <w:p>
                  <w:pPr>
                    <w:pStyle w:val="Compact"/>
                    <w:jc w:val="right"/>
                    <w:jc w:val="center"/>
                  </w:pPr>
                  <w:r>
                    <w:t xml:space="preserve">0.00274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3.28</w:t>
                  </w:r>
                </w:p>
              </w:tc>
              <w:tc>
                <w:tcPr/>
                <w:p>
                  <w:pPr>
                    <w:pStyle w:val="Compact"/>
                    <w:jc w:val="right"/>
                    <w:jc w:val="center"/>
                  </w:pPr>
                  <w:r>
                    <w:t xml:space="preserve">1.64</w:t>
                  </w:r>
                </w:p>
              </w:tc>
              <w:tc>
                <w:tcPr/>
                <w:p>
                  <w:pPr>
                    <w:pStyle w:val="Compact"/>
                    <w:jc w:val="right"/>
                    <w:jc w:val="center"/>
                  </w:pPr>
                  <w:r>
                    <w:t xml:space="preserve">0.193</w:t>
                  </w:r>
                </w:p>
              </w:tc>
              <w:tc>
                <w:tcPr/>
                <w:p>
                  <w:pPr>
                    <w:pStyle w:val="Compact"/>
                    <w:jc w:val="right"/>
                    <w:jc w:val="center"/>
                  </w:pPr>
                  <w:r>
                    <w:t xml:space="preserve">8.49</w:t>
                  </w:r>
                </w:p>
              </w:tc>
              <w:tc>
                <w:tcPr/>
                <w:p>
                  <w:pPr>
                    <w:pStyle w:val="Compact"/>
                    <w:jc w:val="right"/>
                    <w:jc w:val="center"/>
                  </w:pPr>
                  <w:r>
                    <w:t xml:space="preserve">0.00343</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-2.45</w:t>
                  </w:r>
                </w:p>
              </w:tc>
              <w:tc>
                <w:tcPr/>
                <w:p>
                  <w:pPr>
                    <w:pStyle w:val="Compact"/>
                    <w:jc w:val="right"/>
                    <w:jc w:val="center"/>
                  </w:pPr>
                  <w:r>
                    <w:t xml:space="preserve">-1.23</w:t>
                  </w:r>
                </w:p>
              </w:tc>
              <w:tc>
                <w:tcPr/>
                <w:p>
                  <w:pPr>
                    <w:pStyle w:val="Compact"/>
                    <w:jc w:val="right"/>
                    <w:jc w:val="center"/>
                  </w:pPr>
                  <w:r>
                    <w:t xml:space="preserve">0.193</w:t>
                  </w:r>
                </w:p>
              </w:tc>
              <w:tc>
                <w:tcPr/>
                <w:p>
                  <w:pPr>
                    <w:pStyle w:val="Compact"/>
                    <w:jc w:val="right"/>
                    <w:jc w:val="center"/>
                  </w:pPr>
                  <w:r>
                    <w:t xml:space="preserve">-6.35</w:t>
                  </w:r>
                </w:p>
              </w:tc>
              <w:tc>
                <w:tcPr/>
                <w:p>
                  <w:pPr>
                    <w:pStyle w:val="Compact"/>
                    <w:jc w:val="right"/>
                    <w:jc w:val="center"/>
                  </w:pPr>
                  <w:r>
                    <w:t xml:space="preserve">0.0079</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2.18</w:t>
                  </w:r>
                </w:p>
              </w:tc>
              <w:tc>
                <w:tcPr/>
                <w:p>
                  <w:pPr>
                    <w:pStyle w:val="Compact"/>
                    <w:jc w:val="right"/>
                    <w:jc w:val="center"/>
                  </w:pPr>
                  <w:r>
                    <w:t xml:space="preserve">1.09</w:t>
                  </w:r>
                </w:p>
              </w:tc>
              <w:tc>
                <w:tcPr/>
                <w:p>
                  <w:pPr>
                    <w:pStyle w:val="Compact"/>
                    <w:jc w:val="right"/>
                    <w:jc w:val="center"/>
                  </w:pPr>
                  <w:r>
                    <w:t xml:space="preserve">0.193</w:t>
                  </w:r>
                </w:p>
              </w:tc>
              <w:tc>
                <w:tcPr/>
                <w:p>
                  <w:pPr>
                    <w:pStyle w:val="Compact"/>
                    <w:jc w:val="right"/>
                    <w:jc w:val="center"/>
                  </w:pPr>
                  <w:r>
                    <w:t xml:space="preserve">5.64</w:t>
                  </w:r>
                </w:p>
              </w:tc>
              <w:tc>
                <w:tcPr/>
                <w:p>
                  <w:pPr>
                    <w:pStyle w:val="Compact"/>
                    <w:jc w:val="right"/>
                    <w:jc w:val="center"/>
                  </w:pPr>
                  <w:r>
                    <w:t xml:space="preserve">0.011</w:t>
                  </w:r>
                </w:p>
              </w:tc>
              <w:tc>
                <w:tcPr/>
                <w:p>
                  <w:pPr>
                    <w:pStyle w:val="Compact"/>
                    <w:jc w:val="left"/>
                    <w:jc w:val="center"/>
                  </w:pPr>
                  <w:r>
                    <w:t xml:space="preserve">*</w:t>
                  </w:r>
                </w:p>
              </w:tc>
            </w:tr>
            <w:tr>
              <w:tc>
                <w:tcPr/>
                <w:p>
                  <w:pPr>
                    <w:pStyle w:val="Compact"/>
                    <w:jc w:val="left"/>
                    <w:jc w:val="center"/>
                  </w:pPr>
                  <w:r>
                    <w:t xml:space="preserve">DE</w:t>
                  </w:r>
                </w:p>
              </w:tc>
              <w:tc>
                <w:tcPr/>
                <w:p>
                  <w:pPr>
                    <w:pStyle w:val="Compact"/>
                    <w:jc w:val="right"/>
                    <w:jc w:val="center"/>
                  </w:pPr>
                  <w:r>
                    <w:t xml:space="preserve">1.93</w:t>
                  </w:r>
                </w:p>
              </w:tc>
              <w:tc>
                <w:tcPr/>
                <w:p>
                  <w:pPr>
                    <w:pStyle w:val="Compact"/>
                    <w:jc w:val="right"/>
                    <w:jc w:val="center"/>
                  </w:pPr>
                  <w:r>
                    <w:t xml:space="preserve">0.963</w:t>
                  </w:r>
                </w:p>
              </w:tc>
              <w:tc>
                <w:tcPr/>
                <w:p>
                  <w:pPr>
                    <w:pStyle w:val="Compact"/>
                    <w:jc w:val="right"/>
                    <w:jc w:val="center"/>
                  </w:pPr>
                  <w:r>
                    <w:t xml:space="preserve">0.193</w:t>
                  </w:r>
                </w:p>
              </w:tc>
              <w:tc>
                <w:tcPr/>
                <w:p>
                  <w:pPr>
                    <w:pStyle w:val="Compact"/>
                    <w:jc w:val="right"/>
                    <w:jc w:val="center"/>
                  </w:pPr>
                  <w:r>
                    <w:t xml:space="preserve">4.98</w:t>
                  </w:r>
                </w:p>
              </w:tc>
              <w:tc>
                <w:tcPr/>
                <w:p>
                  <w:pPr>
                    <w:pStyle w:val="Compact"/>
                    <w:jc w:val="right"/>
                    <w:jc w:val="center"/>
                  </w:pPr>
                  <w:r>
                    <w:t xml:space="preserve">0.0155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1.49</w:t>
                  </w:r>
                </w:p>
              </w:tc>
              <w:tc>
                <w:tcPr/>
                <w:p>
                  <w:pPr>
                    <w:pStyle w:val="Compact"/>
                    <w:jc w:val="right"/>
                    <w:jc w:val="center"/>
                  </w:pPr>
                  <w:r>
                    <w:t xml:space="preserve">0.747</w:t>
                  </w:r>
                </w:p>
              </w:tc>
              <w:tc>
                <w:tcPr/>
                <w:p>
                  <w:pPr>
                    <w:pStyle w:val="Compact"/>
                    <w:jc w:val="right"/>
                    <w:jc w:val="center"/>
                  </w:pPr>
                  <w:r>
                    <w:t xml:space="preserve">0.193</w:t>
                  </w:r>
                </w:p>
              </w:tc>
              <w:tc>
                <w:tcPr/>
                <w:p>
                  <w:pPr>
                    <w:pStyle w:val="Compact"/>
                    <w:jc w:val="right"/>
                    <w:jc w:val="center"/>
                  </w:pPr>
                  <w:r>
                    <w:t xml:space="preserve">3.87</w:t>
                  </w:r>
                </w:p>
              </w:tc>
              <w:tc>
                <w:tcPr/>
                <w:p>
                  <w:pPr>
                    <w:pStyle w:val="Compact"/>
                    <w:jc w:val="right"/>
                    <w:jc w:val="center"/>
                  </w:pPr>
                  <w:r>
                    <w:t xml:space="preserve">0.0306</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-0.195</w:t>
                  </w:r>
                </w:p>
              </w:tc>
              <w:tc>
                <w:tcPr/>
                <w:p>
                  <w:pPr>
                    <w:pStyle w:val="Compact"/>
                    <w:jc w:val="right"/>
                    <w:jc w:val="center"/>
                  </w:pPr>
                  <w:r>
                    <w:t xml:space="preserve">-0.0974</w:t>
                  </w:r>
                </w:p>
              </w:tc>
              <w:tc>
                <w:tcPr/>
                <w:p>
                  <w:pPr>
                    <w:pStyle w:val="Compact"/>
                    <w:jc w:val="right"/>
                    <w:jc w:val="center"/>
                  </w:pPr>
                  <w:r>
                    <w:t xml:space="preserve">0.193</w:t>
                  </w:r>
                </w:p>
              </w:tc>
              <w:tc>
                <w:tcPr/>
                <w:p>
                  <w:pPr>
                    <w:pStyle w:val="Compact"/>
                    <w:jc w:val="right"/>
                    <w:jc w:val="center"/>
                  </w:pPr>
                  <w:r>
                    <w:t xml:space="preserve">-0.504</w:t>
                  </w:r>
                </w:p>
              </w:tc>
              <w:tc>
                <w:tcPr/>
                <w:p>
                  <w:pPr>
                    <w:pStyle w:val="Compact"/>
                    <w:jc w:val="right"/>
                    <w:jc w:val="center"/>
                  </w:pPr>
                  <w:r>
                    <w:t xml:space="preserve">0.649</w:t>
                  </w:r>
                </w:p>
              </w:tc>
              <w:tc>
                <w:tcPr/>
                <w:p>
                  <w:pPr>
                    <w:pStyle w:val="Compact"/>
                  </w:pPr>
                </w:p>
              </w:tc>
            </w:tr>
            <w:tr>
              <w:tc>
                <w:tcPr/>
                <w:p>
                  <w:pPr>
                    <w:pStyle w:val="Compact"/>
                    <w:jc w:val="left"/>
                    <w:jc w:val="center"/>
                  </w:pPr>
                  <w:r>
                    <w:t xml:space="preserve">BC</w:t>
                  </w:r>
                </w:p>
              </w:tc>
              <w:tc>
                <w:tcPr/>
                <w:p>
                  <w:pPr>
                    <w:pStyle w:val="Compact"/>
                    <w:jc w:val="right"/>
                    <w:jc w:val="center"/>
                  </w:pPr>
                  <w:r>
                    <w:t xml:space="preserve">-0.131</w:t>
                  </w:r>
                </w:p>
              </w:tc>
              <w:tc>
                <w:tcPr/>
                <w:p>
                  <w:pPr>
                    <w:pStyle w:val="Compact"/>
                    <w:jc w:val="right"/>
                    <w:jc w:val="center"/>
                  </w:pPr>
                  <w:r>
                    <w:t xml:space="preserve">-0.0657</w:t>
                  </w:r>
                </w:p>
              </w:tc>
              <w:tc>
                <w:tcPr/>
                <w:p>
                  <w:pPr>
                    <w:pStyle w:val="Compact"/>
                    <w:jc w:val="right"/>
                    <w:jc w:val="center"/>
                  </w:pPr>
                  <w:r>
                    <w:t xml:space="preserve">0.193</w:t>
                  </w:r>
                </w:p>
              </w:tc>
              <w:tc>
                <w:tcPr/>
                <w:p>
                  <w:pPr>
                    <w:pStyle w:val="Compact"/>
                    <w:jc w:val="right"/>
                    <w:jc w:val="center"/>
                  </w:pPr>
                  <w:r>
                    <w:t xml:space="preserve">-0.34</w:t>
                  </w:r>
                </w:p>
              </w:tc>
              <w:tc>
                <w:tcPr/>
                <w:p>
                  <w:pPr>
                    <w:pStyle w:val="Compact"/>
                    <w:jc w:val="right"/>
                    <w:jc w:val="center"/>
                  </w:pPr>
                  <w:r>
                    <w:t xml:space="preserve">0.756</w:t>
                  </w:r>
                </w:p>
              </w:tc>
              <w:tc>
                <w:tcPr/>
                <w:p>
                  <w:pPr>
                    <w:pStyle w:val="Compact"/>
                  </w:pPr>
                </w:p>
              </w:tc>
            </w:tr>
            <w:tr>
              <w:tc>
                <w:tcPr/>
                <w:p>
                  <w:pPr>
                    <w:pStyle w:val="Compact"/>
                    <w:jc w:val="left"/>
                    <w:jc w:val="center"/>
                  </w:pPr>
                  <w:r>
                    <w:t xml:space="preserve">CE</w:t>
                  </w:r>
                </w:p>
              </w:tc>
              <w:tc>
                <w:tcPr/>
                <w:p>
                  <w:pPr>
                    <w:pStyle w:val="Compact"/>
                    <w:jc w:val="right"/>
                    <w:jc w:val="center"/>
                  </w:pPr>
                  <w:r>
                    <w:t xml:space="preserve">0.119</w:t>
                  </w:r>
                </w:p>
              </w:tc>
              <w:tc>
                <w:tcPr/>
                <w:p>
                  <w:pPr>
                    <w:pStyle w:val="Compact"/>
                    <w:jc w:val="right"/>
                    <w:jc w:val="center"/>
                  </w:pPr>
                  <w:r>
                    <w:t xml:space="preserve">0.0596</w:t>
                  </w:r>
                </w:p>
              </w:tc>
              <w:tc>
                <w:tcPr/>
                <w:p>
                  <w:pPr>
                    <w:pStyle w:val="Compact"/>
                    <w:jc w:val="right"/>
                    <w:jc w:val="center"/>
                  </w:pPr>
                  <w:r>
                    <w:t xml:space="preserve">0.193</w:t>
                  </w:r>
                </w:p>
              </w:tc>
              <w:tc>
                <w:tcPr/>
                <w:p>
                  <w:pPr>
                    <w:pStyle w:val="Compact"/>
                    <w:jc w:val="right"/>
                    <w:jc w:val="center"/>
                  </w:pPr>
                  <w:r>
                    <w:t xml:space="preserve">0.309</w:t>
                  </w:r>
                </w:p>
              </w:tc>
              <w:tc>
                <w:tcPr/>
                <w:p>
                  <w:pPr>
                    <w:pStyle w:val="Compact"/>
                    <w:jc w:val="right"/>
                    <w:jc w:val="center"/>
                  </w:pPr>
                  <w:r>
                    <w:t xml:space="preserve">0.778</w:t>
                  </w:r>
                </w:p>
              </w:tc>
              <w:tc>
                <w:tcPr/>
                <w:p>
                  <w:pPr>
                    <w:pStyle w:val="Compact"/>
                  </w:pPr>
                </w:p>
              </w:tc>
            </w:tr>
          </w:tbl>
          <w:bookmarkEnd w:id="1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appc-scr-high-mannose"/>
          <w:p>
            <w:pPr>
              <w:jc w:val="center"/>
            </w:pPr>
            <w:pPr>
              <w:jc w:val="left"/>
              <w:spacing w:before="200"/>
              <w:pStyle w:val="ImageCaption"/>
            </w:pPr>
            <w:r>
              <w:t xml:space="preserve">Table 30: Complete screening effect table for high mannose.</w:t>
            </w:r>
          </w:p>
          <w:tbl>
            <w:tblPr>
              <w:tblStyle w:val="Table"/>
              <w:tblW w:type="pct" w:w="5000"/>
              <w:tblLayout w:type="fixed"/>
              <w:tblLook w:firstRow="1" w:lastRow="0" w:firstColumn="0" w:lastColumn="0" w:noHBand="0" w:noVBand="0" w:val="0020"/>
            </w:tblPr>
            <w:tblGrid>
              <w:gridCol w:w="880"/>
              <w:gridCol w:w="1210"/>
              <w:gridCol w:w="1210"/>
              <w:gridCol w:w="1430"/>
              <w:gridCol w:w="1100"/>
              <w:gridCol w:w="1210"/>
              <w:gridCol w:w="88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w:t>
                  </w:r>
                </w:p>
              </w:tc>
              <w:tc>
                <w:tcPr/>
                <w:p>
                  <w:pPr>
                    <w:pStyle w:val="Compact"/>
                    <w:jc w:val="right"/>
                    <w:jc w:val="center"/>
                  </w:pPr>
                  <w:r>
                    <w:t xml:space="preserve">0.756</w:t>
                  </w:r>
                </w:p>
              </w:tc>
              <w:tc>
                <w:tcPr/>
                <w:p>
                  <w:pPr>
                    <w:pStyle w:val="Compact"/>
                    <w:jc w:val="right"/>
                    <w:jc w:val="center"/>
                  </w:pPr>
                  <w:r>
                    <w:t xml:space="preserve">0.155</w:t>
                  </w:r>
                </w:p>
              </w:tc>
              <w:tc>
                <w:tcPr/>
                <w:p>
                  <w:pPr>
                    <w:pStyle w:val="Compact"/>
                    <w:jc w:val="right"/>
                    <w:jc w:val="center"/>
                  </w:pPr>
                  <w:r>
                    <w:t xml:space="preserve">4.89</w:t>
                  </w:r>
                </w:p>
              </w:tc>
              <w:tc>
                <w:tcPr/>
                <w:p>
                  <w:pPr>
                    <w:pStyle w:val="Compact"/>
                    <w:jc w:val="right"/>
                    <w:jc w:val="center"/>
                  </w:pPr>
                  <w:r>
                    <w:t xml:space="preserve">0.0164</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-1.39</w:t>
                  </w:r>
                </w:p>
              </w:tc>
              <w:tc>
                <w:tcPr/>
                <w:p>
                  <w:pPr>
                    <w:pStyle w:val="Compact"/>
                    <w:jc w:val="right"/>
                    <w:jc w:val="center"/>
                  </w:pPr>
                  <w:r>
                    <w:t xml:space="preserve">-0.696</w:t>
                  </w:r>
                </w:p>
              </w:tc>
              <w:tc>
                <w:tcPr/>
                <w:p>
                  <w:pPr>
                    <w:pStyle w:val="Compact"/>
                    <w:jc w:val="right"/>
                    <w:jc w:val="center"/>
                  </w:pPr>
                  <w:r>
                    <w:t xml:space="preserve">0.155</w:t>
                  </w:r>
                </w:p>
              </w:tc>
              <w:tc>
                <w:tcPr/>
                <w:p>
                  <w:pPr>
                    <w:pStyle w:val="Compact"/>
                    <w:jc w:val="right"/>
                    <w:jc w:val="center"/>
                  </w:pPr>
                  <w:r>
                    <w:t xml:space="preserve">-4.5</w:t>
                  </w:r>
                </w:p>
              </w:tc>
              <w:tc>
                <w:tcPr/>
                <w:p>
                  <w:pPr>
                    <w:pStyle w:val="Compact"/>
                    <w:jc w:val="right"/>
                    <w:jc w:val="center"/>
                  </w:pPr>
                  <w:r>
                    <w:t xml:space="preserve">0.0205</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-0.446</w:t>
                  </w:r>
                </w:p>
              </w:tc>
              <w:tc>
                <w:tcPr/>
                <w:p>
                  <w:pPr>
                    <w:pStyle w:val="Compact"/>
                    <w:jc w:val="right"/>
                    <w:jc w:val="center"/>
                  </w:pPr>
                  <w:r>
                    <w:t xml:space="preserve">-0.223</w:t>
                  </w:r>
                </w:p>
              </w:tc>
              <w:tc>
                <w:tcPr/>
                <w:p>
                  <w:pPr>
                    <w:pStyle w:val="Compact"/>
                    <w:jc w:val="right"/>
                    <w:jc w:val="center"/>
                  </w:pPr>
                  <w:r>
                    <w:t xml:space="preserve">0.155</w:t>
                  </w:r>
                </w:p>
              </w:tc>
              <w:tc>
                <w:tcPr/>
                <w:p>
                  <w:pPr>
                    <w:pStyle w:val="Compact"/>
                    <w:jc w:val="right"/>
                    <w:jc w:val="center"/>
                  </w:pPr>
                  <w:r>
                    <w:t xml:space="preserve">-1.44</w:t>
                  </w:r>
                </w:p>
              </w:tc>
              <w:tc>
                <w:tcPr/>
                <w:p>
                  <w:pPr>
                    <w:pStyle w:val="Compact"/>
                    <w:jc w:val="right"/>
                    <w:jc w:val="center"/>
                  </w:pPr>
                  <w:r>
                    <w:t xml:space="preserve">0.245</w:t>
                  </w:r>
                </w:p>
              </w:tc>
              <w:tc>
                <w:tcPr/>
                <w:p>
                  <w:pPr>
                    <w:pStyle w:val="Compact"/>
                  </w:pPr>
                </w:p>
              </w:tc>
            </w:tr>
            <w:tr>
              <w:tc>
                <w:tcPr/>
                <w:p>
                  <w:pPr>
                    <w:pStyle w:val="Compact"/>
                    <w:jc w:val="left"/>
                    <w:jc w:val="center"/>
                  </w:pPr>
                  <w:r>
                    <w:t xml:space="preserve">BC</w:t>
                  </w:r>
                </w:p>
              </w:tc>
              <w:tc>
                <w:tcPr/>
                <w:p>
                  <w:pPr>
                    <w:pStyle w:val="Compact"/>
                    <w:jc w:val="right"/>
                    <w:jc w:val="center"/>
                  </w:pPr>
                  <w:r>
                    <w:t xml:space="preserve">0.369</w:t>
                  </w:r>
                </w:p>
              </w:tc>
              <w:tc>
                <w:tcPr/>
                <w:p>
                  <w:pPr>
                    <w:pStyle w:val="Compact"/>
                    <w:jc w:val="right"/>
                    <w:jc w:val="center"/>
                  </w:pPr>
                  <w:r>
                    <w:t xml:space="preserve">0.185</w:t>
                  </w:r>
                </w:p>
              </w:tc>
              <w:tc>
                <w:tcPr/>
                <w:p>
                  <w:pPr>
                    <w:pStyle w:val="Compact"/>
                    <w:jc w:val="right"/>
                    <w:jc w:val="center"/>
                  </w:pPr>
                  <w:r>
                    <w:t xml:space="preserve">0.155</w:t>
                  </w:r>
                </w:p>
              </w:tc>
              <w:tc>
                <w:tcPr/>
                <w:p>
                  <w:pPr>
                    <w:pStyle w:val="Compact"/>
                    <w:jc w:val="right"/>
                    <w:jc w:val="center"/>
                  </w:pPr>
                  <w:r>
                    <w:t xml:space="preserve">1.19</w:t>
                  </w:r>
                </w:p>
              </w:tc>
              <w:tc>
                <w:tcPr/>
                <w:p>
                  <w:pPr>
                    <w:pStyle w:val="Compact"/>
                    <w:jc w:val="right"/>
                    <w:jc w:val="center"/>
                  </w:pPr>
                  <w:r>
                    <w:t xml:space="preserve">0.318</w:t>
                  </w:r>
                </w:p>
              </w:tc>
              <w:tc>
                <w:tcPr/>
                <w:p>
                  <w:pPr>
                    <w:pStyle w:val="Compact"/>
                  </w:pPr>
                </w:p>
              </w:tc>
            </w:tr>
            <w:tr>
              <w:tc>
                <w:tcPr/>
                <w:p>
                  <w:pPr>
                    <w:pStyle w:val="Compact"/>
                    <w:jc w:val="left"/>
                    <w:jc w:val="center"/>
                  </w:pPr>
                  <w:r>
                    <w:t xml:space="preserve">E</w:t>
                  </w:r>
                </w:p>
              </w:tc>
              <w:tc>
                <w:tcPr/>
                <w:p>
                  <w:pPr>
                    <w:pStyle w:val="Compact"/>
                    <w:jc w:val="right"/>
                    <w:jc w:val="center"/>
                  </w:pPr>
                  <w:r>
                    <w:t xml:space="preserve">0.158</w:t>
                  </w:r>
                </w:p>
              </w:tc>
              <w:tc>
                <w:tcPr/>
                <w:p>
                  <w:pPr>
                    <w:pStyle w:val="Compact"/>
                    <w:jc w:val="right"/>
                    <w:jc w:val="center"/>
                  </w:pPr>
                  <w:r>
                    <w:t xml:space="preserve">0.0791</w:t>
                  </w:r>
                </w:p>
              </w:tc>
              <w:tc>
                <w:tcPr/>
                <w:p>
                  <w:pPr>
                    <w:pStyle w:val="Compact"/>
                    <w:jc w:val="right"/>
                    <w:jc w:val="center"/>
                  </w:pPr>
                  <w:r>
                    <w:t xml:space="preserve">0.155</w:t>
                  </w:r>
                </w:p>
              </w:tc>
              <w:tc>
                <w:tcPr/>
                <w:p>
                  <w:pPr>
                    <w:pStyle w:val="Compact"/>
                    <w:jc w:val="right"/>
                    <w:jc w:val="center"/>
                  </w:pPr>
                  <w:r>
                    <w:t xml:space="preserve">0.511</w:t>
                  </w:r>
                </w:p>
              </w:tc>
              <w:tc>
                <w:tcPr/>
                <w:p>
                  <w:pPr>
                    <w:pStyle w:val="Compact"/>
                    <w:jc w:val="right"/>
                    <w:jc w:val="center"/>
                  </w:pPr>
                  <w:r>
                    <w:t xml:space="preserve">0.645</w:t>
                  </w:r>
                </w:p>
              </w:tc>
              <w:tc>
                <w:tcPr/>
                <w:p>
                  <w:pPr>
                    <w:pStyle w:val="Compact"/>
                  </w:pPr>
                </w:p>
              </w:tc>
            </w:tr>
            <w:tr>
              <w:tc>
                <w:tcPr/>
                <w:p>
                  <w:pPr>
                    <w:pStyle w:val="Compact"/>
                    <w:jc w:val="left"/>
                    <w:jc w:val="center"/>
                  </w:pPr>
                  <w:r>
                    <w:t xml:space="preserve">D</w:t>
                  </w:r>
                </w:p>
              </w:tc>
              <w:tc>
                <w:tcPr/>
                <w:p>
                  <w:pPr>
                    <w:pStyle w:val="Compact"/>
                    <w:jc w:val="right"/>
                    <w:jc w:val="center"/>
                  </w:pPr>
                  <w:r>
                    <w:t xml:space="preserve">-0.139</w:t>
                  </w:r>
                </w:p>
              </w:tc>
              <w:tc>
                <w:tcPr/>
                <w:p>
                  <w:pPr>
                    <w:pStyle w:val="Compact"/>
                    <w:jc w:val="right"/>
                    <w:jc w:val="center"/>
                  </w:pPr>
                  <w:r>
                    <w:t xml:space="preserve">-0.0693</w:t>
                  </w:r>
                </w:p>
              </w:tc>
              <w:tc>
                <w:tcPr/>
                <w:p>
                  <w:pPr>
                    <w:pStyle w:val="Compact"/>
                    <w:jc w:val="right"/>
                    <w:jc w:val="center"/>
                  </w:pPr>
                  <w:r>
                    <w:t xml:space="preserve">0.155</w:t>
                  </w:r>
                </w:p>
              </w:tc>
              <w:tc>
                <w:tcPr/>
                <w:p>
                  <w:pPr>
                    <w:pStyle w:val="Compact"/>
                    <w:jc w:val="right"/>
                    <w:jc w:val="center"/>
                  </w:pPr>
                  <w:r>
                    <w:t xml:space="preserve">-0.448</w:t>
                  </w:r>
                </w:p>
              </w:tc>
              <w:tc>
                <w:tcPr/>
                <w:p>
                  <w:pPr>
                    <w:pStyle w:val="Compact"/>
                    <w:jc w:val="right"/>
                    <w:jc w:val="center"/>
                  </w:pPr>
                  <w:r>
                    <w:t xml:space="preserve">0.685</w:t>
                  </w:r>
                </w:p>
              </w:tc>
              <w:tc>
                <w:tcPr/>
                <w:p>
                  <w:pPr>
                    <w:pStyle w:val="Compact"/>
                  </w:pPr>
                </w:p>
              </w:tc>
            </w:tr>
            <w:tr>
              <w:tc>
                <w:tcPr/>
                <w:p>
                  <w:pPr>
                    <w:pStyle w:val="Compact"/>
                    <w:jc w:val="left"/>
                    <w:jc w:val="center"/>
                  </w:pPr>
                  <w:r>
                    <w:t xml:space="preserve">AC</w:t>
                  </w:r>
                </w:p>
              </w:tc>
              <w:tc>
                <w:tcPr/>
                <w:p>
                  <w:pPr>
                    <w:pStyle w:val="Compact"/>
                    <w:jc w:val="right"/>
                    <w:jc w:val="center"/>
                  </w:pPr>
                  <w:r>
                    <w:t xml:space="preserve">0.0897</w:t>
                  </w:r>
                </w:p>
              </w:tc>
              <w:tc>
                <w:tcPr/>
                <w:p>
                  <w:pPr>
                    <w:pStyle w:val="Compact"/>
                    <w:jc w:val="right"/>
                    <w:jc w:val="center"/>
                  </w:pPr>
                  <w:r>
                    <w:t xml:space="preserve">0.0449</w:t>
                  </w:r>
                </w:p>
              </w:tc>
              <w:tc>
                <w:tcPr/>
                <w:p>
                  <w:pPr>
                    <w:pStyle w:val="Compact"/>
                    <w:jc w:val="right"/>
                    <w:jc w:val="center"/>
                  </w:pPr>
                  <w:r>
                    <w:t xml:space="preserve">0.155</w:t>
                  </w:r>
                </w:p>
              </w:tc>
              <w:tc>
                <w:tcPr/>
                <w:p>
                  <w:pPr>
                    <w:pStyle w:val="Compact"/>
                    <w:jc w:val="right"/>
                    <w:jc w:val="center"/>
                  </w:pPr>
                  <w:r>
                    <w:t xml:space="preserve">0.29</w:t>
                  </w:r>
                </w:p>
              </w:tc>
              <w:tc>
                <w:tcPr/>
                <w:p>
                  <w:pPr>
                    <w:pStyle w:val="Compact"/>
                    <w:jc w:val="right"/>
                    <w:jc w:val="center"/>
                  </w:pPr>
                  <w:r>
                    <w:t xml:space="preserve">0.791</w:t>
                  </w:r>
                </w:p>
              </w:tc>
              <w:tc>
                <w:tcPr/>
                <w:p>
                  <w:pPr>
                    <w:pStyle w:val="Compact"/>
                  </w:pPr>
                </w:p>
              </w:tc>
            </w:tr>
            <w:tr>
              <w:tc>
                <w:tcPr/>
                <w:p>
                  <w:pPr>
                    <w:pStyle w:val="Compact"/>
                    <w:jc w:val="left"/>
                    <w:jc w:val="center"/>
                  </w:pPr>
                  <w:r>
                    <w:t xml:space="preserve">AE</w:t>
                  </w:r>
                </w:p>
              </w:tc>
              <w:tc>
                <w:tcPr/>
                <w:p>
                  <w:pPr>
                    <w:pStyle w:val="Compact"/>
                    <w:jc w:val="right"/>
                    <w:jc w:val="center"/>
                  </w:pPr>
                  <w:r>
                    <w:t xml:space="preserve">0.0894</w:t>
                  </w:r>
                </w:p>
              </w:tc>
              <w:tc>
                <w:tcPr/>
                <w:p>
                  <w:pPr>
                    <w:pStyle w:val="Compact"/>
                    <w:jc w:val="right"/>
                    <w:jc w:val="center"/>
                  </w:pPr>
                  <w:r>
                    <w:t xml:space="preserve">0.0447</w:t>
                  </w:r>
                </w:p>
              </w:tc>
              <w:tc>
                <w:tcPr/>
                <w:p>
                  <w:pPr>
                    <w:pStyle w:val="Compact"/>
                    <w:jc w:val="right"/>
                    <w:jc w:val="center"/>
                  </w:pPr>
                  <w:r>
                    <w:t xml:space="preserve">0.155</w:t>
                  </w:r>
                </w:p>
              </w:tc>
              <w:tc>
                <w:tcPr/>
                <w:p>
                  <w:pPr>
                    <w:pStyle w:val="Compact"/>
                    <w:jc w:val="right"/>
                    <w:jc w:val="center"/>
                  </w:pPr>
                  <w:r>
                    <w:t xml:space="preserve">0.289</w:t>
                  </w:r>
                </w:p>
              </w:tc>
              <w:tc>
                <w:tcPr/>
                <w:p>
                  <w:pPr>
                    <w:pStyle w:val="Compact"/>
                    <w:jc w:val="right"/>
                    <w:jc w:val="center"/>
                  </w:pPr>
                  <w:r>
                    <w:t xml:space="preserve">0.792</w:t>
                  </w:r>
                </w:p>
              </w:tc>
              <w:tc>
                <w:tcPr/>
                <w:p>
                  <w:pPr>
                    <w:pStyle w:val="Compact"/>
                  </w:pPr>
                </w:p>
              </w:tc>
            </w:tr>
            <w:tr>
              <w:tc>
                <w:tcPr/>
                <w:p>
                  <w:pPr>
                    <w:pStyle w:val="Compact"/>
                    <w:jc w:val="left"/>
                    <w:jc w:val="center"/>
                  </w:pPr>
                  <w:r>
                    <w:t xml:space="preserve">DE</w:t>
                  </w:r>
                </w:p>
              </w:tc>
              <w:tc>
                <w:tcPr/>
                <w:p>
                  <w:pPr>
                    <w:pStyle w:val="Compact"/>
                    <w:jc w:val="right"/>
                    <w:jc w:val="center"/>
                  </w:pPr>
                  <w:r>
                    <w:t xml:space="preserve">-0.0718</w:t>
                  </w:r>
                </w:p>
              </w:tc>
              <w:tc>
                <w:tcPr/>
                <w:p>
                  <w:pPr>
                    <w:pStyle w:val="Compact"/>
                    <w:jc w:val="right"/>
                    <w:jc w:val="center"/>
                  </w:pPr>
                  <w:r>
                    <w:t xml:space="preserve">-0.0359</w:t>
                  </w:r>
                </w:p>
              </w:tc>
              <w:tc>
                <w:tcPr/>
                <w:p>
                  <w:pPr>
                    <w:pStyle w:val="Compact"/>
                    <w:jc w:val="right"/>
                    <w:jc w:val="center"/>
                  </w:pPr>
                  <w:r>
                    <w:t xml:space="preserve">0.155</w:t>
                  </w:r>
                </w:p>
              </w:tc>
              <w:tc>
                <w:tcPr/>
                <w:p>
                  <w:pPr>
                    <w:pStyle w:val="Compact"/>
                    <w:jc w:val="right"/>
                    <w:jc w:val="center"/>
                  </w:pPr>
                  <w:r>
                    <w:t xml:space="preserve">-0.232</w:t>
                  </w:r>
                </w:p>
              </w:tc>
              <w:tc>
                <w:tcPr/>
                <w:p>
                  <w:pPr>
                    <w:pStyle w:val="Compact"/>
                    <w:jc w:val="right"/>
                    <w:jc w:val="center"/>
                  </w:pPr>
                  <w:r>
                    <w:t xml:space="preserve">0.831</w:t>
                  </w:r>
                </w:p>
              </w:tc>
              <w:tc>
                <w:tcPr/>
                <w:p>
                  <w:pPr>
                    <w:pStyle w:val="Compact"/>
                  </w:pPr>
                </w:p>
              </w:tc>
            </w:tr>
            <w:tr>
              <w:tc>
                <w:tcPr/>
                <w:p>
                  <w:pPr>
                    <w:pStyle w:val="Compact"/>
                    <w:jc w:val="left"/>
                    <w:jc w:val="center"/>
                  </w:pPr>
                  <w:r>
                    <w:t xml:space="preserve">CE</w:t>
                  </w:r>
                </w:p>
              </w:tc>
              <w:tc>
                <w:tcPr/>
                <w:p>
                  <w:pPr>
                    <w:pStyle w:val="Compact"/>
                    <w:jc w:val="right"/>
                    <w:jc w:val="center"/>
                  </w:pPr>
                  <w:r>
                    <w:t xml:space="preserve">-0.0552</w:t>
                  </w:r>
                </w:p>
              </w:tc>
              <w:tc>
                <w:tcPr/>
                <w:p>
                  <w:pPr>
                    <w:pStyle w:val="Compact"/>
                    <w:jc w:val="right"/>
                    <w:jc w:val="center"/>
                  </w:pPr>
                  <w:r>
                    <w:t xml:space="preserve">-0.0276</w:t>
                  </w:r>
                </w:p>
              </w:tc>
              <w:tc>
                <w:tcPr/>
                <w:p>
                  <w:pPr>
                    <w:pStyle w:val="Compact"/>
                    <w:jc w:val="right"/>
                    <w:jc w:val="center"/>
                  </w:pPr>
                  <w:r>
                    <w:t xml:space="preserve">0.155</w:t>
                  </w:r>
                </w:p>
              </w:tc>
              <w:tc>
                <w:tcPr/>
                <w:p>
                  <w:pPr>
                    <w:pStyle w:val="Compact"/>
                    <w:jc w:val="right"/>
                    <w:jc w:val="center"/>
                  </w:pPr>
                  <w:r>
                    <w:t xml:space="preserve">-0.179</w:t>
                  </w:r>
                </w:p>
              </w:tc>
              <w:tc>
                <w:tcPr/>
                <w:p>
                  <w:pPr>
                    <w:pStyle w:val="Compact"/>
                    <w:jc w:val="right"/>
                    <w:jc w:val="center"/>
                  </w:pPr>
                  <w:r>
                    <w:t xml:space="preserve">0.87</w:t>
                  </w:r>
                </w:p>
              </w:tc>
              <w:tc>
                <w:tcPr/>
                <w:p>
                  <w:pPr>
                    <w:pStyle w:val="Compact"/>
                  </w:pPr>
                </w:p>
              </w:tc>
            </w:tr>
            <w:tr>
              <w:tc>
                <w:tcPr/>
                <w:p>
                  <w:pPr>
                    <w:pStyle w:val="Compact"/>
                    <w:jc w:val="left"/>
                    <w:jc w:val="center"/>
                  </w:pPr>
                  <w:r>
                    <w:t xml:space="preserve">BE</w:t>
                  </w:r>
                </w:p>
              </w:tc>
              <w:tc>
                <w:tcPr/>
                <w:p>
                  <w:pPr>
                    <w:pStyle w:val="Compact"/>
                    <w:jc w:val="right"/>
                    <w:jc w:val="center"/>
                  </w:pPr>
                  <w:r>
                    <w:t xml:space="preserve">0.046</w:t>
                  </w:r>
                </w:p>
              </w:tc>
              <w:tc>
                <w:tcPr/>
                <w:p>
                  <w:pPr>
                    <w:pStyle w:val="Compact"/>
                    <w:jc w:val="right"/>
                    <w:jc w:val="center"/>
                  </w:pPr>
                  <w:r>
                    <w:t xml:space="preserve">0.023</w:t>
                  </w:r>
                </w:p>
              </w:tc>
              <w:tc>
                <w:tcPr/>
                <w:p>
                  <w:pPr>
                    <w:pStyle w:val="Compact"/>
                    <w:jc w:val="right"/>
                    <w:jc w:val="center"/>
                  </w:pPr>
                  <w:r>
                    <w:t xml:space="preserve">0.155</w:t>
                  </w:r>
                </w:p>
              </w:tc>
              <w:tc>
                <w:tcPr/>
                <w:p>
                  <w:pPr>
                    <w:pStyle w:val="Compact"/>
                    <w:jc w:val="right"/>
                    <w:jc w:val="center"/>
                  </w:pPr>
                  <w:r>
                    <w:t xml:space="preserve">0.149</w:t>
                  </w:r>
                </w:p>
              </w:tc>
              <w:tc>
                <w:tcPr/>
                <w:p>
                  <w:pPr>
                    <w:pStyle w:val="Compact"/>
                    <w:jc w:val="right"/>
                    <w:jc w:val="center"/>
                  </w:pPr>
                  <w:r>
                    <w:t xml:space="preserve">0.891</w:t>
                  </w:r>
                </w:p>
              </w:tc>
              <w:tc>
                <w:tcPr/>
                <w:p>
                  <w:pPr>
                    <w:pStyle w:val="Compact"/>
                  </w:pPr>
                </w:p>
              </w:tc>
            </w:tr>
            <w:tr>
              <w:tc>
                <w:tcPr/>
                <w:p>
                  <w:pPr>
                    <w:pStyle w:val="Compact"/>
                    <w:jc w:val="left"/>
                    <w:jc w:val="center"/>
                  </w:pPr>
                  <w:r>
                    <w:t xml:space="preserve">AB</w:t>
                  </w:r>
                </w:p>
              </w:tc>
              <w:tc>
                <w:tcPr/>
                <w:p>
                  <w:pPr>
                    <w:pStyle w:val="Compact"/>
                    <w:jc w:val="right"/>
                    <w:jc w:val="center"/>
                  </w:pPr>
                  <w:r>
                    <w:t xml:space="preserve">0.0432</w:t>
                  </w:r>
                </w:p>
              </w:tc>
              <w:tc>
                <w:tcPr/>
                <w:p>
                  <w:pPr>
                    <w:pStyle w:val="Compact"/>
                    <w:jc w:val="right"/>
                    <w:jc w:val="center"/>
                  </w:pPr>
                  <w:r>
                    <w:t xml:space="preserve">0.0216</w:t>
                  </w:r>
                </w:p>
              </w:tc>
              <w:tc>
                <w:tcPr/>
                <w:p>
                  <w:pPr>
                    <w:pStyle w:val="Compact"/>
                    <w:jc w:val="right"/>
                    <w:jc w:val="center"/>
                  </w:pPr>
                  <w:r>
                    <w:t xml:space="preserve">0.155</w:t>
                  </w:r>
                </w:p>
              </w:tc>
              <w:tc>
                <w:tcPr/>
                <w:p>
                  <w:pPr>
                    <w:pStyle w:val="Compact"/>
                    <w:jc w:val="right"/>
                    <w:jc w:val="center"/>
                  </w:pPr>
                  <w:r>
                    <w:t xml:space="preserve">0.14</w:t>
                  </w:r>
                </w:p>
              </w:tc>
              <w:tc>
                <w:tcPr/>
                <w:p>
                  <w:pPr>
                    <w:pStyle w:val="Compact"/>
                    <w:jc w:val="right"/>
                    <w:jc w:val="center"/>
                  </w:pPr>
                  <w:r>
                    <w:t xml:space="preserve">0.898</w:t>
                  </w:r>
                </w:p>
              </w:tc>
              <w:tc>
                <w:tcPr/>
                <w:p>
                  <w:pPr>
                    <w:pStyle w:val="Compact"/>
                  </w:pPr>
                </w:p>
              </w:tc>
            </w:tr>
            <w:tr>
              <w:tc>
                <w:tcPr/>
                <w:p>
                  <w:pPr>
                    <w:pStyle w:val="Compact"/>
                    <w:jc w:val="left"/>
                    <w:jc w:val="center"/>
                  </w:pPr>
                  <w:r>
                    <w:t xml:space="preserve">AD</w:t>
                  </w:r>
                </w:p>
              </w:tc>
              <w:tc>
                <w:tcPr/>
                <w:p>
                  <w:pPr>
                    <w:pStyle w:val="Compact"/>
                    <w:jc w:val="right"/>
                    <w:jc w:val="center"/>
                  </w:pPr>
                  <w:r>
                    <w:t xml:space="preserve">-0.0239</w:t>
                  </w:r>
                </w:p>
              </w:tc>
              <w:tc>
                <w:tcPr/>
                <w:p>
                  <w:pPr>
                    <w:pStyle w:val="Compact"/>
                    <w:jc w:val="right"/>
                    <w:jc w:val="center"/>
                  </w:pPr>
                  <w:r>
                    <w:t xml:space="preserve">-0.012</w:t>
                  </w:r>
                </w:p>
              </w:tc>
              <w:tc>
                <w:tcPr/>
                <w:p>
                  <w:pPr>
                    <w:pStyle w:val="Compact"/>
                    <w:jc w:val="right"/>
                    <w:jc w:val="center"/>
                  </w:pPr>
                  <w:r>
                    <w:t xml:space="preserve">0.155</w:t>
                  </w:r>
                </w:p>
              </w:tc>
              <w:tc>
                <w:tcPr/>
                <w:p>
                  <w:pPr>
                    <w:pStyle w:val="Compact"/>
                    <w:jc w:val="right"/>
                    <w:jc w:val="center"/>
                  </w:pPr>
                  <w:r>
                    <w:t xml:space="preserve">-0.0774</w:t>
                  </w:r>
                </w:p>
              </w:tc>
              <w:tc>
                <w:tcPr/>
                <w:p>
                  <w:pPr>
                    <w:pStyle w:val="Compact"/>
                    <w:jc w:val="right"/>
                    <w:jc w:val="center"/>
                  </w:pPr>
                  <w:r>
                    <w:t xml:space="preserve">0.943</w:t>
                  </w:r>
                </w:p>
              </w:tc>
              <w:tc>
                <w:tcPr/>
                <w:p>
                  <w:pPr>
                    <w:pStyle w:val="Compact"/>
                  </w:pPr>
                </w:p>
              </w:tc>
            </w:tr>
            <w:tr>
              <w:tc>
                <w:tcPr/>
                <w:p>
                  <w:pPr>
                    <w:pStyle w:val="Compact"/>
                    <w:jc w:val="left"/>
                    <w:jc w:val="center"/>
                  </w:pPr>
                  <w:r>
                    <w:t xml:space="preserve">CD</w:t>
                  </w:r>
                </w:p>
              </w:tc>
              <w:tc>
                <w:tcPr/>
                <w:p>
                  <w:pPr>
                    <w:pStyle w:val="Compact"/>
                    <w:jc w:val="right"/>
                    <w:jc w:val="center"/>
                  </w:pPr>
                  <w:r>
                    <w:t xml:space="preserve">-0.0232</w:t>
                  </w:r>
                </w:p>
              </w:tc>
              <w:tc>
                <w:tcPr/>
                <w:p>
                  <w:pPr>
                    <w:pStyle w:val="Compact"/>
                    <w:jc w:val="right"/>
                    <w:jc w:val="center"/>
                  </w:pPr>
                  <w:r>
                    <w:t xml:space="preserve">-0.0116</w:t>
                  </w:r>
                </w:p>
              </w:tc>
              <w:tc>
                <w:tcPr/>
                <w:p>
                  <w:pPr>
                    <w:pStyle w:val="Compact"/>
                    <w:jc w:val="right"/>
                    <w:jc w:val="center"/>
                  </w:pPr>
                  <w:r>
                    <w:t xml:space="preserve">0.155</w:t>
                  </w:r>
                </w:p>
              </w:tc>
              <w:tc>
                <w:tcPr/>
                <w:p>
                  <w:pPr>
                    <w:pStyle w:val="Compact"/>
                    <w:jc w:val="right"/>
                    <w:jc w:val="center"/>
                  </w:pPr>
                  <w:r>
                    <w:t xml:space="preserve">-0.075</w:t>
                  </w:r>
                </w:p>
              </w:tc>
              <w:tc>
                <w:tcPr/>
                <w:p>
                  <w:pPr>
                    <w:pStyle w:val="Compact"/>
                    <w:jc w:val="right"/>
                    <w:jc w:val="center"/>
                  </w:pPr>
                  <w:r>
                    <w:t xml:space="preserve">0.945</w:t>
                  </w:r>
                </w:p>
              </w:tc>
              <w:tc>
                <w:tcPr/>
                <w:p>
                  <w:pPr>
                    <w:pStyle w:val="Compact"/>
                  </w:pPr>
                </w:p>
              </w:tc>
            </w:tr>
            <w:tr>
              <w:tc>
                <w:tcPr/>
                <w:p>
                  <w:pPr>
                    <w:pStyle w:val="Compact"/>
                    <w:jc w:val="left"/>
                    <w:jc w:val="center"/>
                  </w:pPr>
                  <w:r>
                    <w:t xml:space="preserve">BD</w:t>
                  </w:r>
                </w:p>
              </w:tc>
              <w:tc>
                <w:tcPr/>
                <w:p>
                  <w:pPr>
                    <w:pStyle w:val="Compact"/>
                    <w:jc w:val="right"/>
                    <w:jc w:val="center"/>
                  </w:pPr>
                  <w:r>
                    <w:t xml:space="preserve">-0.000576</w:t>
                  </w:r>
                </w:p>
              </w:tc>
              <w:tc>
                <w:tcPr/>
                <w:p>
                  <w:pPr>
                    <w:pStyle w:val="Compact"/>
                    <w:jc w:val="right"/>
                    <w:jc w:val="center"/>
                  </w:pPr>
                  <w:r>
                    <w:t xml:space="preserve">-0.000288</w:t>
                  </w:r>
                </w:p>
              </w:tc>
              <w:tc>
                <w:tcPr/>
                <w:p>
                  <w:pPr>
                    <w:pStyle w:val="Compact"/>
                    <w:jc w:val="right"/>
                    <w:jc w:val="center"/>
                  </w:pPr>
                  <w:r>
                    <w:t xml:space="preserve">0.155</w:t>
                  </w:r>
                </w:p>
              </w:tc>
              <w:tc>
                <w:tcPr/>
                <w:p>
                  <w:pPr>
                    <w:pStyle w:val="Compact"/>
                    <w:jc w:val="right"/>
                    <w:jc w:val="center"/>
                  </w:pPr>
                  <w:r>
                    <w:t xml:space="preserve">-0.00186</w:t>
                  </w:r>
                </w:p>
              </w:tc>
              <w:tc>
                <w:tcPr/>
                <w:p>
                  <w:pPr>
                    <w:pStyle w:val="Compact"/>
                    <w:jc w:val="right"/>
                    <w:jc w:val="center"/>
                  </w:pPr>
                  <w:r>
                    <w:t xml:space="preserve">0.999</w:t>
                  </w:r>
                </w:p>
              </w:tc>
              <w:tc>
                <w:tcPr/>
                <w:p>
                  <w:pPr>
                    <w:pStyle w:val="Compact"/>
                  </w:pPr>
                </w:p>
              </w:tc>
            </w:tr>
          </w:tbl>
          <w:bookmarkEnd w:id="1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tbl-appc-scr-acidic-variants"/>
          <w:p>
            <w:pPr>
              <w:jc w:val="center"/>
            </w:pPr>
            <w:pPr>
              <w:jc w:val="left"/>
              <w:spacing w:before="200"/>
              <w:pStyle w:val="ImageCaption"/>
            </w:pPr>
            <w:r>
              <w:t xml:space="preserve">Table 31: Complete screening effect table for acidic variants.</w:t>
            </w:r>
          </w:p>
          <w:tbl>
            <w:tblPr>
              <w:tblStyle w:val="Table"/>
              <w:tblW w:type="pct" w:w="5000"/>
              <w:tblLayout w:type="fixed"/>
              <w:tblLook w:firstRow="1" w:lastRow="0" w:firstColumn="0" w:lastColumn="0" w:noHBand="0" w:noVBand="0" w:val="0020"/>
            </w:tblPr>
            <w:tblGrid>
              <w:gridCol w:w="918"/>
              <w:gridCol w:w="1147"/>
              <w:gridCol w:w="1033"/>
              <w:gridCol w:w="1492"/>
              <w:gridCol w:w="1147"/>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-8.15</w:t>
                  </w:r>
                </w:p>
              </w:tc>
              <w:tc>
                <w:tcPr/>
                <w:p>
                  <w:pPr>
                    <w:pStyle w:val="Compact"/>
                    <w:jc w:val="right"/>
                    <w:jc w:val="center"/>
                  </w:pPr>
                  <w:r>
                    <w:t xml:space="preserve">-4.08</w:t>
                  </w:r>
                </w:p>
              </w:tc>
              <w:tc>
                <w:tcPr/>
                <w:p>
                  <w:pPr>
                    <w:pStyle w:val="Compact"/>
                    <w:jc w:val="right"/>
                    <w:jc w:val="center"/>
                  </w:pPr>
                  <w:r>
                    <w:t xml:space="preserve">0.239</w:t>
                  </w:r>
                </w:p>
              </w:tc>
              <w:tc>
                <w:tcPr/>
                <w:p>
                  <w:pPr>
                    <w:pStyle w:val="Compact"/>
                    <w:jc w:val="right"/>
                    <w:jc w:val="center"/>
                  </w:pPr>
                  <w:r>
                    <w:t xml:space="preserve">-17</w:t>
                  </w:r>
                </w:p>
              </w:tc>
              <w:tc>
                <w:tcPr/>
                <w:p>
                  <w:pPr>
                    <w:pStyle w:val="Compact"/>
                    <w:jc w:val="right"/>
                    <w:jc w:val="center"/>
                  </w:pPr>
                  <w:r>
                    <w:t xml:space="preserve">0.000441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-4.17</w:t>
                  </w:r>
                </w:p>
              </w:tc>
              <w:tc>
                <w:tcPr/>
                <w:p>
                  <w:pPr>
                    <w:pStyle w:val="Compact"/>
                    <w:jc w:val="right"/>
                    <w:jc w:val="center"/>
                  </w:pPr>
                  <w:r>
                    <w:t xml:space="preserve">-2.08</w:t>
                  </w:r>
                </w:p>
              </w:tc>
              <w:tc>
                <w:tcPr/>
                <w:p>
                  <w:pPr>
                    <w:pStyle w:val="Compact"/>
                    <w:jc w:val="right"/>
                    <w:jc w:val="center"/>
                  </w:pPr>
                  <w:r>
                    <w:t xml:space="preserve">0.239</w:t>
                  </w:r>
                </w:p>
              </w:tc>
              <w:tc>
                <w:tcPr/>
                <w:p>
                  <w:pPr>
                    <w:pStyle w:val="Compact"/>
                    <w:jc w:val="right"/>
                    <w:jc w:val="center"/>
                  </w:pPr>
                  <w:r>
                    <w:t xml:space="preserve">-8.7</w:t>
                  </w:r>
                </w:p>
              </w:tc>
              <w:tc>
                <w:tcPr/>
                <w:p>
                  <w:pPr>
                    <w:pStyle w:val="Compact"/>
                    <w:jc w:val="right"/>
                    <w:jc w:val="center"/>
                  </w:pPr>
                  <w:r>
                    <w:t xml:space="preserve">0.00319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2.97</w:t>
                  </w:r>
                </w:p>
              </w:tc>
              <w:tc>
                <w:tcPr/>
                <w:p>
                  <w:pPr>
                    <w:pStyle w:val="Compact"/>
                    <w:jc w:val="right"/>
                    <w:jc w:val="center"/>
                  </w:pPr>
                  <w:r>
                    <w:t xml:space="preserve">1.48</w:t>
                  </w:r>
                </w:p>
              </w:tc>
              <w:tc>
                <w:tcPr/>
                <w:p>
                  <w:pPr>
                    <w:pStyle w:val="Compact"/>
                    <w:jc w:val="right"/>
                    <w:jc w:val="center"/>
                  </w:pPr>
                  <w:r>
                    <w:t xml:space="preserve">0.239</w:t>
                  </w:r>
                </w:p>
              </w:tc>
              <w:tc>
                <w:tcPr/>
                <w:p>
                  <w:pPr>
                    <w:pStyle w:val="Compact"/>
                    <w:jc w:val="right"/>
                    <w:jc w:val="center"/>
                  </w:pPr>
                  <w:r>
                    <w:t xml:space="preserve">6.19</w:t>
                  </w:r>
                </w:p>
              </w:tc>
              <w:tc>
                <w:tcPr/>
                <w:p>
                  <w:pPr>
                    <w:pStyle w:val="Compact"/>
                    <w:jc w:val="right"/>
                    <w:jc w:val="center"/>
                  </w:pPr>
                  <w:r>
                    <w:t xml:space="preserve">0.00848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-2.55</w:t>
                  </w:r>
                </w:p>
              </w:tc>
              <w:tc>
                <w:tcPr/>
                <w:p>
                  <w:pPr>
                    <w:pStyle w:val="Compact"/>
                    <w:jc w:val="right"/>
                    <w:jc w:val="center"/>
                  </w:pPr>
                  <w:r>
                    <w:t xml:space="preserve">-1.28</w:t>
                  </w:r>
                </w:p>
              </w:tc>
              <w:tc>
                <w:tcPr/>
                <w:p>
                  <w:pPr>
                    <w:pStyle w:val="Compact"/>
                    <w:jc w:val="right"/>
                    <w:jc w:val="center"/>
                  </w:pPr>
                  <w:r>
                    <w:t xml:space="preserve">0.239</w:t>
                  </w:r>
                </w:p>
              </w:tc>
              <w:tc>
                <w:tcPr/>
                <w:p>
                  <w:pPr>
                    <w:pStyle w:val="Compact"/>
                    <w:jc w:val="right"/>
                    <w:jc w:val="center"/>
                  </w:pPr>
                  <w:r>
                    <w:t xml:space="preserve">-5.34</w:t>
                  </w:r>
                </w:p>
              </w:tc>
              <w:tc>
                <w:tcPr/>
                <w:p>
                  <w:pPr>
                    <w:pStyle w:val="Compact"/>
                    <w:jc w:val="right"/>
                    <w:jc w:val="center"/>
                  </w:pPr>
                  <w:r>
                    <w:t xml:space="preserve">0.0129</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1.98</w:t>
                  </w:r>
                </w:p>
              </w:tc>
              <w:tc>
                <w:tcPr/>
                <w:p>
                  <w:pPr>
                    <w:pStyle w:val="Compact"/>
                    <w:jc w:val="right"/>
                    <w:jc w:val="center"/>
                  </w:pPr>
                  <w:r>
                    <w:t xml:space="preserve">0.992</w:t>
                  </w:r>
                </w:p>
              </w:tc>
              <w:tc>
                <w:tcPr/>
                <w:p>
                  <w:pPr>
                    <w:pStyle w:val="Compact"/>
                    <w:jc w:val="right"/>
                    <w:jc w:val="center"/>
                  </w:pPr>
                  <w:r>
                    <w:t xml:space="preserve">0.239</w:t>
                  </w:r>
                </w:p>
              </w:tc>
              <w:tc>
                <w:tcPr/>
                <w:p>
                  <w:pPr>
                    <w:pStyle w:val="Compact"/>
                    <w:jc w:val="right"/>
                    <w:jc w:val="center"/>
                  </w:pPr>
                  <w:r>
                    <w:t xml:space="preserve">4.15</w:t>
                  </w:r>
                </w:p>
              </w:tc>
              <w:tc>
                <w:tcPr/>
                <w:p>
                  <w:pPr>
                    <w:pStyle w:val="Compact"/>
                    <w:jc w:val="right"/>
                    <w:jc w:val="center"/>
                  </w:pPr>
                  <w:r>
                    <w:t xml:space="preserve">0.0255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-1.93</w:t>
                  </w:r>
                </w:p>
              </w:tc>
              <w:tc>
                <w:tcPr/>
                <w:p>
                  <w:pPr>
                    <w:pStyle w:val="Compact"/>
                    <w:jc w:val="right"/>
                    <w:jc w:val="center"/>
                  </w:pPr>
                  <w:r>
                    <w:t xml:space="preserve">-0.964</w:t>
                  </w:r>
                </w:p>
              </w:tc>
              <w:tc>
                <w:tcPr/>
                <w:p>
                  <w:pPr>
                    <w:pStyle w:val="Compact"/>
                    <w:jc w:val="right"/>
                    <w:jc w:val="center"/>
                  </w:pPr>
                  <w:r>
                    <w:t xml:space="preserve">0.239</w:t>
                  </w:r>
                </w:p>
              </w:tc>
              <w:tc>
                <w:tcPr/>
                <w:p>
                  <w:pPr>
                    <w:pStyle w:val="Compact"/>
                    <w:jc w:val="right"/>
                    <w:jc w:val="center"/>
                  </w:pPr>
                  <w:r>
                    <w:t xml:space="preserve">-4.03</w:t>
                  </w:r>
                </w:p>
              </w:tc>
              <w:tc>
                <w:tcPr/>
                <w:p>
                  <w:pPr>
                    <w:pStyle w:val="Compact"/>
                    <w:jc w:val="right"/>
                    <w:jc w:val="center"/>
                  </w:pPr>
                  <w:r>
                    <w:t xml:space="preserve">0.0275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1.73</w:t>
                  </w:r>
                </w:p>
              </w:tc>
              <w:tc>
                <w:tcPr/>
                <w:p>
                  <w:pPr>
                    <w:pStyle w:val="Compact"/>
                    <w:jc w:val="right"/>
                    <w:jc w:val="center"/>
                  </w:pPr>
                  <w:r>
                    <w:t xml:space="preserve">0.865</w:t>
                  </w:r>
                </w:p>
              </w:tc>
              <w:tc>
                <w:tcPr/>
                <w:p>
                  <w:pPr>
                    <w:pStyle w:val="Compact"/>
                    <w:jc w:val="right"/>
                    <w:jc w:val="center"/>
                  </w:pPr>
                  <w:r>
                    <w:t xml:space="preserve">0.239</w:t>
                  </w:r>
                </w:p>
              </w:tc>
              <w:tc>
                <w:tcPr/>
                <w:p>
                  <w:pPr>
                    <w:pStyle w:val="Compact"/>
                    <w:jc w:val="right"/>
                    <w:jc w:val="center"/>
                  </w:pPr>
                  <w:r>
                    <w:t xml:space="preserve">3.61</w:t>
                  </w:r>
                </w:p>
              </w:tc>
              <w:tc>
                <w:tcPr/>
                <w:p>
                  <w:pPr>
                    <w:pStyle w:val="Compact"/>
                    <w:jc w:val="right"/>
                    <w:jc w:val="center"/>
                  </w:pPr>
                  <w:r>
                    <w:t xml:space="preserve">0.0364</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-0.669</w:t>
                  </w:r>
                </w:p>
              </w:tc>
              <w:tc>
                <w:tcPr/>
                <w:p>
                  <w:pPr>
                    <w:pStyle w:val="Compact"/>
                    <w:jc w:val="right"/>
                    <w:jc w:val="center"/>
                  </w:pPr>
                  <w:r>
                    <w:t xml:space="preserve">-0.335</w:t>
                  </w:r>
                </w:p>
              </w:tc>
              <w:tc>
                <w:tcPr/>
                <w:p>
                  <w:pPr>
                    <w:pStyle w:val="Compact"/>
                    <w:jc w:val="right"/>
                    <w:jc w:val="center"/>
                  </w:pPr>
                  <w:r>
                    <w:t xml:space="preserve">0.239</w:t>
                  </w:r>
                </w:p>
              </w:tc>
              <w:tc>
                <w:tcPr/>
                <w:p>
                  <w:pPr>
                    <w:pStyle w:val="Compact"/>
                    <w:jc w:val="right"/>
                    <w:jc w:val="center"/>
                  </w:pPr>
                  <w:r>
                    <w:t xml:space="preserve">-1.4</w:t>
                  </w:r>
                </w:p>
              </w:tc>
              <w:tc>
                <w:tcPr/>
                <w:p>
                  <w:pPr>
                    <w:pStyle w:val="Compact"/>
                    <w:jc w:val="right"/>
                    <w:jc w:val="center"/>
                  </w:pPr>
                  <w:r>
                    <w:t xml:space="preserve">0.256</w:t>
                  </w:r>
                </w:p>
              </w:tc>
              <w:tc>
                <w:tcPr/>
                <w:p>
                  <w:pPr>
                    <w:pStyle w:val="Compact"/>
                  </w:pPr>
                </w:p>
              </w:tc>
            </w:tr>
            <w:tr>
              <w:tc>
                <w:tcPr/>
                <w:p>
                  <w:pPr>
                    <w:pStyle w:val="Compact"/>
                    <w:jc w:val="left"/>
                    <w:jc w:val="center"/>
                  </w:pPr>
                  <w:r>
                    <w:t xml:space="preserve">CE</w:t>
                  </w:r>
                </w:p>
              </w:tc>
              <w:tc>
                <w:tcPr/>
                <w:p>
                  <w:pPr>
                    <w:pStyle w:val="Compact"/>
                    <w:jc w:val="right"/>
                    <w:jc w:val="center"/>
                  </w:pPr>
                  <w:r>
                    <w:t xml:space="preserve">-0.494</w:t>
                  </w:r>
                </w:p>
              </w:tc>
              <w:tc>
                <w:tcPr/>
                <w:p>
                  <w:pPr>
                    <w:pStyle w:val="Compact"/>
                    <w:jc w:val="right"/>
                    <w:jc w:val="center"/>
                  </w:pPr>
                  <w:r>
                    <w:t xml:space="preserve">-0.247</w:t>
                  </w:r>
                </w:p>
              </w:tc>
              <w:tc>
                <w:tcPr/>
                <w:p>
                  <w:pPr>
                    <w:pStyle w:val="Compact"/>
                    <w:jc w:val="right"/>
                    <w:jc w:val="center"/>
                  </w:pPr>
                  <w:r>
                    <w:t xml:space="preserve">0.239</w:t>
                  </w:r>
                </w:p>
              </w:tc>
              <w:tc>
                <w:tcPr/>
                <w:p>
                  <w:pPr>
                    <w:pStyle w:val="Compact"/>
                    <w:jc w:val="right"/>
                    <w:jc w:val="center"/>
                  </w:pPr>
                  <w:r>
                    <w:t xml:space="preserve">-1.03</w:t>
                  </w:r>
                </w:p>
              </w:tc>
              <w:tc>
                <w:tcPr/>
                <w:p>
                  <w:pPr>
                    <w:pStyle w:val="Compact"/>
                    <w:jc w:val="right"/>
                    <w:jc w:val="center"/>
                  </w:pPr>
                  <w:r>
                    <w:t xml:space="preserve">0.378</w:t>
                  </w:r>
                </w:p>
              </w:tc>
              <w:tc>
                <w:tcPr/>
                <w:p>
                  <w:pPr>
                    <w:pStyle w:val="Compact"/>
                  </w:pPr>
                </w:p>
              </w:tc>
            </w:tr>
            <w:tr>
              <w:tc>
                <w:tcPr/>
                <w:p>
                  <w:pPr>
                    <w:pStyle w:val="Compact"/>
                    <w:jc w:val="left"/>
                    <w:jc w:val="center"/>
                  </w:pPr>
                  <w:r>
                    <w:t xml:space="preserve">CD</w:t>
                  </w:r>
                </w:p>
              </w:tc>
              <w:tc>
                <w:tcPr/>
                <w:p>
                  <w:pPr>
                    <w:pStyle w:val="Compact"/>
                    <w:jc w:val="right"/>
                    <w:jc w:val="center"/>
                  </w:pPr>
                  <w:r>
                    <w:t xml:space="preserve">-0.492</w:t>
                  </w:r>
                </w:p>
              </w:tc>
              <w:tc>
                <w:tcPr/>
                <w:p>
                  <w:pPr>
                    <w:pStyle w:val="Compact"/>
                    <w:jc w:val="right"/>
                    <w:jc w:val="center"/>
                  </w:pPr>
                  <w:r>
                    <w:t xml:space="preserve">-0.246</w:t>
                  </w:r>
                </w:p>
              </w:tc>
              <w:tc>
                <w:tcPr/>
                <w:p>
                  <w:pPr>
                    <w:pStyle w:val="Compact"/>
                    <w:jc w:val="right"/>
                    <w:jc w:val="center"/>
                  </w:pPr>
                  <w:r>
                    <w:t xml:space="preserve">0.239</w:t>
                  </w:r>
                </w:p>
              </w:tc>
              <w:tc>
                <w:tcPr/>
                <w:p>
                  <w:pPr>
                    <w:pStyle w:val="Compact"/>
                    <w:jc w:val="right"/>
                    <w:jc w:val="center"/>
                  </w:pPr>
                  <w:r>
                    <w:t xml:space="preserve">-1.03</w:t>
                  </w:r>
                </w:p>
              </w:tc>
              <w:tc>
                <w:tcPr/>
                <w:p>
                  <w:pPr>
                    <w:pStyle w:val="Compact"/>
                    <w:jc w:val="right"/>
                    <w:jc w:val="center"/>
                  </w:pPr>
                  <w:r>
                    <w:t xml:space="preserve">0.379</w:t>
                  </w:r>
                </w:p>
              </w:tc>
              <w:tc>
                <w:tcPr/>
                <w:p>
                  <w:pPr>
                    <w:pStyle w:val="Compact"/>
                  </w:pPr>
                </w:p>
              </w:tc>
            </w:tr>
            <w:tr>
              <w:tc>
                <w:tcPr/>
                <w:p>
                  <w:pPr>
                    <w:pStyle w:val="Compact"/>
                    <w:jc w:val="left"/>
                    <w:jc w:val="center"/>
                  </w:pPr>
                  <w:r>
                    <w:t xml:space="preserve">BD</w:t>
                  </w:r>
                </w:p>
              </w:tc>
              <w:tc>
                <w:tcPr/>
                <w:p>
                  <w:pPr>
                    <w:pStyle w:val="Compact"/>
                    <w:jc w:val="right"/>
                    <w:jc w:val="center"/>
                  </w:pPr>
                  <w:r>
                    <w:t xml:space="preserve">-0.215</w:t>
                  </w:r>
                </w:p>
              </w:tc>
              <w:tc>
                <w:tcPr/>
                <w:p>
                  <w:pPr>
                    <w:pStyle w:val="Compact"/>
                    <w:jc w:val="right"/>
                    <w:jc w:val="center"/>
                  </w:pPr>
                  <w:r>
                    <w:t xml:space="preserve">-0.108</w:t>
                  </w:r>
                </w:p>
              </w:tc>
              <w:tc>
                <w:tcPr/>
                <w:p>
                  <w:pPr>
                    <w:pStyle w:val="Compact"/>
                    <w:jc w:val="right"/>
                    <w:jc w:val="center"/>
                  </w:pPr>
                  <w:r>
                    <w:t xml:space="preserve">0.239</w:t>
                  </w:r>
                </w:p>
              </w:tc>
              <w:tc>
                <w:tcPr/>
                <w:p>
                  <w:pPr>
                    <w:pStyle w:val="Compact"/>
                    <w:jc w:val="right"/>
                    <w:jc w:val="center"/>
                  </w:pPr>
                  <w:r>
                    <w:t xml:space="preserve">-0.449</w:t>
                  </w:r>
                </w:p>
              </w:tc>
              <w:tc>
                <w:tcPr/>
                <w:p>
                  <w:pPr>
                    <w:pStyle w:val="Compact"/>
                    <w:jc w:val="right"/>
                    <w:jc w:val="center"/>
                  </w:pPr>
                  <w:r>
                    <w:t xml:space="preserve">0.684</w:t>
                  </w:r>
                </w:p>
              </w:tc>
              <w:tc>
                <w:tcPr/>
                <w:p>
                  <w:pPr>
                    <w:pStyle w:val="Compact"/>
                  </w:pPr>
                </w:p>
              </w:tc>
            </w:tr>
            <w:tr>
              <w:tc>
                <w:tcPr/>
                <w:p>
                  <w:pPr>
                    <w:pStyle w:val="Compact"/>
                    <w:jc w:val="left"/>
                    <w:jc w:val="center"/>
                  </w:pPr>
                  <w:r>
                    <w:t xml:space="preserve">BC</w:t>
                  </w:r>
                </w:p>
              </w:tc>
              <w:tc>
                <w:tcPr/>
                <w:p>
                  <w:pPr>
                    <w:pStyle w:val="Compact"/>
                    <w:jc w:val="right"/>
                    <w:jc w:val="center"/>
                  </w:pPr>
                  <w:r>
                    <w:t xml:space="preserve">0.151</w:t>
                  </w:r>
                </w:p>
              </w:tc>
              <w:tc>
                <w:tcPr/>
                <w:p>
                  <w:pPr>
                    <w:pStyle w:val="Compact"/>
                    <w:jc w:val="right"/>
                    <w:jc w:val="center"/>
                  </w:pPr>
                  <w:r>
                    <w:t xml:space="preserve">0.0757</w:t>
                  </w:r>
                </w:p>
              </w:tc>
              <w:tc>
                <w:tcPr/>
                <w:p>
                  <w:pPr>
                    <w:pStyle w:val="Compact"/>
                    <w:jc w:val="right"/>
                    <w:jc w:val="center"/>
                  </w:pPr>
                  <w:r>
                    <w:t xml:space="preserve">0.239</w:t>
                  </w:r>
                </w:p>
              </w:tc>
              <w:tc>
                <w:tcPr/>
                <w:p>
                  <w:pPr>
                    <w:pStyle w:val="Compact"/>
                    <w:jc w:val="right"/>
                    <w:jc w:val="center"/>
                  </w:pPr>
                  <w:r>
                    <w:t xml:space="preserve">0.316</w:t>
                  </w:r>
                </w:p>
              </w:tc>
              <w:tc>
                <w:tcPr/>
                <w:p>
                  <w:pPr>
                    <w:pStyle w:val="Compact"/>
                    <w:jc w:val="right"/>
                    <w:jc w:val="center"/>
                  </w:pPr>
                  <w:r>
                    <w:t xml:space="preserve">0.773</w:t>
                  </w:r>
                </w:p>
              </w:tc>
              <w:tc>
                <w:tcPr/>
                <w:p>
                  <w:pPr>
                    <w:pStyle w:val="Compact"/>
                  </w:pPr>
                </w:p>
              </w:tc>
            </w:tr>
            <w:tr>
              <w:tc>
                <w:tcPr/>
                <w:p>
                  <w:pPr>
                    <w:pStyle w:val="Compact"/>
                    <w:jc w:val="left"/>
                    <w:jc w:val="center"/>
                  </w:pPr>
                  <w:r>
                    <w:t xml:space="preserve">DE</w:t>
                  </w:r>
                </w:p>
              </w:tc>
              <w:tc>
                <w:tcPr/>
                <w:p>
                  <w:pPr>
                    <w:pStyle w:val="Compact"/>
                    <w:jc w:val="right"/>
                    <w:jc w:val="center"/>
                  </w:pPr>
                  <w:r>
                    <w:t xml:space="preserve">0.0324</w:t>
                  </w:r>
                </w:p>
              </w:tc>
              <w:tc>
                <w:tcPr/>
                <w:p>
                  <w:pPr>
                    <w:pStyle w:val="Compact"/>
                    <w:jc w:val="right"/>
                    <w:jc w:val="center"/>
                  </w:pPr>
                  <w:r>
                    <w:t xml:space="preserve">0.0162</w:t>
                  </w:r>
                </w:p>
              </w:tc>
              <w:tc>
                <w:tcPr/>
                <w:p>
                  <w:pPr>
                    <w:pStyle w:val="Compact"/>
                    <w:jc w:val="right"/>
                    <w:jc w:val="center"/>
                  </w:pPr>
                  <w:r>
                    <w:t xml:space="preserve">0.239</w:t>
                  </w:r>
                </w:p>
              </w:tc>
              <w:tc>
                <w:tcPr/>
                <w:p>
                  <w:pPr>
                    <w:pStyle w:val="Compact"/>
                    <w:jc w:val="right"/>
                    <w:jc w:val="center"/>
                  </w:pPr>
                  <w:r>
                    <w:t xml:space="preserve">0.0676</w:t>
                  </w:r>
                </w:p>
              </w:tc>
              <w:tc>
                <w:tcPr/>
                <w:p>
                  <w:pPr>
                    <w:pStyle w:val="Compact"/>
                    <w:jc w:val="right"/>
                    <w:jc w:val="center"/>
                  </w:pPr>
                  <w:r>
                    <w:t xml:space="preserve">0.95</w:t>
                  </w:r>
                </w:p>
              </w:tc>
              <w:tc>
                <w:tcPr/>
                <w:p>
                  <w:pPr>
                    <w:pStyle w:val="Compact"/>
                  </w:pPr>
                </w:p>
              </w:tc>
            </w:tr>
            <w:tr>
              <w:tc>
                <w:tcPr/>
                <w:p>
                  <w:pPr>
                    <w:pStyle w:val="Compact"/>
                    <w:jc w:val="left"/>
                    <w:jc w:val="center"/>
                  </w:pPr>
                  <w:r>
                    <w:t xml:space="preserve">E</w:t>
                  </w:r>
                </w:p>
              </w:tc>
              <w:tc>
                <w:tcPr/>
                <w:p>
                  <w:pPr>
                    <w:pStyle w:val="Compact"/>
                    <w:jc w:val="right"/>
                    <w:jc w:val="center"/>
                  </w:pPr>
                  <w:r>
                    <w:t xml:space="preserve">0.0235</w:t>
                  </w:r>
                </w:p>
              </w:tc>
              <w:tc>
                <w:tcPr/>
                <w:p>
                  <w:pPr>
                    <w:pStyle w:val="Compact"/>
                    <w:jc w:val="right"/>
                    <w:jc w:val="center"/>
                  </w:pPr>
                  <w:r>
                    <w:t xml:space="preserve">0.0117</w:t>
                  </w:r>
                </w:p>
              </w:tc>
              <w:tc>
                <w:tcPr/>
                <w:p>
                  <w:pPr>
                    <w:pStyle w:val="Compact"/>
                    <w:jc w:val="right"/>
                    <w:jc w:val="center"/>
                  </w:pPr>
                  <w:r>
                    <w:t xml:space="preserve">0.239</w:t>
                  </w:r>
                </w:p>
              </w:tc>
              <w:tc>
                <w:tcPr/>
                <w:p>
                  <w:pPr>
                    <w:pStyle w:val="Compact"/>
                    <w:jc w:val="right"/>
                    <w:jc w:val="center"/>
                  </w:pPr>
                  <w:r>
                    <w:t xml:space="preserve">0.049</w:t>
                  </w:r>
                </w:p>
              </w:tc>
              <w:tc>
                <w:tcPr/>
                <w:p>
                  <w:pPr>
                    <w:pStyle w:val="Compact"/>
                    <w:jc w:val="right"/>
                    <w:jc w:val="center"/>
                  </w:pPr>
                  <w:r>
                    <w:t xml:space="preserve">0.964</w:t>
                  </w:r>
                </w:p>
              </w:tc>
              <w:tc>
                <w:tcPr/>
                <w:p>
                  <w:pPr>
                    <w:pStyle w:val="Compact"/>
                  </w:pPr>
                </w:p>
              </w:tc>
            </w:tr>
            <w:tr>
              <w:tc>
                <w:tcPr/>
                <w:p>
                  <w:pPr>
                    <w:pStyle w:val="Compact"/>
                    <w:jc w:val="left"/>
                    <w:jc w:val="center"/>
                  </w:pPr>
                  <w:r>
                    <w:t xml:space="preserve">AE</w:t>
                  </w:r>
                </w:p>
              </w:tc>
              <w:tc>
                <w:tcPr/>
                <w:p>
                  <w:pPr>
                    <w:pStyle w:val="Compact"/>
                    <w:jc w:val="right"/>
                    <w:jc w:val="center"/>
                  </w:pPr>
                  <w:r>
                    <w:t xml:space="preserve">0.0226</w:t>
                  </w:r>
                </w:p>
              </w:tc>
              <w:tc>
                <w:tcPr/>
                <w:p>
                  <w:pPr>
                    <w:pStyle w:val="Compact"/>
                    <w:jc w:val="right"/>
                    <w:jc w:val="center"/>
                  </w:pPr>
                  <w:r>
                    <w:t xml:space="preserve">0.0113</w:t>
                  </w:r>
                </w:p>
              </w:tc>
              <w:tc>
                <w:tcPr/>
                <w:p>
                  <w:pPr>
                    <w:pStyle w:val="Compact"/>
                    <w:jc w:val="right"/>
                    <w:jc w:val="center"/>
                  </w:pPr>
                  <w:r>
                    <w:t xml:space="preserve">0.239</w:t>
                  </w:r>
                </w:p>
              </w:tc>
              <w:tc>
                <w:tcPr/>
                <w:p>
                  <w:pPr>
                    <w:pStyle w:val="Compact"/>
                    <w:jc w:val="right"/>
                    <w:jc w:val="center"/>
                  </w:pPr>
                  <w:r>
                    <w:t xml:space="preserve">0.0472</w:t>
                  </w:r>
                </w:p>
              </w:tc>
              <w:tc>
                <w:tcPr/>
                <w:p>
                  <w:pPr>
                    <w:pStyle w:val="Compact"/>
                    <w:jc w:val="right"/>
                    <w:jc w:val="center"/>
                  </w:pPr>
                  <w:r>
                    <w:t xml:space="preserve">0.965</w:t>
                  </w:r>
                </w:p>
              </w:tc>
              <w:tc>
                <w:tcPr/>
                <w:p>
                  <w:pPr>
                    <w:pStyle w:val="Compact"/>
                  </w:pPr>
                </w:p>
              </w:tc>
            </w:tr>
          </w:tbl>
          <w:bookmarkEnd w:id="1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tbl-appc-scr-aggregates-hmw"/>
          <w:p>
            <w:pPr>
              <w:jc w:val="center"/>
            </w:pPr>
            <w:pPr>
              <w:jc w:val="left"/>
              <w:spacing w:before="200"/>
              <w:pStyle w:val="ImageCaption"/>
            </w:pPr>
            <w:r>
              <w:t xml:space="preserve">Table 32: Complete screening effect table for aggregates.</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0.834</w:t>
                  </w:r>
                </w:p>
              </w:tc>
              <w:tc>
                <w:tcPr/>
                <w:p>
                  <w:pPr>
                    <w:pStyle w:val="Compact"/>
                    <w:jc w:val="right"/>
                    <w:jc w:val="center"/>
                  </w:pPr>
                  <w:r>
                    <w:t xml:space="preserve">0.417</w:t>
                  </w:r>
                </w:p>
              </w:tc>
              <w:tc>
                <w:tcPr/>
                <w:p>
                  <w:pPr>
                    <w:pStyle w:val="Compact"/>
                    <w:jc w:val="right"/>
                    <w:jc w:val="center"/>
                  </w:pPr>
                  <w:r>
                    <w:t xml:space="preserve">0.0207</w:t>
                  </w:r>
                </w:p>
              </w:tc>
              <w:tc>
                <w:tcPr/>
                <w:p>
                  <w:pPr>
                    <w:pStyle w:val="Compact"/>
                    <w:jc w:val="right"/>
                    <w:jc w:val="center"/>
                  </w:pPr>
                  <w:r>
                    <w:t xml:space="preserve">20.1</w:t>
                  </w:r>
                </w:p>
              </w:tc>
              <w:tc>
                <w:tcPr/>
                <w:p>
                  <w:pPr>
                    <w:pStyle w:val="Compact"/>
                    <w:jc w:val="right"/>
                    <w:jc w:val="center"/>
                  </w:pPr>
                  <w:r>
                    <w:t xml:space="preserve">0.000268</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w:t>
                  </w:r>
                </w:p>
              </w:tc>
              <w:tc>
                <w:tcPr/>
                <w:p>
                  <w:pPr>
                    <w:pStyle w:val="Compact"/>
                    <w:jc w:val="right"/>
                    <w:jc w:val="center"/>
                  </w:pPr>
                  <w:r>
                    <w:t xml:space="preserve">0.289</w:t>
                  </w:r>
                </w:p>
              </w:tc>
              <w:tc>
                <w:tcPr/>
                <w:p>
                  <w:pPr>
                    <w:pStyle w:val="Compact"/>
                    <w:jc w:val="right"/>
                    <w:jc w:val="center"/>
                  </w:pPr>
                  <w:r>
                    <w:t xml:space="preserve">0.0207</w:t>
                  </w:r>
                </w:p>
              </w:tc>
              <w:tc>
                <w:tcPr/>
                <w:p>
                  <w:pPr>
                    <w:pStyle w:val="Compact"/>
                    <w:jc w:val="right"/>
                    <w:jc w:val="center"/>
                  </w:pPr>
                  <w:r>
                    <w:t xml:space="preserve">13.9</w:t>
                  </w:r>
                </w:p>
              </w:tc>
              <w:tc>
                <w:tcPr/>
                <w:p>
                  <w:pPr>
                    <w:pStyle w:val="Compact"/>
                    <w:jc w:val="right"/>
                    <w:jc w:val="center"/>
                  </w:pPr>
                  <w:r>
                    <w:t xml:space="preserve">0.0008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w:t>
                  </w:r>
                </w:p>
              </w:tc>
              <w:tc>
                <w:tcPr/>
                <w:p>
                  <w:pPr>
                    <w:pStyle w:val="Compact"/>
                    <w:jc w:val="right"/>
                    <w:jc w:val="center"/>
                  </w:pPr>
                  <w:r>
                    <w:t xml:space="preserve">-0.0705</w:t>
                  </w:r>
                </w:p>
              </w:tc>
              <w:tc>
                <w:tcPr/>
                <w:p>
                  <w:pPr>
                    <w:pStyle w:val="Compact"/>
                    <w:jc w:val="right"/>
                    <w:jc w:val="center"/>
                  </w:pPr>
                  <w:r>
                    <w:t xml:space="preserve">0.0207</w:t>
                  </w:r>
                </w:p>
              </w:tc>
              <w:tc>
                <w:tcPr/>
                <w:p>
                  <w:pPr>
                    <w:pStyle w:val="Compact"/>
                    <w:jc w:val="right"/>
                    <w:jc w:val="center"/>
                  </w:pPr>
                  <w:r>
                    <w:t xml:space="preserve">-3.4</w:t>
                  </w:r>
                </w:p>
              </w:tc>
              <w:tc>
                <w:tcPr/>
                <w:p>
                  <w:pPr>
                    <w:pStyle w:val="Compact"/>
                    <w:jc w:val="right"/>
                    <w:jc w:val="center"/>
                  </w:pPr>
                  <w:r>
                    <w:t xml:space="preserve">0.0424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w:t>
                  </w:r>
                </w:p>
              </w:tc>
              <w:tc>
                <w:tcPr/>
                <w:p>
                  <w:pPr>
                    <w:pStyle w:val="Compact"/>
                    <w:jc w:val="right"/>
                    <w:jc w:val="center"/>
                  </w:pPr>
                  <w:r>
                    <w:t xml:space="preserve">0.058</w:t>
                  </w:r>
                </w:p>
              </w:tc>
              <w:tc>
                <w:tcPr/>
                <w:p>
                  <w:pPr>
                    <w:pStyle w:val="Compact"/>
                    <w:jc w:val="right"/>
                    <w:jc w:val="center"/>
                  </w:pPr>
                  <w:r>
                    <w:t xml:space="preserve">0.0207</w:t>
                  </w:r>
                </w:p>
              </w:tc>
              <w:tc>
                <w:tcPr/>
                <w:p>
                  <w:pPr>
                    <w:pStyle w:val="Compact"/>
                    <w:jc w:val="right"/>
                    <w:jc w:val="center"/>
                  </w:pPr>
                  <w:r>
                    <w:t xml:space="preserve">2.8</w:t>
                  </w:r>
                </w:p>
              </w:tc>
              <w:tc>
                <w:tcPr/>
                <w:p>
                  <w:pPr>
                    <w:pStyle w:val="Compact"/>
                    <w:jc w:val="right"/>
                    <w:jc w:val="center"/>
                  </w:pPr>
                  <w:r>
                    <w:t xml:space="preserve">0.0678</w:t>
                  </w:r>
                </w:p>
              </w:tc>
              <w:tc>
                <w:tcPr/>
                <w:p>
                  <w:pPr>
                    <w:pStyle w:val="Compact"/>
                  </w:pPr>
                </w:p>
              </w:tc>
            </w:tr>
            <w:tr>
              <w:tc>
                <w:tcPr/>
                <w:p>
                  <w:pPr>
                    <w:pStyle w:val="Compact"/>
                    <w:jc w:val="left"/>
                    <w:jc w:val="center"/>
                  </w:pPr>
                  <w:r>
                    <w:t xml:space="preserve">CD</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0.0207</w:t>
                  </w:r>
                </w:p>
              </w:tc>
              <w:tc>
                <w:tcPr/>
                <w:p>
                  <w:pPr>
                    <w:pStyle w:val="Compact"/>
                    <w:jc w:val="right"/>
                    <w:jc w:val="center"/>
                  </w:pPr>
                  <w:r>
                    <w:t xml:space="preserve">-1.79</w:t>
                  </w:r>
                </w:p>
              </w:tc>
              <w:tc>
                <w:tcPr/>
                <w:p>
                  <w:pPr>
                    <w:pStyle w:val="Compact"/>
                    <w:jc w:val="right"/>
                    <w:jc w:val="center"/>
                  </w:pPr>
                  <w:r>
                    <w:t xml:space="preserve">0.171</w:t>
                  </w:r>
                </w:p>
              </w:tc>
              <w:tc>
                <w:tcPr/>
                <w:p>
                  <w:pPr>
                    <w:pStyle w:val="Compact"/>
                  </w:pPr>
                </w:p>
              </w:tc>
            </w:tr>
            <w:tr>
              <w:tc>
                <w:tcPr/>
                <w:p>
                  <w:pPr>
                    <w:pStyle w:val="Compact"/>
                    <w:jc w:val="left"/>
                    <w:jc w:val="center"/>
                  </w:pPr>
                  <w:r>
                    <w:t xml:space="preserve">AD</w:t>
                  </w:r>
                </w:p>
              </w:tc>
              <w:tc>
                <w:tcPr/>
                <w:p>
                  <w:pPr>
                    <w:pStyle w:val="Compact"/>
                    <w:jc w:val="right"/>
                    <w:jc w:val="center"/>
                  </w:pPr>
                  <w:r>
                    <w:t xml:space="preserve">-0.0666</w:t>
                  </w:r>
                </w:p>
              </w:tc>
              <w:tc>
                <w:tcPr/>
                <w:p>
                  <w:pPr>
                    <w:pStyle w:val="Compact"/>
                    <w:jc w:val="right"/>
                    <w:jc w:val="center"/>
                  </w:pPr>
                  <w:r>
                    <w:t xml:space="preserve">-0.0333</w:t>
                  </w:r>
                </w:p>
              </w:tc>
              <w:tc>
                <w:tcPr/>
                <w:p>
                  <w:pPr>
                    <w:pStyle w:val="Compact"/>
                    <w:jc w:val="right"/>
                    <w:jc w:val="center"/>
                  </w:pPr>
                  <w:r>
                    <w:t xml:space="preserve">0.0207</w:t>
                  </w:r>
                </w:p>
              </w:tc>
              <w:tc>
                <w:tcPr/>
                <w:p>
                  <w:pPr>
                    <w:pStyle w:val="Compact"/>
                    <w:jc w:val="right"/>
                    <w:jc w:val="center"/>
                  </w:pPr>
                  <w:r>
                    <w:t xml:space="preserve">-1.61</w:t>
                  </w:r>
                </w:p>
              </w:tc>
              <w:tc>
                <w:tcPr/>
                <w:p>
                  <w:pPr>
                    <w:pStyle w:val="Compact"/>
                    <w:jc w:val="right"/>
                    <w:jc w:val="center"/>
                  </w:pPr>
                  <w:r>
                    <w:t xml:space="preserve">0.206</w:t>
                  </w:r>
                </w:p>
              </w:tc>
              <w:tc>
                <w:tcPr/>
                <w:p>
                  <w:pPr>
                    <w:pStyle w:val="Compact"/>
                  </w:pPr>
                </w:p>
              </w:tc>
            </w:tr>
            <w:tr>
              <w:tc>
                <w:tcPr/>
                <w:p>
                  <w:pPr>
                    <w:pStyle w:val="Compact"/>
                    <w:jc w:val="left"/>
                    <w:jc w:val="center"/>
                  </w:pPr>
                  <w:r>
                    <w:t xml:space="preserve">AB</w:t>
                  </w:r>
                </w:p>
              </w:tc>
              <w:tc>
                <w:tcPr/>
                <w:p>
                  <w:pPr>
                    <w:pStyle w:val="Compact"/>
                    <w:jc w:val="right"/>
                    <w:jc w:val="center"/>
                  </w:pPr>
                  <w:r>
                    <w:t xml:space="preserve">-0.0593</w:t>
                  </w:r>
                </w:p>
              </w:tc>
              <w:tc>
                <w:tcPr/>
                <w:p>
                  <w:pPr>
                    <w:pStyle w:val="Compact"/>
                    <w:jc w:val="right"/>
                    <w:jc w:val="center"/>
                  </w:pPr>
                  <w:r>
                    <w:t xml:space="preserve">-0.0297</w:t>
                  </w:r>
                </w:p>
              </w:tc>
              <w:tc>
                <w:tcPr/>
                <w:p>
                  <w:pPr>
                    <w:pStyle w:val="Compact"/>
                    <w:jc w:val="right"/>
                    <w:jc w:val="center"/>
                  </w:pPr>
                  <w:r>
                    <w:t xml:space="preserve">0.0207</w:t>
                  </w:r>
                </w:p>
              </w:tc>
              <w:tc>
                <w:tcPr/>
                <w:p>
                  <w:pPr>
                    <w:pStyle w:val="Compact"/>
                    <w:jc w:val="right"/>
                    <w:jc w:val="center"/>
                  </w:pPr>
                  <w:r>
                    <w:t xml:space="preserve">-1.43</w:t>
                  </w:r>
                </w:p>
              </w:tc>
              <w:tc>
                <w:tcPr/>
                <w:p>
                  <w:pPr>
                    <w:pStyle w:val="Compact"/>
                    <w:jc w:val="right"/>
                    <w:jc w:val="center"/>
                  </w:pPr>
                  <w:r>
                    <w:t xml:space="preserve">0.248</w:t>
                  </w:r>
                </w:p>
              </w:tc>
              <w:tc>
                <w:tcPr/>
                <w:p>
                  <w:pPr>
                    <w:pStyle w:val="Compact"/>
                  </w:pPr>
                </w:p>
              </w:tc>
            </w:tr>
            <w:tr>
              <w:tc>
                <w:tcPr/>
                <w:p>
                  <w:pPr>
                    <w:pStyle w:val="Compact"/>
                    <w:jc w:val="left"/>
                    <w:jc w:val="center"/>
                  </w:pPr>
                  <w:r>
                    <w:t xml:space="preserve">DE</w:t>
                  </w:r>
                </w:p>
              </w:tc>
              <w:tc>
                <w:tcPr/>
                <w:p>
                  <w:pPr>
                    <w:pStyle w:val="Compact"/>
                    <w:jc w:val="right"/>
                    <w:jc w:val="center"/>
                  </w:pPr>
                  <w:r>
                    <w:t xml:space="preserve">-0.0554</w:t>
                  </w:r>
                </w:p>
              </w:tc>
              <w:tc>
                <w:tcPr/>
                <w:p>
                  <w:pPr>
                    <w:pStyle w:val="Compact"/>
                    <w:jc w:val="right"/>
                    <w:jc w:val="center"/>
                  </w:pPr>
                  <w:r>
                    <w:t xml:space="preserve">-0.0277</w:t>
                  </w:r>
                </w:p>
              </w:tc>
              <w:tc>
                <w:tcPr/>
                <w:p>
                  <w:pPr>
                    <w:pStyle w:val="Compact"/>
                    <w:jc w:val="right"/>
                    <w:jc w:val="center"/>
                  </w:pPr>
                  <w:r>
                    <w:t xml:space="preserve">0.0207</w:t>
                  </w:r>
                </w:p>
              </w:tc>
              <w:tc>
                <w:tcPr/>
                <w:p>
                  <w:pPr>
                    <w:pStyle w:val="Compact"/>
                    <w:jc w:val="right"/>
                    <w:jc w:val="center"/>
                  </w:pPr>
                  <w:r>
                    <w:t xml:space="preserve">-1.34</w:t>
                  </w:r>
                </w:p>
              </w:tc>
              <w:tc>
                <w:tcPr/>
                <w:p>
                  <w:pPr>
                    <w:pStyle w:val="Compact"/>
                    <w:jc w:val="right"/>
                    <w:jc w:val="center"/>
                  </w:pPr>
                  <w:r>
                    <w:t xml:space="preserve">0.274</w:t>
                  </w:r>
                </w:p>
              </w:tc>
              <w:tc>
                <w:tcPr/>
                <w:p>
                  <w:pPr>
                    <w:pStyle w:val="Compact"/>
                  </w:pPr>
                </w:p>
              </w:tc>
            </w:tr>
            <w:tr>
              <w:tc>
                <w:tcPr/>
                <w:p>
                  <w:pPr>
                    <w:pStyle w:val="Compact"/>
                    <w:jc w:val="left"/>
                    <w:jc w:val="center"/>
                  </w:pPr>
                  <w:r>
                    <w:t xml:space="preserve">D</w:t>
                  </w:r>
                </w:p>
              </w:tc>
              <w:tc>
                <w:tcPr/>
                <w:p>
                  <w:pPr>
                    <w:pStyle w:val="Compact"/>
                    <w:jc w:val="right"/>
                    <w:jc w:val="center"/>
                  </w:pPr>
                  <w:r>
                    <w:t xml:space="preserve">-0.0548</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BD</w:t>
                  </w:r>
                </w:p>
              </w:tc>
              <w:tc>
                <w:tcPr/>
                <w:p>
                  <w:pPr>
                    <w:pStyle w:val="Compact"/>
                    <w:jc w:val="right"/>
                    <w:jc w:val="center"/>
                  </w:pPr>
                  <w:r>
                    <w:t xml:space="preserve">-0.0547</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AE</w:t>
                  </w:r>
                </w:p>
              </w:tc>
              <w:tc>
                <w:tcPr/>
                <w:p>
                  <w:pPr>
                    <w:pStyle w:val="Compact"/>
                    <w:jc w:val="right"/>
                    <w:jc w:val="center"/>
                  </w:pPr>
                  <w:r>
                    <w:t xml:space="preserve">0.0416</w:t>
                  </w:r>
                </w:p>
              </w:tc>
              <w:tc>
                <w:tcPr/>
                <w:p>
                  <w:pPr>
                    <w:pStyle w:val="Compact"/>
                    <w:jc w:val="right"/>
                    <w:jc w:val="center"/>
                  </w:pPr>
                  <w:r>
                    <w:t xml:space="preserve">0.0208</w:t>
                  </w:r>
                </w:p>
              </w:tc>
              <w:tc>
                <w:tcPr/>
                <w:p>
                  <w:pPr>
                    <w:pStyle w:val="Compact"/>
                    <w:jc w:val="right"/>
                    <w:jc w:val="center"/>
                  </w:pPr>
                  <w:r>
                    <w:t xml:space="preserve">0.0207</w:t>
                  </w:r>
                </w:p>
              </w:tc>
              <w:tc>
                <w:tcPr/>
                <w:p>
                  <w:pPr>
                    <w:pStyle w:val="Compact"/>
                    <w:jc w:val="right"/>
                    <w:jc w:val="center"/>
                  </w:pPr>
                  <w:r>
                    <w:t xml:space="preserve">1</w:t>
                  </w:r>
                </w:p>
              </w:tc>
              <w:tc>
                <w:tcPr/>
                <w:p>
                  <w:pPr>
                    <w:pStyle w:val="Compact"/>
                    <w:jc w:val="right"/>
                    <w:jc w:val="center"/>
                  </w:pPr>
                  <w:r>
                    <w:t xml:space="preserve">0.39</w:t>
                  </w:r>
                </w:p>
              </w:tc>
              <w:tc>
                <w:tcPr/>
                <w:p>
                  <w:pPr>
                    <w:pStyle w:val="Compact"/>
                  </w:pPr>
                </w:p>
              </w:tc>
            </w:tr>
            <w:tr>
              <w:tc>
                <w:tcPr/>
                <w:p>
                  <w:pPr>
                    <w:pStyle w:val="Compact"/>
                    <w:jc w:val="left"/>
                    <w:jc w:val="center"/>
                  </w:pPr>
                  <w:r>
                    <w:t xml:space="preserve">BC</w:t>
                  </w:r>
                </w:p>
              </w:tc>
              <w:tc>
                <w:tcPr/>
                <w:p>
                  <w:pPr>
                    <w:pStyle w:val="Compact"/>
                    <w:jc w:val="right"/>
                    <w:jc w:val="center"/>
                  </w:pPr>
                  <w:r>
                    <w:t xml:space="preserve">-0.0235</w:t>
                  </w:r>
                </w:p>
              </w:tc>
              <w:tc>
                <w:tcPr/>
                <w:p>
                  <w:pPr>
                    <w:pStyle w:val="Compact"/>
                    <w:jc w:val="right"/>
                    <w:jc w:val="center"/>
                  </w:pPr>
                  <w:r>
                    <w:t xml:space="preserve">-0.0118</w:t>
                  </w:r>
                </w:p>
              </w:tc>
              <w:tc>
                <w:tcPr/>
                <w:p>
                  <w:pPr>
                    <w:pStyle w:val="Compact"/>
                    <w:jc w:val="right"/>
                    <w:jc w:val="center"/>
                  </w:pPr>
                  <w:r>
                    <w:t xml:space="preserve">0.0207</w:t>
                  </w:r>
                </w:p>
              </w:tc>
              <w:tc>
                <w:tcPr/>
                <w:p>
                  <w:pPr>
                    <w:pStyle w:val="Compact"/>
                    <w:jc w:val="right"/>
                    <w:jc w:val="center"/>
                  </w:pPr>
                  <w:r>
                    <w:t xml:space="preserve">-0.567</w:t>
                  </w:r>
                </w:p>
              </w:tc>
              <w:tc>
                <w:tcPr/>
                <w:p>
                  <w:pPr>
                    <w:pStyle w:val="Compact"/>
                    <w:jc w:val="right"/>
                    <w:jc w:val="center"/>
                  </w:pPr>
                  <w:r>
                    <w:t xml:space="preserve">0.61</w:t>
                  </w:r>
                </w:p>
              </w:tc>
              <w:tc>
                <w:tcPr/>
                <w:p>
                  <w:pPr>
                    <w:pStyle w:val="Compact"/>
                  </w:pPr>
                </w:p>
              </w:tc>
            </w:tr>
            <w:tr>
              <w:tc>
                <w:tcPr/>
                <w:p>
                  <w:pPr>
                    <w:pStyle w:val="Compact"/>
                    <w:jc w:val="left"/>
                    <w:jc w:val="center"/>
                  </w:pPr>
                  <w:r>
                    <w:t xml:space="preserve">CE</w:t>
                  </w:r>
                </w:p>
              </w:tc>
              <w:tc>
                <w:tcPr/>
                <w:p>
                  <w:pPr>
                    <w:pStyle w:val="Compact"/>
                    <w:jc w:val="right"/>
                    <w:jc w:val="center"/>
                  </w:pPr>
                  <w:r>
                    <w:t xml:space="preserve">0.0222</w:t>
                  </w:r>
                </w:p>
              </w:tc>
              <w:tc>
                <w:tcPr/>
                <w:p>
                  <w:pPr>
                    <w:pStyle w:val="Compact"/>
                    <w:jc w:val="right"/>
                    <w:jc w:val="center"/>
                  </w:pPr>
                  <w:r>
                    <w:t xml:space="preserve">0.0111</w:t>
                  </w:r>
                </w:p>
              </w:tc>
              <w:tc>
                <w:tcPr/>
                <w:p>
                  <w:pPr>
                    <w:pStyle w:val="Compact"/>
                    <w:jc w:val="right"/>
                    <w:jc w:val="center"/>
                  </w:pPr>
                  <w:r>
                    <w:t xml:space="preserve">0.0207</w:t>
                  </w:r>
                </w:p>
              </w:tc>
              <w:tc>
                <w:tcPr/>
                <w:p>
                  <w:pPr>
                    <w:pStyle w:val="Compact"/>
                    <w:jc w:val="right"/>
                    <w:jc w:val="center"/>
                  </w:pPr>
                  <w:r>
                    <w:t xml:space="preserve">0.537</w:t>
                  </w:r>
                </w:p>
              </w:tc>
              <w:tc>
                <w:tcPr/>
                <w:p>
                  <w:pPr>
                    <w:pStyle w:val="Compact"/>
                    <w:jc w:val="right"/>
                    <w:jc w:val="center"/>
                  </w:pPr>
                  <w:r>
                    <w:t xml:space="preserve">0.629</w:t>
                  </w:r>
                </w:p>
              </w:tc>
              <w:tc>
                <w:tcPr/>
                <w:p>
                  <w:pPr>
                    <w:pStyle w:val="Compact"/>
                  </w:pPr>
                </w:p>
              </w:tc>
            </w:tr>
            <w:tr>
              <w:tc>
                <w:tcPr/>
                <w:p>
                  <w:pPr>
                    <w:pStyle w:val="Compact"/>
                    <w:jc w:val="left"/>
                    <w:jc w:val="center"/>
                  </w:pPr>
                  <w:r>
                    <w:t xml:space="preserve">B</w:t>
                  </w:r>
                </w:p>
              </w:tc>
              <w:tc>
                <w:tcPr/>
                <w:p>
                  <w:pPr>
                    <w:pStyle w:val="Compact"/>
                    <w:jc w:val="right"/>
                    <w:jc w:val="center"/>
                  </w:pPr>
                  <w:r>
                    <w:t xml:space="preserve">-0.00671</w:t>
                  </w:r>
                </w:p>
              </w:tc>
              <w:tc>
                <w:tcPr/>
                <w:p>
                  <w:pPr>
                    <w:pStyle w:val="Compact"/>
                    <w:jc w:val="right"/>
                    <w:jc w:val="center"/>
                  </w:pPr>
                  <w:r>
                    <w:t xml:space="preserve">-0.00336</w:t>
                  </w:r>
                </w:p>
              </w:tc>
              <w:tc>
                <w:tcPr/>
                <w:p>
                  <w:pPr>
                    <w:pStyle w:val="Compact"/>
                    <w:jc w:val="right"/>
                    <w:jc w:val="center"/>
                  </w:pPr>
                  <w:r>
                    <w:t xml:space="preserve">0.0207</w:t>
                  </w:r>
                </w:p>
              </w:tc>
              <w:tc>
                <w:tcPr/>
                <w:p>
                  <w:pPr>
                    <w:pStyle w:val="Compact"/>
                    <w:jc w:val="right"/>
                    <w:jc w:val="center"/>
                  </w:pPr>
                  <w:r>
                    <w:t xml:space="preserve">-0.162</w:t>
                  </w:r>
                </w:p>
              </w:tc>
              <w:tc>
                <w:tcPr/>
                <w:p>
                  <w:pPr>
                    <w:pStyle w:val="Compact"/>
                    <w:jc w:val="right"/>
                    <w:jc w:val="center"/>
                  </w:pPr>
                  <w:r>
                    <w:t xml:space="preserve">0.882</w:t>
                  </w:r>
                </w:p>
              </w:tc>
              <w:tc>
                <w:tcPr/>
                <w:p>
                  <w:pPr>
                    <w:pStyle w:val="Compact"/>
                  </w:pPr>
                </w:p>
              </w:tc>
            </w:tr>
            <w:tr>
              <w:tc>
                <w:tcPr/>
                <w:p>
                  <w:pPr>
                    <w:pStyle w:val="Compact"/>
                    <w:jc w:val="left"/>
                    <w:jc w:val="center"/>
                  </w:pPr>
                  <w:r>
                    <w:t xml:space="preserve">AC</w:t>
                  </w:r>
                </w:p>
              </w:tc>
              <w:tc>
                <w:tcPr/>
                <w:p>
                  <w:pPr>
                    <w:pStyle w:val="Compact"/>
                    <w:jc w:val="right"/>
                    <w:jc w:val="center"/>
                  </w:pPr>
                  <w:r>
                    <w:t xml:space="preserve">-0.00663</w:t>
                  </w:r>
                </w:p>
              </w:tc>
              <w:tc>
                <w:tcPr/>
                <w:p>
                  <w:pPr>
                    <w:pStyle w:val="Compact"/>
                    <w:jc w:val="right"/>
                    <w:jc w:val="center"/>
                  </w:pPr>
                  <w:r>
                    <w:t xml:space="preserve">-0.00332</w:t>
                  </w:r>
                </w:p>
              </w:tc>
              <w:tc>
                <w:tcPr/>
                <w:p>
                  <w:pPr>
                    <w:pStyle w:val="Compact"/>
                    <w:jc w:val="right"/>
                    <w:jc w:val="center"/>
                  </w:pPr>
                  <w:r>
                    <w:t xml:space="preserve">0.0207</w:t>
                  </w:r>
                </w:p>
              </w:tc>
              <w:tc>
                <w:tcPr/>
                <w:p>
                  <w:pPr>
                    <w:pStyle w:val="Compact"/>
                    <w:jc w:val="right"/>
                    <w:jc w:val="center"/>
                  </w:pPr>
                  <w:r>
                    <w:t xml:space="preserve">-0.16</w:t>
                  </w:r>
                </w:p>
              </w:tc>
              <w:tc>
                <w:tcPr/>
                <w:p>
                  <w:pPr>
                    <w:pStyle w:val="Compact"/>
                    <w:jc w:val="right"/>
                    <w:jc w:val="center"/>
                  </w:pPr>
                  <w:r>
                    <w:t xml:space="preserve">0.883</w:t>
                  </w:r>
                </w:p>
              </w:tc>
              <w:tc>
                <w:tcPr/>
                <w:p>
                  <w:pPr>
                    <w:pStyle w:val="Compact"/>
                  </w:pPr>
                </w:p>
              </w:tc>
            </w:tr>
          </w:tbl>
          <w:bookmarkEnd w:id="1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tbl-appc-rsm-afucosylation"/>
          <w:p>
            <w:pPr>
              <w:jc w:val="center"/>
            </w:pPr>
            <w:pPr>
              <w:jc w:val="left"/>
              <w:spacing w:before="200"/>
              <w:pStyle w:val="ImageCaption"/>
            </w:pPr>
            <w:r>
              <w:t xml:space="preserve">Table 33: Complete response-surface coefficient table for afucosylation.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8.04</w:t>
                  </w:r>
                </w:p>
              </w:tc>
              <w:tc>
                <w:tcPr/>
                <w:p>
                  <w:pPr>
                    <w:pStyle w:val="Compact"/>
                    <w:jc w:val="right"/>
                    <w:jc w:val="center"/>
                  </w:pPr>
                  <w:r>
                    <w:t xml:space="preserve">0.202</w:t>
                  </w:r>
                </w:p>
              </w:tc>
              <w:tc>
                <w:tcPr/>
                <w:p>
                  <w:pPr>
                    <w:pStyle w:val="Compact"/>
                    <w:jc w:val="right"/>
                    <w:jc w:val="center"/>
                  </w:pPr>
                  <w:r>
                    <w:t xml:space="preserve">39.8</w:t>
                  </w:r>
                </w:p>
              </w:tc>
              <w:tc>
                <w:tcPr/>
                <w:p>
                  <w:pPr>
                    <w:pStyle w:val="Compact"/>
                    <w:jc w:val="right"/>
                    <w:jc w:val="center"/>
                  </w:pPr>
                  <w:r>
                    <w:t xml:space="preserve">5.74e-15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-0.997</w:t>
                  </w:r>
                </w:p>
              </w:tc>
              <w:tc>
                <w:tcPr/>
                <w:p>
                  <w:pPr>
                    <w:pStyle w:val="Compact"/>
                    <w:jc w:val="right"/>
                    <w:jc w:val="center"/>
                  </w:pPr>
                  <w:r>
                    <w:t xml:space="preserve">0.138</w:t>
                  </w:r>
                </w:p>
              </w:tc>
              <w:tc>
                <w:tcPr/>
                <w:p>
                  <w:pPr>
                    <w:pStyle w:val="Compact"/>
                    <w:jc w:val="right"/>
                    <w:jc w:val="center"/>
                  </w:pPr>
                  <w:r>
                    <w:t xml:space="preserve">-7.24</w:t>
                  </w:r>
                </w:p>
              </w:tc>
              <w:tc>
                <w:tcPr/>
                <w:p>
                  <w:pPr>
                    <w:pStyle w:val="Compact"/>
                    <w:jc w:val="right"/>
                    <w:jc w:val="center"/>
                  </w:pPr>
                  <w:r>
                    <w:t xml:space="preserve">6.52e-06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-0.551</w:t>
                  </w:r>
                </w:p>
              </w:tc>
              <w:tc>
                <w:tcPr/>
                <w:p>
                  <w:pPr>
                    <w:pStyle w:val="Compact"/>
                    <w:jc w:val="right"/>
                    <w:jc w:val="center"/>
                  </w:pPr>
                  <w:r>
                    <w:t xml:space="preserve">0.138</w:t>
                  </w:r>
                </w:p>
              </w:tc>
              <w:tc>
                <w:tcPr/>
                <w:p>
                  <w:pPr>
                    <w:pStyle w:val="Compact"/>
                    <w:jc w:val="right"/>
                    <w:jc w:val="center"/>
                  </w:pPr>
                  <w:r>
                    <w:t xml:space="preserve">-4</w:t>
                  </w:r>
                </w:p>
              </w:tc>
              <w:tc>
                <w:tcPr/>
                <w:p>
                  <w:pPr>
                    <w:pStyle w:val="Compact"/>
                    <w:jc w:val="right"/>
                    <w:jc w:val="center"/>
                  </w:pPr>
                  <w:r>
                    <w:t xml:space="preserve">0.00151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-1.3</w:t>
                  </w:r>
                </w:p>
              </w:tc>
              <w:tc>
                <w:tcPr/>
                <w:p>
                  <w:pPr>
                    <w:pStyle w:val="Compact"/>
                    <w:jc w:val="right"/>
                    <w:jc w:val="center"/>
                  </w:pPr>
                  <w:r>
                    <w:t xml:space="preserve">0.138</w:t>
                  </w:r>
                </w:p>
              </w:tc>
              <w:tc>
                <w:tcPr/>
                <w:p>
                  <w:pPr>
                    <w:pStyle w:val="Compact"/>
                    <w:jc w:val="right"/>
                    <w:jc w:val="center"/>
                  </w:pPr>
                  <w:r>
                    <w:t xml:space="preserve">-9.45</w:t>
                  </w:r>
                </w:p>
              </w:tc>
              <w:tc>
                <w:tcPr/>
                <w:p>
                  <w:pPr>
                    <w:pStyle w:val="Compact"/>
                    <w:jc w:val="right"/>
                    <w:jc w:val="center"/>
                  </w:pPr>
                  <w:r>
                    <w:t xml:space="preserve">3.45e-07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-0.367</w:t>
                  </w:r>
                </w:p>
              </w:tc>
              <w:tc>
                <w:tcPr/>
                <w:p>
                  <w:pPr>
                    <w:pStyle w:val="Compact"/>
                    <w:jc w:val="right"/>
                    <w:jc w:val="center"/>
                  </w:pPr>
                  <w:r>
                    <w:t xml:space="preserve">0.138</w:t>
                  </w:r>
                </w:p>
              </w:tc>
              <w:tc>
                <w:tcPr/>
                <w:p>
                  <w:pPr>
                    <w:pStyle w:val="Compact"/>
                    <w:jc w:val="right"/>
                    <w:jc w:val="center"/>
                  </w:pPr>
                  <w:r>
                    <w:t xml:space="preserve">-2.67</w:t>
                  </w:r>
                </w:p>
              </w:tc>
              <w:tc>
                <w:tcPr/>
                <w:p>
                  <w:pPr>
                    <w:pStyle w:val="Compact"/>
                    <w:jc w:val="right"/>
                    <w:jc w:val="center"/>
                  </w:pPr>
                  <w:r>
                    <w:t xml:space="preserve">0.0194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-0.63</w:t>
                  </w:r>
                </w:p>
              </w:tc>
              <w:tc>
                <w:tcPr/>
                <w:p>
                  <w:pPr>
                    <w:pStyle w:val="Compact"/>
                    <w:jc w:val="right"/>
                    <w:jc w:val="center"/>
                  </w:pPr>
                  <w:r>
                    <w:t xml:space="preserve">0.146</w:t>
                  </w:r>
                </w:p>
              </w:tc>
              <w:tc>
                <w:tcPr/>
                <w:p>
                  <w:pPr>
                    <w:pStyle w:val="Compact"/>
                    <w:jc w:val="right"/>
                    <w:jc w:val="center"/>
                  </w:pPr>
                  <w:r>
                    <w:t xml:space="preserve">-4.32</w:t>
                  </w:r>
                </w:p>
              </w:tc>
              <w:tc>
                <w:tcPr/>
                <w:p>
                  <w:pPr>
                    <w:pStyle w:val="Compact"/>
                    <w:jc w:val="right"/>
                    <w:jc w:val="center"/>
                  </w:pPr>
                  <w:r>
                    <w:t xml:space="preserve">0.000837</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1.32</w:t>
                  </w:r>
                </w:p>
              </w:tc>
              <w:tc>
                <w:tcPr/>
                <w:p>
                  <w:pPr>
                    <w:pStyle w:val="Compact"/>
                    <w:jc w:val="right"/>
                    <w:jc w:val="center"/>
                  </w:pPr>
                  <w:r>
                    <w:t xml:space="preserve">0.146</w:t>
                  </w:r>
                </w:p>
              </w:tc>
              <w:tc>
                <w:tcPr/>
                <w:p>
                  <w:pPr>
                    <w:pStyle w:val="Compact"/>
                    <w:jc w:val="right"/>
                    <w:jc w:val="center"/>
                  </w:pPr>
                  <w:r>
                    <w:t xml:space="preserve">9.06</w:t>
                  </w:r>
                </w:p>
              </w:tc>
              <w:tc>
                <w:tcPr/>
                <w:p>
                  <w:pPr>
                    <w:pStyle w:val="Compact"/>
                    <w:jc w:val="right"/>
                    <w:jc w:val="center"/>
                  </w:pPr>
                  <w:r>
                    <w:t xml:space="preserve">5.6e-07</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-0.907</w:t>
                  </w:r>
                </w:p>
              </w:tc>
              <w:tc>
                <w:tcPr/>
                <w:p>
                  <w:pPr>
                    <w:pStyle w:val="Compact"/>
                    <w:jc w:val="right"/>
                    <w:jc w:val="center"/>
                  </w:pPr>
                  <w:r>
                    <w:t xml:space="preserve">0.146</w:t>
                  </w:r>
                </w:p>
              </w:tc>
              <w:tc>
                <w:tcPr/>
                <w:p>
                  <w:pPr>
                    <w:pStyle w:val="Compact"/>
                    <w:jc w:val="right"/>
                    <w:jc w:val="center"/>
                  </w:pPr>
                  <w:r>
                    <w:t xml:space="preserve">-6.21</w:t>
                  </w:r>
                </w:p>
              </w:tc>
              <w:tc>
                <w:tcPr/>
                <w:p>
                  <w:pPr>
                    <w:pStyle w:val="Compact"/>
                    <w:jc w:val="right"/>
                    <w:jc w:val="center"/>
                  </w:pPr>
                  <w:r>
                    <w:t xml:space="preserve">3.16e-05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0.146</w:t>
                  </w:r>
                </w:p>
              </w:tc>
              <w:tc>
                <w:tcPr/>
                <w:p>
                  <w:pPr>
                    <w:pStyle w:val="Compact"/>
                    <w:jc w:val="right"/>
                    <w:jc w:val="center"/>
                  </w:pPr>
                  <w:r>
                    <w:t xml:space="preserve">2.48</w:t>
                  </w:r>
                </w:p>
              </w:tc>
              <w:tc>
                <w:tcPr/>
                <w:p>
                  <w:pPr>
                    <w:pStyle w:val="Compact"/>
                    <w:jc w:val="right"/>
                    <w:jc w:val="center"/>
                  </w:pPr>
                  <w:r>
                    <w:t xml:space="preserve">0.0277</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-0.0703</w:t>
                  </w:r>
                </w:p>
              </w:tc>
              <w:tc>
                <w:tcPr/>
                <w:p>
                  <w:pPr>
                    <w:pStyle w:val="Compact"/>
                    <w:jc w:val="right"/>
                    <w:jc w:val="center"/>
                  </w:pPr>
                  <w:r>
                    <w:t xml:space="preserve">0.146</w:t>
                  </w:r>
                </w:p>
              </w:tc>
              <w:tc>
                <w:tcPr/>
                <w:p>
                  <w:pPr>
                    <w:pStyle w:val="Compact"/>
                    <w:jc w:val="right"/>
                    <w:jc w:val="center"/>
                  </w:pPr>
                  <w:r>
                    <w:t xml:space="preserve">-0.481</w:t>
                  </w:r>
                </w:p>
              </w:tc>
              <w:tc>
                <w:tcPr/>
                <w:p>
                  <w:pPr>
                    <w:pStyle w:val="Compact"/>
                    <w:jc w:val="right"/>
                    <w:jc w:val="center"/>
                  </w:pPr>
                  <w:r>
                    <w:t xml:space="preserve">0.638</w:t>
                  </w:r>
                </w:p>
              </w:tc>
              <w:tc>
                <w:tcPr/>
                <w:p>
                  <w:pPr>
                    <w:pStyle w:val="Compact"/>
                  </w:pPr>
                </w:p>
              </w:tc>
            </w:tr>
            <w:tr>
              <w:tc>
                <w:tcPr/>
                <w:p>
                  <w:pPr>
                    <w:pStyle w:val="Compact"/>
                    <w:jc w:val="left"/>
                    <w:jc w:val="center"/>
                  </w:pPr>
                  <w:r>
                    <w:t xml:space="preserve">EC</w:t>
                  </w:r>
                </w:p>
              </w:tc>
              <w:tc>
                <w:tcPr/>
                <w:p>
                  <w:pPr>
                    <w:pStyle w:val="Compact"/>
                    <w:jc w:val="right"/>
                    <w:jc w:val="center"/>
                  </w:pPr>
                  <w:r>
                    <w:t xml:space="preserve">0.0322</w:t>
                  </w:r>
                </w:p>
              </w:tc>
              <w:tc>
                <w:tcPr/>
                <w:p>
                  <w:pPr>
                    <w:pStyle w:val="Compact"/>
                    <w:jc w:val="right"/>
                    <w:jc w:val="center"/>
                  </w:pPr>
                  <w:r>
                    <w:t xml:space="preserve">0.146</w:t>
                  </w:r>
                </w:p>
              </w:tc>
              <w:tc>
                <w:tcPr/>
                <w:p>
                  <w:pPr>
                    <w:pStyle w:val="Compact"/>
                    <w:jc w:val="right"/>
                    <w:jc w:val="center"/>
                  </w:pPr>
                  <w:r>
                    <w:t xml:space="preserve">0.221</w:t>
                  </w:r>
                </w:p>
              </w:tc>
              <w:tc>
                <w:tcPr/>
                <w:p>
                  <w:pPr>
                    <w:pStyle w:val="Compact"/>
                    <w:jc w:val="right"/>
                    <w:jc w:val="center"/>
                  </w:pPr>
                  <w:r>
                    <w:t xml:space="preserve">0.829</w:t>
                  </w:r>
                </w:p>
              </w:tc>
              <w:tc>
                <w:tcPr/>
                <w:p>
                  <w:pPr>
                    <w:pStyle w:val="Compact"/>
                  </w:pPr>
                </w:p>
              </w:tc>
            </w:tr>
            <w:tr>
              <w:tc>
                <w:tcPr/>
                <w:p>
                  <w:pPr>
                    <w:pStyle w:val="Compact"/>
                    <w:jc w:val="left"/>
                    <w:jc w:val="center"/>
                  </w:pPr>
                  <w:r>
                    <w:t xml:space="preserve">A²</w:t>
                  </w:r>
                </w:p>
              </w:tc>
              <w:tc>
                <w:tcPr/>
                <w:p>
                  <w:pPr>
                    <w:pStyle w:val="Compact"/>
                    <w:jc w:val="right"/>
                    <w:jc w:val="center"/>
                  </w:pPr>
                  <w:r>
                    <w:t xml:space="preserve">-1.37</w:t>
                  </w:r>
                </w:p>
              </w:tc>
              <w:tc>
                <w:tcPr/>
                <w:p>
                  <w:pPr>
                    <w:pStyle w:val="Compact"/>
                    <w:jc w:val="right"/>
                    <w:jc w:val="center"/>
                  </w:pPr>
                  <w:r>
                    <w:t xml:space="preserve">0.364</w:t>
                  </w:r>
                </w:p>
              </w:tc>
              <w:tc>
                <w:tcPr/>
                <w:p>
                  <w:pPr>
                    <w:pStyle w:val="Compact"/>
                    <w:jc w:val="right"/>
                    <w:jc w:val="center"/>
                  </w:pPr>
                  <w:r>
                    <w:t xml:space="preserve">-3.77</w:t>
                  </w:r>
                </w:p>
              </w:tc>
              <w:tc>
                <w:tcPr/>
                <w:p>
                  <w:pPr>
                    <w:pStyle w:val="Compact"/>
                    <w:jc w:val="right"/>
                    <w:jc w:val="center"/>
                  </w:pPr>
                  <w:r>
                    <w:t xml:space="preserve">0.00233</w:t>
                  </w:r>
                </w:p>
              </w:tc>
              <w:tc>
                <w:tcPr/>
                <w:p>
                  <w:pPr>
                    <w:pStyle w:val="Compact"/>
                    <w:jc w:val="left"/>
                    <w:jc w:val="center"/>
                  </w:pPr>
                  <w:r>
                    <w:t xml:space="preserve">**</w:t>
                  </w:r>
                </w:p>
              </w:tc>
            </w:tr>
            <w:tr>
              <w:tc>
                <w:tcPr/>
                <w:p>
                  <w:pPr>
                    <w:pStyle w:val="Compact"/>
                    <w:jc w:val="left"/>
                    <w:jc w:val="center"/>
                  </w:pPr>
                  <w:r>
                    <w:t xml:space="preserve">B²</w:t>
                  </w:r>
                </w:p>
              </w:tc>
              <w:tc>
                <w:tcPr/>
                <w:p>
                  <w:pPr>
                    <w:pStyle w:val="Compact"/>
                    <w:jc w:val="right"/>
                    <w:jc w:val="center"/>
                  </w:pPr>
                  <w:r>
                    <w:t xml:space="preserve">-0.157</w:t>
                  </w:r>
                </w:p>
              </w:tc>
              <w:tc>
                <w:tcPr/>
                <w:p>
                  <w:pPr>
                    <w:pStyle w:val="Compact"/>
                    <w:jc w:val="right"/>
                    <w:jc w:val="center"/>
                  </w:pPr>
                  <w:r>
                    <w:t xml:space="preserve">0.364</w:t>
                  </w:r>
                </w:p>
              </w:tc>
              <w:tc>
                <w:tcPr/>
                <w:p>
                  <w:pPr>
                    <w:pStyle w:val="Compact"/>
                    <w:jc w:val="right"/>
                    <w:jc w:val="center"/>
                  </w:pPr>
                  <w:r>
                    <w:t xml:space="preserve">-0.431</w:t>
                  </w:r>
                </w:p>
              </w:tc>
              <w:tc>
                <w:tcPr/>
                <w:p>
                  <w:pPr>
                    <w:pStyle w:val="Compact"/>
                    <w:jc w:val="right"/>
                    <w:jc w:val="center"/>
                  </w:pPr>
                  <w:r>
                    <w:t xml:space="preserve">0.673</w:t>
                  </w:r>
                </w:p>
              </w:tc>
              <w:tc>
                <w:tcPr/>
                <w:p>
                  <w:pPr>
                    <w:pStyle w:val="Compact"/>
                  </w:pPr>
                </w:p>
              </w:tc>
            </w:tr>
            <w:tr>
              <w:tc>
                <w:tcPr/>
                <w:p>
                  <w:pPr>
                    <w:pStyle w:val="Compact"/>
                    <w:jc w:val="left"/>
                    <w:jc w:val="center"/>
                  </w:pPr>
                  <w:r>
                    <w:t xml:space="preserve">E²</w:t>
                  </w:r>
                </w:p>
              </w:tc>
              <w:tc>
                <w:tcPr/>
                <w:p>
                  <w:pPr>
                    <w:pStyle w:val="Compact"/>
                    <w:jc w:val="right"/>
                    <w:jc w:val="center"/>
                  </w:pPr>
                  <w:r>
                    <w:t xml:space="preserve">0.257</w:t>
                  </w:r>
                </w:p>
              </w:tc>
              <w:tc>
                <w:tcPr/>
                <w:p>
                  <w:pPr>
                    <w:pStyle w:val="Compact"/>
                    <w:jc w:val="right"/>
                    <w:jc w:val="center"/>
                  </w:pPr>
                  <w:r>
                    <w:t xml:space="preserve">0.364</w:t>
                  </w:r>
                </w:p>
              </w:tc>
              <w:tc>
                <w:tcPr/>
                <w:p>
                  <w:pPr>
                    <w:pStyle w:val="Compact"/>
                    <w:jc w:val="right"/>
                    <w:jc w:val="center"/>
                  </w:pPr>
                  <w:r>
                    <w:t xml:space="preserve">0.705</w:t>
                  </w:r>
                </w:p>
              </w:tc>
              <w:tc>
                <w:tcPr/>
                <w:p>
                  <w:pPr>
                    <w:pStyle w:val="Compact"/>
                    <w:jc w:val="right"/>
                    <w:jc w:val="center"/>
                  </w:pPr>
                  <w:r>
                    <w:t xml:space="preserve">0.493</w:t>
                  </w:r>
                </w:p>
              </w:tc>
              <w:tc>
                <w:tcPr/>
                <w:p>
                  <w:pPr>
                    <w:pStyle w:val="Compact"/>
                  </w:pPr>
                </w:p>
              </w:tc>
            </w:tr>
            <w:tr>
              <w:tc>
                <w:tcPr/>
                <w:p>
                  <w:pPr>
                    <w:pStyle w:val="Compact"/>
                    <w:jc w:val="left"/>
                    <w:jc w:val="center"/>
                  </w:pPr>
                  <w:r>
                    <w:t xml:space="preserve">C²</w:t>
                  </w:r>
                </w:p>
              </w:tc>
              <w:tc>
                <w:tcPr/>
                <w:p>
                  <w:pPr>
                    <w:pStyle w:val="Compact"/>
                    <w:jc w:val="right"/>
                    <w:jc w:val="center"/>
                  </w:pPr>
                  <w:r>
                    <w:t xml:space="preserve">0.117</w:t>
                  </w:r>
                </w:p>
              </w:tc>
              <w:tc>
                <w:tcPr/>
                <w:p>
                  <w:pPr>
                    <w:pStyle w:val="Compact"/>
                    <w:jc w:val="right"/>
                    <w:jc w:val="center"/>
                  </w:pPr>
                  <w:r>
                    <w:t xml:space="preserve">0.364</w:t>
                  </w:r>
                </w:p>
              </w:tc>
              <w:tc>
                <w:tcPr/>
                <w:p>
                  <w:pPr>
                    <w:pStyle w:val="Compact"/>
                    <w:jc w:val="right"/>
                    <w:jc w:val="center"/>
                  </w:pPr>
                  <w:r>
                    <w:t xml:space="preserve">0.323</w:t>
                  </w:r>
                </w:p>
              </w:tc>
              <w:tc>
                <w:tcPr/>
                <w:p>
                  <w:pPr>
                    <w:pStyle w:val="Compact"/>
                    <w:jc w:val="right"/>
                    <w:jc w:val="center"/>
                  </w:pPr>
                  <w:r>
                    <w:t xml:space="preserve">0.752</w:t>
                  </w:r>
                </w:p>
              </w:tc>
              <w:tc>
                <w:tcPr/>
                <w:p>
                  <w:pPr>
                    <w:pStyle w:val="Compact"/>
                  </w:pPr>
                </w:p>
              </w:tc>
            </w:tr>
          </w:tbl>
          <w:bookmarkEnd w:id="1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tbl-appc-rsm-acidic-variants"/>
          <w:p>
            <w:pPr>
              <w:jc w:val="center"/>
            </w:pPr>
            <w:pPr>
              <w:jc w:val="left"/>
              <w:spacing w:before="200"/>
              <w:pStyle w:val="ImageCaption"/>
            </w:pPr>
            <w:r>
              <w:t xml:space="preserve">Table 34: Complete response-surface coefficient table for acidic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22</w:t>
                  </w:r>
                </w:p>
              </w:tc>
              <w:tc>
                <w:tcPr/>
                <w:p>
                  <w:pPr>
                    <w:pStyle w:val="Compact"/>
                    <w:jc w:val="right"/>
                    <w:jc w:val="center"/>
                  </w:pPr>
                  <w:r>
                    <w:t xml:space="preserve">0.542</w:t>
                  </w:r>
                </w:p>
              </w:tc>
              <w:tc>
                <w:tcPr/>
                <w:p>
                  <w:pPr>
                    <w:pStyle w:val="Compact"/>
                    <w:jc w:val="right"/>
                    <w:jc w:val="center"/>
                  </w:pPr>
                  <w:r>
                    <w:t xml:space="preserve">40.6</w:t>
                  </w:r>
                </w:p>
              </w:tc>
              <w:tc>
                <w:tcPr/>
                <w:p>
                  <w:pPr>
                    <w:pStyle w:val="Compact"/>
                    <w:jc w:val="right"/>
                    <w:jc w:val="center"/>
                  </w:pPr>
                  <w:r>
                    <w:t xml:space="preserve">4.43e-15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-2.01</w:t>
                  </w:r>
                </w:p>
              </w:tc>
              <w:tc>
                <w:tcPr/>
                <w:p>
                  <w:pPr>
                    <w:pStyle w:val="Compact"/>
                    <w:jc w:val="right"/>
                    <w:jc w:val="center"/>
                  </w:pPr>
                  <w:r>
                    <w:t xml:space="preserve">0.369</w:t>
                  </w:r>
                </w:p>
              </w:tc>
              <w:tc>
                <w:tcPr/>
                <w:p>
                  <w:pPr>
                    <w:pStyle w:val="Compact"/>
                    <w:jc w:val="right"/>
                    <w:jc w:val="center"/>
                  </w:pPr>
                  <w:r>
                    <w:t xml:space="preserve">-5.44</w:t>
                  </w:r>
                </w:p>
              </w:tc>
              <w:tc>
                <w:tcPr/>
                <w:p>
                  <w:pPr>
                    <w:pStyle w:val="Compact"/>
                    <w:jc w:val="right"/>
                    <w:jc w:val="center"/>
                  </w:pPr>
                  <w:r>
                    <w:t xml:space="preserve">0.000113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1.9</w:t>
                  </w:r>
                </w:p>
              </w:tc>
              <w:tc>
                <w:tcPr/>
                <w:p>
                  <w:pPr>
                    <w:pStyle w:val="Compact"/>
                    <w:jc w:val="right"/>
                    <w:jc w:val="center"/>
                  </w:pPr>
                  <w:r>
                    <w:t xml:space="preserve">0.369</w:t>
                  </w:r>
                </w:p>
              </w:tc>
              <w:tc>
                <w:tcPr/>
                <w:p>
                  <w:pPr>
                    <w:pStyle w:val="Compact"/>
                    <w:jc w:val="right"/>
                    <w:jc w:val="center"/>
                  </w:pPr>
                  <w:r>
                    <w:t xml:space="preserve">5.14</w:t>
                  </w:r>
                </w:p>
              </w:tc>
              <w:tc>
                <w:tcPr/>
                <w:p>
                  <w:pPr>
                    <w:pStyle w:val="Compact"/>
                    <w:jc w:val="right"/>
                    <w:jc w:val="center"/>
                  </w:pPr>
                  <w:r>
                    <w:t xml:space="preserve">0.000191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-0.124</w:t>
                  </w:r>
                </w:p>
              </w:tc>
              <w:tc>
                <w:tcPr/>
                <w:p>
                  <w:pPr>
                    <w:pStyle w:val="Compact"/>
                    <w:jc w:val="right"/>
                    <w:jc w:val="center"/>
                  </w:pPr>
                  <w:r>
                    <w:t xml:space="preserve">0.369</w:t>
                  </w:r>
                </w:p>
              </w:tc>
              <w:tc>
                <w:tcPr/>
                <w:p>
                  <w:pPr>
                    <w:pStyle w:val="Compact"/>
                    <w:jc w:val="right"/>
                    <w:jc w:val="center"/>
                  </w:pPr>
                  <w:r>
                    <w:t xml:space="preserve">-0.335</w:t>
                  </w:r>
                </w:p>
              </w:tc>
              <w:tc>
                <w:tcPr/>
                <w:p>
                  <w:pPr>
                    <w:pStyle w:val="Compact"/>
                    <w:jc w:val="right"/>
                    <w:jc w:val="center"/>
                  </w:pPr>
                  <w:r>
                    <w:t xml:space="preserve">0.743</w:t>
                  </w:r>
                </w:p>
              </w:tc>
              <w:tc>
                <w:tcPr/>
                <w:p>
                  <w:pPr>
                    <w:pStyle w:val="Compact"/>
                  </w:pPr>
                </w:p>
              </w:tc>
            </w:tr>
            <w:tr>
              <w:tc>
                <w:tcPr/>
                <w:p>
                  <w:pPr>
                    <w:pStyle w:val="Compact"/>
                    <w:jc w:val="left"/>
                    <w:jc w:val="center"/>
                  </w:pPr>
                  <w:r>
                    <w:t xml:space="preserve">C</w:t>
                  </w:r>
                </w:p>
              </w:tc>
              <w:tc>
                <w:tcPr/>
                <w:p>
                  <w:pPr>
                    <w:pStyle w:val="Compact"/>
                    <w:jc w:val="right"/>
                    <w:jc w:val="center"/>
                  </w:pPr>
                  <w:r>
                    <w:t xml:space="preserve">-4.09</w:t>
                  </w:r>
                </w:p>
              </w:tc>
              <w:tc>
                <w:tcPr/>
                <w:p>
                  <w:pPr>
                    <w:pStyle w:val="Compact"/>
                    <w:jc w:val="right"/>
                    <w:jc w:val="center"/>
                  </w:pPr>
                  <w:r>
                    <w:t xml:space="preserve">0.369</w:t>
                  </w:r>
                </w:p>
              </w:tc>
              <w:tc>
                <w:tcPr/>
                <w:p>
                  <w:pPr>
                    <w:pStyle w:val="Compact"/>
                    <w:jc w:val="right"/>
                    <w:jc w:val="center"/>
                  </w:pPr>
                  <w:r>
                    <w:t xml:space="preserve">-11.1</w:t>
                  </w:r>
                </w:p>
              </w:tc>
              <w:tc>
                <w:tcPr/>
                <w:p>
                  <w:pPr>
                    <w:pStyle w:val="Compact"/>
                    <w:jc w:val="right"/>
                    <w:jc w:val="center"/>
                  </w:pPr>
                  <w:r>
                    <w:t xml:space="preserve">5.4e-08</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1.11</w:t>
                  </w:r>
                </w:p>
              </w:tc>
              <w:tc>
                <w:tcPr/>
                <w:p>
                  <w:pPr>
                    <w:pStyle w:val="Compact"/>
                    <w:jc w:val="right"/>
                    <w:jc w:val="center"/>
                  </w:pPr>
                  <w:r>
                    <w:t xml:space="preserve">0.392</w:t>
                  </w:r>
                </w:p>
              </w:tc>
              <w:tc>
                <w:tcPr/>
                <w:p>
                  <w:pPr>
                    <w:pStyle w:val="Compact"/>
                    <w:jc w:val="right"/>
                    <w:jc w:val="center"/>
                  </w:pPr>
                  <w:r>
                    <w:t xml:space="preserve">2.84</w:t>
                  </w:r>
                </w:p>
              </w:tc>
              <w:tc>
                <w:tcPr/>
                <w:p>
                  <w:pPr>
                    <w:pStyle w:val="Compact"/>
                    <w:jc w:val="right"/>
                    <w:jc w:val="center"/>
                  </w:pPr>
                  <w:r>
                    <w:t xml:space="preserve">0.0139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-0.793</w:t>
                  </w:r>
                </w:p>
              </w:tc>
              <w:tc>
                <w:tcPr/>
                <w:p>
                  <w:pPr>
                    <w:pStyle w:val="Compact"/>
                    <w:jc w:val="right"/>
                    <w:jc w:val="center"/>
                  </w:pPr>
                  <w:r>
                    <w:t xml:space="preserve">0.392</w:t>
                  </w:r>
                </w:p>
              </w:tc>
              <w:tc>
                <w:tcPr/>
                <w:p>
                  <w:pPr>
                    <w:pStyle w:val="Compact"/>
                    <w:jc w:val="right"/>
                    <w:jc w:val="center"/>
                  </w:pPr>
                  <w:r>
                    <w:t xml:space="preserve">-2.03</w:t>
                  </w:r>
                </w:p>
              </w:tc>
              <w:tc>
                <w:tcPr/>
                <w:p>
                  <w:pPr>
                    <w:pStyle w:val="Compact"/>
                    <w:jc w:val="right"/>
                    <w:jc w:val="center"/>
                  </w:pPr>
                  <w:r>
                    <w:t xml:space="preserve">0.0638</w:t>
                  </w:r>
                </w:p>
              </w:tc>
              <w:tc>
                <w:tcPr/>
                <w:p>
                  <w:pPr>
                    <w:pStyle w:val="Compact"/>
                  </w:pPr>
                </w:p>
              </w:tc>
            </w:tr>
            <w:tr>
              <w:tc>
                <w:tcPr/>
                <w:p>
                  <w:pPr>
                    <w:pStyle w:val="Compact"/>
                    <w:jc w:val="left"/>
                    <w:jc w:val="center"/>
                  </w:pPr>
                  <w:r>
                    <w:t xml:space="preserve">AC</w:t>
                  </w:r>
                </w:p>
              </w:tc>
              <w:tc>
                <w:tcPr/>
                <w:p>
                  <w:pPr>
                    <w:pStyle w:val="Compact"/>
                    <w:jc w:val="right"/>
                    <w:jc w:val="center"/>
                  </w:pPr>
                  <w:r>
                    <w:t xml:space="preserve">-0.248</w:t>
                  </w:r>
                </w:p>
              </w:tc>
              <w:tc>
                <w:tcPr/>
                <w:p>
                  <w:pPr>
                    <w:pStyle w:val="Compact"/>
                    <w:jc w:val="right"/>
                    <w:jc w:val="center"/>
                  </w:pPr>
                  <w:r>
                    <w:t xml:space="preserve">0.392</w:t>
                  </w:r>
                </w:p>
              </w:tc>
              <w:tc>
                <w:tcPr/>
                <w:p>
                  <w:pPr>
                    <w:pStyle w:val="Compact"/>
                    <w:jc w:val="right"/>
                    <w:jc w:val="center"/>
                  </w:pPr>
                  <w:r>
                    <w:t xml:space="preserve">-0.633</w:t>
                  </w:r>
                </w:p>
              </w:tc>
              <w:tc>
                <w:tcPr/>
                <w:p>
                  <w:pPr>
                    <w:pStyle w:val="Compact"/>
                    <w:jc w:val="right"/>
                    <w:jc w:val="center"/>
                  </w:pPr>
                  <w:r>
                    <w:t xml:space="preserve">0.538</w:t>
                  </w:r>
                </w:p>
              </w:tc>
              <w:tc>
                <w:tcPr/>
                <w:p>
                  <w:pPr>
                    <w:pStyle w:val="Compact"/>
                  </w:pPr>
                </w:p>
              </w:tc>
            </w:tr>
            <w:tr>
              <w:tc>
                <w:tcPr/>
                <w:p>
                  <w:pPr>
                    <w:pStyle w:val="Compact"/>
                    <w:jc w:val="left"/>
                    <w:jc w:val="center"/>
                  </w:pPr>
                  <w:r>
                    <w:t xml:space="preserve">BE</w:t>
                  </w:r>
                </w:p>
              </w:tc>
              <w:tc>
                <w:tcPr/>
                <w:p>
                  <w:pPr>
                    <w:pStyle w:val="Compact"/>
                    <w:jc w:val="right"/>
                    <w:jc w:val="center"/>
                  </w:pPr>
                  <w:r>
                    <w:t xml:space="preserve">0.655</w:t>
                  </w:r>
                </w:p>
              </w:tc>
              <w:tc>
                <w:tcPr/>
                <w:p>
                  <w:pPr>
                    <w:pStyle w:val="Compact"/>
                    <w:jc w:val="right"/>
                    <w:jc w:val="center"/>
                  </w:pPr>
                  <w:r>
                    <w:t xml:space="preserve">0.392</w:t>
                  </w:r>
                </w:p>
              </w:tc>
              <w:tc>
                <w:tcPr/>
                <w:p>
                  <w:pPr>
                    <w:pStyle w:val="Compact"/>
                    <w:jc w:val="right"/>
                    <w:jc w:val="center"/>
                  </w:pPr>
                  <w:r>
                    <w:t xml:space="preserve">1.67</w:t>
                  </w:r>
                </w:p>
              </w:tc>
              <w:tc>
                <w:tcPr/>
                <w:p>
                  <w:pPr>
                    <w:pStyle w:val="Compact"/>
                    <w:jc w:val="right"/>
                    <w:jc w:val="center"/>
                  </w:pPr>
                  <w:r>
                    <w:t xml:space="preserve">0.118</w:t>
                  </w:r>
                </w:p>
              </w:tc>
              <w:tc>
                <w:tcPr/>
                <w:p>
                  <w:pPr>
                    <w:pStyle w:val="Compact"/>
                  </w:pPr>
                </w:p>
              </w:tc>
            </w:tr>
            <w:tr>
              <w:tc>
                <w:tcPr/>
                <w:p>
                  <w:pPr>
                    <w:pStyle w:val="Compact"/>
                    <w:jc w:val="left"/>
                    <w:jc w:val="center"/>
                  </w:pPr>
                  <w:r>
                    <w:t xml:space="preserve">BC</w:t>
                  </w:r>
                </w:p>
              </w:tc>
              <w:tc>
                <w:tcPr/>
                <w:p>
                  <w:pPr>
                    <w:pStyle w:val="Compact"/>
                    <w:jc w:val="right"/>
                    <w:jc w:val="center"/>
                  </w:pPr>
                  <w:r>
                    <w:t xml:space="preserve">-0.0111</w:t>
                  </w:r>
                </w:p>
              </w:tc>
              <w:tc>
                <w:tcPr/>
                <w:p>
                  <w:pPr>
                    <w:pStyle w:val="Compact"/>
                    <w:jc w:val="right"/>
                    <w:jc w:val="center"/>
                  </w:pPr>
                  <w:r>
                    <w:t xml:space="preserve">0.392</w:t>
                  </w:r>
                </w:p>
              </w:tc>
              <w:tc>
                <w:tcPr/>
                <w:p>
                  <w:pPr>
                    <w:pStyle w:val="Compact"/>
                    <w:jc w:val="right"/>
                    <w:jc w:val="center"/>
                  </w:pPr>
                  <w:r>
                    <w:t xml:space="preserve">-0.0283</w:t>
                  </w:r>
                </w:p>
              </w:tc>
              <w:tc>
                <w:tcPr/>
                <w:p>
                  <w:pPr>
                    <w:pStyle w:val="Compact"/>
                    <w:jc w:val="right"/>
                    <w:jc w:val="center"/>
                  </w:pPr>
                  <w:r>
                    <w:t xml:space="preserve">0.978</w:t>
                  </w:r>
                </w:p>
              </w:tc>
              <w:tc>
                <w:tcPr/>
                <w:p>
                  <w:pPr>
                    <w:pStyle w:val="Compact"/>
                  </w:pPr>
                </w:p>
              </w:tc>
            </w:tr>
            <w:tr>
              <w:tc>
                <w:tcPr/>
                <w:p>
                  <w:pPr>
                    <w:pStyle w:val="Compact"/>
                    <w:jc w:val="left"/>
                    <w:jc w:val="center"/>
                  </w:pPr>
                  <w:r>
                    <w:t xml:space="preserve">EC</w:t>
                  </w:r>
                </w:p>
              </w:tc>
              <w:tc>
                <w:tcPr/>
                <w:p>
                  <w:pPr>
                    <w:pStyle w:val="Compact"/>
                    <w:jc w:val="right"/>
                    <w:jc w:val="center"/>
                  </w:pPr>
                  <w:r>
                    <w:t xml:space="preserve">0.465</w:t>
                  </w:r>
                </w:p>
              </w:tc>
              <w:tc>
                <w:tcPr/>
                <w:p>
                  <w:pPr>
                    <w:pStyle w:val="Compact"/>
                    <w:jc w:val="right"/>
                    <w:jc w:val="center"/>
                  </w:pPr>
                  <w:r>
                    <w:t xml:space="preserve">0.392</w:t>
                  </w:r>
                </w:p>
              </w:tc>
              <w:tc>
                <w:tcPr/>
                <w:p>
                  <w:pPr>
                    <w:pStyle w:val="Compact"/>
                    <w:jc w:val="right"/>
                    <w:jc w:val="center"/>
                  </w:pPr>
                  <w:r>
                    <w:t xml:space="preserve">1.19</w:t>
                  </w:r>
                </w:p>
              </w:tc>
              <w:tc>
                <w:tcPr/>
                <w:p>
                  <w:pPr>
                    <w:pStyle w:val="Compact"/>
                    <w:jc w:val="right"/>
                    <w:jc w:val="center"/>
                  </w:pPr>
                  <w:r>
                    <w:t xml:space="preserve">0.256</w:t>
                  </w:r>
                </w:p>
              </w:tc>
              <w:tc>
                <w:tcPr/>
                <w:p>
                  <w:pPr>
                    <w:pStyle w:val="Compact"/>
                  </w:pPr>
                </w:p>
              </w:tc>
            </w:tr>
            <w:tr>
              <w:tc>
                <w:tcPr/>
                <w:p>
                  <w:pPr>
                    <w:pStyle w:val="Compact"/>
                    <w:jc w:val="left"/>
                    <w:jc w:val="center"/>
                  </w:pPr>
                  <w:r>
                    <w:t xml:space="preserve">A²</w:t>
                  </w:r>
                </w:p>
              </w:tc>
              <w:tc>
                <w:tcPr/>
                <w:p>
                  <w:pPr>
                    <w:pStyle w:val="Compact"/>
                    <w:jc w:val="right"/>
                    <w:jc w:val="center"/>
                  </w:pPr>
                  <w:r>
                    <w:t xml:space="preserve">-0.586</w:t>
                  </w:r>
                </w:p>
              </w:tc>
              <w:tc>
                <w:tcPr/>
                <w:p>
                  <w:pPr>
                    <w:pStyle w:val="Compact"/>
                    <w:jc w:val="right"/>
                    <w:jc w:val="center"/>
                  </w:pPr>
                  <w:r>
                    <w:t xml:space="preserve">0.975</w:t>
                  </w:r>
                </w:p>
              </w:tc>
              <w:tc>
                <w:tcPr/>
                <w:p>
                  <w:pPr>
                    <w:pStyle w:val="Compact"/>
                    <w:jc w:val="right"/>
                    <w:jc w:val="center"/>
                  </w:pPr>
                  <w:r>
                    <w:t xml:space="preserve">-0.601</w:t>
                  </w:r>
                </w:p>
              </w:tc>
              <w:tc>
                <w:tcPr/>
                <w:p>
                  <w:pPr>
                    <w:pStyle w:val="Compact"/>
                    <w:jc w:val="right"/>
                    <w:jc w:val="center"/>
                  </w:pPr>
                  <w:r>
                    <w:t xml:space="preserve">0.558</w:t>
                  </w:r>
                </w:p>
              </w:tc>
              <w:tc>
                <w:tcPr/>
                <w:p>
                  <w:pPr>
                    <w:pStyle w:val="Compact"/>
                  </w:pPr>
                </w:p>
              </w:tc>
            </w:tr>
            <w:tr>
              <w:tc>
                <w:tcPr/>
                <w:p>
                  <w:pPr>
                    <w:pStyle w:val="Compact"/>
                    <w:jc w:val="left"/>
                    <w:jc w:val="center"/>
                  </w:pPr>
                  <w:r>
                    <w:t xml:space="preserve">B²</w:t>
                  </w:r>
                </w:p>
              </w:tc>
              <w:tc>
                <w:tcPr/>
                <w:p>
                  <w:pPr>
                    <w:pStyle w:val="Compact"/>
                    <w:jc w:val="right"/>
                    <w:jc w:val="center"/>
                  </w:pPr>
                  <w:r>
                    <w:t xml:space="preserve">1.03</w:t>
                  </w:r>
                </w:p>
              </w:tc>
              <w:tc>
                <w:tcPr/>
                <w:p>
                  <w:pPr>
                    <w:pStyle w:val="Compact"/>
                    <w:jc w:val="right"/>
                    <w:jc w:val="center"/>
                  </w:pPr>
                  <w:r>
                    <w:t xml:space="preserve">0.975</w:t>
                  </w:r>
                </w:p>
              </w:tc>
              <w:tc>
                <w:tcPr/>
                <w:p>
                  <w:pPr>
                    <w:pStyle w:val="Compact"/>
                    <w:jc w:val="right"/>
                    <w:jc w:val="center"/>
                  </w:pPr>
                  <w:r>
                    <w:t xml:space="preserve">1.06</w:t>
                  </w:r>
                </w:p>
              </w:tc>
              <w:tc>
                <w:tcPr/>
                <w:p>
                  <w:pPr>
                    <w:pStyle w:val="Compact"/>
                    <w:jc w:val="right"/>
                    <w:jc w:val="center"/>
                  </w:pPr>
                  <w:r>
                    <w:t xml:space="preserve">0.311</w:t>
                  </w:r>
                </w:p>
              </w:tc>
              <w:tc>
                <w:tcPr/>
                <w:p>
                  <w:pPr>
                    <w:pStyle w:val="Compact"/>
                  </w:pPr>
                </w:p>
              </w:tc>
            </w:tr>
            <w:tr>
              <w:tc>
                <w:tcPr/>
                <w:p>
                  <w:pPr>
                    <w:pStyle w:val="Compact"/>
                    <w:jc w:val="left"/>
                    <w:jc w:val="center"/>
                  </w:pPr>
                  <w:r>
                    <w:t xml:space="preserve">E²</w:t>
                  </w:r>
                </w:p>
              </w:tc>
              <w:tc>
                <w:tcPr/>
                <w:p>
                  <w:pPr>
                    <w:pStyle w:val="Compact"/>
                    <w:jc w:val="right"/>
                    <w:jc w:val="center"/>
                  </w:pPr>
                  <w:r>
                    <w:t xml:space="preserve">-0.718</w:t>
                  </w:r>
                </w:p>
              </w:tc>
              <w:tc>
                <w:tcPr/>
                <w:p>
                  <w:pPr>
                    <w:pStyle w:val="Compact"/>
                    <w:jc w:val="right"/>
                    <w:jc w:val="center"/>
                  </w:pPr>
                  <w:r>
                    <w:t xml:space="preserve">0.975</w:t>
                  </w:r>
                </w:p>
              </w:tc>
              <w:tc>
                <w:tcPr/>
                <w:p>
                  <w:pPr>
                    <w:pStyle w:val="Compact"/>
                    <w:jc w:val="right"/>
                    <w:jc w:val="center"/>
                  </w:pPr>
                  <w:r>
                    <w:t xml:space="preserve">-0.736</w:t>
                  </w:r>
                </w:p>
              </w:tc>
              <w:tc>
                <w:tcPr/>
                <w:p>
                  <w:pPr>
                    <w:pStyle w:val="Compact"/>
                    <w:jc w:val="right"/>
                    <w:jc w:val="center"/>
                  </w:pPr>
                  <w:r>
                    <w:t xml:space="preserve">0.475</w:t>
                  </w:r>
                </w:p>
              </w:tc>
              <w:tc>
                <w:tcPr/>
                <w:p>
                  <w:pPr>
                    <w:pStyle w:val="Compact"/>
                  </w:pPr>
                </w:p>
              </w:tc>
            </w:tr>
            <w:tr>
              <w:tc>
                <w:tcPr/>
                <w:p>
                  <w:pPr>
                    <w:pStyle w:val="Compact"/>
                    <w:jc w:val="left"/>
                    <w:jc w:val="center"/>
                  </w:pPr>
                  <w:r>
                    <w:t xml:space="preserve">C²</w:t>
                  </w:r>
                </w:p>
              </w:tc>
              <w:tc>
                <w:tcPr/>
                <w:p>
                  <w:pPr>
                    <w:pStyle w:val="Compact"/>
                    <w:jc w:val="right"/>
                    <w:jc w:val="center"/>
                  </w:pPr>
                  <w:r>
                    <w:t xml:space="preserve">0.13</w:t>
                  </w:r>
                </w:p>
              </w:tc>
              <w:tc>
                <w:tcPr/>
                <w:p>
                  <w:pPr>
                    <w:pStyle w:val="Compact"/>
                    <w:jc w:val="right"/>
                    <w:jc w:val="center"/>
                  </w:pPr>
                  <w:r>
                    <w:t xml:space="preserve">0.975</w:t>
                  </w:r>
                </w:p>
              </w:tc>
              <w:tc>
                <w:tcPr/>
                <w:p>
                  <w:pPr>
                    <w:pStyle w:val="Compact"/>
                    <w:jc w:val="right"/>
                    <w:jc w:val="center"/>
                  </w:pPr>
                  <w:r>
                    <w:t xml:space="preserve">0.133</w:t>
                  </w:r>
                </w:p>
              </w:tc>
              <w:tc>
                <w:tcPr/>
                <w:p>
                  <w:pPr>
                    <w:pStyle w:val="Compact"/>
                    <w:jc w:val="right"/>
                    <w:jc w:val="center"/>
                  </w:pPr>
                  <w:r>
                    <w:t xml:space="preserve">0.896</w:t>
                  </w:r>
                </w:p>
              </w:tc>
              <w:tc>
                <w:tcPr/>
                <w:p>
                  <w:pPr>
                    <w:pStyle w:val="Compact"/>
                  </w:pPr>
                </w:p>
              </w:tc>
            </w:tr>
          </w:tbl>
          <w:bookmarkEnd w:id="1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tbl-appc-rsm-aggregates-hmw"/>
          <w:p>
            <w:pPr>
              <w:jc w:val="center"/>
            </w:pPr>
            <w:pPr>
              <w:jc w:val="left"/>
              <w:spacing w:before="200"/>
              <w:pStyle w:val="ImageCaption"/>
            </w:pPr>
            <w:r>
              <w:t xml:space="preserve">Table 35: Complete response-surface coefficient table for aggregates.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1.52</w:t>
                  </w:r>
                </w:p>
              </w:tc>
              <w:tc>
                <w:tcPr/>
                <w:p>
                  <w:pPr>
                    <w:pStyle w:val="Compact"/>
                    <w:jc w:val="right"/>
                    <w:jc w:val="center"/>
                  </w:pPr>
                  <w:r>
                    <w:t xml:space="preserve">0.0341</w:t>
                  </w:r>
                </w:p>
              </w:tc>
              <w:tc>
                <w:tcPr/>
                <w:p>
                  <w:pPr>
                    <w:pStyle w:val="Compact"/>
                    <w:jc w:val="right"/>
                    <w:jc w:val="center"/>
                  </w:pPr>
                  <w:r>
                    <w:t xml:space="preserve">44.8</w:t>
                  </w:r>
                </w:p>
              </w:tc>
              <w:tc>
                <w:tcPr/>
                <w:p>
                  <w:pPr>
                    <w:pStyle w:val="Compact"/>
                    <w:jc w:val="right"/>
                    <w:jc w:val="center"/>
                  </w:pPr>
                  <w:r>
                    <w:t xml:space="preserve">1.25e-15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0.367</w:t>
                  </w:r>
                </w:p>
              </w:tc>
              <w:tc>
                <w:tcPr/>
                <w:p>
                  <w:pPr>
                    <w:pStyle w:val="Compact"/>
                    <w:jc w:val="right"/>
                    <w:jc w:val="center"/>
                  </w:pPr>
                  <w:r>
                    <w:t xml:space="preserve">0.0232</w:t>
                  </w:r>
                </w:p>
              </w:tc>
              <w:tc>
                <w:tcPr/>
                <w:p>
                  <w:pPr>
                    <w:pStyle w:val="Compact"/>
                    <w:jc w:val="right"/>
                    <w:jc w:val="center"/>
                  </w:pPr>
                  <w:r>
                    <w:t xml:space="preserve">15.8</w:t>
                  </w:r>
                </w:p>
              </w:tc>
              <w:tc>
                <w:tcPr/>
                <w:p>
                  <w:pPr>
                    <w:pStyle w:val="Compact"/>
                    <w:jc w:val="right"/>
                    <w:jc w:val="center"/>
                  </w:pPr>
                  <w:r>
                    <w:t xml:space="preserve">7.26e-10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-0.0157</w:t>
                  </w:r>
                </w:p>
              </w:tc>
              <w:tc>
                <w:tcPr/>
                <w:p>
                  <w:pPr>
                    <w:pStyle w:val="Compact"/>
                    <w:jc w:val="right"/>
                    <w:jc w:val="center"/>
                  </w:pPr>
                  <w:r>
                    <w:t xml:space="preserve">0.0232</w:t>
                  </w:r>
                </w:p>
              </w:tc>
              <w:tc>
                <w:tcPr/>
                <w:p>
                  <w:pPr>
                    <w:pStyle w:val="Compact"/>
                    <w:jc w:val="right"/>
                    <w:jc w:val="center"/>
                  </w:pPr>
                  <w:r>
                    <w:t xml:space="preserve">-0.675</w:t>
                  </w:r>
                </w:p>
              </w:tc>
              <w:tc>
                <w:tcPr/>
                <w:p>
                  <w:pPr>
                    <w:pStyle w:val="Compact"/>
                    <w:jc w:val="right"/>
                    <w:jc w:val="center"/>
                  </w:pPr>
                  <w:r>
                    <w:t xml:space="preserve">0.512</w:t>
                  </w:r>
                </w:p>
              </w:tc>
              <w:tc>
                <w:tcPr/>
                <w:p>
                  <w:pPr>
                    <w:pStyle w:val="Compact"/>
                  </w:pPr>
                </w:p>
              </w:tc>
            </w:tr>
            <w:tr>
              <w:tc>
                <w:tcPr/>
                <w:p>
                  <w:pPr>
                    <w:pStyle w:val="Compact"/>
                    <w:jc w:val="left"/>
                    <w:jc w:val="center"/>
                  </w:pPr>
                  <w:r>
                    <w:t xml:space="preserve">E</w:t>
                  </w:r>
                </w:p>
              </w:tc>
              <w:tc>
                <w:tcPr/>
                <w:p>
                  <w:pPr>
                    <w:pStyle w:val="Compact"/>
                    <w:jc w:val="right"/>
                    <w:jc w:val="center"/>
                  </w:pPr>
                  <w:r>
                    <w:t xml:space="preserve">0.281</w:t>
                  </w:r>
                </w:p>
              </w:tc>
              <w:tc>
                <w:tcPr/>
                <w:p>
                  <w:pPr>
                    <w:pStyle w:val="Compact"/>
                    <w:jc w:val="right"/>
                    <w:jc w:val="center"/>
                  </w:pPr>
                  <w:r>
                    <w:t xml:space="preserve">0.0232</w:t>
                  </w:r>
                </w:p>
              </w:tc>
              <w:tc>
                <w:tcPr/>
                <w:p>
                  <w:pPr>
                    <w:pStyle w:val="Compact"/>
                    <w:jc w:val="right"/>
                    <w:jc w:val="center"/>
                  </w:pPr>
                  <w:r>
                    <w:t xml:space="preserve">12.1</w:t>
                  </w:r>
                </w:p>
              </w:tc>
              <w:tc>
                <w:tcPr/>
                <w:p>
                  <w:pPr>
                    <w:pStyle w:val="Compact"/>
                    <w:jc w:val="right"/>
                    <w:jc w:val="center"/>
                  </w:pPr>
                  <w:r>
                    <w:t xml:space="preserve">1.91e-08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0.0225</w:t>
                  </w:r>
                </w:p>
              </w:tc>
              <w:tc>
                <w:tcPr/>
                <w:p>
                  <w:pPr>
                    <w:pStyle w:val="Compact"/>
                    <w:jc w:val="right"/>
                    <w:jc w:val="center"/>
                  </w:pPr>
                  <w:r>
                    <w:t xml:space="preserve">0.0232</w:t>
                  </w:r>
                </w:p>
              </w:tc>
              <w:tc>
                <w:tcPr/>
                <w:p>
                  <w:pPr>
                    <w:pStyle w:val="Compact"/>
                    <w:jc w:val="right"/>
                    <w:jc w:val="center"/>
                  </w:pPr>
                  <w:r>
                    <w:t xml:space="preserve">0.971</w:t>
                  </w:r>
                </w:p>
              </w:tc>
              <w:tc>
                <w:tcPr/>
                <w:p>
                  <w:pPr>
                    <w:pStyle w:val="Compact"/>
                    <w:jc w:val="right"/>
                    <w:jc w:val="center"/>
                  </w:pPr>
                  <w:r>
                    <w:t xml:space="preserve">0.349</w:t>
                  </w:r>
                </w:p>
              </w:tc>
              <w:tc>
                <w:tcPr/>
                <w:p>
                  <w:pPr>
                    <w:pStyle w:val="Compact"/>
                  </w:pPr>
                </w:p>
              </w:tc>
            </w:tr>
            <w:tr>
              <w:tc>
                <w:tcPr/>
                <w:p>
                  <w:pPr>
                    <w:pStyle w:val="Compact"/>
                    <w:jc w:val="left"/>
                    <w:jc w:val="center"/>
                  </w:pPr>
                  <w:r>
                    <w:t xml:space="preserve">AB</w:t>
                  </w:r>
                </w:p>
              </w:tc>
              <w:tc>
                <w:tcPr/>
                <w:p>
                  <w:pPr>
                    <w:pStyle w:val="Compact"/>
                    <w:jc w:val="right"/>
                    <w:jc w:val="center"/>
                  </w:pPr>
                  <w:r>
                    <w:t xml:space="preserve">0.0135</w:t>
                  </w:r>
                </w:p>
              </w:tc>
              <w:tc>
                <w:tcPr/>
                <w:p>
                  <w:pPr>
                    <w:pStyle w:val="Compact"/>
                    <w:jc w:val="right"/>
                    <w:jc w:val="center"/>
                  </w:pPr>
                  <w:r>
                    <w:t xml:space="preserve">0.0246</w:t>
                  </w:r>
                </w:p>
              </w:tc>
              <w:tc>
                <w:tcPr/>
                <w:p>
                  <w:pPr>
                    <w:pStyle w:val="Compact"/>
                    <w:jc w:val="right"/>
                    <w:jc w:val="center"/>
                  </w:pPr>
                  <w:r>
                    <w:t xml:space="preserve">0.547</w:t>
                  </w:r>
                </w:p>
              </w:tc>
              <w:tc>
                <w:tcPr/>
                <w:p>
                  <w:pPr>
                    <w:pStyle w:val="Compact"/>
                    <w:jc w:val="right"/>
                    <w:jc w:val="center"/>
                  </w:pPr>
                  <w:r>
                    <w:t xml:space="preserve">0.593</w:t>
                  </w:r>
                </w:p>
              </w:tc>
              <w:tc>
                <w:tcPr/>
                <w:p>
                  <w:pPr>
                    <w:pStyle w:val="Compact"/>
                  </w:pPr>
                </w:p>
              </w:tc>
            </w:tr>
            <w:tr>
              <w:tc>
                <w:tcPr/>
                <w:p>
                  <w:pPr>
                    <w:pStyle w:val="Compact"/>
                    <w:jc w:val="left"/>
                    <w:jc w:val="center"/>
                  </w:pPr>
                  <w:r>
                    <w:t xml:space="preserve">AE</w:t>
                  </w:r>
                </w:p>
              </w:tc>
              <w:tc>
                <w:tcPr/>
                <w:p>
                  <w:pPr>
                    <w:pStyle w:val="Compact"/>
                    <w:jc w:val="right"/>
                    <w:jc w:val="center"/>
                  </w:pPr>
                  <w:r>
                    <w:t xml:space="preserve">-0.0106</w:t>
                  </w:r>
                </w:p>
              </w:tc>
              <w:tc>
                <w:tcPr/>
                <w:p>
                  <w:pPr>
                    <w:pStyle w:val="Compact"/>
                    <w:jc w:val="right"/>
                    <w:jc w:val="center"/>
                  </w:pPr>
                  <w:r>
                    <w:t xml:space="preserve">0.0246</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r>
              <w:tc>
                <w:tcPr/>
                <w:p>
                  <w:pPr>
                    <w:pStyle w:val="Compact"/>
                    <w:jc w:val="left"/>
                    <w:jc w:val="center"/>
                  </w:pPr>
                  <w:r>
                    <w:t xml:space="preserve">AC</w:t>
                  </w:r>
                </w:p>
              </w:tc>
              <w:tc>
                <w:tcPr/>
                <w:p>
                  <w:pPr>
                    <w:pStyle w:val="Compact"/>
                    <w:jc w:val="right"/>
                    <w:jc w:val="center"/>
                  </w:pPr>
                  <w:r>
                    <w:t xml:space="preserve">0.0179</w:t>
                  </w:r>
                </w:p>
              </w:tc>
              <w:tc>
                <w:tcPr/>
                <w:p>
                  <w:pPr>
                    <w:pStyle w:val="Compact"/>
                    <w:jc w:val="right"/>
                    <w:jc w:val="center"/>
                  </w:pPr>
                  <w:r>
                    <w:t xml:space="preserve">0.0246</w:t>
                  </w:r>
                </w:p>
              </w:tc>
              <w:tc>
                <w:tcPr/>
                <w:p>
                  <w:pPr>
                    <w:pStyle w:val="Compact"/>
                    <w:jc w:val="right"/>
                    <w:jc w:val="center"/>
                  </w:pPr>
                  <w:r>
                    <w:t xml:space="preserve">0.727</w:t>
                  </w:r>
                </w:p>
              </w:tc>
              <w:tc>
                <w:tcPr/>
                <w:p>
                  <w:pPr>
                    <w:pStyle w:val="Compact"/>
                    <w:jc w:val="right"/>
                    <w:jc w:val="center"/>
                  </w:pPr>
                  <w:r>
                    <w:t xml:space="preserve">0.48</w:t>
                  </w:r>
                </w:p>
              </w:tc>
              <w:tc>
                <w:tcPr/>
                <w:p>
                  <w:pPr>
                    <w:pStyle w:val="Compact"/>
                  </w:pPr>
                </w:p>
              </w:tc>
            </w:tr>
            <w:tr>
              <w:tc>
                <w:tcPr/>
                <w:p>
                  <w:pPr>
                    <w:pStyle w:val="Compact"/>
                    <w:jc w:val="left"/>
                    <w:jc w:val="center"/>
                  </w:pPr>
                  <w:r>
                    <w:t xml:space="preserve">BE</w:t>
                  </w:r>
                </w:p>
              </w:tc>
              <w:tc>
                <w:tcPr/>
                <w:p>
                  <w:pPr>
                    <w:pStyle w:val="Compact"/>
                    <w:jc w:val="right"/>
                    <w:jc w:val="center"/>
                  </w:pPr>
                  <w:r>
                    <w:t xml:space="preserve">-0.00713</w:t>
                  </w:r>
                </w:p>
              </w:tc>
              <w:tc>
                <w:tcPr/>
                <w:p>
                  <w:pPr>
                    <w:pStyle w:val="Compact"/>
                    <w:jc w:val="right"/>
                    <w:jc w:val="center"/>
                  </w:pPr>
                  <w:r>
                    <w:t xml:space="preserve">0.0246</w:t>
                  </w:r>
                </w:p>
              </w:tc>
              <w:tc>
                <w:tcPr/>
                <w:p>
                  <w:pPr>
                    <w:pStyle w:val="Compact"/>
                    <w:jc w:val="right"/>
                    <w:jc w:val="center"/>
                  </w:pPr>
                  <w:r>
                    <w:t xml:space="preserve">-0.29</w:t>
                  </w:r>
                </w:p>
              </w:tc>
              <w:tc>
                <w:tcPr/>
                <w:p>
                  <w:pPr>
                    <w:pStyle w:val="Compact"/>
                    <w:jc w:val="right"/>
                    <w:jc w:val="center"/>
                  </w:pPr>
                  <w:r>
                    <w:t xml:space="preserve">0.777</w:t>
                  </w:r>
                </w:p>
              </w:tc>
              <w:tc>
                <w:tcPr/>
                <w:p>
                  <w:pPr>
                    <w:pStyle w:val="Compact"/>
                  </w:pPr>
                </w:p>
              </w:tc>
            </w:tr>
            <w:tr>
              <w:tc>
                <w:tcPr/>
                <w:p>
                  <w:pPr>
                    <w:pStyle w:val="Compact"/>
                    <w:jc w:val="left"/>
                    <w:jc w:val="center"/>
                  </w:pPr>
                  <w:r>
                    <w:t xml:space="preserve">BC</w:t>
                  </w:r>
                </w:p>
              </w:tc>
              <w:tc>
                <w:tcPr/>
                <w:p>
                  <w:pPr>
                    <w:pStyle w:val="Compact"/>
                    <w:jc w:val="right"/>
                    <w:jc w:val="center"/>
                  </w:pPr>
                  <w:r>
                    <w:t xml:space="preserve">0.00414</w:t>
                  </w:r>
                </w:p>
              </w:tc>
              <w:tc>
                <w:tcPr/>
                <w:p>
                  <w:pPr>
                    <w:pStyle w:val="Compact"/>
                    <w:jc w:val="right"/>
                    <w:jc w:val="center"/>
                  </w:pPr>
                  <w:r>
                    <w:t xml:space="preserve">0.0246</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EC</w:t>
                  </w:r>
                </w:p>
              </w:tc>
              <w:tc>
                <w:tcPr/>
                <w:p>
                  <w:pPr>
                    <w:pStyle w:val="Compact"/>
                    <w:jc w:val="right"/>
                    <w:jc w:val="center"/>
                  </w:pPr>
                  <w:r>
                    <w:t xml:space="preserve">0.0105</w:t>
                  </w:r>
                </w:p>
              </w:tc>
              <w:tc>
                <w:tcPr/>
                <w:p>
                  <w:pPr>
                    <w:pStyle w:val="Compact"/>
                    <w:jc w:val="right"/>
                    <w:jc w:val="center"/>
                  </w:pPr>
                  <w:r>
                    <w:t xml:space="preserve">0.0246</w:t>
                  </w:r>
                </w:p>
              </w:tc>
              <w:tc>
                <w:tcPr/>
                <w:p>
                  <w:pPr>
                    <w:pStyle w:val="Compact"/>
                    <w:jc w:val="right"/>
                    <w:jc w:val="center"/>
                  </w:pPr>
                  <w:r>
                    <w:t xml:space="preserve">0.426</w:t>
                  </w:r>
                </w:p>
              </w:tc>
              <w:tc>
                <w:tcPr/>
                <w:p>
                  <w:pPr>
                    <w:pStyle w:val="Compact"/>
                    <w:jc w:val="right"/>
                    <w:jc w:val="center"/>
                  </w:pPr>
                  <w:r>
                    <w:t xml:space="preserve">0.677</w:t>
                  </w:r>
                </w:p>
              </w:tc>
              <w:tc>
                <w:tcPr/>
                <w:p>
                  <w:pPr>
                    <w:pStyle w:val="Compact"/>
                  </w:pPr>
                </w:p>
              </w:tc>
            </w:tr>
            <w:tr>
              <w:tc>
                <w:tcPr/>
                <w:p>
                  <w:pPr>
                    <w:pStyle w:val="Compact"/>
                    <w:jc w:val="left"/>
                    <w:jc w:val="center"/>
                  </w:pPr>
                  <w:r>
                    <w:t xml:space="preserve">A²</w:t>
                  </w:r>
                </w:p>
              </w:tc>
              <w:tc>
                <w:tcPr/>
                <w:p>
                  <w:pPr>
                    <w:pStyle w:val="Compact"/>
                    <w:jc w:val="right"/>
                    <w:jc w:val="center"/>
                  </w:pPr>
                  <w:r>
                    <w:t xml:space="preserve">-0.0533</w:t>
                  </w:r>
                </w:p>
              </w:tc>
              <w:tc>
                <w:tcPr/>
                <w:p>
                  <w:pPr>
                    <w:pStyle w:val="Compact"/>
                    <w:jc w:val="right"/>
                    <w:jc w:val="center"/>
                  </w:pPr>
                  <w:r>
                    <w:t xml:space="preserve">0.0613</w:t>
                  </w:r>
                </w:p>
              </w:tc>
              <w:tc>
                <w:tcPr/>
                <w:p>
                  <w:pPr>
                    <w:pStyle w:val="Compact"/>
                    <w:jc w:val="right"/>
                    <w:jc w:val="center"/>
                  </w:pPr>
                  <w:r>
                    <w:t xml:space="preserve">-0.87</w:t>
                  </w:r>
                </w:p>
              </w:tc>
              <w:tc>
                <w:tcPr/>
                <w:p>
                  <w:pPr>
                    <w:pStyle w:val="Compact"/>
                    <w:jc w:val="right"/>
                    <w:jc w:val="center"/>
                  </w:pPr>
                  <w:r>
                    <w:t xml:space="preserve">0.4</w:t>
                  </w:r>
                </w:p>
              </w:tc>
              <w:tc>
                <w:tcPr/>
                <w:p>
                  <w:pPr>
                    <w:pStyle w:val="Compact"/>
                  </w:pPr>
                </w:p>
              </w:tc>
            </w:tr>
            <w:tr>
              <w:tc>
                <w:tcPr/>
                <w:p>
                  <w:pPr>
                    <w:pStyle w:val="Compact"/>
                    <w:jc w:val="left"/>
                    <w:jc w:val="center"/>
                  </w:pPr>
                  <w:r>
                    <w:t xml:space="preserve">B²</w:t>
                  </w:r>
                </w:p>
              </w:tc>
              <w:tc>
                <w:tcPr/>
                <w:p>
                  <w:pPr>
                    <w:pStyle w:val="Compact"/>
                    <w:jc w:val="right"/>
                    <w:jc w:val="center"/>
                  </w:pPr>
                  <w:r>
                    <w:t xml:space="preserve">-0.119</w:t>
                  </w:r>
                </w:p>
              </w:tc>
              <w:tc>
                <w:tcPr/>
                <w:p>
                  <w:pPr>
                    <w:pStyle w:val="Compact"/>
                    <w:jc w:val="right"/>
                    <w:jc w:val="center"/>
                  </w:pPr>
                  <w:r>
                    <w:t xml:space="preserve">0.0613</w:t>
                  </w:r>
                </w:p>
              </w:tc>
              <w:tc>
                <w:tcPr/>
                <w:p>
                  <w:pPr>
                    <w:pStyle w:val="Compact"/>
                    <w:jc w:val="right"/>
                    <w:jc w:val="center"/>
                  </w:pPr>
                  <w:r>
                    <w:t xml:space="preserve">-1.93</w:t>
                  </w:r>
                </w:p>
              </w:tc>
              <w:tc>
                <w:tcPr/>
                <w:p>
                  <w:pPr>
                    <w:pStyle w:val="Compact"/>
                    <w:jc w:val="right"/>
                    <w:jc w:val="center"/>
                  </w:pPr>
                  <w:r>
                    <w:t xml:space="preserve">0.0752</w:t>
                  </w:r>
                </w:p>
              </w:tc>
              <w:tc>
                <w:tcPr/>
                <w:p>
                  <w:pPr>
                    <w:pStyle w:val="Compact"/>
                  </w:pPr>
                </w:p>
              </w:tc>
            </w:tr>
            <w:tr>
              <w:tc>
                <w:tcPr/>
                <w:p>
                  <w:pPr>
                    <w:pStyle w:val="Compact"/>
                    <w:jc w:val="left"/>
                    <w:jc w:val="center"/>
                  </w:pPr>
                  <w:r>
                    <w:t xml:space="preserve">E²</w:t>
                  </w:r>
                </w:p>
              </w:tc>
              <w:tc>
                <w:tcPr/>
                <w:p>
                  <w:pPr>
                    <w:pStyle w:val="Compact"/>
                    <w:jc w:val="right"/>
                    <w:jc w:val="center"/>
                  </w:pPr>
                  <w:r>
                    <w:t xml:space="preserve">0.143</w:t>
                  </w:r>
                </w:p>
              </w:tc>
              <w:tc>
                <w:tcPr/>
                <w:p>
                  <w:pPr>
                    <w:pStyle w:val="Compact"/>
                    <w:jc w:val="right"/>
                    <w:jc w:val="center"/>
                  </w:pPr>
                  <w:r>
                    <w:t xml:space="preserve">0.0613</w:t>
                  </w:r>
                </w:p>
              </w:tc>
              <w:tc>
                <w:tcPr/>
                <w:p>
                  <w:pPr>
                    <w:pStyle w:val="Compact"/>
                    <w:jc w:val="right"/>
                    <w:jc w:val="center"/>
                  </w:pPr>
                  <w:r>
                    <w:t xml:space="preserve">2.33</w:t>
                  </w:r>
                </w:p>
              </w:tc>
              <w:tc>
                <w:tcPr/>
                <w:p>
                  <w:pPr>
                    <w:pStyle w:val="Compact"/>
                    <w:jc w:val="right"/>
                    <w:jc w:val="center"/>
                  </w:pPr>
                  <w:r>
                    <w:t xml:space="preserve">0.0366</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-0.0626</w:t>
                  </w:r>
                </w:p>
              </w:tc>
              <w:tc>
                <w:tcPr/>
                <w:p>
                  <w:pPr>
                    <w:pStyle w:val="Compact"/>
                    <w:jc w:val="right"/>
                    <w:jc w:val="center"/>
                  </w:pPr>
                  <w:r>
                    <w:t xml:space="preserve">0.0613</w:t>
                  </w:r>
                </w:p>
              </w:tc>
              <w:tc>
                <w:tcPr/>
                <w:p>
                  <w:pPr>
                    <w:pStyle w:val="Compact"/>
                    <w:jc w:val="right"/>
                    <w:jc w:val="center"/>
                  </w:pPr>
                  <w:r>
                    <w:t xml:space="preserve">-1.02</w:t>
                  </w:r>
                </w:p>
              </w:tc>
              <w:tc>
                <w:tcPr/>
                <w:p>
                  <w:pPr>
                    <w:pStyle w:val="Compact"/>
                    <w:jc w:val="right"/>
                    <w:jc w:val="center"/>
                  </w:pPr>
                  <w:r>
                    <w:t xml:space="preserve">0.326</w:t>
                  </w:r>
                </w:p>
              </w:tc>
              <w:tc>
                <w:tcPr/>
                <w:p>
                  <w:pPr>
                    <w:pStyle w:val="Compact"/>
                  </w:pPr>
                </w:p>
              </w:tc>
            </w:tr>
          </w:tbl>
          <w:bookmarkEnd w:id="135"/>
          <w:p/>
        </w:tc>
      </w:tr>
    </w:tbl>
    <w:bookmarkEnd w:id="136"/>
    <w:bookmarkStart w:id="139" w:name="appendix-d-analytical-methods-summary"/>
    <w:p>
      <w:pPr>
        <w:pStyle w:val="Heading2"/>
      </w:pPr>
      <w:r>
        <w:t xml:space="preserve">14.4 Appendix D — Analytical methods summary</w:t>
      </w:r>
    </w:p>
    <w:p>
      <w:pPr>
        <w:pStyle w:val="FirstParagraph"/>
      </w:pPr>
      <w:hyperlink w:anchor="tbl-methods">
        <w:r>
          <w:rPr>
            <w:rStyle w:val="Hyperlink"/>
          </w:rPr>
          <w:t xml:space="preserve">Table 36</w:t>
        </w:r>
      </w:hyperlink>
      <w:r>
        <w:t xml:space="preserve"> </w:t>
      </w:r>
      <w:r>
        <w:t xml:space="preserve">maps each quality attribute to the validated method that reports it, while</w:t>
      </w:r>
      <w:r>
        <w:t xml:space="preserve"> </w:t>
      </w:r>
      <w:hyperlink w:anchor="tbl-methodperf">
        <w:r>
          <w:rPr>
            <w:rStyle w:val="Hyperlink"/>
          </w:rPr>
          <w:t xml:space="preserve">Table 37</w:t>
        </w:r>
      </w:hyperlink>
      <w:r>
        <w:t xml:space="preserve"> </w:t>
      </w:r>
      <w:r>
        <w:t xml:space="preserve">gives the recorded performance for the methods whose validation summary is held</w:t>
      </w:r>
      <w:r>
        <w:t xml:space="preserve"> </w:t>
      </w:r>
      <w:r>
        <w:t xml:space="preserve">in this package. The remaining validations are cited in</w:t>
      </w:r>
      <w:r>
        <w:t xml:space="preserve"> </w:t>
      </w:r>
      <w:hyperlink w:anchor="tbl-amv">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tbl-methods"/>
          <w:p>
            <w:pPr>
              <w:jc w:val="center"/>
            </w:pPr>
            <w:pPr>
              <w:jc w:val="left"/>
              <w:spacing w:before="200"/>
              <w:pStyle w:val="ImageCaption"/>
            </w:pPr>
            <w:r>
              <w:t xml:space="preserve">Table 36: Attribute to method assignment.</w:t>
            </w:r>
          </w:p>
          <w:tbl>
            <w:tblPr>
              <w:tblStyle w:val="Table"/>
              <w:tblW w:type="pct" w:w="5000"/>
              <w:tblLayout w:type="fixed"/>
              <w:tblLook w:firstRow="1" w:lastRow="0" w:firstColumn="0" w:lastColumn="0" w:noHBand="0" w:noVBand="0" w:val="0020"/>
            </w:tblPr>
            <w:tblGrid>
              <w:gridCol w:w="2736"/>
              <w:gridCol w:w="1512"/>
              <w:gridCol w:w="2304"/>
              <w:gridCol w:w="1368"/>
            </w:tblGrid>
            <w:tr>
              <w:trPr>
                <w:tblHeader w:val="on"/>
              </w:trPr>
              <w:tc>
                <w:tcPr/>
                <w:p>
                  <w:pPr>
                    <w:pStyle w:val="Compact"/>
                    <w:jc w:val="left"/>
                    <w:jc w:val="center"/>
                  </w:pPr>
                  <w:r>
                    <w:t xml:space="preserve">Quality attribute</w:t>
                  </w:r>
                </w:p>
              </w:tc>
              <w:tc>
                <w:tcPr/>
                <w:p>
                  <w:pPr>
                    <w:pStyle w:val="Compact"/>
                    <w:jc w:val="left"/>
                    <w:jc w:val="center"/>
                  </w:pPr>
                  <w:r>
                    <w:t xml:space="preserve">Method validation</w:t>
                  </w:r>
                </w:p>
              </w:tc>
              <w:tc>
                <w:tcPr/>
                <w:p>
                  <w:pPr>
                    <w:pStyle w:val="Compact"/>
                    <w:jc w:val="left"/>
                    <w:jc w:val="center"/>
                  </w:pPr>
                  <w:r>
                    <w:t xml:space="preserve">Technique</w:t>
                  </w:r>
                </w:p>
              </w:tc>
              <w:tc>
                <w:tcPr/>
                <w:p>
                  <w:pPr>
                    <w:pStyle w:val="Compact"/>
                    <w:jc w:val="left"/>
                    <w:jc w:val="center"/>
                  </w:pPr>
                  <w:r>
                    <w:t xml:space="preserve">Reportable unit</w:t>
                  </w:r>
                </w:p>
              </w:tc>
            </w:tr>
            <w:tr>
              <w:tc>
                <w:tcPr/>
                <w:p>
                  <w:pPr>
                    <w:pStyle w:val="Compact"/>
                    <w:jc w:val="left"/>
                    <w:jc w:val="center"/>
                  </w:pPr>
                  <w:r>
                    <w:t xml:space="preserve">Afucosylation</w:t>
                  </w:r>
                </w:p>
              </w:tc>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 of glycans</w:t>
                  </w:r>
                </w:p>
              </w:tc>
            </w:tr>
            <w:tr>
              <w:tc>
                <w:tcPr/>
                <w:p>
                  <w:pPr>
                    <w:pStyle w:val="Compact"/>
                    <w:jc w:val="left"/>
                    <w:jc w:val="center"/>
                  </w:pPr>
                  <w:r>
                    <w:t xml:space="preserve">Galactosylation (total %Gal)</w:t>
                  </w:r>
                </w:p>
              </w:tc>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 (G1+G2 equiv.)</w:t>
                  </w:r>
                </w:p>
              </w:tc>
            </w:tr>
            <w:tr>
              <w:tc>
                <w:tcPr/>
                <w:p>
                  <w:pPr>
                    <w:pStyle w:val="Compact"/>
                    <w:jc w:val="left"/>
                    <w:jc w:val="center"/>
                  </w:pPr>
                  <w:r>
                    <w:t xml:space="preserve">High Mannose</w:t>
                  </w:r>
                </w:p>
              </w:tc>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 of glycans</w:t>
                  </w:r>
                </w:p>
              </w:tc>
            </w:tr>
            <w:tr>
              <w:tc>
                <w:tcPr/>
                <w:p>
                  <w:pPr>
                    <w:pStyle w:val="Compact"/>
                    <w:jc w:val="left"/>
                    <w:jc w:val="center"/>
                  </w:pPr>
                  <w:r>
                    <w:t xml:space="preserve">Aggregates (HMW)</w:t>
                  </w:r>
                </w:p>
              </w:tc>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 HMW (SEC)</w:t>
                  </w:r>
                </w:p>
              </w:tc>
            </w:tr>
            <w:tr>
              <w:tc>
                <w:tcPr/>
                <w:p>
                  <w:pPr>
                    <w:pStyle w:val="Compact"/>
                    <w:jc w:val="left"/>
                    <w:jc w:val="center"/>
                  </w:pPr>
                  <w:r>
                    <w:t xml:space="preserve">Acidic charge variants (deamidation)</w:t>
                  </w:r>
                </w:p>
              </w:tc>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 (CEX/icIEF)</w:t>
                  </w:r>
                </w:p>
              </w:tc>
            </w:tr>
            <w:tr>
              <w:tc>
                <w:tcPr/>
                <w:p>
                  <w:pPr>
                    <w:pStyle w:val="Compact"/>
                    <w:jc w:val="left"/>
                    <w:jc w:val="center"/>
                  </w:pPr>
                  <w:r>
                    <w:t xml:space="preserve">Host Cell Protein (HCP)</w:t>
                  </w:r>
                </w:p>
              </w:tc>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ng/mg</w:t>
                  </w:r>
                </w:p>
              </w:tc>
            </w:tr>
            <w:tr>
              <w:tc>
                <w:tcPr/>
                <w:p>
                  <w:pPr>
                    <w:pStyle w:val="Compact"/>
                    <w:jc w:val="left"/>
                    <w:jc w:val="center"/>
                  </w:pPr>
                  <w:r>
                    <w:t xml:space="preserve">Residual DNA</w:t>
                  </w:r>
                </w:p>
              </w:tc>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ng/dose</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tbl-methodperf"/>
          <w:p>
            <w:pPr>
              <w:jc w:val="center"/>
            </w:pPr>
            <w:pPr>
              <w:jc w:val="left"/>
              <w:spacing w:before="200"/>
              <w:pStyle w:val="ImageCaption"/>
            </w:pPr>
            <w:r>
              <w:t xml:space="preserve">Table 37: Recorded analytical method performance.</w:t>
            </w:r>
          </w:p>
          <w:tbl>
            <w:tblPr>
              <w:tblStyle w:val="Table"/>
              <w:tblW w:type="pct" w:w="5000"/>
              <w:tblLayout w:type="fixed"/>
              <w:tblLook w:firstRow="1" w:lastRow="0" w:firstColumn="0" w:lastColumn="0" w:noHBand="0" w:noVBand="0" w:val="0020"/>
            </w:tblPr>
            <w:tblGrid>
              <w:gridCol w:w="1155"/>
              <w:gridCol w:w="2255"/>
              <w:gridCol w:w="1100"/>
              <w:gridCol w:w="385"/>
              <w:gridCol w:w="660"/>
              <w:gridCol w:w="880"/>
              <w:gridCol w:w="1485"/>
            </w:tblGrid>
            <w:tr>
              <w:trPr>
                <w:tblHeader w:val="on"/>
              </w:trPr>
              <w:tc>
                <w:tcPr/>
                <w:p>
                  <w:pPr>
                    <w:pStyle w:val="Compact"/>
                    <w:jc w:val="left"/>
                    <w:jc w:val="center"/>
                  </w:pPr>
                  <w:r>
                    <w:t xml:space="preserve">Method validation</w:t>
                  </w:r>
                </w:p>
              </w:tc>
              <w:tc>
                <w:tcPr/>
                <w:p>
                  <w:pPr>
                    <w:pStyle w:val="Compact"/>
                    <w:jc w:val="left"/>
                    <w:jc w:val="center"/>
                  </w:pPr>
                  <w:r>
                    <w:t xml:space="preserve">Method</w:t>
                  </w:r>
                </w:p>
              </w:tc>
              <w:tc>
                <w:tcPr/>
                <w:p>
                  <w:pPr>
                    <w:pStyle w:val="Compact"/>
                    <w:jc w:val="right"/>
                    <w:jc w:val="center"/>
                  </w:pPr>
                  <w:r>
                    <w:t xml:space="preserve">Precision (%RSD)</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AMV-3010</w:t>
                  </w:r>
                </w:p>
              </w:tc>
              <w:tc>
                <w:tcPr/>
                <w:p>
                  <w:pPr>
                    <w:pStyle w:val="Compact"/>
                    <w:jc w:val="left"/>
                    <w:jc w:val="center"/>
                  </w:pPr>
                  <w:r>
                    <w:t xml:space="preserve">Released N-Glycan Map (2-AB HILIC-UPLC)</w:t>
                  </w:r>
                </w:p>
              </w:tc>
              <w:tc>
                <w:tcPr/>
                <w:p>
                  <w:pPr>
                    <w:pStyle w:val="Compact"/>
                    <w:jc w:val="right"/>
                    <w:jc w:val="center"/>
                  </w:pPr>
                  <w:r>
                    <w:t xml:space="preserve">2.5</w:t>
                  </w:r>
                </w:p>
              </w:tc>
              <w:tc>
                <w:tcPr/>
                <w:p>
                  <w:pPr>
                    <w:pStyle w:val="Compact"/>
                    <w:jc w:val="right"/>
                    <w:jc w:val="center"/>
                  </w:pPr>
                  <w:r>
                    <w:t xml:space="preserve">0.5</w:t>
                  </w:r>
                </w:p>
              </w:tc>
              <w:tc>
                <w:tcPr/>
                <w:p>
                  <w:pPr>
                    <w:pStyle w:val="Compact"/>
                    <w:jc w:val="left"/>
                    <w:jc w:val="center"/>
                  </w:pPr>
                  <w:r>
                    <w:t xml:space="preserve">% glycan</w:t>
                  </w:r>
                </w:p>
              </w:tc>
              <w:tc>
                <w:tcPr/>
                <w:p>
                  <w:pPr>
                    <w:pStyle w:val="Compact"/>
                    <w:jc w:val="right"/>
                    <w:jc w:val="center"/>
                  </w:pPr>
                  <w:r>
                    <w:t xml:space="preserve">99</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38"/>
          <w:p/>
        </w:tc>
      </w:tr>
    </w:tbl>
    <w:bookmarkEnd w:id="139"/>
    <w:bookmarkEnd w:id="140"/>
    <w:bookmarkStart w:id="148" w:name="references"/>
    <w:p>
      <w:pPr>
        <w:pStyle w:val="Heading1"/>
      </w:pPr>
      <w:r>
        <w:t xml:space="preserve">References</w:t>
      </w:r>
    </w:p>
    <w:bookmarkStart w:id="147" w:name="refs"/>
    <w:bookmarkStart w:id="14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41"/>
    <w:bookmarkStart w:id="14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42"/>
    <w:bookmarkStart w:id="14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43"/>
    <w:bookmarkStart w:id="144"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44"/>
    <w:bookmarkStart w:id="145" w:name="ref-ichq9"/>
    <w:p>
      <w:pPr>
        <w:pStyle w:val="Bibliography"/>
      </w:pPr>
      <w:r>
        <w:t xml:space="preserve">International Council for Harmonisation. 2023.</w:t>
      </w:r>
      <w:r>
        <w:t xml:space="preserve"> </w:t>
      </w:r>
      <w:r>
        <w:rPr>
          <w:i/>
          <w:iCs/>
        </w:rPr>
        <w:t xml:space="preserve">ICH Q9(R1): Quality Risk Management</w:t>
      </w:r>
      <w:r>
        <w:t xml:space="preserve">. ICH.</w:t>
      </w:r>
    </w:p>
    <w:bookmarkEnd w:id="145"/>
    <w:bookmarkStart w:id="14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5" Target="media/rId85.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107" Target="media/rId107.png" /><Relationship Type="http://schemas.openxmlformats.org/officeDocument/2006/relationships/image" Id="rId95" Target="media/rId95.png" /><Relationship Type="http://schemas.openxmlformats.org/officeDocument/2006/relationships/image" Id="rId99" Target="media/rId9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2026-08-18T08:32:44Z</dcterms:created>
  <dcterms:modified xsi:type="dcterms:W3CDTF">2026-08-18T08:32:44Z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PCR-003</vt:lpwstr>
  </property>
  <property fmtid="{D5CDD505-2E9C-101B-9397-08002B2CF9AE}" pid="15" name="tbl-cap-location">
    <vt:lpwstr>top</vt:lpwstr>
  </property>
  <property fmtid="{D5CDD505-2E9C-101B-9397-08002B2CF9AE}" pid="16" name="toc-title">
    <vt:lpwstr>Table of contents</vt:lpwstr>
  </property>
</Properties>
</file>