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Pre-Characterization Process Risk Assessment</w:t>
      </w:r>
    </w:p>
    <w:p>
      <w:pPr>
        <w:pStyle w:val="Subtitle"/>
      </w:pPr>
      <w:r>
        <w:t xml:space="preserve">A-Mab Drug Substance — A-Mab Drug Substance — RA-001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Pre-Characterization Process Risk Assessment: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BLA, Biologics License Application; CEX, cation exchange</w:t>
      </w:r>
      <w:r>
        <w:t xml:space="preserve"> </w:t>
      </w:r>
      <w:r>
        <w:t xml:space="preserve">chromatography; CofA, certificate of analysis; CPP, critical process parameter; CQA, critical</w:t>
      </w:r>
      <w:r>
        <w:t xml:space="preserve"> </w:t>
      </w:r>
      <w:r>
        <w:t xml:space="preserve">quality attribute; DNA, deoxyribonucleic acid; DoE, design of experiments; GPP, general process</w:t>
      </w:r>
      <w:r>
        <w:t xml:space="preserve"> </w:t>
      </w:r>
      <w:r>
        <w:t xml:space="preserve">parameter; HCP, host cell protein; HMW, high molecular weight; ICH, International Council for</w:t>
      </w:r>
      <w:r>
        <w:t xml:space="preserve"> </w:t>
      </w:r>
      <w:r>
        <w:t xml:space="preserve">Harmonisation; IgG1, immunoglobulin G subclass 1; IPC, in-process control; KPP, key process</w:t>
      </w:r>
      <w:r>
        <w:t xml:space="preserve"> </w:t>
      </w:r>
      <w:r>
        <w:t xml:space="preserve">parameter; MSAT, Manufacturing Science and Technology; MVM, minute virus of mice; NOR, normal</w:t>
      </w:r>
      <w:r>
        <w:t xml:space="preserve"> </w:t>
      </w:r>
      <w:r>
        <w:t xml:space="preserve">operating range; PAR, proven acceptable range; pCO2, dissolved carbon dioxide; RPN, risk priority</w:t>
      </w:r>
      <w:r>
        <w:t xml:space="preserve"> </w:t>
      </w:r>
      <w:r>
        <w:t xml:space="preserve">number; RRF, risk ranking and filtering; SEC, size exclusion chromatography; UF/DF,</w:t>
      </w:r>
      <w:r>
        <w:t xml:space="preserve"> </w:t>
      </w:r>
      <w:r>
        <w:t xml:space="preserve">ultrafiltration and diafiltration; WC-CPP, well 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3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Pre-Characterization Process Risk Assessment decides which A-Mab process parameters are</w:t>
      </w:r>
      <w:r>
        <w:t xml:space="preserve"> </w:t>
      </w:r>
      <w:r>
        <w:t xml:space="preserve">characterized, and by what kind of study. Because the assessment is performed before any</w:t>
      </w:r>
      <w:r>
        <w:t xml:space="preserve"> </w:t>
      </w:r>
      <w:r>
        <w:t xml:space="preserve">characterization study is executed, the output is a scope and not a result: each of the</w:t>
      </w:r>
      <w:r>
        <w:t xml:space="preserve"> </w:t>
      </w:r>
      <w:r>
        <w:t xml:space="preserve">37 process parameters of the drug-substance train leaves this document with an</w:t>
      </w:r>
      <w:r>
        <w:t xml:space="preserve"> </w:t>
      </w:r>
      <w:r>
        <w:t xml:space="preserve">assigned study type and with the reason for that assignment recorded against it.</w:t>
      </w:r>
    </w:p>
    <w:p>
      <w:pPr>
        <w:pStyle w:val="BodyText"/>
      </w:pPr>
      <w:r>
        <w:t xml:space="preserve">Three limits on that output hold throughout. No parameter is classified in this assessment, because</w:t>
      </w:r>
      <w:r>
        <w:t xml:space="preserve"> </w:t>
      </w:r>
      <w:r>
        <w:t xml:space="preserve">the critical, well controlled critical, key and general process parameter designations are outputs</w:t>
      </w:r>
      <w:r>
        <w:t xml:space="preserve"> </w:t>
      </w:r>
      <w:r>
        <w:t xml:space="preserve">of the characterization studies themselves; the reports PCR-003 to PCR-010 assign them under the</w:t>
      </w:r>
      <w:r>
        <w:t xml:space="preserve"> </w:t>
      </w:r>
      <w:r>
        <w:t xml:space="preserve">decision logic of the case study</w:t>
      </w:r>
      <w:r>
        <w:t xml:space="preserve"> </w:t>
      </w:r>
      <w:r>
        <w:t xml:space="preserve">(CMC Biotech Working Group 2009)</w:t>
      </w:r>
      <w:r>
        <w:t xml:space="preserve">. No residual risk is calculated for those parameters</w:t>
      </w:r>
      <w:r>
        <w:t xml:space="preserve"> </w:t>
      </w:r>
      <w:r>
        <w:t xml:space="preserve">either. Since the control strategy that would reduce the risk is not yet defined, what is recorded</w:t>
      </w:r>
      <w:r>
        <w:t xml:space="preserve"> </w:t>
      </w:r>
      <w:r>
        <w:t xml:space="preserve">here is the risk as it stands under the controls that exist today. Finally, no acceptable range is</w:t>
      </w:r>
      <w:r>
        <w:t xml:space="preserve"> </w:t>
      </w:r>
      <w:r>
        <w:t xml:space="preserve">set here. Ranges are proposed for study (Appendix A), while a proven acceptable range is an output</w:t>
      </w:r>
      <w:r>
        <w:t xml:space="preserve"> </w:t>
      </w:r>
      <w:r>
        <w:t xml:space="preserve">of the study for the step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PTP-001, the Process Transfer Plan, is the parent of this assessment and fixes the transfer scope</w:t>
      </w:r>
      <w:r>
        <w:t xml:space="preserve"> </w:t>
      </w:r>
      <w:r>
        <w:t xml:space="preserve">within which it works, while the consumers are the eight Process Characterization Plans (PCP-003 to</w:t>
      </w:r>
      <w:r>
        <w:t xml:space="preserve"> </w:t>
      </w:r>
      <w:r>
        <w:t xml:space="preserve">PCP-010), each of which carries out the scope defined here for one unit operation. Above those eight</w:t>
      </w:r>
      <w:r>
        <w:t xml:space="preserve"> </w:t>
      </w:r>
      <w:r>
        <w:t xml:space="preserve">plans, the campaign is covered by PCMP-001. The whole package is listed in Section 7.</w:t>
      </w:r>
    </w:p>
    <w:p>
      <w:pPr>
        <w:pStyle w:val="BodyText"/>
      </w:pPr>
      <w:r>
        <w:t xml:space="preserve">The assessment covers Steps 3 to 10 of the drug-substance process,</w:t>
      </w:r>
      <w:r>
        <w:t xml:space="preserve"> </w:t>
      </w:r>
      <w:r>
        <w:t xml:space="preserve">from the production bioreactor (Step 3) through to ultrafiltration and diafiltration (Step 10). The</w:t>
      </w:r>
      <w:r>
        <w:t xml:space="preserve"> </w:t>
      </w:r>
      <w:r>
        <w:t xml:space="preserve">train is set out with the principal role of each step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Seed expansion and the drug</w:t>
      </w:r>
      <w:r>
        <w:t xml:space="preserve"> </w:t>
      </w:r>
      <w:r>
        <w:t xml:space="preserve">product process lie outside the scope, because the seed steps accumulate no product and have been</w:t>
      </w:r>
      <w:r>
        <w:t xml:space="preserve"> </w:t>
      </w:r>
      <w:r>
        <w:t xml:space="preserve">shown to pose a low risk to product quality</w:t>
      </w:r>
      <w:r>
        <w:t xml:space="preserve"> </w:t>
      </w:r>
      <w:r>
        <w:t xml:space="preserve">(CMC Biotech Working Group 2009)</w:t>
      </w:r>
      <w:r>
        <w:t xml:space="preserve">. Equipment, raw materials and analytical</w:t>
      </w:r>
      <w:r>
        <w:t xml:space="preserve"> </w:t>
      </w:r>
      <w:r>
        <w:t xml:space="preserve">methods are assessed in their own documents, which are referred to here only where the existing</w:t>
      </w:r>
      <w:r>
        <w:t xml:space="preserve"> </w:t>
      </w:r>
      <w:r>
        <w:t xml:space="preserve">control of a parameter rests on one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2"/>
          <w:p/>
        </w:tc>
      </w:tr>
    </w:tbl>
    <w:bookmarkEnd w:id="13"/>
    <w:bookmarkStart w:id="16" w:name="risk-assessment-methodology"/>
    <w:p>
      <w:pPr>
        <w:pStyle w:val="Heading1"/>
      </w:pPr>
      <w:r>
        <w:t xml:space="preserve">2. Risk assessment methodology</w:t>
      </w:r>
    </w:p>
    <w:p>
      <w:pPr>
        <w:pStyle w:val="FirstParagraph"/>
      </w:pPr>
      <w:r>
        <w:t xml:space="preserve">Risk ranking and filtering (RRF) is the method</w:t>
      </w:r>
      <w:r>
        <w:t xml:space="preserve"> </w:t>
      </w:r>
      <w:r>
        <w:t xml:space="preserve">(CMC Biotech Working Group 2009)</w:t>
      </w:r>
      <w:r>
        <w:t xml:space="preserve">. Each process parameter is scored on the</w:t>
      </w:r>
      <w:r>
        <w:t xml:space="preserve"> </w:t>
      </w:r>
      <w:r>
        <w:t xml:space="preserve">potential impact of a deviation on a quality attribute (the main effect) and on the potential of</w:t>
      </w:r>
      <w:r>
        <w:t xml:space="preserve"> </w:t>
      </w:r>
      <w:r>
        <w:t xml:space="preserve">that parameter to interact with other parameters of the same unit operation; the study type follows</w:t>
      </w:r>
      <w:r>
        <w:t xml:space="preserve"> </w:t>
      </w:r>
      <w:r>
        <w:t xml:space="preserve">from the two scores together. Throughout, criticality is treated as a continuum: neither an</w:t>
      </w:r>
      <w:r>
        <w:t xml:space="preserve"> </w:t>
      </w:r>
      <w:r>
        <w:t xml:space="preserve">attribute nor a parameter is placed in a binary critical or non-critical box at this stage</w:t>
      </w:r>
      <w:r>
        <w:t xml:space="preserve"> </w:t>
      </w:r>
      <w:r>
        <w:t xml:space="preserve">(International Council for Harmonisation 2023b)</w:t>
      </w:r>
      <w:r>
        <w:t xml:space="preserve">.</w:t>
      </w:r>
    </w:p>
    <w:p>
      <w:pPr>
        <w:pStyle w:val="BodyText"/>
      </w:pPr>
      <w:r>
        <w:t xml:space="preserve">Severity is taken from the attribute a failure mode can reach, because a parameter inherits the</w:t>
      </w:r>
      <w:r>
        <w:t xml:space="preserve"> </w:t>
      </w:r>
      <w:r>
        <w:t xml:space="preserve">severity of the most critical attribute within reach. Therefore a parameter that could move high</w:t>
      </w:r>
      <w:r>
        <w:t xml:space="preserve"> </w:t>
      </w:r>
      <w:r>
        <w:t xml:space="preserve">mannose is scored at the top of the scale whatever the size of the effect later turns out to be,</w:t>
      </w:r>
      <w:r>
        <w:t xml:space="preserve"> </w:t>
      </w:r>
      <w:r>
        <w:t xml:space="preserve">while a parameter that reaches only the acidic charge variants is scored near the bottom. The</w:t>
      </w:r>
      <w:r>
        <w:t xml:space="preserve"> </w:t>
      </w:r>
      <w:r>
        <w:t xml:space="preserve">severity of a parameter never depends on how well a facility controls it, which keeps the</w:t>
      </w:r>
      <w:r>
        <w:t xml:space="preserve"> </w:t>
      </w:r>
      <w:r>
        <w:t xml:space="preserve">criticality of an attribute separate from the capability of a plant</w:t>
      </w:r>
      <w:r>
        <w:t xml:space="preserve"> </w:t>
      </w:r>
      <w:r>
        <w:t xml:space="preserve">(CMC Biotech Working Group 2009)</w:t>
      </w:r>
      <w:r>
        <w:t xml:space="preserve">. The scale is given</w:t>
      </w:r>
      <w:r>
        <w:t xml:space="preserve"> </w:t>
      </w:r>
      <w:r>
        <w:t xml:space="preserve">in</w:t>
      </w:r>
      <w:r>
        <w:t xml:space="preserve"> </w:t>
      </w:r>
      <w:hyperlink w:anchor="tbl-sev">
        <w:r>
          <w:rPr>
            <w:rStyle w:val="Hyperlink"/>
          </w:rPr>
          <w:t xml:space="preserve">Table 3</w:t>
        </w:r>
      </w:hyperlink>
      <w:r>
        <w:t xml:space="preserve">, whose five bands run from a deviation with no impact on product quality to one that</w:t>
      </w:r>
      <w:r>
        <w:t xml:space="preserve"> </w:t>
      </w:r>
      <w:r>
        <w:t xml:space="preserve">would have a lot rejected.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s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Severity scale. The severity of a parameter is the severity of the most critical attribute its failure mode can reach.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19"/>
              <w:gridCol w:w="1001"/>
              <w:gridCol w:w="60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Definite impact to product quality; lot(s) rejected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Probable impact; significant supplemental testing /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impact; supplemental t=0 testing / minor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Unlikely impact; no supplemental testing / no re-processing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Low/None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impact to product quality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Occurrence and detection are scored as they stand before characterization. That is what makes the</w:t>
      </w:r>
      <w:r>
        <w:t xml:space="preserve"> </w:t>
      </w:r>
      <w:r>
        <w:t xml:space="preserve">resulting number an initial one. Occurrence is 7 for a parameter that can reach a</w:t>
      </w:r>
      <w:r>
        <w:t xml:space="preserve"> </w:t>
      </w:r>
      <w:r>
        <w:t xml:space="preserve">quality attribute, because neither the size of the effect nor the acceptable range is yet known; for</w:t>
      </w:r>
      <w:r>
        <w:t xml:space="preserve"> </w:t>
      </w:r>
      <w:r>
        <w:t xml:space="preserve">a parameter that acts on process performance alone the score falls to 4. Detection</w:t>
      </w:r>
      <w:r>
        <w:t xml:space="preserve"> </w:t>
      </w:r>
      <w:r>
        <w:t xml:space="preserve">is scored at 8 where a deviation would reach product quality without being visible</w:t>
      </w:r>
      <w:r>
        <w:t xml:space="preserve"> </w:t>
      </w:r>
      <w:r>
        <w:t xml:space="preserve">in process. Where the attribute at risk is viral clearance, detection takes the lowest band of the</w:t>
      </w:r>
      <w:r>
        <w:t xml:space="preserve"> </w:t>
      </w:r>
      <w:r>
        <w:t xml:space="preserve">scale at 10, because clearance is demonstrated in small-scale spiking studies and is</w:t>
      </w:r>
      <w:r>
        <w:t xml:space="preserve"> </w:t>
      </w:r>
      <w:r>
        <w:t xml:space="preserve">never measured on the batch. For the performance-only parameters, whose deviations show up in the</w:t>
      </w:r>
      <w:r>
        <w:t xml:space="preserve"> </w:t>
      </w:r>
      <w:r>
        <w:t xml:space="preserve">next operation, detection is scored at 6 (both scales are given in</w:t>
      </w:r>
      <w:r>
        <w:t xml:space="preserve"> </w:t>
      </w:r>
      <w:hyperlink w:anchor="tbl-od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o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Occurrence and detection scales, scored as they stand before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81"/>
              <w:gridCol w:w="1016"/>
              <w:gridCol w:w="2247"/>
              <w:gridCol w:w="963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Occurrence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100 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by in-process or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1,000 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detected in-process; caught by CofA testing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2,000 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downstream before CofA, not during the unit 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5,000 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in the next downstream operation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Minimal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Failure ~ once per 10,000 units or 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Immediately detected by in-process monitoring / inspection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three scales together give the initial risk priority number, which is their product on an</w:t>
      </w:r>
      <w:r>
        <w:t xml:space="preserve"> </w:t>
      </w:r>
      <w:r>
        <w:t xml:space="preserve">ordinal scale. The number therefore ranks parameters against one another and carries no further</w:t>
      </w:r>
      <w:r>
        <w:t xml:space="preserve"> </w:t>
      </w:r>
      <w:r>
        <w:t xml:space="preserve">meaning; a ratio between two of the numbers says nothing about how much more risk one of them</w:t>
      </w:r>
      <w:r>
        <w:t xml:space="preserve"> </w:t>
      </w:r>
      <w:r>
        <w:t xml:space="preserve">represents.</w:t>
      </w:r>
    </w:p>
    <w:p>
      <w:pPr>
        <w:pStyle w:val="BodyText"/>
      </w:pPr>
      <w:r>
        <w:t xml:space="preserve">The study type is decided by the two axes of the ranking. A parameter whose deviation could take a</w:t>
      </w:r>
      <w:r>
        <w:t xml:space="preserve"> </w:t>
      </w:r>
      <w:r>
        <w:t xml:space="preserve">quality attribute outside its acceptance criterion, and which prior knowledge places in interaction</w:t>
      </w:r>
      <w:r>
        <w:t xml:space="preserve"> </w:t>
      </w:r>
      <w:r>
        <w:t xml:space="preserve">with another parameter of the same step, is studied in a multivariate design. A quality-linked</w:t>
      </w:r>
      <w:r>
        <w:t xml:space="preserve"> </w:t>
      </w:r>
      <w:r>
        <w:t xml:space="preserve">parameter that acts through a single mechanism, or whose response is measured in a separate study,</w:t>
      </w:r>
      <w:r>
        <w:t xml:space="preserve"> </w:t>
      </w:r>
      <w:r>
        <w:t xml:space="preserve">is assessed one factor at a time under a written justification, while a parameter with no credible</w:t>
      </w:r>
      <w:r>
        <w:t xml:space="preserve"> </w:t>
      </w:r>
      <w:r>
        <w:t xml:space="preserve">route to any quality attribute is assessed one factor at a time to support process performance. The</w:t>
      </w:r>
      <w:r>
        <w:t xml:space="preserve"> </w:t>
      </w:r>
      <w:r>
        <w:t xml:space="preserve">method also permits a fourth outcome, in which a parameter of negligible risk is not studied at all</w:t>
      </w:r>
      <w:r>
        <w:t xml:space="preserve"> </w:t>
      </w:r>
      <w:r>
        <w:t xml:space="preserve">(CMC Biotech Working Group 2009)</w:t>
      </w:r>
      <w:r>
        <w:t xml:space="preserve">; Section 5 records what this assessment did with that outcome.</w:t>
      </w:r>
    </w:p>
    <w:p>
      <w:pPr>
        <w:pStyle w:val="BodyText"/>
      </w:pPr>
      <w:r>
        <w:t xml:space="preserve">The same ranking is summarised more coarsely as a priority band: High for a quality-linked parameter</w:t>
      </w:r>
      <w:r>
        <w:t xml:space="preserve"> </w:t>
      </w:r>
      <w:r>
        <w:t xml:space="preserve">whose severity reaches 8, Medium for a quality-linked parameter below that</w:t>
      </w:r>
      <w:r>
        <w:t xml:space="preserve"> </w:t>
      </w:r>
      <w:r>
        <w:t xml:space="preserve">severity, and Low for a parameter that acts on process performance alone. The three bands are filled</w:t>
      </w:r>
      <w:r>
        <w:t xml:space="preserve"> </w:t>
      </w:r>
      <w:r>
        <w:t xml:space="preserve">by 16, 5 and 16 parameters respectively.</w:t>
      </w:r>
    </w:p>
    <w:p>
      <w:pPr>
        <w:pStyle w:val="BodyText"/>
      </w:pPr>
      <w:r>
        <w:t xml:space="preserve">The same three scales are applied again after characterization, when each report weighs the residual</w:t>
      </w:r>
      <w:r>
        <w:t xml:space="preserve"> </w:t>
      </w:r>
      <w:r>
        <w:t xml:space="preserve">risk and designates the critical process parameters of its own step</w:t>
      </w:r>
      <w:r>
        <w:t xml:space="preserve"> </w:t>
      </w:r>
      <w:r>
        <w:t xml:space="preserve">(CMC Biotech Working Group 2009)</w:t>
      </w:r>
      <w:r>
        <w:t xml:space="preserve">. That later step of</w:t>
      </w:r>
      <w:r>
        <w:t xml:space="preserve"> </w:t>
      </w:r>
      <w:r>
        <w:t xml:space="preserve">the lifecycle lies outside this document. None of the thresholds used in that step is applied to any</w:t>
      </w:r>
      <w:r>
        <w:t xml:space="preserve"> </w:t>
      </w:r>
      <w:r>
        <w:t xml:space="preserve">number in this document.</w:t>
      </w:r>
    </w:p>
    <w:bookmarkEnd w:id="16"/>
    <w:bookmarkStart w:id="18" w:name="quality-attributes-at-risk"/>
    <w:p>
      <w:pPr>
        <w:pStyle w:val="Heading1"/>
      </w:pPr>
      <w:r>
        <w:t xml:space="preserve">3. Quality attributes at risk</w:t>
      </w:r>
    </w:p>
    <w:p>
      <w:pPr>
        <w:pStyle w:val="FirstParagraph"/>
      </w:pPr>
      <w:r>
        <w:t xml:space="preserve">The attribute register is the severity axis of this assessment. The 10 attributes the</w:t>
      </w:r>
      <w:r>
        <w:t xml:space="preserve"> </w:t>
      </w:r>
      <w:r>
        <w:t xml:space="preserve">drug substance must meet are listed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, with the acceptance criterion, the criticality</w:t>
      </w:r>
      <w:r>
        <w:t xml:space="preserve"> </w:t>
      </w:r>
      <w:r>
        <w:t xml:space="preserve">assigned in the product risk assessment, the Tool #1 score behind that criticality, the severity</w:t>
      </w:r>
      <w:r>
        <w:t xml:space="preserve"> </w:t>
      </w:r>
      <w:r>
        <w:t xml:space="preserve">each attribute confers on a parameter that can reach it and the step at which the attribute is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attributes, criticality and the severity each confers.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67"/>
              <w:gridCol w:w="931"/>
              <w:gridCol w:w="1449"/>
              <w:gridCol w:w="776"/>
              <w:gridCol w:w="569"/>
              <w:gridCol w:w="621"/>
              <w:gridCol w:w="16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Severity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3 of the attributes carry very high criticality: high mannose, cumulative XMuLV</w:t>
      </w:r>
      <w:r>
        <w:t xml:space="preserve"> </w:t>
      </w:r>
      <w:r>
        <w:t xml:space="preserve">clearance and cumulative MVM clearance. High mannose reaches the highest Tool #1 score in the</w:t>
      </w:r>
      <w:r>
        <w:t xml:space="preserve"> </w:t>
      </w:r>
      <w:r>
        <w:t xml:space="preserve">register at 80, because the attribute carries both a high impact on activity and</w:t>
      </w:r>
      <w:r>
        <w:t xml:space="preserve"> </w:t>
      </w:r>
      <w:r>
        <w:t xml:space="preserve">real uncertainty about the size of that impact</w:t>
      </w:r>
      <w:r>
        <w:t xml:space="preserve"> </w:t>
      </w:r>
      <w:r>
        <w:t xml:space="preserve">(CMC Biotech Working Group 2009)</w:t>
      </w:r>
      <w:r>
        <w:t xml:space="preserve">. By contrast, the two viral clearance</w:t>
      </w:r>
      <w:r>
        <w:t xml:space="preserve"> </w:t>
      </w:r>
      <w:r>
        <w:t xml:space="preserve">attributes (XMuLV and MVM) score 20, well below the glycan attributes, because</w:t>
      </w:r>
      <w:r>
        <w:t xml:space="preserve"> </w:t>
      </w:r>
      <w:r>
        <w:t xml:space="preserve">the mechanism of clearance is understood and very little uncertainty attaches to it. However, the</w:t>
      </w:r>
      <w:r>
        <w:t xml:space="preserve"> </w:t>
      </w:r>
      <w:r>
        <w:t xml:space="preserve">severity all three confer is the same, at 10, since a batch that misses any one of</w:t>
      </w:r>
      <w:r>
        <w:t xml:space="preserve"> </w:t>
      </w:r>
      <w:r>
        <w:t xml:space="preserve">the three cannot be released.</w:t>
      </w:r>
    </w:p>
    <w:p>
      <w:pPr>
        <w:pStyle w:val="BodyText"/>
      </w:pPr>
      <w:r>
        <w:t xml:space="preserve">Below that band the attribute register spreads widely in severity, from high criticality down to</w:t>
      </w:r>
      <w:r>
        <w:t xml:space="preserve"> </w:t>
      </w:r>
      <w:r>
        <w:t xml:space="preserve">very low. Afucosylation, galactosylation and aggregates (HMW) sit at high criticality and confer a</w:t>
      </w:r>
      <w:r>
        <w:t xml:space="preserve"> </w:t>
      </w:r>
      <w:r>
        <w:t xml:space="preserve">severity of 8. Host cell protein (HCP) follows at moderate to high criticality,</w:t>
      </w:r>
      <w:r>
        <w:t xml:space="preserve"> </w:t>
      </w:r>
      <w:r>
        <w:t xml:space="preserve">with three chromatography steps (Protein A, cation exchange and anion exchange) sharing its</w:t>
      </w:r>
      <w:r>
        <w:t xml:space="preserve"> </w:t>
      </w:r>
      <w:r>
        <w:t xml:space="preserve">clearance. The lowest of the register are the acidic charge variants (deamidation) and residual DNA,</w:t>
      </w:r>
      <w:r>
        <w:t xml:space="preserve"> </w:t>
      </w:r>
      <w:r>
        <w:t xml:space="preserve">both of very low criticality, of which residual DNA confers the lowest severity of all at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7 of the 10 attributes are formed at the production bioreactor,</w:t>
      </w:r>
      <w:r>
        <w:t xml:space="preserve"> </w:t>
      </w:r>
      <w:r>
        <w:t xml:space="preserve">which is why that step carries the longest parameter list in the assessment. Leached Protein A</w:t>
      </w:r>
      <w:r>
        <w:t xml:space="preserve"> </w:t>
      </w:r>
      <w:r>
        <w:t xml:space="preserve">enters at the capture step, while the two viral clearance attributes are credited to the step that</w:t>
      </w:r>
      <w:r>
        <w:t xml:space="preserve"> </w:t>
      </w:r>
      <w:r>
        <w:t xml:space="preserve">carries the larger part of each claim: the low-pH hold (Step 6) for XMuLV and anion exchange (Step</w:t>
      </w:r>
      <w:r>
        <w:t xml:space="preserve"> </w:t>
      </w:r>
      <w:r>
        <w:t xml:space="preserve">8) for MVM. All three viral steps contribute to both claims, with the cumulative figures</w:t>
      </w:r>
      <w:r>
        <w:t xml:space="preserve"> </w:t>
      </w:r>
      <w:r>
        <w:t xml:space="preserve">consolidated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Both of those claims rest on an acceptance criterion the process must reach from below. Cumulative</w:t>
      </w:r>
      <w:r>
        <w:t xml:space="preserve"> </w:t>
      </w:r>
      <w:r>
        <w:t xml:space="preserve">XMuLV and MVM clearance are stated as minimum log reductions. A deviation that lowers clearance is</w:t>
      </w:r>
      <w:r>
        <w:t xml:space="preserve"> </w:t>
      </w:r>
      <w:r>
        <w:t xml:space="preserve">therefore the failure of interest at Steps 6, 8 and 9, while a deviation that raises it</w:t>
      </w:r>
      <w:r>
        <w:t xml:space="preserve"> </w:t>
      </w:r>
      <w:r>
        <w:t xml:space="preserve">is of no concern.</w:t>
      </w:r>
    </w:p>
    <w:p>
      <w:pPr>
        <w:pStyle w:val="BodyText"/>
      </w:pPr>
      <w:r>
        <w:t xml:space="preserve">Severity travels from an attribute to a parameter through a postulated failure mode. No attribute in</w:t>
      </w:r>
      <w:r>
        <w:t xml:space="preserve"> </w:t>
      </w:r>
      <w:r>
        <w:t xml:space="preserve">that register is re-scored here. The register is taken as it stands from the product risk</w:t>
      </w:r>
      <w:r>
        <w:t xml:space="preserve"> </w:t>
      </w:r>
      <w:r>
        <w:t xml:space="preserve">assessment, where impact and uncertainty were the only two axes used and neither manufacturing</w:t>
      </w:r>
      <w:r>
        <w:t xml:space="preserve"> </w:t>
      </w:r>
      <w:r>
        <w:t xml:space="preserve">capability nor detectability entered the score</w:t>
      </w:r>
      <w:r>
        <w:t xml:space="preserve"> </w:t>
      </w:r>
      <w:r>
        <w:t xml:space="preserve">(CMC Biotech Working Group 2009)</w:t>
      </w:r>
      <w:r>
        <w:t xml:space="preserve">. What this assessment adds is the reach</w:t>
      </w:r>
      <w:r>
        <w:t xml:space="preserve"> </w:t>
      </w:r>
      <w:r>
        <w:t xml:space="preserve">of each parameter, one unit operation at a time.</w:t>
      </w:r>
    </w:p>
    <w:bookmarkEnd w:id="18"/>
    <w:bookmarkStart w:id="35" w:name="parameter-risk-ranking-by-unit-operation"/>
    <w:p>
      <w:pPr>
        <w:pStyle w:val="Heading1"/>
      </w:pPr>
      <w:r>
        <w:t xml:space="preserve">4. Parameter risk ranking by unit operation</w:t>
      </w:r>
    </w:p>
    <w:p>
      <w:pPr>
        <w:pStyle w:val="FirstParagraph"/>
      </w:pPr>
      <w:r>
        <w:t xml:space="preserve">The assessment identified a credible route to a quality attribute for 21 of the</w:t>
      </w:r>
      <w:r>
        <w:t xml:space="preserve"> </w:t>
      </w:r>
      <w:r>
        <w:t xml:space="preserve">37 parameters. The remaining 16 act on process performance only</w:t>
      </w:r>
      <w:r>
        <w:t xml:space="preserve"> </w:t>
      </w:r>
      <w:r>
        <w:t xml:space="preserve">(titre, yield, filter capacity and buffer exchange). The highest initial risk number in the</w:t>
      </w:r>
      <w:r>
        <w:t xml:space="preserve"> </w:t>
      </w:r>
      <w:r>
        <w:t xml:space="preserve">assessment, 700, is reached by 8 parameters, every one of which</w:t>
      </w:r>
      <w:r>
        <w:t xml:space="preserve"> </w:t>
      </w:r>
      <w:r>
        <w:t xml:space="preserve">belongs to one of Steps 6, 8 and 9 (the three steps credited with viral clearance).</w:t>
      </w:r>
      <w:r>
        <w:t xml:space="preserve"> </w:t>
      </w:r>
      <w:r>
        <w:t xml:space="preserve">Detection drives that result. Nothing in it says that those three steps are poorly controlled.</w:t>
      </w:r>
    </w:p>
    <w:p>
      <w:pPr>
        <w:pStyle w:val="BodyText"/>
      </w:pPr>
      <w:r>
        <w:t xml:space="preserve">The parameters of each unit operation are given below, with the failure mode postulated for each,</w:t>
      </w:r>
      <w:r>
        <w:t xml:space="preserve"> </w:t>
      </w:r>
      <w:r>
        <w:t xml:space="preserve">the attributes that failure mode could reach and the resulting score, all read against the scales of</w:t>
      </w:r>
      <w:r>
        <w:t xml:space="preserve"> </w:t>
      </w:r>
      <w:r>
        <w:t xml:space="preserve">Section 2. The two steps whose parameters reach no attribute at all are correspondingly short.</w:t>
      </w:r>
    </w:p>
    <w:bookmarkStart w:id="20" w:name="production-bioreactor-step-3"/>
    <w:p>
      <w:pPr>
        <w:pStyle w:val="Heading2"/>
      </w:pPr>
      <w:r>
        <w:t xml:space="preserve">4.1 Production bioreactor (Step 3)</w:t>
      </w:r>
    </w:p>
    <w:p>
      <w:pPr>
        <w:pStyle w:val="FirstParagraph"/>
      </w:pPr>
      <w:r>
        <w:t xml:space="preserve">Because the production bioreactor forms more quality attributes than any other step in the process,</w:t>
      </w:r>
      <w:r>
        <w:t xml:space="preserve"> </w:t>
      </w:r>
      <w:r>
        <w:t xml:space="preserve">the parameter list of the step is correspondingly long: 9</w:t>
      </w:r>
      <w:r>
        <w:t xml:space="preserve"> </w:t>
      </w:r>
      <w:r>
        <w:t xml:space="preserve">parameters enter the assessment, of which 5 can reach a quality</w:t>
      </w:r>
      <w:r>
        <w:t xml:space="preserve"> </w:t>
      </w:r>
      <w:r>
        <w:t xml:space="preserve">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rank-biore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Pre-characterization risk ranking,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7"/>
              <w:gridCol w:w="1550"/>
              <w:gridCol w:w="2743"/>
              <w:gridCol w:w="2409"/>
              <w:gridCol w:w="190"/>
              <w:gridCol w:w="3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excursion outside the characterized range (6.6-7.1)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High Mannose, Acidic charge variants (deamidation), 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Shifts glycosylation (ADCC via afucosylation; CDC via galactosylation) and charge/aggregate profile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excursion outside 34-36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Alters afucosylation, galactosylation and acidic charge variants; interacts with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outside 40-160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Strong effect on galactosylation and 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 outside 360-440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%Gal), 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galactosylation and 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extended beyond 15-19 days / harvested on low viability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 (total %Gal), Aggregates (HMW), Host Cell Protein (HCP), 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Lowers afucosylation &amp; galactosylation; raises HCP/DNA and aggregate as viability declines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 outside 30-70%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Impacts peak VCD, titer and process consistency (no significant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Inoculation density outside 0.5-1.5e6/mL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Drives peak/integral VCD and titer; no product-quality impact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 outside 0.8-1.6X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Statistically significant but shallow effect on afucosylation; drives titer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 outside 9-15%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Slight effect on galactosylation; critical for titer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Culture pH is ranked highest of the group at 560</w:t>
      </w:r>
      <w:r>
        <w:t xml:space="preserve"> </w:t>
      </w:r>
      <w:r>
        <w:t xml:space="preserve">(</w:t>
      </w:r>
      <w:hyperlink w:anchor="tbl-rank-bioreactor">
        <w:r>
          <w:rPr>
            <w:rStyle w:val="Hyperlink"/>
          </w:rPr>
          <w:t xml:space="preserve">Table 6</w:t>
        </w:r>
      </w:hyperlink>
      <w:r>
        <w:t xml:space="preserve">). A pH excursion reaches 5 of the</w:t>
      </w:r>
      <w:r>
        <w:t xml:space="preserve"> </w:t>
      </w:r>
      <w:r>
        <w:t xml:space="preserve">attributes formed in the culture, high mannose among them, which places the parameter at the top of</w:t>
      </w:r>
      <w:r>
        <w:t xml:space="preserve"> </w:t>
      </w:r>
      <w:r>
        <w:t xml:space="preserve">the severity scale. Culture duration reaches the same number of attributes at a lower severity,</w:t>
      </w:r>
      <w:r>
        <w:t xml:space="preserve"> </w:t>
      </w:r>
      <w:r>
        <w:t xml:space="preserve">because the two it adds are host cell protein and residual DNA, both of which clear downstream at</w:t>
      </w:r>
      <w:r>
        <w:t xml:space="preserve"> </w:t>
      </w:r>
      <w:r>
        <w:t xml:space="preserve">lower criticality than any glycan attribute.</w:t>
      </w:r>
    </w:p>
    <w:p>
      <w:pPr>
        <w:pStyle w:val="BodyText"/>
      </w:pPr>
      <w:r>
        <w:t xml:space="preserve">Culture temperature, dissolved carbon dioxide and osmolality follow at</w:t>
      </w:r>
      <w:r>
        <w:t xml:space="preserve"> </w:t>
      </w:r>
      <w:r>
        <w:t xml:space="preserve">448, each reaching galactosylation and the acidic charge</w:t>
      </w:r>
      <w:r>
        <w:t xml:space="preserve"> </w:t>
      </w:r>
      <w:r>
        <w:t xml:space="preserve">variants, with temperature reaching afucosylation as well. Since prior knowledge places an</w:t>
      </w:r>
      <w:r>
        <w:t xml:space="preserve"> </w:t>
      </w:r>
      <w:r>
        <w:t xml:space="preserve">interaction between culture pH and temperature</w:t>
      </w:r>
      <w:r>
        <w:t xml:space="preserve"> </w:t>
      </w:r>
      <w:r>
        <w:t xml:space="preserve">(CMC Biotech Working Group 2009)</w:t>
      </w:r>
      <w:r>
        <w:t xml:space="preserve">, the 5</w:t>
      </w:r>
      <w:r>
        <w:t xml:space="preserve"> </w:t>
      </w:r>
      <w:r>
        <w:t xml:space="preserve">quality-linked parameters of the step are studied together in one design and not one at a time.</w:t>
      </w:r>
    </w:p>
    <w:p>
      <w:pPr>
        <w:pStyle w:val="BodyText"/>
      </w:pPr>
      <w:r>
        <w:t xml:space="preserve">The four remaining parameters of the step act on cell growth, titre and process consistency without</w:t>
      </w:r>
      <w:r>
        <w:t xml:space="preserve"> </w:t>
      </w:r>
      <w:r>
        <w:t xml:space="preserve">reaching any quality attribute. Dissolved oxygen, initial viable cell concentration, basal medium</w:t>
      </w:r>
      <w:r>
        <w:t xml:space="preserve"> </w:t>
      </w:r>
      <w:r>
        <w:t xml:space="preserve">concentration and nutrient feed-1 volume are all ranked at 96, the</w:t>
      </w:r>
      <w:r>
        <w:t xml:space="preserve"> </w:t>
      </w:r>
      <w:r>
        <w:t xml:space="preserve">floor of the assessment. Two of those four parameters need a word of care: prior knowledge records a</w:t>
      </w:r>
      <w:r>
        <w:t xml:space="preserve"> </w:t>
      </w:r>
      <w:r>
        <w:t xml:space="preserve">small but statistically significant effect of basal medium concentration on afucosylation, together</w:t>
      </w:r>
      <w:r>
        <w:t xml:space="preserve"> </w:t>
      </w:r>
      <w:r>
        <w:t xml:space="preserve">with a slight effect of nutrient feed-1 volume on galactosylation</w:t>
      </w:r>
      <w:r>
        <w:t xml:space="preserve"> </w:t>
      </w:r>
      <w:r>
        <w:t xml:space="preserve">(CMC Biotech Working Group 2009)</w:t>
      </w:r>
      <w:r>
        <w:t xml:space="preserve">. Both effects are</w:t>
      </w:r>
      <w:r>
        <w:t xml:space="preserve"> </w:t>
      </w:r>
      <w:r>
        <w:t xml:space="preserve">shallow enough that the case study treated neither as a quality risk, which is why both parameters</w:t>
      </w:r>
      <w:r>
        <w:t xml:space="preserve"> </w:t>
      </w:r>
      <w:r>
        <w:t xml:space="preserve">are ranked here at the performance band. However, the univariate studies assigned to them in Section</w:t>
      </w:r>
      <w:r>
        <w:t xml:space="preserve"> </w:t>
      </w:r>
      <w:r>
        <w:t xml:space="preserve">5 will bound both effects across the ranges proposed for study. That is the check that would</w:t>
      </w:r>
      <w:r>
        <w:t xml:space="preserve"> </w:t>
      </w:r>
      <w:r>
        <w:t xml:space="preserve">overturn the ranking.</w:t>
      </w:r>
    </w:p>
    <w:bookmarkEnd w:id="20"/>
    <w:bookmarkStart w:id="22" w:name="harvest-and-clarification-step-4"/>
    <w:p>
      <w:pPr>
        <w:pStyle w:val="Heading2"/>
      </w:pPr>
      <w:r>
        <w:t xml:space="preserve">4.2 Harvest and clarification (Step 4)</w:t>
      </w:r>
    </w:p>
    <w:p>
      <w:pPr>
        <w:pStyle w:val="FirstParagraph"/>
      </w:pPr>
      <w:r>
        <w:t xml:space="preserve">No parameter of the harvest step can change a product quality attribute. The step removes cells and</w:t>
      </w:r>
      <w:r>
        <w:t xml:space="preserve"> </w:t>
      </w:r>
      <w:r>
        <w:t xml:space="preserve">cell debris from the culture, while the antibody itself passes through unmodified</w:t>
      </w:r>
      <w:r>
        <w:t xml:space="preserve"> </w:t>
      </w:r>
      <w:r>
        <w:t xml:space="preserve">(CMC Biotech Working Group 2009)</w:t>
      </w:r>
      <w:r>
        <w:t xml:space="preserve">. All</w:t>
      </w:r>
      <w:r>
        <w:t xml:space="preserve"> </w:t>
      </w:r>
      <w:r>
        <w:t xml:space="preserve">3 parameters of the step are therefore ranked at the floor of the</w:t>
      </w:r>
      <w:r>
        <w:t xml:space="preserve"> </w:t>
      </w:r>
      <w:r>
        <w:t xml:space="preserve">assessment, at 96.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k-harv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Pre-characterization risk ranking, Harvest and Clarification.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05"/>
              <w:gridCol w:w="1921"/>
              <w:gridCol w:w="1124"/>
              <w:gridCol w:w="2390"/>
              <w:gridCol w:w="374"/>
              <w:gridCol w:w="7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clarification/yield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filter capacity/turbidity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Feed quality to Protein A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Centrifugation speed and depth filter load are both sized by the clarification duty, with</w:t>
      </w:r>
      <w:r>
        <w:t xml:space="preserve"> </w:t>
      </w:r>
      <w:r>
        <w:t xml:space="preserve">post-clarification turbidity as the in-process control (IPC) that reports the outcome of both. The</w:t>
      </w:r>
      <w:r>
        <w:t xml:space="preserve"> </w:t>
      </w:r>
      <w:r>
        <w:t xml:space="preserve">clarified harvest is the feed to the capture step, where feed quality is assessed as an input to</w:t>
      </w:r>
      <w:r>
        <w:t xml:space="preserve"> </w:t>
      </w:r>
      <w:r>
        <w:t xml:space="preserve">that step.</w:t>
      </w:r>
    </w:p>
    <w:bookmarkEnd w:id="22"/>
    <w:bookmarkStart w:id="24" w:name="protein-a-chromatography-step-5"/>
    <w:p>
      <w:pPr>
        <w:pStyle w:val="Heading2"/>
      </w:pPr>
      <w:r>
        <w:t xml:space="preserve">4.3 Protein A chromatography (Step 5)</w:t>
      </w:r>
    </w:p>
    <w:p>
      <w:pPr>
        <w:pStyle w:val="FirstParagraph"/>
      </w:pPr>
      <w:r>
        <w:t xml:space="preserve">Of the 6 parameters at the capture step (Step 5), two reach a</w:t>
      </w:r>
      <w:r>
        <w:t xml:space="preserve"> </w:t>
      </w:r>
      <w:r>
        <w:t xml:space="preserve">quality attribute. The attribute is host cell protein in both 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k-protein-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Pre-characterization risk ranking, Protein A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4"/>
              <w:gridCol w:w="2397"/>
              <w:gridCol w:w="1070"/>
              <w:gridCol w:w="2483"/>
              <w:gridCol w:w="342"/>
              <w:gridCol w:w="6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(&gt;50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Increases pool HCP (interaction with elution pH)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below characterized range (&lt;3.2)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Increases pool HCP; also sets up viral inactivation feed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 high with high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Reduces product yield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End-of-pool collection outside 2.0-3.2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product yield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product-quality impact expected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 outside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product-quality impact expected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Protein load and elution buffer pH are ranked at 336. Loading</w:t>
      </w:r>
      <w:r>
        <w:t xml:space="preserve"> </w:t>
      </w:r>
      <w:r>
        <w:t xml:space="preserve">above the range proposed for study leaves more host cell protein in the pool, at a level that</w:t>
      </w:r>
      <w:r>
        <w:t xml:space="preserve"> </w:t>
      </w:r>
      <w:r>
        <w:t xml:space="preserve">depends on elution pH</w:t>
      </w:r>
      <w:r>
        <w:t xml:space="preserve"> </w:t>
      </w:r>
      <w:r>
        <w:t xml:space="preserve">(CMC Biotech Working Group 2009)</w:t>
      </w:r>
      <w:r>
        <w:t xml:space="preserve">. That interaction is why both parameters are carried into a</w:t>
      </w:r>
      <w:r>
        <w:t xml:space="preserve"> </w:t>
      </w:r>
      <w:r>
        <w:t xml:space="preserve">multivariate design. Neither of them carries the whole burden for host cell protein: because cation</w:t>
      </w:r>
      <w:r>
        <w:t xml:space="preserve"> </w:t>
      </w:r>
      <w:r>
        <w:t xml:space="preserve">exchange (Step 7) and anion exchange clear the impurity further downstream, the acceptable output of</w:t>
      </w:r>
      <w:r>
        <w:t xml:space="preserve"> </w:t>
      </w:r>
      <w:r>
        <w:t xml:space="preserve">the capture step is set with those two steps in view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Elution buffer pH does a second job at this step, since the pH of the Protein A eluate sets up the</w:t>
      </w:r>
      <w:r>
        <w:t xml:space="preserve"> </w:t>
      </w:r>
      <w:r>
        <w:t xml:space="preserve">low-pH hold that follows. Therefore the parameter is also an input to the viral inactivation</w:t>
      </w:r>
      <w:r>
        <w:t xml:space="preserve"> </w:t>
      </w:r>
      <w:r>
        <w:t xml:space="preserve">assessed at Step 6, which is why the range proposed for study here was chosen to keep that hold</w:t>
      </w:r>
      <w:r>
        <w:t xml:space="preserve"> </w:t>
      </w:r>
      <w:r>
        <w:t xml:space="preserve">inside its own acceptable window.</w:t>
      </w:r>
    </w:p>
    <w:p>
      <w:pPr>
        <w:pStyle w:val="BodyText"/>
      </w:pPr>
      <w:r>
        <w:t xml:space="preserve">Load flow rate and end of pool collect act on yield alone and are ranked at the performance floor,</w:t>
      </w:r>
      <w:r>
        <w:t xml:space="preserve"> </w:t>
      </w:r>
      <w:r>
        <w:t xml:space="preserve">at 96. Both are nevertheless carried into the multivariate design</w:t>
      </w:r>
      <w:r>
        <w:t xml:space="preserve"> </w:t>
      </w:r>
      <w:r>
        <w:t xml:space="preserve">of the step, for the reason given in Section 5. Operating temperature and bed height carry no</w:t>
      </w:r>
      <w:r>
        <w:t xml:space="preserve"> </w:t>
      </w:r>
      <w:r>
        <w:t xml:space="preserve">specific failure mode into the assessment, because equipment design and the column packing criteria</w:t>
      </w:r>
      <w:r>
        <w:t xml:space="preserve"> </w:t>
      </w:r>
      <w:r>
        <w:t xml:space="preserve">hold both parameters, neither of which is expected to reach a quality attribute.</w:t>
      </w:r>
    </w:p>
    <w:bookmarkEnd w:id="24"/>
    <w:bookmarkStart w:id="26" w:name="low-ph-viral-inactivation-step-6"/>
    <w:p>
      <w:pPr>
        <w:pStyle w:val="Heading2"/>
      </w:pPr>
      <w:r>
        <w:t xml:space="preserve">4.4 Low-pH viral inactivation (Step 6)</w:t>
      </w:r>
    </w:p>
    <w:p>
      <w:pPr>
        <w:pStyle w:val="FirstParagraph"/>
      </w:pPr>
      <w:r>
        <w:t xml:space="preserve">The low-pH hold is the first of the three steps that carry a viral clearance claim. Of its</w:t>
      </w:r>
      <w:r>
        <w:t xml:space="preserve"> </w:t>
      </w:r>
      <w:r>
        <w:t xml:space="preserve">4 parameters, 3</w:t>
      </w:r>
      <w:r>
        <w:t xml:space="preserve"> </w:t>
      </w:r>
      <w:r>
        <w:t xml:space="preserve">reach a quality attribute, all three of them at 700, the highest number in the</w:t>
      </w:r>
      <w:r>
        <w:t xml:space="preserve"> </w:t>
      </w:r>
      <w:r>
        <w:t xml:space="preserve">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ank-viral-inactiv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Pre-characterization risk ranking, Low-pH Viral Inactivation.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6"/>
              <w:gridCol w:w="2446"/>
              <w:gridCol w:w="1770"/>
              <w:gridCol w:w="2285"/>
              <w:gridCol w:w="257"/>
              <w:gridCol w:w="4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&gt; 4.0 (incomplete inactivation) or pH &lt; 3.2 (aggregation/precipitation)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Loss of XMuLV inactivation assurance or increased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 &lt; 60 min (incomplete) or &gt; 180 min (aggregation)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inactivation or increased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&lt; 15 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inactivation rate at short time / higher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&gt; 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significant effect on inactivation, aggregation or charge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governing parameter is inactivation pH, whose failure mode runs in two directions. Above the</w:t>
      </w:r>
      <w:r>
        <w:t xml:space="preserve"> </w:t>
      </w:r>
      <w:r>
        <w:t xml:space="preserve">range proposed for study the hold has not been shown to inactivate XMuLV within the hold time, while</w:t>
      </w:r>
      <w:r>
        <w:t xml:space="preserve"> </w:t>
      </w:r>
      <w:r>
        <w:t xml:space="preserve">below that range the antibody begins to aggregate and to precipitate</w:t>
      </w:r>
      <w:r>
        <w:t xml:space="preserve"> </w:t>
      </w:r>
      <w:r>
        <w:t xml:space="preserve">(CMC Biotech Working Group 2009)</w:t>
      </w:r>
      <w:r>
        <w:t xml:space="preserve">. Hold time fails in</w:t>
      </w:r>
      <w:r>
        <w:t xml:space="preserve"> </w:t>
      </w:r>
      <w:r>
        <w:t xml:space="preserve">the same two directions, since a short hold leaves inactivation incomplete and a long hold raises</w:t>
      </w:r>
      <w:r>
        <w:t xml:space="preserve"> </w:t>
      </w:r>
      <w:r>
        <w:t xml:space="preserve">aggregate at the low pH of the step. Temperature acts in one direction only, because a cold hold</w:t>
      </w:r>
      <w:r>
        <w:t xml:space="preserve"> </w:t>
      </w:r>
      <w:r>
        <w:t xml:space="preserve">inactivates more slowly at a given time and pH.</w:t>
      </w:r>
    </w:p>
    <w:p>
      <w:pPr>
        <w:pStyle w:val="BodyText"/>
      </w:pPr>
      <w:r>
        <w:t xml:space="preserve">A-Mab concentration is the one parameter of the step that reaches nothing, because prior knowledge</w:t>
      </w:r>
      <w:r>
        <w:t xml:space="preserve"> </w:t>
      </w:r>
      <w:r>
        <w:t xml:space="preserve">across the platform shows no effect of concentration on inactivation kinetics, on aggregation or on</w:t>
      </w:r>
      <w:r>
        <w:t xml:space="preserve"> </w:t>
      </w:r>
      <w:r>
        <w:t xml:space="preserve">the charge variants</w:t>
      </w:r>
      <w:r>
        <w:t xml:space="preserve"> </w:t>
      </w:r>
      <w:r>
        <w:t xml:space="preserve">(CMC Biotech Working Group 2009)</w:t>
      </w:r>
      <w:r>
        <w:t xml:space="preserve">. The parameter ranks at</w:t>
      </w:r>
      <w:r>
        <w:t xml:space="preserve"> </w:t>
      </w:r>
      <w:r>
        <w:t xml:space="preserve">96 and is assessed one factor at a time.</w:t>
      </w:r>
    </w:p>
    <w:p>
      <w:pPr>
        <w:pStyle w:val="BodyText"/>
      </w:pPr>
      <w:r>
        <w:t xml:space="preserve">Detection is what lifts this step above the bioreactor. Because viral clearance is never measured on</w:t>
      </w:r>
      <w:r>
        <w:t xml:space="preserve"> </w:t>
      </w:r>
      <w:r>
        <w:t xml:space="preserve">a manufacturing batch, detection is scored at the bottom of the scale for every parameter that can</w:t>
      </w:r>
      <w:r>
        <w:t xml:space="preserve"> </w:t>
      </w:r>
      <w:r>
        <w:t xml:space="preserve">reach a clearance attribute. That detection score records the absence of a batch level check and no</w:t>
      </w:r>
      <w:r>
        <w:t xml:space="preserve"> </w:t>
      </w:r>
      <w:r>
        <w:t xml:space="preserve">weakness in the control of pH, hold time or temperature, all three of which are held by verified</w:t>
      </w:r>
      <w:r>
        <w:t xml:space="preserve"> </w:t>
      </w:r>
      <w:r>
        <w:t xml:space="preserve">titration, a timed hold with alarms and a monitored ambient temperature.</w:t>
      </w:r>
    </w:p>
    <w:bookmarkEnd w:id="26"/>
    <w:bookmarkStart w:id="28" w:name="cation-exchange-chromatography-step-7"/>
    <w:p>
      <w:pPr>
        <w:pStyle w:val="Heading2"/>
      </w:pPr>
      <w:r>
        <w:t xml:space="preserve">4.5 Cation exchange chromatography (Step 7)</w:t>
      </w:r>
    </w:p>
    <w:p>
      <w:pPr>
        <w:pStyle w:val="FirstParagraph"/>
      </w:pPr>
      <w:r>
        <w:t xml:space="preserve">Cation exchange is the principal aggregate polishing step of the train. Because no step downstream</w:t>
      </w:r>
      <w:r>
        <w:t xml:space="preserve"> </w:t>
      </w:r>
      <w:r>
        <w:t xml:space="preserve">of it reduces aggregate, the aggregate risk of the whole purification train concentrates here</w:t>
      </w:r>
      <w:r>
        <w:t xml:space="preserve"> </w:t>
      </w:r>
      <w:r>
        <w:t xml:space="preserve">(CMC Biotech Working Group 2009)</w:t>
      </w:r>
      <w:r>
        <w:t xml:space="preserve">. Of the 5 parameters of the step, 4</w:t>
      </w:r>
      <w:r>
        <w:t xml:space="preserve"> </w:t>
      </w:r>
      <w:r>
        <w:t xml:space="preserve">reach a quality attribute.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k-c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Pre-characterization risk ranking, Cation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33"/>
              <w:gridCol w:w="1945"/>
              <w:gridCol w:w="1493"/>
              <w:gridCol w:w="2848"/>
              <w:gridCol w:w="277"/>
              <w:gridCol w:w="5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(&gt;40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(HMW), 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aggregate and HCP clearance (interactions with pH and wash conductivity)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 below 3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clearance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pH outside 5.8-6.2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Alters aggregate distribution and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Extended elution stop-collect (&gt;1.5 OD)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 increase in pool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 outside 100-300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peak shape and yield (minor aggregate)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Protein load is ranked highest at 448, because the failure mode reaches</w:t>
      </w:r>
      <w:r>
        <w:t xml:space="preserve"> </w:t>
      </w:r>
      <w:r>
        <w:t xml:space="preserve">both aggregate and host cell protein. Elution buffer pH and elution stop collect are ranked at the</w:t>
      </w:r>
      <w:r>
        <w:t xml:space="preserve"> </w:t>
      </w:r>
      <w:r>
        <w:t xml:space="preserve">same number through aggregate alone, while load and wash conductivity reaches host cell protein only</w:t>
      </w:r>
      <w:r>
        <w:t xml:space="preserve"> </w:t>
      </w:r>
      <w:r>
        <w:t xml:space="preserve">and is ranked at 336. Since prior knowledge places interactions</w:t>
      </w:r>
      <w:r>
        <w:t xml:space="preserve"> </w:t>
      </w:r>
      <w:r>
        <w:t xml:space="preserve">between protein load, elution pH and wash conductivity, those four are studied together in one</w:t>
      </w:r>
      <w:r>
        <w:t xml:space="preserve"> </w:t>
      </w:r>
      <w:r>
        <w:t xml:space="preserve">design</w:t>
      </w:r>
      <w:r>
        <w:t xml:space="preserve"> </w:t>
      </w:r>
      <w:r>
        <w:t xml:space="preserve">(CMC Biotech Working Group 2009)</w:t>
      </w:r>
      <w:r>
        <w:t xml:space="preserve">. Elution flow rate affects peak shape and yield, ranks at the performance floor</w:t>
      </w:r>
      <w:r>
        <w:t xml:space="preserve"> </w:t>
      </w:r>
      <w:r>
        <w:t xml:space="preserve">and is assessed one factor at a time.</w:t>
      </w:r>
    </w:p>
    <w:p>
      <w:pPr>
        <w:pStyle w:val="BodyText"/>
      </w:pPr>
      <w:r>
        <w:t xml:space="preserve">The input aggregate to this step is bounded by the low-pH hold above it, because a high aggregate</w:t>
      </w:r>
      <w:r>
        <w:t xml:space="preserve"> </w:t>
      </w:r>
      <w:r>
        <w:t xml:space="preserve">feed would push the step towards its acceptance criterion at any load. Input aggregate is therefore</w:t>
      </w:r>
      <w:r>
        <w:t xml:space="preserve"> </w:t>
      </w:r>
      <w:r>
        <w:t xml:space="preserve">treated as a material attribute of the step and not as one of its parameters, with PCP-007 setting</w:t>
      </w:r>
      <w:r>
        <w:t xml:space="preserve"> </w:t>
      </w:r>
      <w:r>
        <w:t xml:space="preserve">the feed states at which the study is run.</w:t>
      </w:r>
    </w:p>
    <w:bookmarkEnd w:id="28"/>
    <w:bookmarkStart w:id="30" w:name="anion-exchange-chromatography-step-8"/>
    <w:p>
      <w:pPr>
        <w:pStyle w:val="Heading2"/>
      </w:pPr>
      <w:r>
        <w:t xml:space="preserve">4.6 Anion exchange chromatography (Step 8)</w:t>
      </w:r>
    </w:p>
    <w:p>
      <w:pPr>
        <w:pStyle w:val="FirstParagraph"/>
      </w:pPr>
      <w:r>
        <w:t xml:space="preserve">Every parameter of the anion exchange step reaches a quality attribute, because the step polishes</w:t>
      </w:r>
      <w:r>
        <w:t xml:space="preserve"> </w:t>
      </w:r>
      <w:r>
        <w:t xml:space="preserve">host cell protein in flow-through mode and carries the larger part of the cumulative MVM claim</w:t>
      </w:r>
      <w:r>
        <w:t xml:space="preserve"> </w:t>
      </w:r>
      <w:r>
        <w:t xml:space="preserve">(CMC Biotech Working Group 2009)</w:t>
      </w:r>
      <w:r>
        <w:t xml:space="preserve">. Two very high criticality attributes and one moderate to high attribute therefore sit</w:t>
      </w:r>
      <w:r>
        <w:t xml:space="preserve"> </w:t>
      </w:r>
      <w:r>
        <w:t xml:space="preserve">within reach of the same 5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ank-ae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Pre-characterization risk ranking, Anion Exchange Chromatography.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22"/>
              <w:gridCol w:w="1736"/>
              <w:gridCol w:w="2985"/>
              <w:gridCol w:w="1675"/>
              <w:gridCol w:w="243"/>
              <w:gridCol w:w="4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below characterized range (&lt;7.2)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(HCP), 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and reduced XMuLV/MVM clearance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 above 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 above characterized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viral clearance (interacts with pH)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 above characterized range (&gt;300 g/L resin)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HCP removal capacity (viral clearance robust)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 above 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(enveloped), 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residence time / viral clearance margin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Load pH is ranked at 700 and reaches the widest set of attributes at the step, which</w:t>
      </w:r>
      <w:r>
        <w:t xml:space="preserve"> </w:t>
      </w:r>
      <w:r>
        <w:t xml:space="preserve">is host cell protein together with both viral clearance attributes. Load conductivity and operating</w:t>
      </w:r>
      <w:r>
        <w:t xml:space="preserve"> </w:t>
      </w:r>
      <w:r>
        <w:t xml:space="preserve">flow rate are also ranked at 700 through the two viral attributes, while</w:t>
      </w:r>
      <w:r>
        <w:t xml:space="preserve"> </w:t>
      </w:r>
      <w:r>
        <w:t xml:space="preserve">equilibration and wash-1 conductivity and protein load reach host cell protein alone and are ranked</w:t>
      </w:r>
      <w:r>
        <w:t xml:space="preserve"> </w:t>
      </w:r>
      <w:r>
        <w:t xml:space="preserve">at 336.</w:t>
      </w:r>
    </w:p>
    <w:p>
      <w:pPr>
        <w:pStyle w:val="BodyText"/>
      </w:pPr>
      <w:r>
        <w:t xml:space="preserve">Prior knowledge places an interaction between load pH and load conductivity on viral clearance, with</w:t>
      </w:r>
      <w:r>
        <w:t xml:space="preserve"> </w:t>
      </w:r>
      <w:r>
        <w:t xml:space="preserve">clearance falling as pH falls and conductivity rises</w:t>
      </w:r>
      <w:r>
        <w:t xml:space="preserve"> </w:t>
      </w:r>
      <w:r>
        <w:t xml:space="preserve">(CMC Biotech Working Group 2009)</w:t>
      </w:r>
      <w:r>
        <w:t xml:space="preserve">. Operating flow rate is the one</w:t>
      </w:r>
      <w:r>
        <w:t xml:space="preserve"> </w:t>
      </w:r>
      <w:r>
        <w:t xml:space="preserve">parameter in the whole assessment that ranks at 700 and is still assigned a</w:t>
      </w:r>
      <w:r>
        <w:t xml:space="preserve"> </w:t>
      </w:r>
      <w:r>
        <w:t xml:space="preserve">univariate study; Section 5 gives the justification.</w:t>
      </w:r>
    </w:p>
    <w:bookmarkEnd w:id="30"/>
    <w:bookmarkStart w:id="32" w:name="small-virus-retentive-filtration-step-9"/>
    <w:p>
      <w:pPr>
        <w:pStyle w:val="Heading2"/>
      </w:pPr>
      <w:r>
        <w:t xml:space="preserve">4.7 Small-virus retentive filtration (Step 9)</w:t>
      </w:r>
    </w:p>
    <w:p>
      <w:pPr>
        <w:pStyle w:val="FirstParagraph"/>
      </w:pPr>
      <w:r>
        <w:t xml:space="preserve">Small-virus retentive filtration removes virus by size and is orthogonal in mechanism to the two</w:t>
      </w:r>
      <w:r>
        <w:t xml:space="preserve"> </w:t>
      </w:r>
      <w:r>
        <w:t xml:space="preserve">viral steps above it</w:t>
      </w:r>
      <w:r>
        <w:t xml:space="preserve"> </w:t>
      </w:r>
      <w:r>
        <w:t xml:space="preserve">(International Council for Harmonisation 2023a)</w:t>
      </w:r>
      <w:r>
        <w:t xml:space="preserve">. Both of the 2 parameters of</w:t>
      </w:r>
      <w:r>
        <w:t xml:space="preserve"> </w:t>
      </w:r>
      <w:r>
        <w:t xml:space="preserve">the step are ranked at 700, the top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rank-virus-filtr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Pre-characterization risk ranking, Small-Virus Retentive 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7"/>
              <w:gridCol w:w="1498"/>
              <w:gridCol w:w="2604"/>
              <w:gridCol w:w="2069"/>
              <w:gridCol w:w="285"/>
              <w:gridCol w:w="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MVM log-reduction (parvovirus breakthrough risk)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(parvovirus), 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 on virus removal at high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parameter of record is volumetric load. Prior knowledge shows the MVM log reduction of this</w:t>
      </w:r>
      <w:r>
        <w:t xml:space="preserve"> </w:t>
      </w:r>
      <w:r>
        <w:t xml:space="preserve">filter type falling slowly as the load volume rises</w:t>
      </w:r>
      <w:r>
        <w:t xml:space="preserve"> </w:t>
      </w:r>
      <w:r>
        <w:t xml:space="preserve">(CMC Biotech Working Group 2009)</w:t>
      </w:r>
      <w:r>
        <w:t xml:space="preserve">. Breakthrough becomes the concern at</w:t>
      </w:r>
      <w:r>
        <w:t xml:space="preserve"> </w:t>
      </w:r>
      <w:r>
        <w:t xml:space="preserve">the top of the proposed range, which is why the failure mode is written against the volumetric load</w:t>
      </w:r>
      <w:r>
        <w:t xml:space="preserve"> </w:t>
      </w:r>
      <w:r>
        <w:t xml:space="preserve">including the chase (the total volume passed through the filter). Filtration pressure reaches both</w:t>
      </w:r>
      <w:r>
        <w:t xml:space="preserve"> </w:t>
      </w:r>
      <w:r>
        <w:t xml:space="preserve">viral attributes. That parameter is held within the operating limits of the filter manufacturer and</w:t>
      </w:r>
      <w:r>
        <w:t xml:space="preserve"> </w:t>
      </w:r>
      <w:r>
        <w:t xml:space="preserve">is checked by an integrity test before and after use.</w:t>
      </w:r>
    </w:p>
    <w:bookmarkEnd w:id="32"/>
    <w:bookmarkStart w:id="34" w:name="X78c826f3aa4f1a4331883fc8876a05a952c861b"/>
    <w:p>
      <w:pPr>
        <w:pStyle w:val="Heading2"/>
      </w:pPr>
      <w:r>
        <w:t xml:space="preserve">4.8 Ultrafiltration and diafiltration (Step 10)</w:t>
      </w:r>
    </w:p>
    <w:p>
      <w:pPr>
        <w:pStyle w:val="FirstParagraph"/>
      </w:pPr>
      <w:r>
        <w:t xml:space="preserve">No parameter of the ultrafiltration and diafiltration step forms or clears a quality attribute.</w:t>
      </w:r>
      <w:r>
        <w:t xml:space="preserve"> </w:t>
      </w:r>
      <w:r>
        <w:t xml:space="preserve">Because the step concentrates the drug substance and exchanges the buffer as a formulation duty, all</w:t>
      </w:r>
      <w:r>
        <w:t xml:space="preserve"> </w:t>
      </w:r>
      <w:r>
        <w:t xml:space="preserve">3 parameters are ranked at the floor of the assessment.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rank-ufd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Pre-characterization risk ranking, Ultrafiltration / Diafiltration.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27"/>
              <w:gridCol w:w="1669"/>
              <w:gridCol w:w="1027"/>
              <w:gridCol w:w="3210"/>
              <w:gridCol w:w="342"/>
              <w:gridCol w:w="6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Attribute(s) at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buffer exchange (formulation; not part of DS characterization)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flux/processing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DS concentration spec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Diavolume count, transmembrane pressure and final concentration are controlled for process</w:t>
      </w:r>
      <w:r>
        <w:t xml:space="preserve"> </w:t>
      </w:r>
      <w:r>
        <w:t xml:space="preserve">performance and for the concentration of the drug substance. Final concentration is verified against</w:t>
      </w:r>
      <w:r>
        <w:t xml:space="preserve"> </w:t>
      </w:r>
      <w:r>
        <w:t xml:space="preserve">the drug substance release test, while the other two are verified in process.</w:t>
      </w:r>
    </w:p>
    <w:bookmarkEnd w:id="34"/>
    <w:bookmarkEnd w:id="35"/>
    <w:bookmarkStart w:id="38" w:name="characterization-study-assignment"/>
    <w:p>
      <w:pPr>
        <w:pStyle w:val="Heading1"/>
      </w:pPr>
      <w:r>
        <w:t xml:space="preserve">5. Characterization study assignment</w:t>
      </w:r>
    </w:p>
    <w:p>
      <w:pPr>
        <w:pStyle w:val="FirstParagraph"/>
      </w:pPr>
      <w:r>
        <w:t xml:space="preserve">The output of the assessment is the assignment in</w:t>
      </w:r>
      <w:r>
        <w:t xml:space="preserve"> </w:t>
      </w:r>
      <w:hyperlink w:anchor="tbl-assign">
        <w:r>
          <w:rPr>
            <w:rStyle w:val="Hyperlink"/>
          </w:rPr>
          <w:t xml:space="preserve">Table 15</w:t>
        </w:r>
      </w:hyperlink>
      <w:r>
        <w:t xml:space="preserve">, which gives every parameter of the</w:t>
      </w:r>
      <w:r>
        <w:t xml:space="preserve"> </w:t>
      </w:r>
      <w:r>
        <w:t xml:space="preserve">train with the study type it will receive: 22 parameters are assigned to a multivariate</w:t>
      </w:r>
      <w:r>
        <w:t xml:space="preserve"> </w:t>
      </w:r>
      <w:r>
        <w:t xml:space="preserve">design, 14 to univariate assessment and 1 to a justified univariate</w:t>
      </w:r>
      <w:r>
        <w:t xml:space="preserve"> </w:t>
      </w:r>
      <w:r>
        <w:t xml:space="preserve">assessment. No parameter is excluded from study. The same split by unit operation, with the plan and</w:t>
      </w:r>
      <w:r>
        <w:t xml:space="preserve"> </w:t>
      </w:r>
      <w:r>
        <w:t xml:space="preserve">the report that cover each step, is given in</w:t>
      </w:r>
      <w:r>
        <w:t xml:space="preserve"> </w:t>
      </w:r>
      <w:hyperlink w:anchor="tbl-scope">
        <w:r>
          <w:rPr>
            <w:rStyle w:val="Hyperlink"/>
          </w:rPr>
          <w:t xml:space="preserve">Table 14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Characterization scope by unit operation, with the covering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36"/>
              <w:gridCol w:w="3154"/>
              <w:gridCol w:w="939"/>
              <w:gridCol w:w="1073"/>
              <w:gridCol w:w="939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6 of the 8 steps in the assessment are given a multivariate</w:t>
      </w:r>
      <w:r>
        <w:t xml:space="preserve"> </w:t>
      </w:r>
      <w:r>
        <w:t xml:space="preserve">design, at Steps 3, 5, 6, 7, 8 and 9. The two steps without one are harvest and UF/DF, neither of</w:t>
      </w:r>
      <w:r>
        <w:t xml:space="preserve"> </w:t>
      </w:r>
      <w:r>
        <w:t xml:space="preserve">which reaches a quality attribute.</w:t>
      </w:r>
    </w:p>
    <w:p>
      <w:pPr>
        <w:pStyle w:val="BodyText"/>
      </w:pPr>
      <w:r>
        <w:t xml:space="preserve">A parameter is placed in the multivariate group when a deviation could take a quality attribute</w:t>
      </w:r>
      <w:r>
        <w:t xml:space="preserve"> </w:t>
      </w:r>
      <w:r>
        <w:t xml:space="preserve">outside its acceptance criterion and when prior knowledge places an interaction with another</w:t>
      </w:r>
      <w:r>
        <w:t xml:space="preserve"> </w:t>
      </w:r>
      <w:r>
        <w:t xml:space="preserve">parameter of the same unit operation. Both conditions matter. A parameter with a large main effect</w:t>
      </w:r>
      <w:r>
        <w:t xml:space="preserve"> </w:t>
      </w:r>
      <w:r>
        <w:t xml:space="preserve">and no interaction can be bounded one factor at a time. A parameter that interacts cannot be bounded</w:t>
      </w:r>
      <w:r>
        <w:t xml:space="preserve"> </w:t>
      </w:r>
      <w:r>
        <w:t xml:space="preserve">that way, because the acceptable range of one parameter then depends on the level of the other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Two parameters in the multivariate group reach no quality attribute at all. Load flow rate and end</w:t>
      </w:r>
      <w:r>
        <w:t xml:space="preserve"> </w:t>
      </w:r>
      <w:r>
        <w:t xml:space="preserve">of pool collect at the capture step act on yield. Because the design of that step already varies</w:t>
      </w:r>
      <w:r>
        <w:t xml:space="preserve"> </w:t>
      </w:r>
      <w:r>
        <w:t xml:space="preserve">protein load and elution buffer pH across the runs it needs for host cell protein, adding the two</w:t>
      </w:r>
      <w:r>
        <w:t xml:space="preserve"> </w:t>
      </w:r>
      <w:r>
        <w:t xml:space="preserve">performance parameters to the same design costs no further runs and resolves their interaction with</w:t>
      </w:r>
      <w:r>
        <w:t xml:space="preserve"> </w:t>
      </w:r>
      <w:r>
        <w:t xml:space="preserve">protein load in the same analysis.</w:t>
      </w:r>
    </w:p>
    <w:p>
      <w:pPr>
        <w:pStyle w:val="BodyText"/>
      </w:pPr>
      <w:r>
        <w:t xml:space="preserve">The univariate group is made up of the 14 parameters with no credible route to a</w:t>
      </w:r>
      <w:r>
        <w:t xml:space="preserve"> </w:t>
      </w:r>
      <w:r>
        <w:t xml:space="preserve">quality attribute. Each of them is still studied. Because a range that supports the batch record has</w:t>
      </w:r>
      <w:r>
        <w:t xml:space="preserve"> </w:t>
      </w:r>
      <w:r>
        <w:t xml:space="preserve">to come from somewhere, the cheapest source of one is a study at scale-down that moves a single</w:t>
      </w:r>
      <w:r>
        <w:t xml:space="preserve"> </w:t>
      </w:r>
      <w:r>
        <w:t xml:space="preserve">factor at a time (a univariate ranging study). In addition, a null result from such a study is</w:t>
      </w:r>
      <w:r>
        <w:t xml:space="preserve"> </w:t>
      </w:r>
      <w:r>
        <w:t xml:space="preserve">informative in its own right, since it keeps the parameter in the knowledge space as evidence of</w:t>
      </w:r>
      <w:r>
        <w:t xml:space="preserve"> </w:t>
      </w:r>
      <w:r>
        <w:t xml:space="preserve">robustness that a later change to the process can draw 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One parameter sits between the two groups. Operating flow rate at anion exchange reaches both viral</w:t>
      </w:r>
      <w:r>
        <w:t xml:space="preserve"> </w:t>
      </w:r>
      <w:r>
        <w:t xml:space="preserve">clearance attributes and is ranked at 700, yet the assignment is nevertheless a</w:t>
      </w:r>
      <w:r>
        <w:t xml:space="preserve"> </w:t>
      </w:r>
      <w:r>
        <w:t xml:space="preserve">justified univariate study. Viral clearance is measured in dedicated small-scale spiking studies and</w:t>
      </w:r>
      <w:r>
        <w:t xml:space="preserve"> </w:t>
      </w:r>
      <w:r>
        <w:t xml:space="preserve">not in the process design of experiments (DoE), because the spiking work needs containment and a</w:t>
      </w:r>
      <w:r>
        <w:t xml:space="preserve"> </w:t>
      </w:r>
      <w:r>
        <w:t xml:space="preserve">different analytical method</w:t>
      </w:r>
      <w:r>
        <w:t xml:space="preserve"> </w:t>
      </w:r>
      <w:r>
        <w:t xml:space="preserve">(International Council for Harmonisation 2023a)</w:t>
      </w:r>
      <w:r>
        <w:t xml:space="preserve">. Since flow rate acts on clearance through residence time</w:t>
      </w:r>
      <w:r>
        <w:t xml:space="preserve"> </w:t>
      </w:r>
      <w:r>
        <w:t xml:space="preserve">alone, which is a single mechanism with no interaction to resolve, the parameter is bounded by a</w:t>
      </w:r>
      <w:r>
        <w:t xml:space="preserve"> </w:t>
      </w:r>
      <w:r>
        <w:t xml:space="preserve">flow rate series inside the spiking study. The justification is recorded in PCP-008.</w:t>
      </w:r>
    </w:p>
    <w:p>
      <w:pPr>
        <w:pStyle w:val="BodyText"/>
      </w:pPr>
      <w:r>
        <w:t xml:space="preserve">The method permits a fourth outcome, in which a parameter of negligible risk is not studied at all</w:t>
      </w:r>
      <w:r>
        <w:t xml:space="preserve"> </w:t>
      </w:r>
      <w:r>
        <w:t xml:space="preserve">(CMC Biotech Working Group 2009)</w:t>
      </w:r>
      <w:r>
        <w:t xml:space="preserve">. No A-Mab parameter is placed there. Because the train is small and the scale-down</w:t>
      </w:r>
      <w:r>
        <w:t xml:space="preserve"> </w:t>
      </w:r>
      <w:r>
        <w:t xml:space="preserve">systems are established, a ranging study on a low-risk parameter costs little against the value of a</w:t>
      </w:r>
      <w:r>
        <w:t xml:space="preserve"> </w:t>
      </w:r>
      <w:r>
        <w:t xml:space="preserve">documented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s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Characterization study assignment for every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89"/>
              <w:gridCol w:w="1931"/>
              <w:gridCol w:w="515"/>
              <w:gridCol w:w="965"/>
              <w:gridCol w:w="772"/>
              <w:gridCol w:w="15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 (justified)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Three bounds apply to this assignment. The assignment rests on postulated failure modes and on</w:t>
      </w:r>
      <w:r>
        <w:t xml:space="preserve"> </w:t>
      </w:r>
      <w:r>
        <w:t xml:space="preserve">platform knowledge alone; no effect recorded in it has been measured at A-Mab scale-down. Each</w:t>
      </w:r>
      <w:r>
        <w:t xml:space="preserve"> </w:t>
      </w:r>
      <w:r>
        <w:t xml:space="preserve">assignment also covers only the range proposed for study (Appendix A), and a wider range would need</w:t>
      </w:r>
      <w:r>
        <w:t xml:space="preserve"> </w:t>
      </w:r>
      <w:r>
        <w:t xml:space="preserve">a fresh assessment. Finally the assignment is prospective, since each Process Characterization Plan</w:t>
      </w:r>
      <w:r>
        <w:t xml:space="preserve"> </w:t>
      </w:r>
      <w:r>
        <w:t xml:space="preserve">may amend it before execution and the report that follows may place a parameter differently.</w:t>
      </w:r>
    </w:p>
    <w:p>
      <w:pPr>
        <w:pStyle w:val="BodyText"/>
      </w:pPr>
      <w:r>
        <w:t xml:space="preserve">Two kinds of amendment are expected. Both are handled by the plan for the step. A screening study</w:t>
      </w:r>
      <w:r>
        <w:t xml:space="preserve"> </w:t>
      </w:r>
      <w:r>
        <w:t xml:space="preserve">may find no resolvable effect for a parameter carried into a multivariate design, in which case the</w:t>
      </w:r>
      <w:r>
        <w:t xml:space="preserve"> </w:t>
      </w:r>
      <w:r>
        <w:t xml:space="preserve">parameter stays in the knowledge space as evidence of robustness and the report for the step</w:t>
      </w:r>
      <w:r>
        <w:t xml:space="preserve"> </w:t>
      </w:r>
      <w:r>
        <w:t xml:space="preserve">classifies it on that basis. However, a univariate study may instead find an effect the assessment</w:t>
      </w:r>
      <w:r>
        <w:t xml:space="preserve"> </w:t>
      </w:r>
      <w:r>
        <w:t xml:space="preserve">did not anticipate, in which case the plan for that step is re-issued before execution, which is an</w:t>
      </w:r>
      <w:r>
        <w:t xml:space="preserve"> </w:t>
      </w:r>
      <w:r>
        <w:t xml:space="preserve">amendment to the plan and not a deviation from it.</w:t>
      </w:r>
    </w:p>
    <w:bookmarkEnd w:id="38"/>
    <w:bookmarkStart w:id="39" w:name="assumptions-and-limitations"/>
    <w:p>
      <w:pPr>
        <w:pStyle w:val="Heading1"/>
      </w:pPr>
      <w:r>
        <w:t xml:space="preserve">6. Assumptions and limitations</w:t>
      </w:r>
    </w:p>
    <w:p>
      <w:pPr>
        <w:pStyle w:val="FirstParagraph"/>
      </w:pPr>
      <w:r>
        <w:t xml:space="preserve">Four assumptions carry the assessment. Each assumption can fail in a way the studies would expose.</w:t>
      </w:r>
    </w:p>
    <w:p>
      <w:pPr>
        <w:pStyle w:val="BodyText"/>
      </w:pPr>
      <w:r>
        <w:t xml:space="preserve">The first assumption is platform transferability. A-Mab is developed on the humanized IgG1 platform</w:t>
      </w:r>
      <w:r>
        <w:t xml:space="preserve"> </w:t>
      </w:r>
      <w:r>
        <w:t xml:space="preserve">that produced X-Mab, Y-Mab and Z-Mab, from which lineage the mechanisms recorded in this document</w:t>
      </w:r>
      <w:r>
        <w:t xml:space="preserve"> </w:t>
      </w:r>
      <w:r>
        <w:t xml:space="preserve">are taken</w:t>
      </w:r>
      <w:r>
        <w:t xml:space="preserve"> </w:t>
      </w:r>
      <w:r>
        <w:t xml:space="preserve">(CMC Biotech Working Group 2009)</w:t>
      </w:r>
      <w:r>
        <w:t xml:space="preserve">. Where a mechanism does not carry across, the failure mode written here is the</w:t>
      </w:r>
      <w:r>
        <w:t xml:space="preserve"> </w:t>
      </w:r>
      <w:r>
        <w:t xml:space="preserve">wrong one for A-Mab. The error would be revealed by the study assigned to that parameter.</w:t>
      </w:r>
    </w:p>
    <w:p>
      <w:pPr>
        <w:pStyle w:val="BodyText"/>
      </w:pPr>
      <w:r>
        <w:t xml:space="preserve">The second assumption is the completeness of the parameter list. The 37 parameters</w:t>
      </w:r>
      <w:r>
        <w:t xml:space="preserve"> </w:t>
      </w:r>
      <w:r>
        <w:t xml:space="preserve">were taken from the process description of the drug-substance train. A parameter absent from that</w:t>
      </w:r>
      <w:r>
        <w:t xml:space="preserve"> </w:t>
      </w:r>
      <w:r>
        <w:t xml:space="preserve">description is not assessed here, while a parameter added later through change control needs this</w:t>
      </w:r>
      <w:r>
        <w:t xml:space="preserve"> </w:t>
      </w:r>
      <w:r>
        <w:t xml:space="preserve">assessment repeated for it.</w:t>
      </w:r>
    </w:p>
    <w:p>
      <w:pPr>
        <w:pStyle w:val="BodyText"/>
      </w:pPr>
      <w:r>
        <w:t xml:space="preserve">The third assumption is the scale-down model. Because every study assigned in Section 5 will be run</w:t>
      </w:r>
      <w:r>
        <w:t xml:space="preserve"> </w:t>
      </w:r>
      <w:r>
        <w:t xml:space="preserve">at scale-down, the assignment presumes a model that represents the commercial process for the</w:t>
      </w:r>
      <w:r>
        <w:t xml:space="preserve"> </w:t>
      </w:r>
      <w:r>
        <w:t xml:space="preserve">attribute in question. Qualification of each model is covered by the plan for that step and is not</w:t>
      </w:r>
      <w:r>
        <w:t xml:space="preserve"> </w:t>
      </w:r>
      <w:r>
        <w:t xml:space="preserve">covered here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The fourth assumption is the scoring itself. Occurrence is scored from the uncertainty of the effect</w:t>
      </w:r>
      <w:r>
        <w:t xml:space="preserve"> </w:t>
      </w:r>
      <w:r>
        <w:t xml:space="preserve">and not from failure frequency data, because commercial-scale data for A-Mab do not exist yet.</w:t>
      </w:r>
      <w:r>
        <w:t xml:space="preserve"> </w:t>
      </w:r>
      <w:r>
        <w:t xml:space="preserve">Detection is scored on what a manufacturing batch would reveal, which is why the viral parameters</w:t>
      </w:r>
      <w:r>
        <w:t xml:space="preserve"> </w:t>
      </w:r>
      <w:r>
        <w:t xml:space="preserve">take the lowest band despite a well controlled hold and a validated filter.</w:t>
      </w:r>
    </w:p>
    <w:p>
      <w:pPr>
        <w:pStyle w:val="BodyText"/>
      </w:pPr>
      <w:r>
        <w:t xml:space="preserve">Two limitations follow from the method itself. The risk priority number is ordinal, which means that</w:t>
      </w:r>
      <w:r>
        <w:t xml:space="preserve"> </w:t>
      </w:r>
      <w:r>
        <w:t xml:space="preserve">a ratio between two of the numbers carries no meaning and that only the rank order is used in</w:t>
      </w:r>
      <w:r>
        <w:t xml:space="preserve"> </w:t>
      </w:r>
      <w:r>
        <w:t xml:space="preserve">Section 5. The second limitation is the absence of a residual figure. No residual risk is calculated</w:t>
      </w:r>
      <w:r>
        <w:t xml:space="preserve"> </w:t>
      </w:r>
      <w:r>
        <w:t xml:space="preserve">anywhere in this document. The control strategy that would reduce the risk is defined by the</w:t>
      </w:r>
      <w:r>
        <w:t xml:space="preserve"> </w:t>
      </w:r>
      <w:r>
        <w:t xml:space="preserve">characterization studies and consolidated in PCMR-001. The residual assessment belongs there.</w:t>
      </w:r>
    </w:p>
    <w:bookmarkEnd w:id="39"/>
    <w:bookmarkStart w:id="41" w:name="outputs-and-downstream-use"/>
    <w:p>
      <w:pPr>
        <w:pStyle w:val="Heading1"/>
      </w:pPr>
      <w:r>
        <w:t xml:space="preserve">7. Outputs and downstream use</w:t>
      </w:r>
    </w:p>
    <w:p>
      <w:pPr>
        <w:pStyle w:val="FirstParagraph"/>
      </w:pPr>
      <w:r>
        <w:t xml:space="preserve">The assignment of Section 5 is issued to the Process Characterization Plans. Each of those plans</w:t>
      </w:r>
      <w:r>
        <w:t xml:space="preserve"> </w:t>
      </w:r>
      <w:r>
        <w:t xml:space="preserve">takes the parameters of one unit operation, with the study type assigned here, and sets out the</w:t>
      </w:r>
      <w:r>
        <w:t xml:space="preserve"> </w:t>
      </w:r>
      <w:r>
        <w:t xml:space="preserve">design, the sampling plan and the acceptance criteria for that study. Above those eight plans, the</w:t>
      </w:r>
      <w:r>
        <w:t xml:space="preserve"> </w:t>
      </w:r>
      <w:r>
        <w:t xml:space="preserve">campaign as a whole is covered by PCMP-001, which states the methods and the acceptance framework</w:t>
      </w:r>
      <w:r>
        <w:t xml:space="preserve"> </w:t>
      </w:r>
      <w:r>
        <w:t xml:space="preserve">common to all of them.</w:t>
      </w:r>
    </w:p>
    <w:p>
      <w:pPr>
        <w:pStyle w:val="BodyText"/>
      </w:pPr>
      <w:r>
        <w:t xml:space="preserve">The reports return the result. Those reports, PCR-003 to PCR-010, record the studies and classify</w:t>
      </w:r>
      <w:r>
        <w:t xml:space="preserve"> </w:t>
      </w:r>
      <w:r>
        <w:t xml:space="preserve">the parameters of their own step, while PCMR-001 consolidates the classifications and the control</w:t>
      </w:r>
      <w:r>
        <w:t xml:space="preserve"> </w:t>
      </w:r>
      <w:r>
        <w:t xml:space="preserve">strategy for the drug substance. This assessment is superseded for a given parameter once the report</w:t>
      </w:r>
      <w:r>
        <w:t xml:space="preserve"> </w:t>
      </w:r>
      <w:r>
        <w:t xml:space="preserve">that classifies that parameter is approved. The whole package, with the subject of each document, is</w:t>
      </w:r>
      <w:r>
        <w:t xml:space="preserve"> </w:t>
      </w:r>
      <w:r>
        <w:t xml:space="preserve">listed in</w:t>
      </w:r>
      <w:r>
        <w:t xml:space="preserve"> </w:t>
      </w:r>
      <w:hyperlink w:anchor="tbl-docs">
        <w:r>
          <w:rPr>
            <w:rStyle w:val="Hyperlink"/>
          </w:rPr>
          <w:t xml:space="preserve">Table 16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The A-Mab process characterization document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2"/>
              <w:gridCol w:w="3232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40"/>
          <w:p/>
        </w:tc>
      </w:tr>
    </w:tbl>
    <w:bookmarkEnd w:id="41"/>
    <w:bookmarkStart w:id="42" w:name="approvals-1"/>
    <w:p>
      <w:pPr>
        <w:pStyle w:val="Heading1"/>
      </w:pPr>
      <w:r>
        <w:t xml:space="preserve">8. Approvals</w:t>
      </w:r>
    </w:p>
    <w:p>
      <w:pPr>
        <w:pStyle w:val="FirstParagraph"/>
      </w:pPr>
      <w:r>
        <w:t xml:space="preserve">The signatories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approve this assessment. Approval covers the method of Section 2, the</w:t>
      </w:r>
      <w:r>
        <w:t xml:space="preserve"> </w:t>
      </w:r>
      <w:r>
        <w:t xml:space="preserve">ranking of Section 4 and the study assignment of Section 5.</w:t>
      </w:r>
    </w:p>
    <w:bookmarkEnd w:id="42"/>
    <w:bookmarkStart w:id="44" w:name="Xc14ca3028d82905de83ebe2f55fa444ff8849ed"/>
    <w:p>
      <w:pPr>
        <w:pStyle w:val="Heading1"/>
      </w:pPr>
      <w:r>
        <w:t xml:space="preserve">Appendix A — Set-points, proposed study ranges and existing controls</w:t>
      </w:r>
    </w:p>
    <w:p>
      <w:pPr>
        <w:pStyle w:val="FirstParagraph"/>
      </w:pPr>
      <w:hyperlink w:anchor="tbl-appx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set-point, the range proposed for study and the existing control for every</w:t>
      </w:r>
      <w:r>
        <w:t xml:space="preserve"> </w:t>
      </w:r>
      <w:r>
        <w:t xml:space="preserve">parameter in the assessment. The ranges are proposals, since a proven acceptable range is an output</w:t>
      </w:r>
      <w:r>
        <w:t xml:space="preserve"> </w:t>
      </w:r>
      <w:r>
        <w:t xml:space="preserve">of the characterization study and appears in the report for the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app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Set-point, range proposed for study and existing control, by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7"/>
              <w:gridCol w:w="1153"/>
              <w:gridCol w:w="576"/>
              <w:gridCol w:w="1076"/>
              <w:gridCol w:w="48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proposed for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Existing control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6.85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Closed-loop pH control with validated/redundant probes; continuous in-process monitoring; multivariate design space 6.6-7.1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Jacket temperature control; validated probes; in-process monitoring; design space 34-36 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 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Sparge/overlay gas control; pCO2 monitoring; design space 40-160 mmHg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 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Feed/base osmolality control; at-line monitoring; design space 360-440 mOsm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 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criteria on viability, titer and quality; duration bounded 15-19 days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50 % sat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30–70 % sat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 DO control; in-process monitoring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e6 cells/mL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 e6 cells/mL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Seed-train control; split-ratio spec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 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 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 prep controls; concentration verified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9–15 % WV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Gravimetric feed control; feed schedule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Centrifuge speed controlled; turbidity IPC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Sizing by area; turbidity IPC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NTU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 NTU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IPC; Protein A robust to feedstock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controlled by A280/mass balance; design space 10-50 g/L; CEX/AEX downstream HCP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3.55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pH verified pre-use; in-line pH monitoring; design space 3.2-3.9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 controlled by pump/skid; yield IPC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 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Collection by CV/A280; yield IPC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 equipment control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 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 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 equipment control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3.5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 adjust to 3.5 +/- 0.1 with verified titration; in-line pH; acceptable range 3.2-4.0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 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 hold 60-120 min with alarms; CEX downstream aggregate polish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 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Ambient hold 15-25 C; temperature monitored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concentration &lt;= 35 g/L (typically &lt;= 20 g/L)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by mass balance; design space 10-40 g/L; input aggregate bounded by VI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conductivity verified; in-line conductivity; design space 3-7 mS/cm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pH verified; in-line pH; design space 5.8-6.2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 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Stop-collect by descending A280; design space 0.5-1.5 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 controlled by skid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7.5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 adjust to 7.5; in-line pH; quality design space 7.2-7.8; viral clearance validated &gt;= 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conductivity verified; in-line conductivity; design space 1.6-3.6 mS/cm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5.5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 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Conditioned load conductivity; viral clearance validated &lt;= 15 mS/cm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 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by mass balance; design space 50-300 g/L; viral clearance validated to 300 g/L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 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 controlled by skid; viral clearance validated &lt;= 450 cm/hr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limited to &lt;= 105 L/m2 incl. chase; filter integrity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within manufacturer limits; monitored; pre/post integrity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DV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 DV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 count controlled; buffer exchange IPC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controlled by skid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Concentration by UV/mass; release test</w:t>
                  </w:r>
                </w:p>
              </w:tc>
            </w:tr>
          </w:tbl>
          <w:bookmarkEnd w:id="43"/>
          <w:p/>
        </w:tc>
      </w:tr>
    </w:tbl>
    <w:bookmarkEnd w:id="44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6"/>
    <w:bookmarkStart w:id="4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7"/>
    <w:bookmarkStart w:id="4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Pre-Characterization Process Risk Assessment</dc:title>
  <dc:creator>Process Development / Manufacturing Science &amp; Technology (MSAT)</dc:creator>
  <cp:keywords/>
  <dcterms:created xsi:type="dcterms:W3CDTF">2026-08-18T17:45:43Z</dcterms:created>
  <dcterms:modified xsi:type="dcterms:W3CDTF">2026-08-18T17:45:43Z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A-Mab Drug Substance — RA-001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